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Generating Transgenics and Knockouts in </w:t>
      </w:r>
      <w:r>
        <w:rPr>
          <w:rFonts w:ascii="Calibri" w:hAnsi="Calibri" w:cs="Calibri" w:eastAsia="Calibri"/>
          <w:i/>
          <w:color w:val="auto"/>
          <w:spacing w:val="0"/>
          <w:position w:val="0"/>
          <w:sz w:val="24"/>
          <w:shd w:fill="auto" w:val="clear"/>
        </w:rPr>
        <w:t xml:space="preserve">Strongyloides </w:t>
      </w:r>
      <w:r>
        <w:rPr>
          <w:rFonts w:ascii="Calibri" w:hAnsi="Calibri" w:cs="Calibri" w:eastAsia="Calibri"/>
          <w:color w:val="auto"/>
          <w:spacing w:val="0"/>
          <w:position w:val="0"/>
          <w:sz w:val="24"/>
          <w:shd w:fill="auto" w:val="clear"/>
        </w:rPr>
        <w:t xml:space="preserve">Species by Microinjection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Michelle L. Castelletto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Elissa A. Hallem</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Microbiology, Immunology, and Molecular Genetics, University of California, Los Angeles, Los Angeles, CA 90095,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Molecular Biology Institute, University of California, Los Angeles, Los Angeles, CA 90095,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Michelle Castelletto</w:t>
        <w:tab/>
        <w:tab/>
        <w:tab/>
        <w:t xml:space="preserve">(mcastelletto@ucla.edu)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Elissa Hallem</w:t>
        <w:tab/>
        <w:tab/>
        <w:tab/>
        <w:tab/>
        <w:t xml:space="preserve">(ehallem@ucla.edu)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functional genomic toolkit for the parasitic nematodes </w:t>
      </w:r>
      <w:r>
        <w:rPr>
          <w:rFonts w:ascii="Calibri" w:hAnsi="Calibri" w:cs="Calibri" w:eastAsia="Calibri"/>
          <w:i/>
          <w:color w:val="auto"/>
          <w:spacing w:val="0"/>
          <w:position w:val="0"/>
          <w:sz w:val="24"/>
          <w:shd w:fill="auto" w:val="clear"/>
        </w:rPr>
        <w:t xml:space="preserve">Strongyloides stercoralis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Strongyloides ratti</w:t>
      </w:r>
      <w:r>
        <w:rPr>
          <w:rFonts w:ascii="Calibri" w:hAnsi="Calibri" w:cs="Calibri" w:eastAsia="Calibri"/>
          <w:color w:val="auto"/>
          <w:spacing w:val="0"/>
          <w:position w:val="0"/>
          <w:sz w:val="24"/>
          <w:shd w:fill="auto" w:val="clear"/>
        </w:rPr>
        <w:t xml:space="preserve"> includes transgenesis, CRISPR/Cas9-mediated mutagenesis, and RNAi. This protocol will demonstrate how to use intragonadal microinjection to introduce transgenes and CRISPR components into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 ratti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genus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consists of multiple species of skin-penetrating nematodes with different host ranges, including </w:t>
      </w:r>
      <w:r>
        <w:rPr>
          <w:rFonts w:ascii="Calibri" w:hAnsi="Calibri" w:cs="Calibri" w:eastAsia="Calibri"/>
          <w:i/>
          <w:color w:val="auto"/>
          <w:spacing w:val="0"/>
          <w:position w:val="0"/>
          <w:sz w:val="24"/>
          <w:shd w:fill="auto" w:val="clear"/>
        </w:rPr>
        <w:t xml:space="preserve">Strongyloides stercoralis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Strongyloides ratti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is a human-parasitic, skin-penetrating nematode that infects approximately 610 million people, while the rat parasite </w:t>
      </w:r>
      <w:r>
        <w:rPr>
          <w:rFonts w:ascii="Calibri" w:hAnsi="Calibri" w:cs="Calibri" w:eastAsia="Calibri"/>
          <w:i/>
          <w:color w:val="auto"/>
          <w:spacing w:val="0"/>
          <w:position w:val="0"/>
          <w:sz w:val="24"/>
          <w:shd w:fill="auto" w:val="clear"/>
        </w:rPr>
        <w:t xml:space="preserve">S. ratti</w:t>
      </w:r>
      <w:r>
        <w:rPr>
          <w:rFonts w:ascii="Calibri" w:hAnsi="Calibri" w:cs="Calibri" w:eastAsia="Calibri"/>
          <w:color w:val="auto"/>
          <w:spacing w:val="0"/>
          <w:position w:val="0"/>
          <w:sz w:val="24"/>
          <w:shd w:fill="auto" w:val="clear"/>
        </w:rPr>
        <w:t xml:space="preserve"> is closely related to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and is often used as a laboratory model for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Both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 ratti</w:t>
      </w:r>
      <w:r>
        <w:rPr>
          <w:rFonts w:ascii="Calibri" w:hAnsi="Calibri" w:cs="Calibri" w:eastAsia="Calibri"/>
          <w:color w:val="auto"/>
          <w:spacing w:val="0"/>
          <w:position w:val="0"/>
          <w:sz w:val="24"/>
          <w:shd w:fill="auto" w:val="clear"/>
        </w:rPr>
        <w:t xml:space="preserve"> are easily amenable to the generation of transgenics and knockouts through the exogenous nucleic acid delivery technique of intragonadal microinjection, and as such, have emerged as model systems for other parasitic helminths that are not yet amenable to this technique. Parasitic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adults inhabit the small intestine of their host and release progeny into the environment via the feces.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in the environment, the larvae develop into free-living adults, which live in feces and produce progeny that must find and invade a new host. This environmental generation is unique to the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species and similar enough in morphology to the model free-living nematode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that techniques developed for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can be adapted for use with these parasitic nematodes, including intragonadal microinjection. Using intragonadal microinjection, a wide variety of transgenes can be introduced into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CRISPR/Cas9 components can also be microinjected to create mutant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larvae. Here, the technique of intragonadal microinjection into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including the preparation of free-living adults, the injection procedure, and the selection of transgenic progeny, is described. Images of transgenic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larvae created using CRISPR/Cas9 mutagenesis are included. The aim of this paper is to enable other researchers to use microinjection to create transgenic and mutant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Strongyloides stercoralis</w:t>
      </w:r>
      <w:r>
        <w:rPr>
          <w:rFonts w:ascii="Calibri" w:hAnsi="Calibri" w:cs="Calibri" w:eastAsia="Calibri"/>
          <w:color w:val="auto"/>
          <w:spacing w:val="0"/>
          <w:position w:val="0"/>
          <w:sz w:val="24"/>
          <w:shd w:fill="auto" w:val="clear"/>
        </w:rPr>
        <w:t xml:space="preserve"> has long been overlooked as an important human pathogen compared to the more widely recognized hookworms and the roundworm </w:t>
      </w:r>
      <w:r>
        <w:rPr>
          <w:rFonts w:ascii="Calibri" w:hAnsi="Calibri" w:cs="Calibri" w:eastAsia="Calibri"/>
          <w:i/>
          <w:color w:val="auto"/>
          <w:spacing w:val="0"/>
          <w:position w:val="0"/>
          <w:sz w:val="24"/>
          <w:shd w:fill="auto" w:val="clear"/>
        </w:rPr>
        <w:t xml:space="preserve">Ascaris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lumbricoides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Previous studies of worm burden often severely underestimated the prevalence of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due to the low sensitivity of common diagnostic methods for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recent years, epidemiological studies based on improved diagnostic tools have estimated that the true prevalence of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infections is much higher than previously reported, approximately 610 million people worldwide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and other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species, including the closely related rat parasite and common lab model </w:t>
      </w:r>
      <w:r>
        <w:rPr>
          <w:rFonts w:ascii="Calibri" w:hAnsi="Calibri" w:cs="Calibri" w:eastAsia="Calibri"/>
          <w:i/>
          <w:color w:val="auto"/>
          <w:spacing w:val="0"/>
          <w:position w:val="0"/>
          <w:sz w:val="24"/>
          <w:shd w:fill="auto" w:val="clear"/>
        </w:rPr>
        <w:t xml:space="preserve">S. ratti,</w:t>
      </w:r>
      <w:r>
        <w:rPr>
          <w:rFonts w:ascii="Calibri" w:hAnsi="Calibri" w:cs="Calibri" w:eastAsia="Calibri"/>
          <w:color w:val="auto"/>
          <w:spacing w:val="0"/>
          <w:position w:val="0"/>
          <w:sz w:val="24"/>
          <w:shd w:fill="auto" w:val="clear"/>
        </w:rPr>
        <w:t xml:space="preserve"> have an unusual life cycle that is advantageous for experimental genomic studies because it consists of both parasitic and free-living (environmental) generations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Specifically, both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 ratti</w:t>
      </w:r>
      <w:r>
        <w:rPr>
          <w:rFonts w:ascii="Calibri" w:hAnsi="Calibri" w:cs="Calibri" w:eastAsia="Calibri"/>
          <w:color w:val="auto"/>
          <w:spacing w:val="0"/>
          <w:position w:val="0"/>
          <w:sz w:val="24"/>
          <w:shd w:fill="auto" w:val="clear"/>
        </w:rPr>
        <w:t xml:space="preserve"> can cycle through a single free-living generation. The free-living generation consists of post-parasitic larvae that develop into free-living adult males and females; all progeny of the free-living adults develop into infective larvae, which must infect a host to continue the life cycle. Furthermore, this environmental or free-living generation can be experimentally manipulated in the laboratory. Because free-living </w:t>
      </w:r>
      <w:r>
        <w:rPr>
          <w:rFonts w:ascii="Calibri" w:hAnsi="Calibri" w:cs="Calibri" w:eastAsia="Calibri"/>
          <w:i/>
          <w:color w:val="auto"/>
          <w:spacing w:val="0"/>
          <w:position w:val="0"/>
          <w:sz w:val="24"/>
          <w:shd w:fill="auto" w:val="clear"/>
        </w:rPr>
        <w:t xml:space="preserve">Strongyloides </w:t>
      </w:r>
      <w:r>
        <w:rPr>
          <w:rFonts w:ascii="Calibri" w:hAnsi="Calibri" w:cs="Calibri" w:eastAsia="Calibri"/>
          <w:color w:val="auto"/>
          <w:spacing w:val="0"/>
          <w:position w:val="0"/>
          <w:sz w:val="24"/>
          <w:shd w:fill="auto" w:val="clear"/>
        </w:rPr>
        <w:t xml:space="preserve">adults and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adults share similar morphology, techniques such as intragonadal microinjection originally developed for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can be adapted for use with free-living adult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While DNA is generally introduced into free-living adult females, both males and females of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can be microinjected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Thus, functional genomic tools are available to interrogate many aspects of the biology of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Other parasitic nematodes lack a free-living generation, and as a result, are not as readily amenable to functional genomic techniques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b/>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shares many aspects of its biology with other gastrointestinal human-parasitic nematodes, including host invasion and host immune modulation. For example, human-parasitic hookworms in the genera </w:t>
      </w:r>
      <w:r>
        <w:rPr>
          <w:rFonts w:ascii="Calibri" w:hAnsi="Calibri" w:cs="Calibri" w:eastAsia="Calibri"/>
          <w:i/>
          <w:color w:val="auto"/>
          <w:spacing w:val="0"/>
          <w:position w:val="0"/>
          <w:sz w:val="24"/>
          <w:shd w:fill="auto" w:val="clear"/>
        </w:rPr>
        <w:t xml:space="preserve">Necator</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Ancylostoma</w:t>
      </w:r>
      <w:r>
        <w:rPr>
          <w:rFonts w:ascii="Calibri" w:hAnsi="Calibri" w:cs="Calibri" w:eastAsia="Calibri"/>
          <w:color w:val="auto"/>
          <w:spacing w:val="0"/>
          <w:position w:val="0"/>
          <w:sz w:val="24"/>
          <w:shd w:fill="auto" w:val="clear"/>
        </w:rPr>
        <w:t xml:space="preserve"> also infect by skin penetration, navigate similarly through the body, and ultimately reside as parasitic adults in the small intestine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Thus, many gastrointestinal nematodes likely use common sensory behaviors and immune evasion techniques. As a result, the knowledge gleaned from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will complement findings in other less genetically tractable nematodes and lead to a more complete understanding of these complex and important parasites.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microinjection protocol outlines the method for introducing DNA into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free-living adult females to make transgenic and mutant progeny. The strain maintenance requirements, including the developmental timing of adult worms for microinjections and the collection of transgenic progeny, are described. Protocols and a demonstration of the complete microinjection technique, along with protocols for culturing and screening transgenic progeny, are included, along with a list of all necessary equipment and consumables.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Gerbils were used to passage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and rats were used to passage </w:t>
      </w:r>
      <w:r>
        <w:rPr>
          <w:rFonts w:ascii="Calibri" w:hAnsi="Calibri" w:cs="Calibri" w:eastAsia="Calibri"/>
          <w:i/>
          <w:color w:val="auto"/>
          <w:spacing w:val="0"/>
          <w:position w:val="0"/>
          <w:sz w:val="24"/>
          <w:shd w:fill="auto" w:val="clear"/>
        </w:rPr>
        <w:t xml:space="preserve">S. ratti</w:t>
      </w:r>
      <w:r>
        <w:rPr>
          <w:rFonts w:ascii="Calibri" w:hAnsi="Calibri" w:cs="Calibri" w:eastAsia="Calibri"/>
          <w:color w:val="auto"/>
          <w:spacing w:val="0"/>
          <w:position w:val="0"/>
          <w:sz w:val="24"/>
          <w:shd w:fill="auto" w:val="clear"/>
        </w:rPr>
        <w:t xml:space="preserve">. All procedures were approved by the UCLA Office of Animal Research Oversight (Protocol No. 2011-060-21A), which adheres to AAALAC standards and the Guide for the Care and Use of Laboratory Animals. The following tasks must be completed at least one day before microinjecting: worm culturing, preparing microinjection pads, creating constructs for the microinjection mix, and spreading bacteria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HB101) onto 6 cm Nematode Growth Media (NGM) plates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free-living females require a minimum of 24 h post-fecal collection at room temperature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&amp;#176;C) to develop into young adults before they can be microinjected. Microinjection pads must be completely dry. Bacterial plates must dry and establish a small lawn.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Preparation of microinjection slides: at least one day before injecting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Worms are mounted on microinjection coverslips with dry agar pads for injection.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Set a heat block to 90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Add 5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then 100 mg of agarose to a borosilicate glass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Heat the agarose mix in the tube over a flame until the agarose is dissolved.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Place the tube in a heat block set at 90 &amp;#176;C to maintain the agarose in the liquid state.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Drop ~180 &amp;#181;L of the agarose solution onto a coverslip using a glass Pasteur pipet or a pipet with a plastic tip. Immediately drop a second coverslip on top to flatten the agarose into a thin pad.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After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s, remove the top coverslip by sliding the two apart. Determine which slide the agar pad is on and lay it face 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Select a tiny piece of glass shard from a broken coverslip and gently press it into the agar near the top edge of the pad using forceps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Continue making microinjection pads with the agarose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Dry the agarose pads overnight on the bench or in an oven. Store in the coverslip box.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agarose pads can be used for up to 2 months but are only used for one injection run.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Culturing </w:t>
      </w:r>
      <w:r>
        <w:rPr>
          <w:rFonts w:ascii="Calibri" w:hAnsi="Calibri" w:cs="Calibri" w:eastAsia="Calibri"/>
          <w:b/>
          <w:i/>
          <w:color w:val="auto"/>
          <w:spacing w:val="0"/>
          <w:position w:val="0"/>
          <w:sz w:val="24"/>
          <w:shd w:fill="auto" w:val="clear"/>
        </w:rPr>
        <w:t xml:space="preserve">Strongyloides </w:t>
      </w:r>
      <w:r>
        <w:rPr>
          <w:rFonts w:ascii="Calibri" w:hAnsi="Calibri" w:cs="Calibri" w:eastAsia="Calibri"/>
          <w:b/>
          <w:color w:val="auto"/>
          <w:spacing w:val="0"/>
          <w:position w:val="0"/>
          <w:sz w:val="24"/>
          <w:shd w:fill="auto" w:val="clear"/>
        </w:rPr>
        <w:t xml:space="preserve">to obtain worms for microinjection: 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 days before injection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strain maintenance protocol can be found in the </w:t>
      </w:r>
      <w:r>
        <w:rPr>
          <w:rFonts w:ascii="Calibri" w:hAnsi="Calibri" w:cs="Calibri" w:eastAsia="Calibri"/>
          <w:b/>
          <w:color w:val="auto"/>
          <w:spacing w:val="0"/>
          <w:position w:val="0"/>
          <w:sz w:val="24"/>
          <w:shd w:fill="auto" w:val="clear"/>
        </w:rPr>
        <w:t xml:space="preserve">Supplemental Material</w:t>
      </w:r>
      <w:r>
        <w:rPr>
          <w:rFonts w:ascii="Calibri" w:hAnsi="Calibri" w:cs="Calibri" w:eastAsia="Calibri"/>
          <w:color w:val="auto"/>
          <w:spacing w:val="0"/>
          <w:position w:val="0"/>
          <w:sz w:val="24"/>
          <w:shd w:fill="auto" w:val="clear"/>
        </w:rPr>
        <w:t xml:space="preserve">, which includes a detailed description of how to infect gerbils and rats with nematodes and harvest nematodes from the feces of infected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Two days before the injection day, place the infected animals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in collection cages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The next morning, collect infected feces and make fecal-charcoal plates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Place a plate at 25 &amp;#176;C for 24 h to allow the free-living worms to develop into young adults.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The night before the injection day, place uninfected host animals in collection cages.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2.5. On the injection day, collect uninfected feces for post-injection cultivation.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Making the microinjection mix: prior to or on the day of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microinjection mix consists of the plasmids of interest diluted to the desired concentration in worm buffered saline (BU) (50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22 mM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70 mM NaCl)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Determine the concentration of the plasmid stocks and the desired concentration in the microinjection mix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Dilute the plasmids in BU to a total volume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&amp;#181;L.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Spin the mix through a filter column at 5,000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Use the microinjection mix immediately or store it at -20 &amp;#176;C for future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Collect young adult </w:t>
      </w:r>
      <w:r>
        <w:rPr>
          <w:rFonts w:ascii="Calibri" w:hAnsi="Calibri" w:cs="Calibri" w:eastAsia="Calibri"/>
          <w:b/>
          <w:i/>
          <w:color w:val="auto"/>
          <w:spacing w:val="0"/>
          <w:position w:val="0"/>
          <w:sz w:val="24"/>
          <w:shd w:fill="FFFF00" w:val="clear"/>
        </w:rPr>
        <w:t xml:space="preserve">Strongyloides </w:t>
      </w:r>
      <w:r>
        <w:rPr>
          <w:rFonts w:ascii="Calibri" w:hAnsi="Calibri" w:cs="Calibri" w:eastAsia="Calibri"/>
          <w:b/>
          <w:color w:val="auto"/>
          <w:spacing w:val="0"/>
          <w:position w:val="0"/>
          <w:sz w:val="24"/>
          <w:shd w:fill="FFFF00" w:val="clear"/>
        </w:rPr>
        <w:t xml:space="preserve">for microinjection: morning of the injection 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4.1. Set up the Baermann apparatus with 1 fecal-charcoal plate of young adult </w:t>
      </w:r>
      <w:r>
        <w:rPr>
          <w:rFonts w:ascii="Calibri" w:hAnsi="Calibri" w:cs="Calibri" w:eastAsia="Calibri"/>
          <w:i/>
          <w:color w:val="auto"/>
          <w:spacing w:val="0"/>
          <w:position w:val="0"/>
          <w:sz w:val="24"/>
          <w:shd w:fill="auto" w:val="clear"/>
        </w:rPr>
        <w:t xml:space="preserve">Strongyloides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fecal-charcoal plate may contain some infective larvae. Personal protective equipment consists of a lab coat, gloves, and eye protection. No skin should be exposed between the glove and the sleeve of the lab coat.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Install a glass funnel with rubber collection tubing on a ring stand using an O-ring and secure it with a clamp. Close the collection tubing with 2 pinch clamps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Place a catch bucket under the funnel to catch drips.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Add warm (approximately 40 &amp;#176;C) water to the funnel to 5 cm below the rim. Verify that the system is not leaking.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Line the Baermann holder, a sieve made from 2 plastic rings with 2 layers of nylon tulle netting secured between them, with 3 overlapping pieces of lab tissue. Add the fecal-charcoal mixture to the Baermann holder (</w:t>
      </w:r>
      <w:r>
        <w:rPr>
          <w:rFonts w:ascii="Calibri" w:hAnsi="Calibri" w:cs="Calibri" w:eastAsia="Calibri"/>
          <w:b/>
          <w:color w:val="auto"/>
          <w:spacing w:val="0"/>
          <w:position w:val="0"/>
          <w:sz w:val="24"/>
          <w:shd w:fill="FFFF00" w:val="clear"/>
        </w:rPr>
        <w:t xml:space="preserve">Figure 2B,C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Place the Baermann holder with the fecal-charcoal mixture in the funnel. Fold the tissues around the fecal-charcoal mix and add enough water to submerge most of the fecal-charcoal. Do not fill above 2 cm from the rim of the funnel (</w:t>
      </w:r>
      <w:r>
        <w:rPr>
          <w:rFonts w:ascii="Calibri" w:hAnsi="Calibri" w:cs="Calibri" w:eastAsia="Calibri"/>
          <w:b/>
          <w:color w:val="auto"/>
          <w:spacing w:val="0"/>
          <w:position w:val="0"/>
          <w:sz w:val="24"/>
          <w:shd w:fill="FFFF00" w:val="clear"/>
        </w:rPr>
        <w:t xml:space="preserve">Figure 2D,E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Top the funnel with a 15 cm plastic Petri dish lid to contain the odor. Label the funnel as needed (</w:t>
      </w:r>
      <w:r>
        <w:rPr>
          <w:rFonts w:ascii="Calibri" w:hAnsi="Calibri" w:cs="Calibri" w:eastAsia="Calibri"/>
          <w:b/>
          <w:color w:val="auto"/>
          <w:spacing w:val="0"/>
          <w:position w:val="0"/>
          <w:sz w:val="24"/>
          <w:shd w:fill="FFFF00" w:val="clear"/>
        </w:rPr>
        <w:t xml:space="preserve">Figure 2F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Wait 30 min to 1 h to collect the worms from the Baermann apparatus.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Hold a 50 mL centrifuge tube under the rubber tubing at the bottom of the funnel. Carefully open the clamps at the bottom to dispense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40 mL of water containing worms into the 50 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 Transfer 15 mL of the Baermann water containing the worms to a 15 mL centrifuge tube. Spin the 15 mL centrifuge tube for 1 min at ~750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(slow). Alternatively, allow the worms to gravity settle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Remove the supernatant to ~2 mL and discard the supernatant into a waste liquid container with iodine to kill any worms.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Add more Baermann water to the 15 mL collection tube and repeat the spin. Remove the supernatant to ~2 mL and discard as in step 4.11.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Repeat steps 4.11 and 4.12 until all the worms are collected in the 15 mL centrifuge tube. After the final spin, remove as much water as possible.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 Inspect the pellet of worms (40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&amp;#181;L) at the bottom of the tube. If no worms are visible, wait for another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h and try collecting more worms from the Baermann apparatus.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4.15. Transfer the worms in as little water as possible to a 6 cm 2% NGM plate with a lawn of </w:t>
      </w:r>
      <w:r>
        <w:rPr>
          <w:rFonts w:ascii="Calibri" w:hAnsi="Calibri" w:cs="Calibri" w:eastAsia="Calibri"/>
          <w:i/>
          <w:color w:val="auto"/>
          <w:spacing w:val="0"/>
          <w:position w:val="0"/>
          <w:sz w:val="24"/>
          <w:shd w:fill="FFFF00" w:val="clear"/>
        </w:rPr>
        <w:t xml:space="preserve">E. coli</w:t>
      </w:r>
      <w:r>
        <w:rPr>
          <w:rFonts w:ascii="Calibri" w:hAnsi="Calibri" w:cs="Calibri" w:eastAsia="Calibri"/>
          <w:color w:val="auto"/>
          <w:spacing w:val="0"/>
          <w:position w:val="0"/>
          <w:sz w:val="24"/>
          <w:shd w:fill="FFFF00" w:val="clear"/>
        </w:rPr>
        <w:t xml:space="preserve"> HB101. Use this plate as the </w:t>
      </w:r>
      <w:r>
        <w:rPr>
          <w:rFonts w:ascii="Calibri" w:hAnsi="Calibri" w:cs="Calibri" w:eastAsia="Calibri"/>
          <w:b/>
          <w:color w:val="auto"/>
          <w:spacing w:val="0"/>
          <w:position w:val="0"/>
          <w:sz w:val="24"/>
          <w:shd w:fill="FFFF00" w:val="clear"/>
        </w:rPr>
        <w:t xml:space="preserve">source plate</w:t>
      </w:r>
      <w:r>
        <w:rPr>
          <w:rFonts w:ascii="Calibri" w:hAnsi="Calibri" w:cs="Calibri" w:eastAsia="Calibri"/>
          <w:color w:val="auto"/>
          <w:spacing w:val="0"/>
          <w:position w:val="0"/>
          <w:sz w:val="24"/>
          <w:shd w:fill="FFFF00" w:val="clear"/>
        </w:rPr>
        <w:t xml:space="preserve"> for the microinjection.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Discard the fecal-charcoal mix by treating it with diluted iodine (a 50% dilution of Lugol’s iodine in water), wrapping it in plastic film to catch drips, and placing it in a biohazard waste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 Add 10 mL of diluted iodine to the catch bucket and drain the excess water from the Baermann into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 Wash the reusable components (the funnel, the catch bucket, the plastic holder with tulle, the plastic lid, and the clamps) with 10% bleach and rinse thoroughly.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Pulling and loading microinjection needles: just before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Prepare microinjection needles by pulling glass capillary tubes using a needle puller.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Example settings for a commercial needle puller equipped with a 3 mm platinum/iridium filament are Heat = 810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820, Pull = 800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820, micrometer = 2.5.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View the tips under a dissecting microscope. If the needles have the desired shape (</w:t>
      </w:r>
      <w:r>
        <w:rPr>
          <w:rFonts w:ascii="Calibri" w:hAnsi="Calibri" w:cs="Calibri" w:eastAsia="Calibri"/>
          <w:b/>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pull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needles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capillary tubes). To achieve the proper needle shape, change the settings as needed: adjust the Heat or Pull settings by 10 and pull new needles until the shape of the taper and shaft are more appropriate.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Store the pulled needles in a 15 cm plastic Petri dish with a piece of rolled tape to secure the needles and to avoid dust accumulation on the tips.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Place a 0.7 &amp;#181;L drop of the microinjection mix on the open end of the shaft. Hang the needle perpendicular to a shelf using a rolled piece of tape to fill the tapered shaft with the mix within 10 min. Prepare 2 needles at a time in case the first does not work.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6. Preparing the microscope and breaking the needle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Microinjection uses an inverted microscope with 5x and 40x objectives equipped with a microinjector setup to control the movement of the needle. The inverted microscope should be placed on a heavy table or anti-vibration air table to reduce vibrational noise. The microinjector needle holder is connected to nitrogen gas that applies the pressure needed to deliver the microinjection mix. A smaller dissecting microscope nearby is used to transfer the worms.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Set the gas tank pressure to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psi for breaking the needle and to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psi for microinjecting, depending on liquid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On the dissecting microscope, cover the shard of glass on the microinjection pad coverslip with halocarbon oil using a standard platinum worm pick.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Place the microinjection pad coverslip on the microinjection scope and locate the shard of glass covered in oil. Align the glass shard such that an edge is perpendicular to the direction of the needle to serve as the surface used to break the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Verify that the needle has no bubbles or debris in the tapered shaft using the dissecting microscope. Then, secure the needle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cm into the pressurized holder.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6.5. Position the tip of the needle in the center of the microscope field of view by eye. Then under low magnification, position the tip of the needle in the field of view, perpendicular to the side of the glass shard.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 Switch to high power and align the tip of the needle with the edge of the glass, near but not touching it.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pulled, the needles are fused closed.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 To break the tip of the needle to allow liquid flow, gently tap it on the side of the piece of glass while applying continuous pressure from the gas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Once the liquid begins to flow, check the shape of the tip and ensure that it is sharp with easily flowing liquid.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liquid is flowing too fast or the end is too blunt, the worms will be damaged during microinjection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6.8. When the liquid is flowing well from the needle, move the microinjection slide to the dissecting scope and place drops of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&amp;#181;L halocarbon oil on the agar pad for placement of the worms.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6.9. Transfer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young adult </w:t>
      </w:r>
      <w:r>
        <w:rPr>
          <w:rFonts w:ascii="Calibri" w:hAnsi="Calibri" w:cs="Calibri" w:eastAsia="Calibri"/>
          <w:i/>
          <w:color w:val="auto"/>
          <w:spacing w:val="0"/>
          <w:position w:val="0"/>
          <w:sz w:val="24"/>
          <w:shd w:fill="FFFF00" w:val="clear"/>
        </w:rPr>
        <w:t xml:space="preserve">Strongyloides</w:t>
      </w:r>
      <w:r>
        <w:rPr>
          <w:rFonts w:ascii="Calibri" w:hAnsi="Calibri" w:cs="Calibri" w:eastAsia="Calibri"/>
          <w:color w:val="auto"/>
          <w:spacing w:val="0"/>
          <w:position w:val="0"/>
          <w:sz w:val="24"/>
          <w:shd w:fill="FFFF00" w:val="clear"/>
        </w:rPr>
        <w:t xml:space="preserve"> to a 2% NGM plate without bacteria for at least 5 min to remove excess surface bacteria and select single worms for microinjection. Add more worms to the NGM plate as needed while injecting.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Microinjecting </w:t>
      </w:r>
      <w:r>
        <w:rPr>
          <w:rFonts w:ascii="Calibri" w:hAnsi="Calibri" w:cs="Calibri" w:eastAsia="Calibri"/>
          <w:b/>
          <w:i/>
          <w:color w:val="auto"/>
          <w:spacing w:val="0"/>
          <w:position w:val="0"/>
          <w:sz w:val="24"/>
          <w:shd w:fill="FFFF00" w:val="clear"/>
        </w:rPr>
        <w:t xml:space="preserve">Strongyloides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Use a small amount of halocarbon oil on a worm pick to select a </w:t>
      </w:r>
      <w:r>
        <w:rPr>
          <w:rFonts w:ascii="Calibri" w:hAnsi="Calibri" w:cs="Calibri" w:eastAsia="Calibri"/>
          <w:i/>
          <w:color w:val="auto"/>
          <w:spacing w:val="0"/>
          <w:position w:val="0"/>
          <w:sz w:val="24"/>
          <w:shd w:fill="FFFF00" w:val="clear"/>
        </w:rPr>
        <w:t xml:space="preserve">Strongyloides</w:t>
      </w:r>
      <w:r>
        <w:rPr>
          <w:rFonts w:ascii="Calibri" w:hAnsi="Calibri" w:cs="Calibri" w:eastAsia="Calibri"/>
          <w:color w:val="auto"/>
          <w:spacing w:val="0"/>
          <w:position w:val="0"/>
          <w:sz w:val="24"/>
          <w:shd w:fill="FFFF00" w:val="clear"/>
        </w:rPr>
        <w:t xml:space="preserve"> young adult female with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eggs in her gonad from the 2% NGM plate without bacteria.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Transfer the worm into a tiny drop of oil on the agar pad. Using the worm pick, gently position the worm so it is not coiled and the gonad is visible and easy to access. Note the direction of the gonad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Position the worm in the microinjection microscope field of view. Ensure the gonad is on the same side as the needle and positioned so that the needle will contact the gonad at a slight angle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3H,I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 Bring the tip of the needle to the side of the worm in the same focal plane. Aim for the gonad arm near the middle of the worm. Use the microinjector to insert the needle gently into the gonad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 Immediately apply pressure to the needle to gently fill the entire gonad arm with the DNA solution. Determine by eye when enough fluid has been injected (</w:t>
      </w:r>
      <w:r>
        <w:rPr>
          <w:rFonts w:ascii="Calibri" w:hAnsi="Calibri" w:cs="Calibri" w:eastAsia="Calibri"/>
          <w:b/>
          <w:color w:val="auto"/>
          <w:spacing w:val="0"/>
          <w:position w:val="0"/>
          <w:sz w:val="24"/>
          <w:shd w:fill="FFFF00" w:val="clear"/>
        </w:rPr>
        <w:t xml:space="preserve">Video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It may take up to 2 s to fill the gonad.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 Remove the needle and check to determine that the wound closes.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worm is too damaged to produce progeny if the gonad protrudes through the body wall (</w:t>
      </w:r>
      <w:r>
        <w:rPr>
          <w:rFonts w:ascii="Calibri" w:hAnsi="Calibri" w:cs="Calibri" w:eastAsia="Calibri"/>
          <w:b/>
          <w:color w:val="auto"/>
          <w:spacing w:val="0"/>
          <w:position w:val="0"/>
          <w:sz w:val="24"/>
          <w:shd w:fill="auto" w:val="clear"/>
        </w:rPr>
        <w:t xml:space="preserve">Supplemental Video S1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 Repeat with the other arm of the gonad if it is visible.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 When finished injecting, quickly verify the needle is not clogged by applying pressure with the tip of the needle on the agar pad. Transfer the slide with the injected worm to the dissecting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7.9. To recover the injected worm, first place a few drops of BU on the worm to float it off the agar pad.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7.10. Collect a small amount of HB101 bacteria on a worm pick. Touch the worm with the adherent bacteria on the worm pick to remove it from the liquid.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7.11. Gently transfer the worm to the </w:t>
      </w:r>
      <w:r>
        <w:rPr>
          <w:rFonts w:ascii="Calibri" w:hAnsi="Calibri" w:cs="Calibri" w:eastAsia="Calibri"/>
          <w:b/>
          <w:color w:val="auto"/>
          <w:spacing w:val="0"/>
          <w:position w:val="0"/>
          <w:sz w:val="24"/>
          <w:shd w:fill="FFFF00" w:val="clear"/>
        </w:rPr>
        <w:t xml:space="preserve">recovery</w:t>
      </w:r>
      <w:r>
        <w:rPr>
          <w:rFonts w:ascii="Calibri" w:hAnsi="Calibri" w:cs="Calibri" w:eastAsia="Calibri"/>
          <w:color w:val="auto"/>
          <w:spacing w:val="0"/>
          <w:position w:val="0"/>
          <w:sz w:val="24"/>
          <w:shd w:fill="FFFF00" w:val="clear"/>
        </w:rPr>
        <w:t xml:space="preserve"> plate, a 2% NGM plate containing an HB101 lawn.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worm should start crawling within minutes.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 After a few females have been injected, add some uninjected males from the source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minimum of one male for five females is a good baseline; an excess of males is preferred.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 Repeat all steps until enough females have been injected for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 Leave the adults on the recovery plate for at least 1 h post-injection to allow the worms to recover and mate.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Recovery and culturing of injected </w:t>
      </w:r>
      <w:r>
        <w:rPr>
          <w:rFonts w:ascii="Calibri" w:hAnsi="Calibri" w:cs="Calibri" w:eastAsia="Calibri"/>
          <w:b/>
          <w:i/>
          <w:color w:val="auto"/>
          <w:spacing w:val="0"/>
          <w:position w:val="0"/>
          <w:sz w:val="24"/>
          <w:shd w:fill="auto" w:val="clear"/>
        </w:rPr>
        <w:t xml:space="preserve">Strongyloides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Collect feces overnight from uninfected host animals, using the same protocol as for infected animals.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Mix the uninfected feces with a small amount of charcoal (feces to charcoal ratio of approximately 2 to 1 for these plates).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Pour a small amount of the fecal-charcoal mix into a 6 cm Petri dish lined with damp filter paper. Ensure that the mix does not touch the lid of the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Flood the recovery plate with BU. Using a pipet set at 3 &amp;#181;L, transfer the worms to the feces in the fecal-charcoal plate. Place the worms directly on the feces, not on the charcoal.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Verify that the adults are on the fecal-charcoal plate using a dissecting 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To culture the worms, place the plate in a humidified chamber,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plastic box with a tight-fitting lid lined with damp paper towels.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2 days, there will be a mix of larval stages. After 5 days, most of the larvae will have developed into iL3s; a few younger larvae will remain. After 7 days, all the larvae should be iL3s.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 Collecting and screening F</w:t>
      </w:r>
      <w:r>
        <w:rPr>
          <w:rFonts w:ascii="Calibri" w:hAnsi="Calibri" w:cs="Calibri" w:eastAsia="Calibri"/>
          <w:b/>
          <w:color w:val="auto"/>
          <w:spacing w:val="0"/>
          <w:position w:val="0"/>
          <w:sz w:val="24"/>
          <w:shd w:fill="FFFF00" w:val="clear"/>
          <w:vertAlign w:val="subscript"/>
        </w:rPr>
        <w:t xml:space="preserve">1</w:t>
      </w:r>
      <w:r>
        <w:rPr>
          <w:rFonts w:ascii="Calibri" w:hAnsi="Calibri" w:cs="Calibri" w:eastAsia="Calibri"/>
          <w:b/>
          <w:color w:val="auto"/>
          <w:spacing w:val="0"/>
          <w:position w:val="0"/>
          <w:sz w:val="24"/>
          <w:shd w:fill="FFFF00" w:val="clear"/>
        </w:rPr>
        <w:t xml:space="preserve"> larvae to recover transgenics/knockouts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Using a Baermann setup, collect the larvae from the post-injection small-scale fecal-charcoal culturing plates. To get as many larvae as possible, wait for at least 2 h before recovering the worms from the Baermann apparatus.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Concentrate the larvae in a 15 mL centrifuge tube as in steps 4.10-4.14 and transfer the larvae to a small watch glass with BU.</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 If the larvae will be used for behavioral experiments, use 2% NGM plates with a thick lawn of HB101 for screening.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9.3.1. Transfer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larvae to the HB101 lawn.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bacteria will slow the movement of the larvae.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9.3.2. Under a fluorescence dissecting microscope, identify the larvae expressing the transgene of interest. Use a worm pick to select the transgenic larvae and move them to a small watch glass with BU.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9.3.3. Use a new HB101 plate to screen another small batch of larvae. When enough larvae have been collected for experimental use, treat the HB101 plates and the excess worms with diluted iodine (50% Lugol’s iodine diluted in water) and discard them as biohazard waste. Alternatively, kill the excess worms using concentrated kennel cleaner containing alkyl benzyl ammonium chlorides.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9.3.4. Use the worms immediately or leave them in a shallow watch glass in a small amount of BU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Worms may become hypoxic if the liquid is too deep. It is possible that leaving larvae in BU overnight may affect certain behaviors; therefore, use larvae for behavioral experiments within 6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 If the larvae will be used for microscopy and not behavioral assays, then immobilize the worms by nicotine paralysis reversibly for screening.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9.4.1. Using a razor blade, score a grid onto the plastic bottom of a 10 cm chemotaxis plate</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 to make it easier to keep track of the location of the worms on the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9.4.2. Drop ~3 &amp;#181;L of larvae in BU into a square on the grid. Fill as many squares as needed. Do not use the ones near the edges of the plate, as the larvae may crawl to the sides of the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9.4.3. Add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&amp;#181;L drops of 1% nicotine in water to the worm drops.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4 min, the worms will be paralyzed.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9.4.4. Screen the worms using a fluorescence dissecting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9.4.5. Use a worm pick to transfer the transgenic larvae into a small watch glass with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mL of BU.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larvae will be paralyzed for several hours and can be easily mounted on microscope slides for microscopy. If left overnight in BU, the iL3s will recover and may be used for some assays or mammalian host infection. However, nicotine paralysis and the overnight incubation in BU may affect certain behaviors.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experiment was successful,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larvae will express the transgene and/or mutant phenotype of interest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However, transformation rates are highly variable and depend on the constructs, the health of the worms, the post-injection culturing conditions, and the skill of the experimenter. In general, a successful experiment will yield &amp;gt;15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larvae per injected female and a transformation rate of &amp;gt;3% for fluorescent markers. If the total number of living progeny averages to fewer than 10 larvae/female, then it is possible that the construct is toxic, and the transformed larvae are not surviving. Finding large numbers of fluorescent eggs but not fluorescent larvae is another indication that the injection mix may be toxic. When first learning the technique, it is recommended to use a construct that expresses well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such as </w:t>
      </w:r>
      <w:r>
        <w:rPr>
          <w:rFonts w:ascii="Calibri" w:hAnsi="Calibri" w:cs="Calibri" w:eastAsia="Calibri"/>
          <w:i/>
          <w:color w:val="auto"/>
          <w:spacing w:val="0"/>
          <w:position w:val="0"/>
          <w:sz w:val="24"/>
          <w:shd w:fill="auto" w:val="clear"/>
        </w:rPr>
        <w:t xml:space="preserve">act-2::mRFPmars,</w:t>
      </w:r>
      <w:r>
        <w:rPr>
          <w:rFonts w:ascii="Calibri" w:hAnsi="Calibri" w:cs="Calibri" w:eastAsia="Calibri"/>
          <w:color w:val="auto"/>
          <w:spacing w:val="0"/>
          <w:position w:val="0"/>
          <w:sz w:val="24"/>
          <w:shd w:fill="auto" w:val="clear"/>
        </w:rPr>
        <w:t xml:space="preserve"> which drives robust expression in body wall muscle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generating mutants by CRISPR/Cas9-mediated targeted mutagenesis, the use of a repair template containing an </w:t>
      </w:r>
      <w:r>
        <w:rPr>
          <w:rFonts w:ascii="Calibri" w:hAnsi="Calibri" w:cs="Calibri" w:eastAsia="Calibri"/>
          <w:i/>
          <w:color w:val="auto"/>
          <w:spacing w:val="0"/>
          <w:position w:val="0"/>
          <w:sz w:val="24"/>
          <w:shd w:fill="auto" w:val="clear"/>
        </w:rPr>
        <w:t xml:space="preserve">act-2::mRFPmars</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act-2::GFP</w:t>
      </w:r>
      <w:r>
        <w:rPr>
          <w:rFonts w:ascii="Calibri" w:hAnsi="Calibri" w:cs="Calibri" w:eastAsia="Calibri"/>
          <w:color w:val="auto"/>
          <w:spacing w:val="0"/>
          <w:position w:val="0"/>
          <w:sz w:val="24"/>
          <w:shd w:fill="auto" w:val="clear"/>
        </w:rPr>
        <w:t xml:space="preserve"> transgene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is recommended so that potential mutants can be identified based on fluorescence</w:t>
      </w:r>
      <w:r>
        <w:rPr>
          <w:rFonts w:ascii="Calibri" w:hAnsi="Calibri" w:cs="Calibri" w:eastAsia="Calibri"/>
          <w:color w:val="auto"/>
          <w:spacing w:val="0"/>
          <w:position w:val="0"/>
          <w:sz w:val="24"/>
          <w:shd w:fill="auto" w:val="clear"/>
          <w:vertAlign w:val="superscript"/>
        </w:rPr>
        <w:t xml:space="preserve">9,14,15</w:t>
      </w:r>
      <w:r>
        <w:rPr>
          <w:rFonts w:ascii="Calibri" w:hAnsi="Calibri" w:cs="Calibri" w:eastAsia="Calibri"/>
          <w:color w:val="auto"/>
          <w:spacing w:val="0"/>
          <w:position w:val="0"/>
          <w:sz w:val="24"/>
          <w:shd w:fill="auto" w:val="clear"/>
        </w:rPr>
        <w:t xml:space="preserve">. It is important to note that because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express transgenes from extrachromosomal arrays, fluorescent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progeny may express mRFPmars or GFP from the array alone or express mRFPmars or GFP from both the array and an integrated transgene</w:t>
      </w:r>
      <w:r>
        <w:rPr>
          <w:rFonts w:ascii="Calibri" w:hAnsi="Calibri" w:cs="Calibri" w:eastAsia="Calibri"/>
          <w:color w:val="auto"/>
          <w:spacing w:val="0"/>
          <w:position w:val="0"/>
          <w:sz w:val="24"/>
          <w:shd w:fill="auto" w:val="clear"/>
          <w:vertAlign w:val="superscript"/>
        </w:rPr>
        <w:t xml:space="preserve">3,9,16</w:t>
      </w:r>
      <w:r>
        <w:rPr>
          <w:rFonts w:ascii="Calibri" w:hAnsi="Calibri" w:cs="Calibri" w:eastAsia="Calibri"/>
          <w:color w:val="auto"/>
          <w:spacing w:val="0"/>
          <w:position w:val="0"/>
          <w:sz w:val="24"/>
          <w:shd w:fill="auto" w:val="clear"/>
        </w:rPr>
        <w:t xml:space="preserve">. It is possible to identify larvae that are more likely to have integrated transgenes based on the pattern of fluorescent expression: “patchy” expression in the body wall muscle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is more common when the transgene is not integrated into the genome, whereas consistent expression throughout the body wall muscle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often, but not always, indicates that the transgene has integrated into the genome. However, expression patterns alone cannot be used to conclusively identify mutants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some worms with consistent expression throughout the body wall muscle may not have integration events. Moreover, expression patterns cannot distinguish mutants that are homozygous from those that are heterozygous or mosaic. Thus, each worm must be PCR-genotyped</w:t>
      </w:r>
      <w:r>
        <w:rPr>
          <w:rFonts w:ascii="Calibri" w:hAnsi="Calibri" w:cs="Calibri" w:eastAsia="Calibri"/>
          <w:color w:val="auto"/>
          <w:spacing w:val="0"/>
          <w:position w:val="0"/>
          <w:sz w:val="24"/>
          <w:shd w:fill="auto" w:val="clear"/>
          <w:vertAlign w:val="superscript"/>
        </w:rPr>
        <w:t xml:space="preserve">9,14,15</w:t>
      </w:r>
      <w:r>
        <w:rPr>
          <w:rFonts w:ascii="Calibri" w:hAnsi="Calibri" w:cs="Calibri" w:eastAsia="Calibri"/>
          <w:color w:val="auto"/>
          <w:spacing w:val="0"/>
          <w:position w:val="0"/>
          <w:sz w:val="24"/>
          <w:shd w:fill="auto" w:val="clear"/>
        </w:rPr>
        <w:t xml:space="preserve">. When disrupting genes that yield easily visible phenotypes, it may not be necessary to use a repair template. For example, disruption of the </w:t>
      </w:r>
      <w:r>
        <w:rPr>
          <w:rFonts w:ascii="Calibri" w:hAnsi="Calibri" w:cs="Calibri" w:eastAsia="Calibri"/>
          <w:i/>
          <w:color w:val="auto"/>
          <w:spacing w:val="0"/>
          <w:position w:val="0"/>
          <w:sz w:val="24"/>
          <w:shd w:fill="auto" w:val="clear"/>
        </w:rPr>
        <w:t xml:space="preserve">Strongyloides unc-22</w:t>
      </w:r>
      <w:r>
        <w:rPr>
          <w:rFonts w:ascii="Calibri" w:hAnsi="Calibri" w:cs="Calibri" w:eastAsia="Calibri"/>
          <w:color w:val="auto"/>
          <w:spacing w:val="0"/>
          <w:position w:val="0"/>
          <w:sz w:val="24"/>
          <w:shd w:fill="auto" w:val="clear"/>
        </w:rPr>
        <w:t xml:space="preserve"> gene results in a dominant “twitcher” phenotype, with rates of heterozygous or homozygous disruptions above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w:t>
      </w:r>
      <w:r>
        <w:rPr>
          <w:rFonts w:ascii="Calibri" w:hAnsi="Calibri" w:cs="Calibri" w:eastAsia="Calibri"/>
          <w:b/>
          <w:i/>
          <w:color w:val="auto"/>
          <w:spacing w:val="0"/>
          <w:position w:val="0"/>
          <w:sz w:val="24"/>
          <w:shd w:fill="auto" w:val="clear"/>
        </w:rPr>
        <w:t xml:space="preserve">Strongyloides stercoralis</w:t>
      </w:r>
      <w:r>
        <w:rPr>
          <w:rFonts w:ascii="Calibri" w:hAnsi="Calibri" w:cs="Calibri" w:eastAsia="Calibri"/>
          <w:b/>
          <w:color w:val="auto"/>
          <w:spacing w:val="0"/>
          <w:position w:val="0"/>
          <w:sz w:val="24"/>
          <w:shd w:fill="auto" w:val="clear"/>
        </w:rPr>
        <w:t xml:space="preserve"> life cycle.</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parasitic females inhabit the small intestine of their mammalian hosts (humans, non-human primates, dogs). The parasitic females reproduce by parthenogenesis and lay eggs within the small intestine. The eggs hatch while still inside the host into post-parasitic larvae, which are then passed into the environment with feces. If the post-parasitic larvae are male, they develop into free-living adult males. If the post-parasitic larvae are female, they can either develop into free-living adult females (indirect development) or third-stage infective larvae (iL3s; direct development). The free-living males and females reproduce sexually to create progeny that are constrained to become iL3s. Under certain conditions,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can also undergo autoinfection, in which some of the post-parasitic larvae remain inside the host intestine rather than passing into the environment in feces. These larvae can develop into autoinfective larvae (L3a) inside the host, penetrate through the intestinal wall, migrate through the body, and eventually return to the intestine to become reproductive adults. The life cycle of </w:t>
      </w:r>
      <w:r>
        <w:rPr>
          <w:rFonts w:ascii="Calibri" w:hAnsi="Calibri" w:cs="Calibri" w:eastAsia="Calibri"/>
          <w:i/>
          <w:color w:val="auto"/>
          <w:spacing w:val="0"/>
          <w:position w:val="0"/>
          <w:sz w:val="24"/>
          <w:shd w:fill="auto" w:val="clear"/>
        </w:rPr>
        <w:t xml:space="preserve">S. ratti</w:t>
      </w:r>
      <w:r>
        <w:rPr>
          <w:rFonts w:ascii="Calibri" w:hAnsi="Calibri" w:cs="Calibri" w:eastAsia="Calibri"/>
          <w:color w:val="auto"/>
          <w:spacing w:val="0"/>
          <w:position w:val="0"/>
          <w:sz w:val="24"/>
          <w:shd w:fill="auto" w:val="clear"/>
        </w:rPr>
        <w:t xml:space="preserve"> is similar, except that </w:t>
      </w:r>
      <w:r>
        <w:rPr>
          <w:rFonts w:ascii="Calibri" w:hAnsi="Calibri" w:cs="Calibri" w:eastAsia="Calibri"/>
          <w:i/>
          <w:color w:val="auto"/>
          <w:spacing w:val="0"/>
          <w:position w:val="0"/>
          <w:sz w:val="24"/>
          <w:shd w:fill="auto" w:val="clear"/>
        </w:rPr>
        <w:t xml:space="preserve">S. ratti</w:t>
      </w:r>
      <w:r>
        <w:rPr>
          <w:rFonts w:ascii="Calibri" w:hAnsi="Calibri" w:cs="Calibri" w:eastAsia="Calibri"/>
          <w:color w:val="auto"/>
          <w:spacing w:val="0"/>
          <w:position w:val="0"/>
          <w:sz w:val="24"/>
          <w:shd w:fill="auto" w:val="clear"/>
        </w:rPr>
        <w:t xml:space="preserve"> infects rats and does not have an autoinfective cycle. The environmental generation is key to using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species for genetic studies. The free-living adult females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can be microinjected; their progeny, which will all become iL3s, are the potential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transgenics. This figure has been modified from Castelletto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Figure 2: The Baermann apparatus used to collect parasitic worms from cultures</w:t>
      </w:r>
      <w:r>
        <w:rPr>
          <w:rFonts w:ascii="Calibri" w:hAnsi="Calibri" w:cs="Calibri" w:eastAsia="Calibri"/>
          <w:b/>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contents of a fecal-charcoal plate are placed at the top of a column of warm water. The worms migrate into the water and collect at the bottom of the funnel.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 set up the Baermann apparatus, the stand for the Baermann funnel is clamped to the bench with a C-clamp. A rubber tube attached to the end of the funnel is closed with pinch clamps, and a catch bucket is placed underneath the tube for drips. Warm water is added to the glass funnel.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plastic ring holder for the fecal-charcoal mix is then lined with 3 pieces of laboratory tissues (left). A wooden stick or tongue depressor (middle) is used to transfer the contents of a fecal-charcoal plate (right) into the plastic ring holder.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close-up of the bottom of the plastic ring holder for the fecal-charcoal mix, showing the double layer of nylon tulle lining the bottom of the holder.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fecal-charcoal holder is then placed on the top of the glass funnel.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laboratory tissue is dampened with water and closed over the fecal-charcoal mix. More warm water is added to mostly submerge the fecal-charcoal.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complete Baermann setup, with the fecal-charcoal culture submerged under warm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Microinjection needles and a </w:t>
      </w:r>
      <w:r>
        <w:rPr>
          <w:rFonts w:ascii="Calibri" w:hAnsi="Calibri" w:cs="Calibri" w:eastAsia="Calibri"/>
          <w:b/>
          <w:i/>
          <w:color w:val="auto"/>
          <w:spacing w:val="0"/>
          <w:position w:val="0"/>
          <w:sz w:val="24"/>
          <w:shd w:fill="auto" w:val="clear"/>
        </w:rPr>
        <w:t xml:space="preserve">Strongyloides stercoralis</w:t>
      </w:r>
      <w:r>
        <w:rPr>
          <w:rFonts w:ascii="Calibri" w:hAnsi="Calibri" w:cs="Calibri" w:eastAsia="Calibri"/>
          <w:b/>
          <w:color w:val="auto"/>
          <w:spacing w:val="0"/>
          <w:position w:val="0"/>
          <w:sz w:val="24"/>
          <w:shd w:fill="auto" w:val="clear"/>
        </w:rPr>
        <w:t xml:space="preserve"> adult female with optimal sites for microinjection identified.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Images of microinjection needles. The shaft taper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the tip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of a needle that is correctly shaped for microinjection. The tip is sharp enough to pierce the cuticle and narrow enough not to cause excessive damage. The shaft taper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the tip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of a microinjection needle that are incorrectly shaped for microinjecting.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 a higher magnification image of the tip of the needle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tip is too blunt and wide and will cause excessive damage to the worm. The shaft taper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the tip</w:t>
      </w:r>
      <w:r>
        <w:rPr>
          <w:rFonts w:ascii="Calibri" w:hAnsi="Calibri" w:cs="Calibri" w:eastAsia="Calibri"/>
          <w:b/>
          <w:color w:val="auto"/>
          <w:spacing w:val="0"/>
          <w:position w:val="0"/>
          <w:sz w:val="24"/>
          <w:shd w:fill="auto" w:val="clear"/>
        </w:rPr>
        <w:t xml:space="preserve"> (F)</w:t>
      </w:r>
      <w:r>
        <w:rPr>
          <w:rFonts w:ascii="Calibri" w:hAnsi="Calibri" w:cs="Calibri" w:eastAsia="Calibri"/>
          <w:color w:val="auto"/>
          <w:spacing w:val="0"/>
          <w:position w:val="0"/>
          <w:sz w:val="24"/>
          <w:shd w:fill="auto" w:val="clear"/>
        </w:rPr>
        <w:t xml:space="preserve"> of a needle that are likely to be too long and slender to work for microinjection. The tip in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is very similar to the tip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However, the shaft is narrower and too flexible to effectively pierce the cuticle. In addition, very slender needles clog easily.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 image of the whole worm correctly positioned for microinjection, assuming the needle is coming in from the right. Anterior is down and to the left; the vulva is indicated by the arrowhead. The gonad is visible along the right side of the female. This female has only one egg in her uterus (indicated by the asterisk). (</w:t>
      </w:r>
      <w:r>
        <w:rPr>
          <w:rFonts w:ascii="Calibri" w:hAnsi="Calibri" w:cs="Calibri" w:eastAsia="Calibri"/>
          <w:b/>
          <w:color w:val="auto"/>
          <w:spacing w:val="0"/>
          <w:position w:val="0"/>
          <w:sz w:val="24"/>
          <w:shd w:fill="auto" w:val="clear"/>
        </w:rPr>
        <w:t xml:space="preserve">H, I</w:t>
      </w:r>
      <w:r>
        <w:rPr>
          <w:rFonts w:ascii="Calibri" w:hAnsi="Calibri" w:cs="Calibri" w:eastAsia="Calibri"/>
          <w:color w:val="auto"/>
          <w:spacing w:val="0"/>
          <w:position w:val="0"/>
          <w:sz w:val="24"/>
          <w:shd w:fill="auto" w:val="clear"/>
        </w:rPr>
        <w:t xml:space="preserve">) Magnified views of the microinjection sites. The angle of the arrow approximates the angle of the injection needle. The vulva can be used as a landmark; it is on the opposite side of the worm from the arms of the gonad. The arms of the gonad curve around the intestine, and the ends with the dividing nuclei are opposite the vulva.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The posterior arm of the gonad;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the anterior arm. Either or both arms can be injected. For </w:t>
      </w:r>
      <w:r>
        <w:rPr>
          <w:rFonts w:ascii="Calibri" w:hAnsi="Calibri" w:cs="Calibri" w:eastAsia="Calibri"/>
          <w:b/>
          <w:color w:val="auto"/>
          <w:spacing w:val="0"/>
          <w:position w:val="0"/>
          <w:sz w:val="24"/>
          <w:shd w:fill="auto" w:val="clear"/>
        </w:rPr>
        <w:t xml:space="preserve">H, I</w:t>
      </w:r>
      <w:r>
        <w:rPr>
          <w:rFonts w:ascii="Calibri" w:hAnsi="Calibri" w:cs="Calibri" w:eastAsia="Calibri"/>
          <w:color w:val="auto"/>
          <w:spacing w:val="0"/>
          <w:position w:val="0"/>
          <w:sz w:val="24"/>
          <w:shd w:fill="auto" w:val="clear"/>
        </w:rPr>
        <w:t xml:space="preserve">, conventions are as in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Scale bars = 50 &amp;#181;m (</w:t>
      </w:r>
      <w:r>
        <w:rPr>
          <w:rFonts w:ascii="Calibri" w:hAnsi="Calibri" w:cs="Calibri" w:eastAsia="Calibri"/>
          <w:b/>
          <w:color w:val="auto"/>
          <w:spacing w:val="0"/>
          <w:position w:val="0"/>
          <w:sz w:val="24"/>
          <w:shd w:fill="auto" w:val="clear"/>
        </w:rPr>
        <w:t xml:space="preserve">B, D, F, H, I</w:t>
      </w:r>
      <w:r>
        <w:rPr>
          <w:rFonts w:ascii="Calibri" w:hAnsi="Calibri" w:cs="Calibri" w:eastAsia="Calibri"/>
          <w:color w:val="auto"/>
          <w:spacing w:val="0"/>
          <w:position w:val="0"/>
          <w:sz w:val="24"/>
          <w:shd w:fill="auto" w:val="clear"/>
        </w:rPr>
        <w:t xml:space="preserve">); 100 &amp;#181;m (</w:t>
      </w:r>
      <w:r>
        <w:rPr>
          <w:rFonts w:ascii="Calibri" w:hAnsi="Calibri" w:cs="Calibri" w:eastAsia="Calibri"/>
          <w:b/>
          <w:color w:val="auto"/>
          <w:spacing w:val="0"/>
          <w:position w:val="0"/>
          <w:sz w:val="24"/>
          <w:shd w:fill="auto" w:val="clear"/>
        </w:rPr>
        <w:t xml:space="preserve">A, C, E, 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Transgenic </w:t>
      </w:r>
      <w:r>
        <w:rPr>
          <w:rFonts w:ascii="Calibri" w:hAnsi="Calibri" w:cs="Calibri" w:eastAsia="Calibri"/>
          <w:b/>
          <w:i/>
          <w:color w:val="auto"/>
          <w:spacing w:val="0"/>
          <w:position w:val="0"/>
          <w:sz w:val="24"/>
          <w:shd w:fill="auto" w:val="clear"/>
        </w:rPr>
        <w:t xml:space="preserve">Strongyloides stercoralis</w:t>
      </w:r>
      <w:r>
        <w:rPr>
          <w:rFonts w:ascii="Calibri" w:hAnsi="Calibri" w:cs="Calibri" w:eastAsia="Calibri"/>
          <w:b/>
          <w:color w:val="auto"/>
          <w:spacing w:val="0"/>
          <w:position w:val="0"/>
          <w:sz w:val="24"/>
          <w:shd w:fill="auto" w:val="clear"/>
        </w:rPr>
        <w:t xml:space="preserve"> larvae.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larvae expressing an </w:t>
      </w:r>
      <w:r>
        <w:rPr>
          <w:rFonts w:ascii="Calibri" w:hAnsi="Calibri" w:cs="Calibri" w:eastAsia="Calibri"/>
          <w:i/>
          <w:color w:val="auto"/>
          <w:spacing w:val="0"/>
          <w:position w:val="0"/>
          <w:sz w:val="24"/>
          <w:shd w:fill="auto" w:val="clear"/>
        </w:rPr>
        <w:t xml:space="preserve">act-2::mRFPmars</w:t>
      </w:r>
      <w:r>
        <w:rPr>
          <w:rFonts w:ascii="Calibri" w:hAnsi="Calibri" w:cs="Calibri" w:eastAsia="Calibri"/>
          <w:color w:val="auto"/>
          <w:spacing w:val="0"/>
          <w:position w:val="0"/>
          <w:sz w:val="24"/>
          <w:shd w:fill="auto" w:val="clear"/>
        </w:rPr>
        <w:t xml:space="preserve"> transgene, which expresses in the body wall muscle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transgene was incorporated into a repair template for CRISPR/Cas9-mediated disruption of the </w:t>
      </w:r>
      <w:r>
        <w:rPr>
          <w:rFonts w:ascii="Calibri" w:hAnsi="Calibri" w:cs="Calibri" w:eastAsia="Calibri"/>
          <w:i/>
          <w:color w:val="auto"/>
          <w:spacing w:val="0"/>
          <w:position w:val="0"/>
          <w:sz w:val="24"/>
          <w:shd w:fill="auto" w:val="clear"/>
        </w:rPr>
        <w:t xml:space="preserve">Ss-unc-22</w:t>
      </w:r>
      <w:r>
        <w:rPr>
          <w:rFonts w:ascii="Calibri" w:hAnsi="Calibri" w:cs="Calibri" w:eastAsia="Calibri"/>
          <w:color w:val="auto"/>
          <w:spacing w:val="0"/>
          <w:position w:val="0"/>
          <w:sz w:val="24"/>
          <w:shd w:fill="auto" w:val="clear"/>
        </w:rPr>
        <w:t xml:space="preserve"> locus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larva with an incomplete, or “patchy,” </w:t>
      </w:r>
      <w:r>
        <w:rPr>
          <w:rFonts w:ascii="Calibri" w:hAnsi="Calibri" w:cs="Calibri" w:eastAsia="Calibri"/>
          <w:i/>
          <w:color w:val="auto"/>
          <w:spacing w:val="0"/>
          <w:position w:val="0"/>
          <w:sz w:val="24"/>
          <w:shd w:fill="auto" w:val="clear"/>
        </w:rPr>
        <w:t xml:space="preserve">act-2::mRFPmars</w:t>
      </w:r>
      <w:r>
        <w:rPr>
          <w:rFonts w:ascii="Calibri" w:hAnsi="Calibri" w:cs="Calibri" w:eastAsia="Calibri"/>
          <w:color w:val="auto"/>
          <w:spacing w:val="0"/>
          <w:position w:val="0"/>
          <w:sz w:val="24"/>
          <w:shd w:fill="auto" w:val="clear"/>
        </w:rPr>
        <w:t xml:space="preserve"> expression pattern that may indicate expression from an extrachromosomal array.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iL3 expressing the more complete </w:t>
      </w:r>
      <w:r>
        <w:rPr>
          <w:rFonts w:ascii="Calibri" w:hAnsi="Calibri" w:cs="Calibri" w:eastAsia="Calibri"/>
          <w:i/>
          <w:color w:val="auto"/>
          <w:spacing w:val="0"/>
          <w:position w:val="0"/>
          <w:sz w:val="24"/>
          <w:shd w:fill="auto" w:val="clear"/>
        </w:rPr>
        <w:t xml:space="preserve">act-2::mRFPmars</w:t>
      </w:r>
      <w:r>
        <w:rPr>
          <w:rFonts w:ascii="Calibri" w:hAnsi="Calibri" w:cs="Calibri" w:eastAsia="Calibri"/>
          <w:color w:val="auto"/>
          <w:spacing w:val="0"/>
          <w:position w:val="0"/>
          <w:sz w:val="24"/>
          <w:shd w:fill="auto" w:val="clear"/>
        </w:rPr>
        <w:t xml:space="preserve"> expression pattern that may indicate gene disruption and integration of the repair template. For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panels show differential interference contrast (left), fluorescent (middle), and merged (right) images. Scale bars = 50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Demonstration of the needle-breaking process to make a useable needle.</w:t>
      </w:r>
      <w:r>
        <w:rPr>
          <w:rFonts w:ascii="Calibri" w:hAnsi="Calibri" w:cs="Calibri" w:eastAsia="Calibri"/>
          <w:color w:val="auto"/>
          <w:spacing w:val="0"/>
          <w:position w:val="0"/>
          <w:sz w:val="24"/>
          <w:shd w:fill="auto" w:val="clear"/>
        </w:rPr>
        <w:t xml:space="preserve"> The tip of the needle is tapped against the edge of a glass shard (object on far left). When liquid emerges, the needle is pulled back and moved down onto the agar. The needle tip comes to a sharp point, and liquid flows moderately fast.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2: Demonstration of a successful injection.</w:t>
      </w:r>
      <w:r>
        <w:rPr>
          <w:rFonts w:ascii="Calibri" w:hAnsi="Calibri" w:cs="Calibri" w:eastAsia="Calibri"/>
          <w:color w:val="auto"/>
          <w:spacing w:val="0"/>
          <w:position w:val="0"/>
          <w:sz w:val="24"/>
          <w:shd w:fill="auto" w:val="clear"/>
        </w:rPr>
        <w:t xml:space="preserve"> The posterior arm of the gonad is visible as a light gray structure on the right. The tip of the needle and the gonad must be in the same focal plane. If the needle slides over or under the worm or along the body without catching, adjust the position. The tip of the needle will slightly indent the body wall. A quick tap on the needle holder attached to the micromanipulator will gently push the tip through the body wall and into the gonad. Once the needle is inside the gonad, apply pressure and inject the DNA solution. The liquid should visibly flood the gonad. If the wound closes when the tip of the needle is removed, the worm is likely to survive.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Examples of microinjection mixes.</w:t>
      </w:r>
      <w:r>
        <w:rPr>
          <w:rFonts w:ascii="Calibri" w:hAnsi="Calibri" w:cs="Calibri" w:eastAsia="Calibri"/>
          <w:color w:val="auto"/>
          <w:spacing w:val="0"/>
          <w:position w:val="0"/>
          <w:sz w:val="24"/>
          <w:shd w:fill="auto" w:val="clear"/>
        </w:rPr>
        <w:t xml:space="preserve"> The plasmids and concentrations for three example microinjection mixes: one for a </w:t>
      </w:r>
      <w:r>
        <w:rPr>
          <w:rFonts w:ascii="Calibri" w:hAnsi="Calibri" w:cs="Calibri" w:eastAsia="Calibri"/>
          <w:i/>
          <w:color w:val="auto"/>
          <w:spacing w:val="0"/>
          <w:position w:val="0"/>
          <w:sz w:val="24"/>
          <w:shd w:fill="auto" w:val="clear"/>
        </w:rPr>
        <w:t xml:space="preserve">gpa-3::GFP</w:t>
      </w:r>
      <w:r>
        <w:rPr>
          <w:rFonts w:ascii="Calibri" w:hAnsi="Calibri" w:cs="Calibri" w:eastAsia="Calibri"/>
          <w:color w:val="auto"/>
          <w:spacing w:val="0"/>
          <w:position w:val="0"/>
          <w:sz w:val="24"/>
          <w:shd w:fill="auto" w:val="clear"/>
        </w:rPr>
        <w:t xml:space="preserve"> reporter construct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one for CRISPR/Cas9-mediated disruption of the </w:t>
      </w:r>
      <w:r>
        <w:rPr>
          <w:rFonts w:ascii="Calibri" w:hAnsi="Calibri" w:cs="Calibri" w:eastAsia="Calibri"/>
          <w:i/>
          <w:color w:val="auto"/>
          <w:spacing w:val="0"/>
          <w:position w:val="0"/>
          <w:sz w:val="24"/>
          <w:shd w:fill="auto" w:val="clear"/>
        </w:rPr>
        <w:t xml:space="preserve">Ss-tax-4</w:t>
      </w:r>
      <w:r>
        <w:rPr>
          <w:rFonts w:ascii="Calibri" w:hAnsi="Calibri" w:cs="Calibri" w:eastAsia="Calibri"/>
          <w:color w:val="auto"/>
          <w:spacing w:val="0"/>
          <w:position w:val="0"/>
          <w:sz w:val="24"/>
          <w:shd w:fill="auto" w:val="clear"/>
        </w:rPr>
        <w:t xml:space="preserve"> locus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and one for piggyBac-mediated integration of an </w:t>
      </w:r>
      <w:r>
        <w:rPr>
          <w:rFonts w:ascii="Calibri" w:hAnsi="Calibri" w:cs="Calibri" w:eastAsia="Calibri"/>
          <w:i/>
          <w:color w:val="auto"/>
          <w:spacing w:val="0"/>
          <w:position w:val="0"/>
          <w:sz w:val="24"/>
          <w:shd w:fill="auto" w:val="clear"/>
        </w:rPr>
        <w:t xml:space="preserve">Ss-gpa-3::GFP</w:t>
      </w:r>
      <w:r>
        <w:rPr>
          <w:rFonts w:ascii="Calibri" w:hAnsi="Calibri" w:cs="Calibri" w:eastAsia="Calibri"/>
          <w:color w:val="auto"/>
          <w:spacing w:val="0"/>
          <w:position w:val="0"/>
          <w:sz w:val="24"/>
          <w:shd w:fill="auto" w:val="clear"/>
        </w:rPr>
        <w:t xml:space="preserve"> construct</w:t>
      </w:r>
      <w:r>
        <w:rPr>
          <w:rFonts w:ascii="Calibri" w:hAnsi="Calibri" w:cs="Calibri" w:eastAsia="Calibri"/>
          <w:color w:val="auto"/>
          <w:spacing w:val="0"/>
          <w:position w:val="0"/>
          <w:sz w:val="24"/>
          <w:shd w:fill="auto" w:val="clear"/>
          <w:vertAlign w:val="superscript"/>
        </w:rPr>
        <w:t xml:space="preserve">13,17,18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strCas9</w:t>
      </w:r>
      <w:r>
        <w:rPr>
          <w:rFonts w:ascii="Calibri" w:hAnsi="Calibri" w:cs="Calibri" w:eastAsia="Calibri"/>
          <w:color w:val="auto"/>
          <w:spacing w:val="0"/>
          <w:position w:val="0"/>
          <w:sz w:val="24"/>
          <w:shd w:fill="auto" w:val="clear"/>
        </w:rPr>
        <w:t xml:space="preserve"> denotes the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codon-optimized Cas9 gene. The final concentrations listed are commonly used in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microinjection mixes.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Material: </w:t>
      </w:r>
      <w:r>
        <w:rPr>
          <w:rFonts w:ascii="Calibri" w:hAnsi="Calibri" w:cs="Calibri" w:eastAsia="Calibri"/>
          <w:b/>
          <w:i/>
          <w:color w:val="auto"/>
          <w:spacing w:val="0"/>
          <w:position w:val="0"/>
          <w:sz w:val="24"/>
          <w:shd w:fill="auto" w:val="clear"/>
        </w:rPr>
        <w:t xml:space="preserve">Strongyloides</w:t>
      </w:r>
      <w:r>
        <w:rPr>
          <w:rFonts w:ascii="Calibri" w:hAnsi="Calibri" w:cs="Calibri" w:eastAsia="Calibri"/>
          <w:b/>
          <w:color w:val="auto"/>
          <w:spacing w:val="0"/>
          <w:position w:val="0"/>
          <w:sz w:val="24"/>
          <w:shd w:fill="auto" w:val="clear"/>
        </w:rPr>
        <w:t xml:space="preserve"> strain maintenance. </w:t>
      </w:r>
      <w:r>
        <w:rPr>
          <w:rFonts w:ascii="Calibri" w:hAnsi="Calibri" w:cs="Calibri" w:eastAsia="Calibri"/>
          <w:color w:val="auto"/>
          <w:spacing w:val="0"/>
          <w:position w:val="0"/>
          <w:sz w:val="24"/>
          <w:shd w:fill="auto" w:val="clear"/>
        </w:rPr>
        <w:t xml:space="preserve">This protocol outlines the maintenance procedure for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in gerbils and </w:t>
      </w:r>
      <w:r>
        <w:rPr>
          <w:rFonts w:ascii="Calibri" w:hAnsi="Calibri" w:cs="Calibri" w:eastAsia="Calibri"/>
          <w:i/>
          <w:color w:val="auto"/>
          <w:spacing w:val="0"/>
          <w:position w:val="0"/>
          <w:sz w:val="24"/>
          <w:shd w:fill="auto" w:val="clear"/>
        </w:rPr>
        <w:t xml:space="preserve">S. ratti</w:t>
      </w:r>
      <w:r>
        <w:rPr>
          <w:rFonts w:ascii="Calibri" w:hAnsi="Calibri" w:cs="Calibri" w:eastAsia="Calibri"/>
          <w:color w:val="auto"/>
          <w:spacing w:val="0"/>
          <w:position w:val="0"/>
          <w:sz w:val="24"/>
          <w:shd w:fill="auto" w:val="clear"/>
        </w:rPr>
        <w:t xml:space="preserve"> in rats. It includes the infective dose used for each nematode and host. Hosts are infected via subcutaneous injections under anesthesia. The progression of infections from patency to peak larval output to loss of patency is described for each nematode-host combination. The protocol used to collect infested feces and make the fecal-charcoal cultivation plates is also described.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 An image of a microinjection slide consisting of a dried agar pad on a coverslip with a small glass shard for breaking the microinjection needle.</w:t>
      </w:r>
      <w:r>
        <w:rPr>
          <w:rFonts w:ascii="Calibri" w:hAnsi="Calibri" w:cs="Calibri" w:eastAsia="Calibri"/>
          <w:color w:val="auto"/>
          <w:spacing w:val="0"/>
          <w:position w:val="0"/>
          <w:sz w:val="24"/>
          <w:shd w:fill="auto" w:val="clear"/>
        </w:rPr>
        <w:t xml:space="preserve"> The agar outline and the shard outline are added here for clarity.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 S1: Demonstration of an injection resulting in a damaged gonad.</w:t>
      </w:r>
      <w:r>
        <w:rPr>
          <w:rFonts w:ascii="Calibri" w:hAnsi="Calibri" w:cs="Calibri" w:eastAsia="Calibri"/>
          <w:color w:val="auto"/>
          <w:spacing w:val="0"/>
          <w:position w:val="0"/>
          <w:sz w:val="24"/>
          <w:shd w:fill="auto" w:val="clear"/>
        </w:rPr>
        <w:t xml:space="preserve"> The anterior arm of the gonad is in focus. Applying slight pressure shows that the solution in the needle is still flowing out freely. The tip of the needle is in the same focal plane as the gonad and is aimed at a slight angle. Once the tip of the needle is inserted, the solution is injected into the worm and fills the gonad. However, when the needle is removed, a piece of the gonad protrudes through the wound in the cuticle. Material is visibly flowing out. This worm is unlikely to survive.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microinjection protocol details the methods for introducing constructs for transgenesis and CRISPR/Cas9-mediated mutagenesis into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 ratti. </w:t>
      </w:r>
      <w:r>
        <w:rPr>
          <w:rFonts w:ascii="Calibri" w:hAnsi="Calibri" w:cs="Calibri" w:eastAsia="Calibri"/>
          <w:color w:val="auto"/>
          <w:spacing w:val="0"/>
          <w:position w:val="0"/>
          <w:sz w:val="24"/>
          <w:shd w:fill="auto" w:val="clear"/>
        </w:rPr>
        <w:t xml:space="preserve">For both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 ratti</w:t>
      </w:r>
      <w:r>
        <w:rPr>
          <w:rFonts w:ascii="Calibri" w:hAnsi="Calibri" w:cs="Calibri" w:eastAsia="Calibri"/>
          <w:color w:val="auto"/>
          <w:spacing w:val="0"/>
          <w:position w:val="0"/>
          <w:sz w:val="24"/>
          <w:shd w:fill="auto" w:val="clear"/>
        </w:rPr>
        <w:t xml:space="preserve">, post-injection survival and the rate of transgenesis or mutagenesis are subject to several variables that can be fine-tuned.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critical consideration for successful transgenesis is how plasmid transgenes are constructed. Previous studies have found that expression of exogenous transgenes in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requires the use of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5' promoters and 3' UTR elements</w:t>
      </w:r>
      <w:r>
        <w:rPr>
          <w:rFonts w:ascii="Calibri" w:hAnsi="Calibri" w:cs="Calibri" w:eastAsia="Calibri"/>
          <w:color w:val="auto"/>
          <w:spacing w:val="0"/>
          <w:position w:val="0"/>
          <w:sz w:val="24"/>
          <w:shd w:fill="auto" w:val="clear"/>
          <w:vertAlign w:val="superscript"/>
        </w:rPr>
        <w:t xml:space="preserve">3,13,19</w:t>
      </w:r>
      <w:r>
        <w:rPr>
          <w:rFonts w:ascii="Calibri" w:hAnsi="Calibri" w:cs="Calibri" w:eastAsia="Calibri"/>
          <w:color w:val="auto"/>
          <w:spacing w:val="0"/>
          <w:position w:val="0"/>
          <w:sz w:val="24"/>
          <w:shd w:fill="auto" w:val="clear"/>
        </w:rPr>
        <w:t xml:space="preserve">. Similar to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constructs,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constructs generally use a gene-specific promoter and a common 3' UTR, such as the one from the </w:t>
      </w:r>
      <w:r>
        <w:rPr>
          <w:rFonts w:ascii="Calibri" w:hAnsi="Calibri" w:cs="Calibri" w:eastAsia="Calibri"/>
          <w:i/>
          <w:color w:val="auto"/>
          <w:spacing w:val="0"/>
          <w:position w:val="0"/>
          <w:sz w:val="24"/>
          <w:shd w:fill="auto" w:val="clear"/>
        </w:rPr>
        <w:t xml:space="preserve">Ss-era-1 </w:t>
      </w:r>
      <w:r>
        <w:rPr>
          <w:rFonts w:ascii="Calibri" w:hAnsi="Calibri" w:cs="Calibri" w:eastAsia="Calibri"/>
          <w:color w:val="auto"/>
          <w:spacing w:val="0"/>
          <w:position w:val="0"/>
          <w:sz w:val="24"/>
          <w:shd w:fill="auto" w:val="clear"/>
        </w:rPr>
        <w:t xml:space="preserve">gene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Codon-optimization of the coding region may also be important for expression in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Recently, the Wild Worm Codon Adaptor, a web-based app that codon-optimizes coding sequences for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and other nematodes, was developed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Finally, while not rigorously tested in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introns have been shown to increase expression of exogenous transgenes in both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the insect-associated nematode </w:t>
      </w:r>
      <w:r>
        <w:rPr>
          <w:rFonts w:ascii="Calibri" w:hAnsi="Calibri" w:cs="Calibri" w:eastAsia="Calibri"/>
          <w:i/>
          <w:color w:val="auto"/>
          <w:spacing w:val="0"/>
          <w:position w:val="0"/>
          <w:sz w:val="24"/>
          <w:shd w:fill="auto" w:val="clear"/>
        </w:rPr>
        <w:t xml:space="preserve">Pristionchus pacificus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are presumed to increase expression in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as well. The Wild Worm Codon Adaptor has options for including up to three introns in the modified sequence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composition and delivery of the microinjection mix affect the transgenesis rate and the survival of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progeny. BU saline is routinely used as the diluent for mixes, although using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is also an option. The concentrations and/or ratio of components in the mix can be adjusted to improve the transformation rate. Higher concentrations of the plasmids of interest can increase the rate of transgenesis but often result in fewer total progeny. If no transgene expression is observed or only dead transgenic eggs are found, it is possible that the transgenes are toxic, or that something in the plasmid stocks is causing the death of the transgenics. In the latter case, making new plasmid stocks using a different method (for example, using a different miniprep kit) may be sufficient for obtaining transgenics. Adding lipofectamine to the microinjection mix may also improve the rate of transgenesis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shape of the microinjection needle delivering the mix also affects the survival and transgenesis rates (</w:t>
      </w:r>
      <w:r>
        <w:rPr>
          <w:rFonts w:ascii="Calibri" w:hAnsi="Calibri" w:cs="Calibri" w:eastAsia="Calibri"/>
          <w:b/>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 Video S1</w:t>
      </w:r>
      <w:r>
        <w:rPr>
          <w:rFonts w:ascii="Calibri" w:hAnsi="Calibri" w:cs="Calibri" w:eastAsia="Calibri"/>
          <w:color w:val="auto"/>
          <w:spacing w:val="0"/>
          <w:position w:val="0"/>
          <w:sz w:val="24"/>
          <w:shd w:fill="auto" w:val="clear"/>
        </w:rPr>
        <w:t xml:space="preserve">). The needle must be sharp enough to penetrate the cuticle and narrow enough to not result in excessive damage. It is recommended to pull needles just before use as needles stored for more than a day may accumulate debris and become clogged during microinjections. Recovering injected females from the microinjection pad without damaging them can be accomplished with a few different methods. One technique is to float the worms off the injection pad in a drop of BU, and then use HB101 on a worm pick to collect the worms. Other techniques for recovery include floating the worms in BU and collecting them using a pipette tip or a small paintbrush or simply using a worm pick alone to move the worms to a recovery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no progeny were obtained from the microinjected females, this suggests that either the injected females were damaged in the microinjection process or the post-injection culturing conditions were suboptimal. There are a number of different post-injection culturing conditions that can be tried. The small-scale fecal-charcoal cultures described above generally support better worm survival than NGM plates with HB101. However, it can be difficult to follow the survival of the injected worms and the development of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larvae on fecal-charcoal plates, and eggs are not visible on these plates. An advantage of culturing worms on NGM plates with HB101 instead of fecal-charcoal plates is to allow careful observation of egg-laying and larval development, which can be useful for troubleshooting. SV12 plates with HB101 can also be used to increase survival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Finally, a chemotaxis plate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with a single rat fecal pellet can be used for </w:t>
      </w:r>
      <w:r>
        <w:rPr>
          <w:rFonts w:ascii="Calibri" w:hAnsi="Calibri" w:cs="Calibri" w:eastAsia="Calibri"/>
          <w:i/>
          <w:color w:val="auto"/>
          <w:spacing w:val="0"/>
          <w:position w:val="0"/>
          <w:sz w:val="24"/>
          <w:shd w:fill="auto" w:val="clear"/>
        </w:rPr>
        <w:t xml:space="preserve">S. ratti</w:t>
      </w:r>
      <w:r>
        <w:rPr>
          <w:rFonts w:ascii="Calibri" w:hAnsi="Calibri" w:cs="Calibri" w:eastAsia="Calibri"/>
          <w:color w:val="auto"/>
          <w:spacing w:val="0"/>
          <w:position w:val="0"/>
          <w:sz w:val="24"/>
          <w:shd w:fill="auto" w:val="clear"/>
        </w:rPr>
        <w:t xml:space="preserve"> post-injection culturing. The males and injected females are transferred directly to the rat fecal pellet. In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days, worms are collected from the agar and feces using a Baermann apparatus, as described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adults for microinjection, freshly prepared fecal-charcoal plates can be incubated at 25 &amp;#176;C for 24 h or 20 &amp;#176;C for 48 h.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adults reared at 25 &amp;#176;C for 24 h are young enough to produce a large number of progeny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However, if the females are too young, they may not survive the microinjection process. Adults collected from fecal-charcoal plates that have been incubated at 20 &amp;#176;C for ~48 h are more likely to tolerate the microinjection process. However, because these adults are older than adults obtained from a 24 h incubation at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&amp;#176;C, they are not as fecund and may have a lower transformation rate. Novices may prefer to start with older adults and then switch to slightly younger adults as skills improve.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species can express transgenes from extrachromosomal arrays and genome-integrated constructs in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generation. Unlike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species will only express genome-integrated transgenes in the 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subsequent generations even though the extrachromosomal arrays are still detectable by PCR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transgenic larvae expressing extrachromosomal arrays can be used for experiments that do not require genome integration or large numbers of transgenic worms. Genome integration may be required for experiments that require tagging endogenous genes or testing large numbers of worms in population-based assays. There are two methods for genome integration of transgenes in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piggyBac transposon-mediated integration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CRISPR/Cas9-mediated integration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piggyBac transposon-mediated integration uses the piggyBac transposase to target cargo to TTAA sites in the genome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Because the TTAA motif is quite common in the AT-rich genome of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species, integration is often at more than one site in the genome. In contrast, CRISPR/Cas9-mediated integration can be used to integrate transgenes at a specific target locus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CRISPR/Cas9 system can also be used to generate targeted gene knockouts</w:t>
      </w:r>
      <w:r>
        <w:rPr>
          <w:rFonts w:ascii="Calibri" w:hAnsi="Calibri" w:cs="Calibri" w:eastAsia="Calibri"/>
          <w:color w:val="auto"/>
          <w:spacing w:val="0"/>
          <w:position w:val="0"/>
          <w:sz w:val="24"/>
          <w:shd w:fill="auto" w:val="clear"/>
          <w:vertAlign w:val="superscript"/>
        </w:rPr>
        <w:t xml:space="preserve">9,27</w:t>
      </w:r>
      <w:r>
        <w:rPr>
          <w:rFonts w:ascii="Calibri" w:hAnsi="Calibri" w:cs="Calibri" w:eastAsia="Calibri"/>
          <w:color w:val="auto"/>
          <w:spacing w:val="0"/>
          <w:position w:val="0"/>
          <w:sz w:val="24"/>
          <w:shd w:fill="auto" w:val="clear"/>
        </w:rPr>
        <w:t xml:space="preserve">. Due to the AT richness of the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genome, finding usable Cas9 target sites containing the optimal 5'-N</w:t>
      </w:r>
      <w:r>
        <w:rPr>
          <w:rFonts w:ascii="Calibri" w:hAnsi="Calibri" w:cs="Calibri" w:eastAsia="Calibri"/>
          <w:color w:val="auto"/>
          <w:spacing w:val="0"/>
          <w:position w:val="0"/>
          <w:sz w:val="24"/>
          <w:shd w:fill="auto" w:val="clear"/>
          <w:vertAlign w:val="subscript"/>
        </w:rPr>
        <w:t xml:space="preserve">18</w:t>
      </w:r>
      <w:r>
        <w:rPr>
          <w:rFonts w:ascii="Calibri" w:hAnsi="Calibri" w:cs="Calibri" w:eastAsia="Calibri"/>
          <w:color w:val="auto"/>
          <w:spacing w:val="0"/>
          <w:position w:val="0"/>
          <w:sz w:val="24"/>
          <w:shd w:fill="auto" w:val="clear"/>
        </w:rPr>
        <w:t xml:space="preserve">GGNGG-3' sequence for nematodes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is a challenge. Frequently, there are only one or two sites in a gene for targeting. The preferred method involves the integration of a repair template containing a transgene with a fluorescent marker by homology-directed repair into the genomic locus, resulting in complete disruption of the gene. Potential knockouts can be identified by expression of the transgene</w:t>
      </w:r>
      <w:r>
        <w:rPr>
          <w:rFonts w:ascii="Calibri" w:hAnsi="Calibri" w:cs="Calibri" w:eastAsia="Calibri"/>
          <w:color w:val="auto"/>
          <w:spacing w:val="0"/>
          <w:position w:val="0"/>
          <w:sz w:val="24"/>
          <w:shd w:fill="auto" w:val="clear"/>
          <w:vertAlign w:val="superscript"/>
        </w:rPr>
        <w:t xml:space="preserve">9,14,15,29</w:t>
      </w:r>
      <w:r>
        <w:rPr>
          <w:rFonts w:ascii="Calibri" w:hAnsi="Calibri" w:cs="Calibri" w:eastAsia="Calibri"/>
          <w:color w:val="auto"/>
          <w:spacing w:val="0"/>
          <w:position w:val="0"/>
          <w:sz w:val="24"/>
          <w:shd w:fill="auto" w:val="clear"/>
        </w:rPr>
        <w:t xml:space="preserve">. However, transgene expression alone is not indicative of genotype as expression from arrays vs. integrated transgenes is often indistinguishable. Thus,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transgenic larvae require </w:t>
      </w:r>
      <w:r>
        <w:rPr>
          <w:rFonts w:ascii="Calibri" w:hAnsi="Calibri" w:cs="Calibri" w:eastAsia="Calibri"/>
          <w:i/>
          <w:color w:val="auto"/>
          <w:spacing w:val="0"/>
          <w:position w:val="0"/>
          <w:sz w:val="24"/>
          <w:shd w:fill="auto" w:val="clear"/>
        </w:rPr>
        <w:t xml:space="preserve">post-hoc</w:t>
      </w:r>
      <w:r>
        <w:rPr>
          <w:rFonts w:ascii="Calibri" w:hAnsi="Calibri" w:cs="Calibri" w:eastAsia="Calibri"/>
          <w:color w:val="auto"/>
          <w:spacing w:val="0"/>
          <w:position w:val="0"/>
          <w:sz w:val="24"/>
          <w:shd w:fill="auto" w:val="clear"/>
        </w:rPr>
        <w:t xml:space="preserve"> genotyping to identify homozygous knockouts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the absence of a repair template, mutagenesis of the target locus occurs at high frequency but can result in large deletions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generating transgenic or mutant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larvae is relatively straightforward in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generating stable lines is extremely difficult because of the need for host passage. In the laboratory, the Mongolian gerbil is a permissive host for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but requires a high dose of worms to establish an infection capable of producing enough 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larvae to establish the line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Only approximately 6% of infective larvae become parasitic females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Furthermore, if the transgenic larvae have array expression without genome integration, they will not produce the transgene-expressing progeny required to infect a second gerbil host. To increase the chances of sufficient numbers of genome-integrated larvae becoming reproductive parasitic adults, a minimum of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transgenic larvae in the initial inoculum is recommended. It may be possible to reduce the number of larvae required to establish a patent infection by treating the gerbils with prednisone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Nevertheless, it is likely to be difficult to amass enough integrated transgenic or mutant worms to successfully establish a stable line of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However, it is usually feasible to amass sufficient numbers of transgenic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larvae for single-worm assays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Strongyloides ratti</w:t>
      </w:r>
      <w:r>
        <w:rPr>
          <w:rFonts w:ascii="Calibri" w:hAnsi="Calibri" w:cs="Calibri" w:eastAsia="Calibri"/>
          <w:color w:val="auto"/>
          <w:spacing w:val="0"/>
          <w:position w:val="0"/>
          <w:sz w:val="24"/>
          <w:shd w:fill="auto" w:val="clear"/>
        </w:rPr>
        <w:t xml:space="preserve"> has the distinct advantage of the greater feasibility of stable transgenic or knockout lines</w:t>
      </w:r>
      <w:r>
        <w:rPr>
          <w:rFonts w:ascii="Calibri" w:hAnsi="Calibri" w:cs="Calibri" w:eastAsia="Calibri"/>
          <w:color w:val="auto"/>
          <w:spacing w:val="0"/>
          <w:position w:val="0"/>
          <w:sz w:val="24"/>
          <w:shd w:fill="auto" w:val="clear"/>
          <w:vertAlign w:val="superscript"/>
        </w:rPr>
        <w:t xml:space="preserve">17,31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ratti</w:t>
      </w:r>
      <w:r>
        <w:rPr>
          <w:rFonts w:ascii="Calibri" w:hAnsi="Calibri" w:cs="Calibri" w:eastAsia="Calibri"/>
          <w:color w:val="auto"/>
          <w:spacing w:val="0"/>
          <w:position w:val="0"/>
          <w:sz w:val="24"/>
          <w:shd w:fill="auto" w:val="clear"/>
        </w:rPr>
        <w:t xml:space="preserve"> free-living adult females are less tolerant of the microinjection process than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free-living adult females; </w:t>
      </w:r>
      <w:r>
        <w:rPr>
          <w:rFonts w:ascii="Calibri" w:hAnsi="Calibri" w:cs="Calibri" w:eastAsia="Calibri"/>
          <w:i/>
          <w:color w:val="auto"/>
          <w:spacing w:val="0"/>
          <w:position w:val="0"/>
          <w:sz w:val="24"/>
          <w:shd w:fill="auto" w:val="clear"/>
        </w:rPr>
        <w:t xml:space="preserve">S. ratti</w:t>
      </w:r>
      <w:r>
        <w:rPr>
          <w:rFonts w:ascii="Calibri" w:hAnsi="Calibri" w:cs="Calibri" w:eastAsia="Calibri"/>
          <w:color w:val="auto"/>
          <w:spacing w:val="0"/>
          <w:position w:val="0"/>
          <w:sz w:val="24"/>
          <w:shd w:fill="auto" w:val="clear"/>
        </w:rPr>
        <w:t xml:space="preserve"> females generally produce fewer overall larvae than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females, and the transformation rate is also lower</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However, only a few transgenic or knockout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larvae are required to establish a stable line of </w:t>
      </w:r>
      <w:r>
        <w:rPr>
          <w:rFonts w:ascii="Calibri" w:hAnsi="Calibri" w:cs="Calibri" w:eastAsia="Calibri"/>
          <w:i/>
          <w:color w:val="auto"/>
          <w:spacing w:val="0"/>
          <w:position w:val="0"/>
          <w:sz w:val="24"/>
          <w:shd w:fill="auto" w:val="clear"/>
        </w:rPr>
        <w:t xml:space="preserve">S. ratti</w:t>
      </w:r>
      <w:r>
        <w:rPr>
          <w:rFonts w:ascii="Calibri" w:hAnsi="Calibri" w:cs="Calibri" w:eastAsia="Calibri"/>
          <w:color w:val="auto"/>
          <w:spacing w:val="0"/>
          <w:position w:val="0"/>
          <w:sz w:val="24"/>
          <w:shd w:fill="auto" w:val="clear"/>
        </w:rPr>
        <w:t xml:space="preserve">. As </w:t>
      </w:r>
      <w:r>
        <w:rPr>
          <w:rFonts w:ascii="Calibri" w:hAnsi="Calibri" w:cs="Calibri" w:eastAsia="Calibri"/>
          <w:i/>
          <w:color w:val="auto"/>
          <w:spacing w:val="0"/>
          <w:position w:val="0"/>
          <w:sz w:val="24"/>
          <w:shd w:fill="auto" w:val="clear"/>
        </w:rPr>
        <w:t xml:space="preserve">S. ratti</w:t>
      </w:r>
      <w:r>
        <w:rPr>
          <w:rFonts w:ascii="Calibri" w:hAnsi="Calibri" w:cs="Calibri" w:eastAsia="Calibri"/>
          <w:color w:val="auto"/>
          <w:spacing w:val="0"/>
          <w:position w:val="0"/>
          <w:sz w:val="24"/>
          <w:shd w:fill="auto" w:val="clear"/>
        </w:rPr>
        <w:t xml:space="preserve"> is a natural parasite of rats, only a few </w:t>
      </w:r>
      <w:r>
        <w:rPr>
          <w:rFonts w:ascii="Calibri" w:hAnsi="Calibri" w:cs="Calibri" w:eastAsia="Calibri"/>
          <w:i/>
          <w:color w:val="auto"/>
          <w:spacing w:val="0"/>
          <w:position w:val="0"/>
          <w:sz w:val="24"/>
          <w:shd w:fill="auto" w:val="clear"/>
        </w:rPr>
        <w:t xml:space="preserve">S. ratti</w:t>
      </w:r>
      <w:r>
        <w:rPr>
          <w:rFonts w:ascii="Calibri" w:hAnsi="Calibri" w:cs="Calibri" w:eastAsia="Calibri"/>
          <w:color w:val="auto"/>
          <w:spacing w:val="0"/>
          <w:position w:val="0"/>
          <w:sz w:val="24"/>
          <w:shd w:fill="auto" w:val="clear"/>
        </w:rPr>
        <w:t xml:space="preserve"> infective larvae are sufficient to establish a patent infection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Thus, it is generally possible to amass sufficient numbers of transgenic or mutant larvae to establish a stable line. Because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species will not express extrachromosomal arrays past the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generation, only genome-integrated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larvae can produce a stable transgenic line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It is generally impossible to identify worms with integrated transgenes prior to genotyping, so the protocol is to collect all transgenic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larvae and inject them into a rat. Some small percentage of these larvae will have the desired integration event; these larvae will form the basis for the stable line. As the piggyBac method often results in more than one integration event in any individual worm, almost 100% transmission of the transgene can be achieved after a few rounds of passaging transgenic larvae through a rat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technique described here can be used to generate transgenic or knockout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 ratti</w:t>
      </w:r>
      <w:r>
        <w:rPr>
          <w:rFonts w:ascii="Calibri" w:hAnsi="Calibri" w:cs="Calibri" w:eastAsia="Calibri"/>
          <w:color w:val="auto"/>
          <w:spacing w:val="0"/>
          <w:position w:val="0"/>
          <w:sz w:val="24"/>
          <w:shd w:fill="auto" w:val="clear"/>
        </w:rPr>
        <w:t xml:space="preserve">. This enables a wide range of potential experiments, including but not limited to the cell-specific expression of transgenes, the generation of mutants, and the endogenous tagging of proteins to determine spatial and temporal functions</w:t>
      </w:r>
      <w:r>
        <w:rPr>
          <w:rFonts w:ascii="Calibri" w:hAnsi="Calibri" w:cs="Calibri" w:eastAsia="Calibri"/>
          <w:color w:val="auto"/>
          <w:spacing w:val="0"/>
          <w:position w:val="0"/>
          <w:sz w:val="24"/>
          <w:shd w:fill="auto" w:val="clear"/>
          <w:vertAlign w:val="superscript"/>
        </w:rPr>
        <w:t xml:space="preserve">14,15,29,33-35</w:t>
      </w:r>
      <w:r>
        <w:rPr>
          <w:rFonts w:ascii="Calibri" w:hAnsi="Calibri" w:cs="Calibri" w:eastAsia="Calibri"/>
          <w:color w:val="auto"/>
          <w:spacing w:val="0"/>
          <w:position w:val="0"/>
          <w:sz w:val="24"/>
          <w:shd w:fill="auto" w:val="clear"/>
        </w:rPr>
        <w:t xml:space="preserve">. In the long run, knowledge gained from the use of transgenic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can be used to develop new strategies to combat human infections with </w:t>
      </w:r>
      <w:r>
        <w:rPr>
          <w:rFonts w:ascii="Calibri" w:hAnsi="Calibri" w:cs="Calibri" w:eastAsia="Calibri"/>
          <w:i/>
          <w:color w:val="auto"/>
          <w:spacing w:val="0"/>
          <w:position w:val="0"/>
          <w:sz w:val="24"/>
          <w:shd w:fill="auto" w:val="clear"/>
        </w:rPr>
        <w:t xml:space="preserve">S. stercoralis</w:t>
      </w:r>
      <w:r>
        <w:rPr>
          <w:rFonts w:ascii="Calibri" w:hAnsi="Calibri" w:cs="Calibri" w:eastAsia="Calibri"/>
          <w:color w:val="auto"/>
          <w:spacing w:val="0"/>
          <w:position w:val="0"/>
          <w:sz w:val="24"/>
          <w:shd w:fill="auto" w:val="clear"/>
        </w:rPr>
        <w:t xml:space="preserve"> and other intestinal parasitic nematodes.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widowControl w:val="false"/>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pPV540 and pPV402 were kind gifts from Dr. James Lok at the University of Pennsylvania. We thank Astra Bryant for helpful comments on the manuscript. This work was funded by a Burroughs-Wellcome Fund Investigators in the Pathogenesis of Disease Award, a Howard Hughes Medical Institute Faculty Scholar Award, and National Institutes of Health R01 DC017959 (E.A.H.).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Krolewiecki, 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public health response against </w:t>
      </w:r>
      <w:r>
        <w:rPr>
          <w:rFonts w:ascii="Calibri" w:hAnsi="Calibri" w:cs="Calibri" w:eastAsia="Calibri"/>
          <w:i/>
          <w:color w:val="auto"/>
          <w:spacing w:val="0"/>
          <w:position w:val="0"/>
          <w:sz w:val="24"/>
          <w:shd w:fill="auto" w:val="clear"/>
        </w:rPr>
        <w:t xml:space="preserve">Strongyloides stercoralis</w:t>
      </w:r>
      <w:r>
        <w:rPr>
          <w:rFonts w:ascii="Calibri" w:hAnsi="Calibri" w:cs="Calibri" w:eastAsia="Calibri"/>
          <w:color w:val="auto"/>
          <w:spacing w:val="0"/>
          <w:position w:val="0"/>
          <w:sz w:val="24"/>
          <w:shd w:fill="auto" w:val="clear"/>
        </w:rPr>
        <w:t xml:space="preserve">: time to look at soil-transmitted helminthiasis in full.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e2165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Buonfrate,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global prevalence of </w:t>
      </w:r>
      <w:r>
        <w:rPr>
          <w:rFonts w:ascii="Calibri" w:hAnsi="Calibri" w:cs="Calibri" w:eastAsia="Calibri"/>
          <w:i/>
          <w:color w:val="auto"/>
          <w:spacing w:val="0"/>
          <w:position w:val="0"/>
          <w:sz w:val="24"/>
          <w:shd w:fill="auto" w:val="clear"/>
        </w:rPr>
        <w:t xml:space="preserve">Strongyloides stercoralis</w:t>
      </w:r>
      <w:r>
        <w:rPr>
          <w:rFonts w:ascii="Calibri" w:hAnsi="Calibri" w:cs="Calibri" w:eastAsia="Calibri"/>
          <w:color w:val="auto"/>
          <w:spacing w:val="0"/>
          <w:position w:val="0"/>
          <w:sz w:val="24"/>
          <w:shd w:fill="auto" w:val="clear"/>
        </w:rPr>
        <w:t xml:space="preserve"> infection. </w:t>
      </w:r>
      <w:r>
        <w:rPr>
          <w:rFonts w:ascii="Calibri" w:hAnsi="Calibri" w:cs="Calibri" w:eastAsia="Calibri"/>
          <w:i/>
          <w:color w:val="auto"/>
          <w:spacing w:val="0"/>
          <w:position w:val="0"/>
          <w:sz w:val="24"/>
          <w:shd w:fill="auto" w:val="clear"/>
        </w:rPr>
        <w:t xml:space="preserve">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468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Castelletto, M. L., Gang, S. S., Hallem, E. A. Recent advances in functional genomics for parasitic nematodes of mammals.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223</w:t>
      </w:r>
      <w:r>
        <w:rPr>
          <w:rFonts w:ascii="Calibri" w:hAnsi="Calibri" w:cs="Calibri" w:eastAsia="Calibri"/>
          <w:color w:val="auto"/>
          <w:spacing w:val="0"/>
          <w:position w:val="0"/>
          <w:sz w:val="24"/>
          <w:shd w:fill="auto" w:val="clear"/>
        </w:rPr>
        <w:t xml:space="preserve"> (Pt Suppl 1), jeb206482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Evans, T. C. Transformation and microinjection. In </w:t>
      </w:r>
      <w:r>
        <w:rPr>
          <w:rFonts w:ascii="Calibri" w:hAnsi="Calibri" w:cs="Calibri" w:eastAsia="Calibri"/>
          <w:i/>
          <w:color w:val="auto"/>
          <w:spacing w:val="0"/>
          <w:position w:val="0"/>
          <w:sz w:val="24"/>
          <w:shd w:fill="auto" w:val="clear"/>
        </w:rPr>
        <w:t xml:space="preserve">WormBook,</w:t>
      </w:r>
      <w:r>
        <w:rPr>
          <w:rFonts w:ascii="Calibri" w:hAnsi="Calibri" w:cs="Calibri" w:eastAsia="Calibri"/>
          <w:color w:val="auto"/>
          <w:spacing w:val="0"/>
          <w:position w:val="0"/>
          <w:sz w:val="24"/>
          <w:shd w:fill="auto" w:val="clear"/>
        </w:rPr>
        <w:t xml:space="preserve"> ed. The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Research Community, WormBook, doi: 10.1895/wormbook.1.108,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http://www.wormbook.org</w:t>
        </w:r>
      </w:hyperlink>
      <w:r>
        <w:rPr>
          <w:rFonts w:ascii="Calibri" w:hAnsi="Calibri" w:cs="Calibri" w:eastAsia="Calibri"/>
          <w:color w:val="auto"/>
          <w:spacing w:val="0"/>
          <w:position w:val="0"/>
          <w:sz w:val="24"/>
          <w:shd w:fill="auto" w:val="clear"/>
        </w:rPr>
        <w:t xml:space="preserve">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Lok, J. B., Unnasch, T. R. Transgenesis in animal parasitic nematodes: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spp. and </w:t>
      </w:r>
      <w:r>
        <w:rPr>
          <w:rFonts w:ascii="Calibri" w:hAnsi="Calibri" w:cs="Calibri" w:eastAsia="Calibri"/>
          <w:i/>
          <w:color w:val="auto"/>
          <w:spacing w:val="0"/>
          <w:position w:val="0"/>
          <w:sz w:val="24"/>
          <w:shd w:fill="auto" w:val="clear"/>
        </w:rPr>
        <w:t xml:space="preserve">Brugia</w:t>
      </w:r>
      <w:r>
        <w:rPr>
          <w:rFonts w:ascii="Calibri" w:hAnsi="Calibri" w:cs="Calibri" w:eastAsia="Calibri"/>
          <w:color w:val="auto"/>
          <w:spacing w:val="0"/>
          <w:position w:val="0"/>
          <w:sz w:val="24"/>
          <w:shd w:fill="auto" w:val="clear"/>
        </w:rPr>
        <w:t xml:space="preserve"> spp. In </w:t>
      </w:r>
      <w:r>
        <w:rPr>
          <w:rFonts w:ascii="Calibri" w:hAnsi="Calibri" w:cs="Calibri" w:eastAsia="Calibri"/>
          <w:i/>
          <w:color w:val="auto"/>
          <w:spacing w:val="0"/>
          <w:position w:val="0"/>
          <w:sz w:val="24"/>
          <w:shd w:fill="auto" w:val="clear"/>
        </w:rPr>
        <w:t xml:space="preserve">WormBook,</w:t>
      </w:r>
      <w:r>
        <w:rPr>
          <w:rFonts w:ascii="Calibri" w:hAnsi="Calibri" w:cs="Calibri" w:eastAsia="Calibri"/>
          <w:color w:val="auto"/>
          <w:spacing w:val="0"/>
          <w:position w:val="0"/>
          <w:sz w:val="24"/>
          <w:shd w:fill="auto" w:val="clear"/>
        </w:rPr>
        <w:t xml:space="preserve"> ed. The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Research Community, WormBook, doi: 10.1895/wormbook.1.163.1,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http://www.wormbook.org</w:t>
        </w:r>
      </w:hyperlink>
      <w:r>
        <w:rPr>
          <w:rFonts w:ascii="Calibri" w:hAnsi="Calibri" w:cs="Calibri" w:eastAsia="Calibri"/>
          <w:color w:val="auto"/>
          <w:spacing w:val="0"/>
          <w:position w:val="0"/>
          <w:sz w:val="24"/>
          <w:shd w:fill="auto" w:val="clear"/>
        </w:rPr>
        <w:t xml:space="preserve">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Shao, H. G., Li, X. S., Lok, J. B. Heritable genetic transformation of </w:t>
      </w:r>
      <w:r>
        <w:rPr>
          <w:rFonts w:ascii="Calibri" w:hAnsi="Calibri" w:cs="Calibri" w:eastAsia="Calibri"/>
          <w:i/>
          <w:color w:val="auto"/>
          <w:spacing w:val="0"/>
          <w:position w:val="0"/>
          <w:sz w:val="24"/>
          <w:shd w:fill="auto" w:val="clear"/>
        </w:rPr>
        <w:t xml:space="preserve">Strongyloides stercoralis</w:t>
      </w:r>
      <w:r>
        <w:rPr>
          <w:rFonts w:ascii="Calibri" w:hAnsi="Calibri" w:cs="Calibri" w:eastAsia="Calibri"/>
          <w:color w:val="auto"/>
          <w:spacing w:val="0"/>
          <w:position w:val="0"/>
          <w:sz w:val="24"/>
          <w:shd w:fill="auto" w:val="clear"/>
        </w:rPr>
        <w:t xml:space="preserve"> by microinjection of plasmid DNA constructs into the male germline. </w:t>
      </w:r>
      <w:r>
        <w:rPr>
          <w:rFonts w:ascii="Calibri" w:hAnsi="Calibri" w:cs="Calibri" w:eastAsia="Calibri"/>
          <w:i/>
          <w:color w:val="auto"/>
          <w:spacing w:val="0"/>
          <w:position w:val="0"/>
          <w:sz w:val="24"/>
          <w:shd w:fill="auto" w:val="clear"/>
        </w:rPr>
        <w:t xml:space="preserve">International Journal for Parasitology.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(9), 511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Schafer, T. W., Skopic, A. Parasites of the small intestine. </w:t>
      </w:r>
      <w:r>
        <w:rPr>
          <w:rFonts w:ascii="Calibri" w:hAnsi="Calibri" w:cs="Calibri" w:eastAsia="Calibri"/>
          <w:i/>
          <w:color w:val="auto"/>
          <w:spacing w:val="0"/>
          <w:position w:val="0"/>
          <w:sz w:val="24"/>
          <w:shd w:fill="auto" w:val="clear"/>
        </w:rPr>
        <w:t xml:space="preserve">Current Gastroenterology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312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320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Stiernagle, T. Maintenance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WormBook,</w:t>
      </w:r>
      <w:r>
        <w:rPr>
          <w:rFonts w:ascii="Calibri" w:hAnsi="Calibri" w:cs="Calibri" w:eastAsia="Calibri"/>
          <w:color w:val="auto"/>
          <w:spacing w:val="0"/>
          <w:position w:val="0"/>
          <w:sz w:val="24"/>
          <w:shd w:fill="auto" w:val="clear"/>
        </w:rPr>
        <w:t xml:space="preserve"> ed. The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Research Community, WormBook, doi: 10.1895/wormbook.1.101.1,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http://www.wormbook.org</w:t>
        </w:r>
      </w:hyperlink>
      <w:r>
        <w:rPr>
          <w:rFonts w:ascii="Calibri" w:hAnsi="Calibri" w:cs="Calibri" w:eastAsia="Calibri"/>
          <w:color w:val="auto"/>
          <w:spacing w:val="0"/>
          <w:position w:val="0"/>
          <w:sz w:val="24"/>
          <w:shd w:fill="auto" w:val="clear"/>
        </w:rPr>
        <w:t xml:space="preserve">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Gang, S. S. et al. Targeted mutagenesis in a human-parasitic nematode.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(10), e1006675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Lok, J. B. </w:t>
      </w:r>
      <w:r>
        <w:rPr>
          <w:rFonts w:ascii="Calibri" w:hAnsi="Calibri" w:cs="Calibri" w:eastAsia="Calibri"/>
          <w:i/>
          <w:color w:val="auto"/>
          <w:spacing w:val="0"/>
          <w:position w:val="0"/>
          <w:sz w:val="24"/>
          <w:shd w:fill="auto" w:val="clear"/>
        </w:rPr>
        <w:t xml:space="preserve">Strongyloides stercoralis</w:t>
      </w:r>
      <w:r>
        <w:rPr>
          <w:rFonts w:ascii="Calibri" w:hAnsi="Calibri" w:cs="Calibri" w:eastAsia="Calibri"/>
          <w:color w:val="auto"/>
          <w:spacing w:val="0"/>
          <w:position w:val="0"/>
          <w:sz w:val="24"/>
          <w:shd w:fill="auto" w:val="clear"/>
        </w:rPr>
        <w:t xml:space="preserve">: a model for translational research on parasitic nematode biology. In </w:t>
      </w:r>
      <w:r>
        <w:rPr>
          <w:rFonts w:ascii="Calibri" w:hAnsi="Calibri" w:cs="Calibri" w:eastAsia="Calibri"/>
          <w:i/>
          <w:color w:val="auto"/>
          <w:spacing w:val="0"/>
          <w:position w:val="0"/>
          <w:sz w:val="24"/>
          <w:shd w:fill="auto" w:val="clear"/>
        </w:rPr>
        <w:t xml:space="preserve">WormBook,</w:t>
      </w:r>
      <w:r>
        <w:rPr>
          <w:rFonts w:ascii="Calibri" w:hAnsi="Calibri" w:cs="Calibri" w:eastAsia="Calibri"/>
          <w:color w:val="auto"/>
          <w:spacing w:val="0"/>
          <w:position w:val="0"/>
          <w:sz w:val="24"/>
          <w:shd w:fill="auto" w:val="clear"/>
        </w:rPr>
        <w:t xml:space="preserve"> ed. The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Research Community, WormBook, doi: 10.1895/wormbook.1.134.1,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http://www.wormbook.org</w:t>
        </w:r>
      </w:hyperlink>
      <w:r>
        <w:rPr>
          <w:rFonts w:ascii="Calibri" w:hAnsi="Calibri" w:cs="Calibri" w:eastAsia="Calibri"/>
          <w:color w:val="auto"/>
          <w:spacing w:val="0"/>
          <w:position w:val="0"/>
          <w:sz w:val="24"/>
          <w:shd w:fill="auto" w:val="clear"/>
        </w:rPr>
        <w:t xml:space="preserve">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Hawdon, J. M., Schad, G. A. Long-term storage of hookworm infective larvae in buffered saline solution maintains larval responsiveness to host signals. </w:t>
      </w:r>
      <w:r>
        <w:rPr>
          <w:rFonts w:ascii="Calibri" w:hAnsi="Calibri" w:cs="Calibri" w:eastAsia="Calibri"/>
          <w:i/>
          <w:color w:val="auto"/>
          <w:spacing w:val="0"/>
          <w:position w:val="0"/>
          <w:sz w:val="24"/>
          <w:shd w:fill="auto" w:val="clear"/>
        </w:rPr>
        <w:t xml:space="preserve">Proceedings of the Helminthological Society of Washington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 </w:t>
      </w:r>
      <w:r>
        <w:rPr>
          <w:rFonts w:ascii="Calibri" w:hAnsi="Calibri" w:cs="Calibri" w:eastAsia="Calibri"/>
          <w:color w:val="auto"/>
          <w:spacing w:val="0"/>
          <w:position w:val="0"/>
          <w:sz w:val="24"/>
          <w:shd w:fill="auto" w:val="clear"/>
        </w:rPr>
        <w:t xml:space="preserve">(1), 140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 (1991).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Bargmann, C. I., Hartwieg, E., Horvitz, H. R. Odorant-selective genes and neurons mediate olfaction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(3), 515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527 (1993).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Junio, A.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t>
      </w:r>
      <w:r>
        <w:rPr>
          <w:rFonts w:ascii="Calibri" w:hAnsi="Calibri" w:cs="Calibri" w:eastAsia="Calibri"/>
          <w:i/>
          <w:color w:val="auto"/>
          <w:spacing w:val="0"/>
          <w:position w:val="0"/>
          <w:sz w:val="24"/>
          <w:shd w:fill="auto" w:val="clear"/>
        </w:rPr>
        <w:t xml:space="preserve">Strongyloides stercoralis: </w:t>
      </w:r>
      <w:r>
        <w:rPr>
          <w:rFonts w:ascii="Calibri" w:hAnsi="Calibri" w:cs="Calibri" w:eastAsia="Calibri"/>
          <w:color w:val="auto"/>
          <w:spacing w:val="0"/>
          <w:position w:val="0"/>
          <w:sz w:val="24"/>
          <w:shd w:fill="auto" w:val="clear"/>
        </w:rPr>
        <w:t xml:space="preserve">cell- and tissue-specific transgene expression and co-transformation with vector constructs incorporating a common multifunctional 3' UTR. </w:t>
      </w:r>
      <w:r>
        <w:rPr>
          <w:rFonts w:ascii="Calibri" w:hAnsi="Calibri" w:cs="Calibri" w:eastAsia="Calibri"/>
          <w:i/>
          <w:color w:val="auto"/>
          <w:spacing w:val="0"/>
          <w:position w:val="0"/>
          <w:sz w:val="24"/>
          <w:shd w:fill="auto" w:val="clear"/>
        </w:rPr>
        <w:t xml:space="preserve">Experimental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(2),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Gang, S.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Chemosensory mechanisms of host seeking and infectivity in skin-penetrating nematodes. </w:t>
      </w:r>
      <w:r>
        <w:rPr>
          <w:rFonts w:ascii="Calibri" w:hAnsi="Calibri" w:cs="Calibri" w:eastAsia="Calibri"/>
          <w:i/>
          <w:color w:val="auto"/>
          <w:spacing w:val="0"/>
          <w:position w:val="0"/>
          <w:sz w:val="24"/>
          <w:shd w:fill="auto" w:val="clear"/>
        </w:rPr>
        <w:t xml:space="preserve">Proceedings of the National Academy of Sciences of the United States of America.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(30), 17913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17923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Bryant, 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critical role for thermosensation in host seeking by skin-penetrating nematodes.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(14), 2338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2347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Lok, J. B. Nucleic acid transfection and transgenesis in parasitic nematodes. </w:t>
      </w:r>
      <w:r>
        <w:rPr>
          <w:rFonts w:ascii="Calibri" w:hAnsi="Calibri" w:cs="Calibri" w:eastAsia="Calibri"/>
          <w:i/>
          <w:color w:val="auto"/>
          <w:spacing w:val="0"/>
          <w:position w:val="0"/>
          <w:sz w:val="24"/>
          <w:shd w:fill="auto" w:val="clear"/>
        </w:rPr>
        <w:t xml:space="preserve">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(5), 574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588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Shao,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Transposon-mediated chromosomal integration of transgenes in the parasitic nematode</w:t>
      </w:r>
      <w:r>
        <w:rPr>
          <w:rFonts w:ascii="Calibri" w:hAnsi="Calibri" w:cs="Calibri" w:eastAsia="Calibri"/>
          <w:i/>
          <w:color w:val="auto"/>
          <w:spacing w:val="0"/>
          <w:position w:val="0"/>
          <w:sz w:val="24"/>
          <w:shd w:fill="auto" w:val="clear"/>
        </w:rPr>
        <w:t xml:space="preserve"> Strongyloides ratti</w:t>
      </w:r>
      <w:r>
        <w:rPr>
          <w:rFonts w:ascii="Calibri" w:hAnsi="Calibri" w:cs="Calibri" w:eastAsia="Calibri"/>
          <w:color w:val="auto"/>
          <w:spacing w:val="0"/>
          <w:position w:val="0"/>
          <w:sz w:val="24"/>
          <w:shd w:fill="auto" w:val="clear"/>
        </w:rPr>
        <w:t xml:space="preserve"> and establishment of stable transgenic lines.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e1002871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Lok, J. piggyBac: a vehicle for integrative DNA transformation of parasitic nematodes. </w:t>
      </w:r>
      <w:r>
        <w:rPr>
          <w:rFonts w:ascii="Calibri" w:hAnsi="Calibri" w:cs="Calibri" w:eastAsia="Calibri"/>
          <w:i/>
          <w:color w:val="auto"/>
          <w:spacing w:val="0"/>
          <w:position w:val="0"/>
          <w:sz w:val="24"/>
          <w:shd w:fill="auto" w:val="clear"/>
        </w:rPr>
        <w:t xml:space="preserve">Mobile Genetic Elements.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e24417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Li, X. et al. Successful transgenesis of the parasitic nematode </w:t>
      </w:r>
      <w:r>
        <w:rPr>
          <w:rFonts w:ascii="Calibri" w:hAnsi="Calibri" w:cs="Calibri" w:eastAsia="Calibri"/>
          <w:i/>
          <w:color w:val="auto"/>
          <w:spacing w:val="0"/>
          <w:position w:val="0"/>
          <w:sz w:val="24"/>
          <w:shd w:fill="auto" w:val="clear"/>
        </w:rPr>
        <w:t xml:space="preserve">Strongyloides stercoralis</w:t>
      </w:r>
      <w:r>
        <w:rPr>
          <w:rFonts w:ascii="Calibri" w:hAnsi="Calibri" w:cs="Calibri" w:eastAsia="Calibri"/>
          <w:color w:val="auto"/>
          <w:spacing w:val="0"/>
          <w:position w:val="0"/>
          <w:sz w:val="24"/>
          <w:shd w:fill="auto" w:val="clear"/>
        </w:rPr>
        <w:t xml:space="preserve"> requires endogenous non-coding control elements. </w:t>
      </w:r>
      <w:r>
        <w:rPr>
          <w:rFonts w:ascii="Calibri" w:hAnsi="Calibri" w:cs="Calibri" w:eastAsia="Calibri"/>
          <w:i/>
          <w:color w:val="auto"/>
          <w:spacing w:val="0"/>
          <w:position w:val="0"/>
          <w:sz w:val="24"/>
          <w:shd w:fill="auto" w:val="clear"/>
        </w:rPr>
        <w:t xml:space="preserve">International Journal for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(6), 671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679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Bryant, A. S., Hallem, E. A. The Wild Worm Codon Adapter: a web tool for automated codon adaptation of transgenes for expression in non-</w:t>
      </w:r>
      <w:r>
        <w:rPr>
          <w:rFonts w:ascii="Calibri" w:hAnsi="Calibri" w:cs="Calibri" w:eastAsia="Calibri"/>
          <w:i/>
          <w:color w:val="auto"/>
          <w:spacing w:val="0"/>
          <w:position w:val="0"/>
          <w:sz w:val="24"/>
          <w:shd w:fill="auto" w:val="clear"/>
        </w:rPr>
        <w:t xml:space="preserve">Caenorhabditis</w:t>
      </w:r>
      <w:r>
        <w:rPr>
          <w:rFonts w:ascii="Calibri" w:hAnsi="Calibri" w:cs="Calibri" w:eastAsia="Calibri"/>
          <w:color w:val="auto"/>
          <w:spacing w:val="0"/>
          <w:position w:val="0"/>
          <w:sz w:val="24"/>
          <w:shd w:fill="auto" w:val="clear"/>
        </w:rPr>
        <w:t xml:space="preserve"> nematodes. </w:t>
      </w:r>
      <w:r>
        <w:rPr>
          <w:rFonts w:ascii="Calibri" w:hAnsi="Calibri" w:cs="Calibri" w:eastAsia="Calibri"/>
          <w:i/>
          <w:color w:val="auto"/>
          <w:spacing w:val="0"/>
          <w:position w:val="0"/>
          <w:sz w:val="24"/>
          <w:shd w:fill="auto" w:val="clear"/>
        </w:rPr>
        <w:t xml:space="preserve">G3.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jkab146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Crane, 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measurements reveal a single 5'-intron is sufficient to increase protein expression level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9192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Han,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Improving transgenesis efficiency and CRISPR-associated tools through codon optimization and native intron addition in </w:t>
      </w:r>
      <w:r>
        <w:rPr>
          <w:rFonts w:ascii="Calibri" w:hAnsi="Calibri" w:cs="Calibri" w:eastAsia="Calibri"/>
          <w:i/>
          <w:color w:val="auto"/>
          <w:spacing w:val="0"/>
          <w:position w:val="0"/>
          <w:sz w:val="24"/>
          <w:shd w:fill="auto" w:val="clear"/>
        </w:rPr>
        <w:t xml:space="preserve">Pristionchus</w:t>
      </w:r>
      <w:r>
        <w:rPr>
          <w:rFonts w:ascii="Calibri" w:hAnsi="Calibri" w:cs="Calibri" w:eastAsia="Calibri"/>
          <w:color w:val="auto"/>
          <w:spacing w:val="0"/>
          <w:position w:val="0"/>
          <w:sz w:val="24"/>
          <w:shd w:fill="auto" w:val="clear"/>
        </w:rPr>
        <w:t xml:space="preserve"> nematodes.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 (4), 947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956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Adams, S., Pathak, P., Shao, H., Lok, J. B., Pires-daSilva, A. Liposome-based transfection enhances RNAi and CRISPR-mediated mutagenesis in non-model nematode systems.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483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Dulovic, A., Puller, V., Streit, A. Optimizing culture conditions for free-living stages of the nematode parasite </w:t>
      </w:r>
      <w:r>
        <w:rPr>
          <w:rFonts w:ascii="Calibri" w:hAnsi="Calibri" w:cs="Calibri" w:eastAsia="Calibri"/>
          <w:i/>
          <w:color w:val="auto"/>
          <w:spacing w:val="0"/>
          <w:position w:val="0"/>
          <w:sz w:val="24"/>
          <w:shd w:fill="auto" w:val="clear"/>
        </w:rPr>
        <w:t xml:space="preserve">Strongyloides ratti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Experimental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Harvey, S. C., Gemmill, A. W., Read, A. F., Viney, M. E. The control of morph development in the parasitic nematode </w:t>
      </w:r>
      <w:r>
        <w:rPr>
          <w:rFonts w:ascii="Calibri" w:hAnsi="Calibri" w:cs="Calibri" w:eastAsia="Calibri"/>
          <w:i/>
          <w:color w:val="auto"/>
          <w:spacing w:val="0"/>
          <w:position w:val="0"/>
          <w:sz w:val="24"/>
          <w:shd w:fill="auto" w:val="clear"/>
        </w:rPr>
        <w:t xml:space="preserve">Strongyloides ratti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Royal Society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267</w:t>
      </w:r>
      <w:r>
        <w:rPr>
          <w:rFonts w:ascii="Calibri" w:hAnsi="Calibri" w:cs="Calibri" w:eastAsia="Calibri"/>
          <w:color w:val="auto"/>
          <w:spacing w:val="0"/>
          <w:position w:val="0"/>
          <w:sz w:val="24"/>
          <w:shd w:fill="auto" w:val="clear"/>
        </w:rPr>
        <w:t xml:space="preserve"> (1457), 2057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2063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Kim, A., Pyykko, I. Size matters: versatile use of PiggyBac transposons as a genetic manipulation tool. </w:t>
      </w:r>
      <w:r>
        <w:rPr>
          <w:rFonts w:ascii="Calibri" w:hAnsi="Calibri" w:cs="Calibri" w:eastAsia="Calibri"/>
          <w:i/>
          <w:color w:val="auto"/>
          <w:spacing w:val="0"/>
          <w:position w:val="0"/>
          <w:sz w:val="24"/>
          <w:shd w:fill="auto" w:val="clear"/>
        </w:rPr>
        <w:t xml:space="preserve">Molecular and Cellular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354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301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309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Lok, J. B., Shao, H., Massey, H. C., Li, X. Transgenesis in </w:t>
      </w:r>
      <w:r>
        <w:rPr>
          <w:rFonts w:ascii="Calibri" w:hAnsi="Calibri" w:cs="Calibri" w:eastAsia="Calibri"/>
          <w:i/>
          <w:color w:val="auto"/>
          <w:spacing w:val="0"/>
          <w:position w:val="0"/>
          <w:sz w:val="24"/>
          <w:shd w:fill="auto" w:val="clear"/>
        </w:rPr>
        <w:t xml:space="preserve">Strongyloides</w:t>
      </w:r>
      <w:r>
        <w:rPr>
          <w:rFonts w:ascii="Calibri" w:hAnsi="Calibri" w:cs="Calibri" w:eastAsia="Calibri"/>
          <w:color w:val="auto"/>
          <w:spacing w:val="0"/>
          <w:position w:val="0"/>
          <w:sz w:val="24"/>
          <w:shd w:fill="auto" w:val="clear"/>
        </w:rPr>
        <w:t xml:space="preserve"> and related parasitic nematodes: historical perspectives, current functional genomic applications and progress towards gene disruption and editing. </w:t>
      </w:r>
      <w:r>
        <w:rPr>
          <w:rFonts w:ascii="Calibri" w:hAnsi="Calibri" w:cs="Calibri" w:eastAsia="Calibri"/>
          <w:i/>
          <w:color w:val="auto"/>
          <w:spacing w:val="0"/>
          <w:position w:val="0"/>
          <w:sz w:val="24"/>
          <w:shd w:fill="auto" w:val="clear"/>
        </w:rPr>
        <w:t xml:space="preserve">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(3),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342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Farboud, B., Meyer, B. J. Dramatic enhancement of genome editing by CRISPR/Cas9 through improved guide RNA design.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(4), 959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971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Cheong, M.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Identification of a nuclear receptor/coactivator developmental signaling pathway in the nematode parasite </w:t>
      </w:r>
      <w:r>
        <w:rPr>
          <w:rFonts w:ascii="Calibri" w:hAnsi="Calibri" w:cs="Calibri" w:eastAsia="Calibri"/>
          <w:i/>
          <w:color w:val="auto"/>
          <w:spacing w:val="0"/>
          <w:position w:val="0"/>
          <w:sz w:val="24"/>
          <w:shd w:fill="auto" w:val="clear"/>
        </w:rPr>
        <w:t xml:space="preserve">Strongyloides stercoralis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(8), e2021864118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Nolan, T. J., Megyeri, Z., Bhopale, V. M., Schad, G. A. </w:t>
      </w:r>
      <w:r>
        <w:rPr>
          <w:rFonts w:ascii="Calibri" w:hAnsi="Calibri" w:cs="Calibri" w:eastAsia="Calibri"/>
          <w:i/>
          <w:color w:val="auto"/>
          <w:spacing w:val="0"/>
          <w:position w:val="0"/>
          <w:sz w:val="24"/>
          <w:shd w:fill="auto" w:val="clear"/>
        </w:rPr>
        <w:t xml:space="preserve">Strongyloides stercoralis:</w:t>
      </w:r>
      <w:r>
        <w:rPr>
          <w:rFonts w:ascii="Calibri" w:hAnsi="Calibri" w:cs="Calibri" w:eastAsia="Calibri"/>
          <w:color w:val="auto"/>
          <w:spacing w:val="0"/>
          <w:position w:val="0"/>
          <w:sz w:val="24"/>
          <w:shd w:fill="auto" w:val="clear"/>
        </w:rPr>
        <w:t xml:space="preserve"> the first rodent model for uncomplicated and hyperinfective strongyloidiasis, the Mongolian gerbil </w:t>
      </w:r>
      <w:r>
        <w:rPr>
          <w:rFonts w:ascii="Calibri" w:hAnsi="Calibri" w:cs="Calibri" w:eastAsia="Calibri"/>
          <w:i/>
          <w:color w:val="auto"/>
          <w:spacing w:val="0"/>
          <w:position w:val="0"/>
          <w:sz w:val="24"/>
          <w:shd w:fill="auto" w:val="clear"/>
        </w:rPr>
        <w:t xml:space="preserve">(Meriones unguiculatus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(6), 1479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1484 (1993).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Li,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Transgenesis in the parasitic nematode </w:t>
      </w:r>
      <w:r>
        <w:rPr>
          <w:rFonts w:ascii="Calibri" w:hAnsi="Calibri" w:cs="Calibri" w:eastAsia="Calibri"/>
          <w:i/>
          <w:color w:val="auto"/>
          <w:spacing w:val="0"/>
          <w:position w:val="0"/>
          <w:sz w:val="24"/>
          <w:shd w:fill="auto" w:val="clear"/>
        </w:rPr>
        <w:t xml:space="preserve">Strongyloides ratti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Molecular and Biochemical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(2), 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Viney, M. E. Exploiting the life cycle of </w:t>
      </w:r>
      <w:r>
        <w:rPr>
          <w:rFonts w:ascii="Calibri" w:hAnsi="Calibri" w:cs="Calibri" w:eastAsia="Calibri"/>
          <w:i/>
          <w:color w:val="auto"/>
          <w:spacing w:val="0"/>
          <w:position w:val="0"/>
          <w:sz w:val="24"/>
          <w:shd w:fill="auto" w:val="clear"/>
        </w:rPr>
        <w:t xml:space="preserve">Strongyloides ratti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Parasitology Today.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Stoltzfus, J. D., Massey, H. C., Jr., Nolan, T. J., Griffith, S. D., Lok, J. B. </w:t>
      </w:r>
      <w:r>
        <w:rPr>
          <w:rFonts w:ascii="Calibri" w:hAnsi="Calibri" w:cs="Calibri" w:eastAsia="Calibri"/>
          <w:i/>
          <w:color w:val="auto"/>
          <w:spacing w:val="0"/>
          <w:position w:val="0"/>
          <w:sz w:val="24"/>
          <w:shd w:fill="auto" w:val="clear"/>
        </w:rPr>
        <w:t xml:space="preserve">Strongyloides stercoralis age-1</w:t>
      </w:r>
      <w:r>
        <w:rPr>
          <w:rFonts w:ascii="Calibri" w:hAnsi="Calibri" w:cs="Calibri" w:eastAsia="Calibri"/>
          <w:color w:val="auto"/>
          <w:spacing w:val="0"/>
          <w:position w:val="0"/>
          <w:sz w:val="24"/>
          <w:shd w:fill="auto" w:val="clear"/>
        </w:rPr>
        <w:t xml:space="preserve">: a potential regulator of infective larval development in a parasitic nematode.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e38587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Castelletto, M. L., Massey, H. C., Jr., Lok, J. B. Morphogenesis of </w:t>
      </w:r>
      <w:r>
        <w:rPr>
          <w:rFonts w:ascii="Calibri" w:hAnsi="Calibri" w:cs="Calibri" w:eastAsia="Calibri"/>
          <w:i/>
          <w:color w:val="auto"/>
          <w:spacing w:val="0"/>
          <w:position w:val="0"/>
          <w:sz w:val="24"/>
          <w:shd w:fill="auto" w:val="clear"/>
        </w:rPr>
        <w:t xml:space="preserve">Strongyloides stercoralis</w:t>
      </w:r>
      <w:r>
        <w:rPr>
          <w:rFonts w:ascii="Calibri" w:hAnsi="Calibri" w:cs="Calibri" w:eastAsia="Calibri"/>
          <w:color w:val="auto"/>
          <w:spacing w:val="0"/>
          <w:position w:val="0"/>
          <w:sz w:val="24"/>
          <w:shd w:fill="auto" w:val="clear"/>
        </w:rPr>
        <w:t xml:space="preserve"> infective larvae requires the DAF-16 ortholog FKTF-1.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e1000370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Douglas,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Transgenic expression of a T cell epitope in </w:t>
      </w:r>
      <w:r>
        <w:rPr>
          <w:rFonts w:ascii="Calibri" w:hAnsi="Calibri" w:cs="Calibri" w:eastAsia="Calibri"/>
          <w:i/>
          <w:color w:val="auto"/>
          <w:spacing w:val="0"/>
          <w:position w:val="0"/>
          <w:sz w:val="24"/>
          <w:shd w:fill="auto" w:val="clear"/>
        </w:rPr>
        <w:t xml:space="preserve">Strongyloides ratti</w:t>
      </w:r>
      <w:r>
        <w:rPr>
          <w:rFonts w:ascii="Calibri" w:hAnsi="Calibri" w:cs="Calibri" w:eastAsia="Calibri"/>
          <w:color w:val="auto"/>
          <w:spacing w:val="0"/>
          <w:position w:val="0"/>
          <w:sz w:val="24"/>
          <w:shd w:fill="auto" w:val="clear"/>
        </w:rPr>
        <w:t xml:space="preserve"> reveals that helminth-specific CD4+ T cells constitute both Th2 and Treg populations.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(7), e1009709 (2021).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wormbook.org/" Id="docRId1" Type="http://schemas.openxmlformats.org/officeDocument/2006/relationships/hyperlink" /><Relationship TargetMode="External" Target="http://www.wormbook.org/" Id="docRId3" Type="http://schemas.openxmlformats.org/officeDocument/2006/relationships/hyperlink" /><Relationship Target="styles.xml" Id="docRId5" Type="http://schemas.openxmlformats.org/officeDocument/2006/relationships/styles" /><Relationship TargetMode="External" Target="http://www.wormbook.org/" Id="docRId0" Type="http://schemas.openxmlformats.org/officeDocument/2006/relationships/hyperlink" /><Relationship TargetMode="External" Target="http://www.wormbook.org/" Id="docRId2" Type="http://schemas.openxmlformats.org/officeDocument/2006/relationships/hyperlink" /><Relationship Target="numbering.xml" Id="docRId4" Type="http://schemas.openxmlformats.org/officeDocument/2006/relationships/numbering" /></Relationships>
</file>