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Tweezers in a Microplate Format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Ália dos Santos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Christopher P. Toseland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Oncology and Metabolism, University of Sheffield, Sheffield, S10 2RX,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Ália dos Santos</w:t>
        <w:tab/>
        <w:tab/>
      </w:r>
      <w:r>
        <w:rPr>
          <w:rFonts w:ascii="Calibri" w:hAnsi="Calibri" w:cs="Calibri" w:eastAsia="Calibri"/>
          <w:color w:val="auto"/>
          <w:spacing w:val="0"/>
          <w:position w:val="0"/>
          <w:sz w:val="24"/>
          <w:shd w:fill="auto" w:val="clear"/>
        </w:rPr>
        <w:t xml:space="preserve">(a.d.santos@sheffield.ac.uk)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P. Toseland </w:t>
        <w:tab/>
        <w:t xml:space="preserve">(c.toseland@sheffield.ac.uk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P. Toseland </w:t>
        <w:tab/>
        <w:t xml:space="preserve">(c.toseland@sheffield.ac.uk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mechanobiology, tweezers, 3D-printed, magnets, FRET, ensemble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use of a novel microplate assay to enable mechanical manipulation of biomolecules while performing ensemble biochemical assays. This is achieved using a microplate lid modified with magnets to create multiple static magnetic tweezers across the microplate.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Mechanobiology describes how the physical forces and mechanical properties of biological material contribute to physiology and disease. Typically, these approaches are limited single-molecule methods, which restricts their availability. To address this need, a microplate assay was developed that enables mechanical manipulation while performing standard biochemical assays. This is achieved using magnets incorporated into a microplate lid to create multiple magnetic tweezers. In this format, force is exerted across biomolecules connected to paramagnetic beads, equivalent to a typical magnetic tweezer.</w:t>
      </w:r>
      <w:r>
        <w:rPr>
          <w:rFonts w:ascii="Calibri" w:hAnsi="Calibri" w:cs="Calibri" w:eastAsia="Calibri"/>
          <w:color w:val="auto"/>
          <w:spacing w:val="0"/>
          <w:position w:val="0"/>
          <w:sz w:val="24"/>
          <w:shd w:fill="auto" w:val="clear"/>
        </w:rPr>
        <w:t xml:space="preserve"> The study demonstrates the application of this tool with FRET-based assays to monitor protein conformations</w:t>
      </w:r>
      <w:r>
        <w:rPr>
          <w:rFonts w:ascii="Calibri" w:hAnsi="Calibri" w:cs="Calibri" w:eastAsia="Calibri"/>
          <w:color w:val="000000"/>
          <w:spacing w:val="0"/>
          <w:position w:val="0"/>
          <w:sz w:val="24"/>
          <w:shd w:fill="auto" w:val="clear"/>
        </w:rPr>
        <w:t xml:space="preserve">. However, this approach is widely applicable to different biological systems ranging from measuring enzymatic activity through to the activation of signaling pathways in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Mechanobiology focuses on understanding how the propagation of physical forces within and between cells regulates cellular activity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how this correlates with the organization and dynamics of both proteins and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Single-molecule force measurements have revealed how force is used in biological systems, from single proteins to whole cells and tissues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challenging experiments require specialized equipment and technical expertise. Conversely, standard biochemical assays can be performed at higher throughput in readily available commercial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study describes a mechanobiology assay that enables magnetic tweezer-based manipulation and biochemical assays to be performed together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Magnets are placed on a 3D printed microplate lid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enabling the use of commercial plate readers for the assays. Force is applied across the biomolecule of interest by coupling the molecule to paramagnetic particles. The magnets then exert tension across the molecule. Altering the distance between the particles and magnets adjusts the exert force across the biomolecule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represent the use of this assay using the actin-based molecular motor, Myosin VI. Myosin VI is regulated by intramolecular backfolding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Myosin VI has been shown to exist in an auto-inhibited state, whereby the binding of partner proteins, such as NDP52, triggers the unfolding of myosin VI</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To perform these assays, we will use a dual-labeled construct of the myosin VI tail domain with an N-terminal GFP and a C-Terminal RFP whereby backfolding of the protein generates Fluorescence Resonance Energy Transfer (FRET) between GFP and RFP. The N-terminus also carries a biotinylation tag to immobilize the protein on the surface. We use this assay in combination with FRET measurements to show how force can impact myosin VI back-folding.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proteins required for this experiment and a list of reagents are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Equivalent proteins should be produced for the user’s system of study to measure conformation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3D printed magnetic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Design a microplate lid to house the magnets within a 24-well microplate. An example CAD file can be downloaded from GitHub</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measurements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The height of the pedestal can be altered to change the distance between magnets and surface to alter the applied force. In addition, the final force exerted upon the particle depends on the particle size and gap between the pair of magnets. Equations to calculate the applied force for 1 &amp;#181;m and 2.8 &amp;#181;m particles at 0.5 mm, 1 mm, and 2 mm gaps are given in </w:t>
      </w:r>
      <w:r>
        <w:rPr>
          <w:rFonts w:ascii="Calibri" w:hAnsi="Calibri" w:cs="Calibri" w:eastAsia="Calibri"/>
          <w:color w:val="auto"/>
          <w:spacing w:val="0"/>
          <w:position w:val="0"/>
          <w:sz w:val="24"/>
          <w:shd w:fill="auto" w:val="clear"/>
        </w:rPr>
        <w:t xml:space="preserve">Dos Santos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the experiments described here with 2.8 &amp;#181;m particles and a 2 mm gap, use Equation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Equation 1: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3D print a microplate lid using Polyethylene Terephthalate Glycol (PETG) on a 3D printer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printer with a layer resolution of 0.02 mm to enable accuracy and reproducibility. The impact of printer accuracy was discussed in </w:t>
      </w:r>
      <w:r>
        <w:rPr>
          <w:rFonts w:ascii="Calibri" w:hAnsi="Calibri" w:cs="Calibri" w:eastAsia="Calibri"/>
          <w:color w:val="auto"/>
          <w:spacing w:val="0"/>
          <w:position w:val="0"/>
          <w:sz w:val="24"/>
          <w:shd w:fill="auto" w:val="clear"/>
        </w:rPr>
        <w:t xml:space="preserve">Dos Santos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 Attach pairs of 5 mm cube Neodymium N42 magnets using adhesive to the pedestals with the magnetic poles orientated to create the field directed towards the bottom of the microplate.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 Leave at least 1 position empty to act as a no-magnet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 Store in a sealed container of sufficient size to readily place and remove the lid.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Microplate surface modification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Take a clean non-treated glass-bottomed 24-well microplate.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Wash the wells 3x with 500 &amp;#181;L of wash buffer (50 mM Tris-HCl (pH 7.5) and 50 mM NaCl)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Add 200 &amp;#181;L of biotin-BSA (0.2 mg/mL) in the wash buffer and leave it undisturbed for 15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Biotin-BSA is used for both passivation and attachment. Other passivation and surface attachment strategies can be used. For first-time use and optimization, the concentration of biotin-BSA can be varied up to 1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Wash the wells 3x with 500 &amp;#181;L of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Add 200 &amp;#181;L of streptavidin (20 &amp;#181;g/mL) in the wash buffer and leave it undisturbed for 15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first-time use, the concentration of streptavidin can be varied up to 1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Remove the solution and then wash the wells 3x with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Cover the wells with 500 &amp;#181;L of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Store at 4 &amp;#176;C until ready to use. Plates should be used on the same day.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Sample preparation: Protein immobilization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Allow the surface-modified microplate to reach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Wash the wells with 500 &amp;#181;L of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Add 100 nM biotin</w:t>
      </w:r>
      <w:r>
        <w:rPr>
          <w:rFonts w:ascii="Calibri" w:hAnsi="Calibri" w:cs="Calibri" w:eastAsia="Calibri"/>
          <w:color w:val="auto"/>
          <w:spacing w:val="0"/>
          <w:position w:val="0"/>
          <w:sz w:val="24"/>
          <w:shd w:fill="FFFF00" w:val="clear"/>
        </w:rPr>
        <w:t xml:space="preserve">-eGFP-Myosin VI Tail-mRFP (stock sample protein) </w:t>
      </w:r>
      <w:r>
        <w:rPr>
          <w:rFonts w:ascii="Calibri" w:hAnsi="Calibri" w:cs="Calibri" w:eastAsia="Calibri"/>
          <w:color w:val="000000"/>
          <w:spacing w:val="0"/>
          <w:position w:val="0"/>
          <w:sz w:val="24"/>
          <w:shd w:fill="FFFF00" w:val="clear"/>
        </w:rPr>
        <w:t xml:space="preserve">and incubate for 15 min at room temperature in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example protein is produced as described by Dos Santos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Concentrations and incubations times can vary depending upon the protein.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Wash the wells 3x with 500 &amp;#181;L of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Set up the plate reader to record fluorescence spectra for GFP (excitation 490 nm and emission 510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nm) and RFP (excitation 560 nm and emission 580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650nm) to confirm the presence of the fusion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If there is a lack of protein, increase the concentration at step 3.3.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Poor binding could relate to inadequate biotin-BSA and/or streptavidin binding, and therefore, the amounts could be increased 10-fold.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If possible, perform a well-scan measurement to determine if the fusion protein is bound across the microplate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measurement will record the fluorescence intensity at specific points across the microplate well. It will reveal if the protein is bound across the well.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Ensure that the signal is uniform (within 5%) in the center of the well where the assay measurement occurs.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Magnetic bead 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Vortex the vial of 2.8 &amp;#181;m paramagnetic beads with recombinant Protein A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30 s to resuspend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Transfer the volume corresponding to 1 mg of paramagnetic beads to a 1.5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Place the tube in a magnetic isolator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then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Resuspend the beads in 200 &amp;#181;L of PBS by gently pipetting the solution up and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Place the tube in the magnetic isolator and then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Repeat the wash step 3x.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Dilute 10 &amp;#181;g of Anti-RFP antibody in 200 &amp;#181;L of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Isolate the beads in the magnetic isolator and then resuspend in the antibody solution.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Rotate at 20 rpm for 10 min at room temperature on a benchtop rotator.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Place the tube in the magnetic isolator and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Wash 3x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Resuspend the beads in 200 &amp;#181;L of wash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 To confirm antibody immobilization on the beads, incubate the antibody-loaded beads with a solution of &amp;gt;1 &amp;#181;M RFP fusion protein.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Confirm visually whether the protein is isolated by the beads.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Alternatively, measure the fluorescence intensity of the supernatant (excitation 560 nm and emission 580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650nm) for RFP in a fluorescence spectrometer.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Sample preparation: Bead attachment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Add 10 &amp;#181;g of the paramagnetic bead-antibody fusion diluted in wash buffer (200 &amp;#181;L)  to the protein-bound microplate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Do not place beads in one control well to check for the effect of beads on the fluorescent signal. Prepare a control sample without antibodies to determine any non-specific interactions with the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Incubate the microplate at room temperature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Wash the wells 3x with 500 &amp;#181;L of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If available locally, check that the beads are bound to the surface on a brightfield microscope. If there is a lack of beads, increase the concentration in step 5.1 to 500 &amp;#181;g/mL.</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Data acquisition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Place the microplate, without lid, into a fluorescent plate reader at 25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Set up the plate reader to record fluorescence spectra for GFP (excitation 490 nm and emission 510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600 nm) and RFP (excitation 560 nm and emission 580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650 nm) to confirm the presence of the fusion proteins.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Measure/record the fluorescence spectra through the bottom of the microplate to place the lid on top. Therefore, a suitable microplate reader should be selected.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Record a FRET fluorescence spectrum (excitation 490 nm and emission 510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650nm), or monitor fluorescence at 510 nm and 610 nm with excitation at 490 nm. </w:t>
      </w:r>
      <w:r>
        <w:rPr>
          <w:rFonts w:ascii="Calibri" w:hAnsi="Calibri" w:cs="Calibri" w:eastAsia="Calibri"/>
          <w:color w:val="000000"/>
          <w:spacing w:val="0"/>
          <w:position w:val="0"/>
          <w:sz w:val="24"/>
          <w:shd w:fill="auto" w:val="clear"/>
        </w:rPr>
        <w:t xml:space="preserve">This is set up according to the manufacturer’s guidance.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Remove the microplate from the reader and add the magnetic lid.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Return to the plate reader and leave the sample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000000"/>
          <w:spacing w:val="0"/>
          <w:position w:val="0"/>
          <w:sz w:val="24"/>
          <w:shd w:fill="FFFF00" w:val="clear"/>
        </w:rPr>
        <w:t xml:space="preserve">Repeat the FRET measurement, as in step 6.3.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Export the data for import into a spreadsheet (e.g., Excel).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Manually extract the data for Donor GFP at 510 nm and acceptor RFP at 610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Calculate relative FRET using Equation 2 for each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Equation 2: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acceptor intensity (RFP 610 nm), D: donor intensity (GFP 510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recombinant RFP under the same excitation and emission conditions to control for the background excitation of the acceptor.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an example of a well-scan measurement where the fluorescence intensity of GFP has been recorded at 1 mm intervals across the microplate well. Typical fluorescence measurements are performed at the center position of the microplate well (position 8,8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it is, therefore, important that there is bound protein at this location.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intensity is highest in the center of the well within a radius of a few millimeters. Typically, immobilization is better away from the edges of the well, potentially due to protein binding to the side walls. The poor signal due to lack of protein binding or defects in biotin-BSA and/or streptavidin would be identified here. A fluorescent streptavidin conjugate could be used to confirm biotin-BSA on the surface. Likewise, a control protein consisting of biotin-GFP would determine if streptavidin is bound to the biotin-BSA surface.  As mentioned in the protocol, the amount of biotin-BSA, streptavidin, and protein can be increased.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provides example data for the forced-induced unfolding of myosin VI. The biotin-eGFP-Myosin VI Tail-mRFP construct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was immobilized on the microplate surface and coupled to the paramagnetic beads using an anti-RFP antibody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this scenario, a high FRET state is found when myosin VI is backfolded where the fluorescent proteins are in close proximity.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FRET spectrum was recorded in the absence of the magnetic lid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where a signal at 610 nm can be observed. If no signal is seen at either 510 nm or 610 nm, individual fluorescence spectra should be recorded for GFP and RFP to determine if the fusion is intact. The experiment was then repeated in the presence of the lid with magnets generating an assumed force of 1.8 pN, arising from a 0.5 mm pedestal with a 2 mm gap between magnets. The intensity at 610 nm was lost, indicating a loss of FRET due to a conformation change. The relative FRET was calculated using Equation 1, where a decrease is observed following the addition of force. A change in conformation triggering the FRET change will lead to an intensity decrease in 610 nm (acceptor) and an intensity increase in 510 nm (donor). If only one changes, then the effect is likely to be the disruption of the fluorescent proteins rather than the conformation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was repeated over a range of forces where magnets were positioned at different heights relative to the bottom of the microplate. Based on the height, the gap between magnets, and particle size, the force applied to the sample (assumed force) can be calculated based on equations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Relative FRET decreased upon the addition of force up to 1 pN, but it did not change for greater forces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absence of anti-RFP antibodies or paramagnetic beads stops the force application upon myosin VI, and therefore there is no change in Relative FRET. The presence of the antibody or beads could cause a change in the fluorescence signal due to environmental changes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may impact the FRET calculation, so it is critical to perform the control experiments. Lastly, the application of high force could remove the construct from the surface or cause a break in the protein. Therefore, it is important to ensure there is still a signal from both GFP and RFP following a decrease in Relative FRET.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Example design for 3D printed magnetic lid.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Side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top-down projections showing the position of the pedestals which hold the magnets. The pedestals in rows 1 and 2 are at 0.5 cm, 0.4 cm, 0.3 cm, 0.2 cm and 0.1 cm, respectively. The measurements stated here will differ for each brand and type of microplate.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pedestals determine the force applied to the sample. The width of the divider (black) can be altered to change the space between the magnets. This will alter the strength of the magnetic field, as detailed in </w:t>
      </w:r>
      <w:r>
        <w:rPr>
          <w:rFonts w:ascii="Calibri" w:hAnsi="Calibri" w:cs="Calibri" w:eastAsia="Calibri"/>
          <w:color w:val="auto"/>
          <w:spacing w:val="0"/>
          <w:position w:val="0"/>
          <w:sz w:val="24"/>
          <w:shd w:fill="auto" w:val="clear"/>
        </w:rPr>
        <w:t xml:space="preserve">Dos Santos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height of the spacer (blue) can be varied to adjust the distance between the magnets and the surface to alter the force applied on the sample, as described in </w:t>
      </w:r>
      <w:r>
        <w:rPr>
          <w:rFonts w:ascii="Calibri" w:hAnsi="Calibri" w:cs="Calibri" w:eastAsia="Calibri"/>
          <w:color w:val="auto"/>
          <w:spacing w:val="0"/>
          <w:position w:val="0"/>
          <w:sz w:val="24"/>
          <w:shd w:fill="auto" w:val="clear"/>
        </w:rPr>
        <w:t xml:space="preserve">Dos Santos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Image of an example 3D printed lid.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Principle for exerting forces on biomolecules. A molecule of interest is attached to the surface and bound to a paramagnetic particle. A pair of 5 mm cube neodymium magnets attached to the lid (grey) exert force on the beads through their magnetic field. Increasing the proximity of the magnets to the beads leads to higher forces exerted across the molecule. In this assay, the proximity is altered using different size pedestals.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Well scan depicting bound protein on the surface of the microplate. </w:t>
      </w:r>
      <w:r>
        <w:rPr>
          <w:rFonts w:ascii="Calibri" w:hAnsi="Calibri" w:cs="Calibri" w:eastAsia="Calibri"/>
          <w:color w:val="auto"/>
          <w:spacing w:val="0"/>
          <w:position w:val="0"/>
          <w:sz w:val="24"/>
          <w:shd w:fill="auto" w:val="clear"/>
        </w:rPr>
        <w:t xml:space="preserve">The eGFP-Myosin VI Tail-mRFP construct was immobilized on the surface through an N-terminal biotinylation tag,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well-scan measurement was performed across the microplate well at 1 mm intervals monitoring the fluorescence of GFP (excitation at 490 nm and emission at 515 nm). The GFP fluorescence intensity numbers are presented as a heat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for the force-induced unfolding of myosin VI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the assay format. The eGFP-Myosin VI Tail-mRFP construct was immobilized through an N-terminal biotinylation tag (BRS). The C-terminus was coupled to Protein-A paramagnetic beads through an anti-RFP. When no force is applied, the protein is folded, which generates a high FRET signal. The application of force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triggers unfolding, leading to a low FRET state.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fluorescence spectra following GFP excitation in the absence (red) and presence of 1.8 pN of force (dark blue). </w:t>
      </w:r>
      <w:r>
        <w:rPr>
          <w:rFonts w:ascii="Calibri" w:hAnsi="Calibri" w:cs="Calibri" w:eastAsia="Calibri"/>
          <w:color w:val="000000"/>
          <w:spacing w:val="0"/>
          <w:position w:val="0"/>
          <w:sz w:val="24"/>
          <w:shd w:fill="auto" w:val="clear"/>
        </w:rPr>
        <w:t xml:space="preserve">INSET: Relative FRET calculated using Equation 1 for 3 replicates. The color legend matches the spectra.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Plot of Relative FRET obtained under different forces by varying the pedestal height from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cm. Data are also shown for control experiments in the absence of the antibody and beads. Error bars represent SEM from 3 independent experiments.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tabs>
          <w:tab w:val="left" w:pos="6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approach enables force-based measurements to be readily applied in a microplate using fluorescent plate readers. </w:t>
      </w:r>
      <w:r>
        <w:rPr>
          <w:rFonts w:ascii="Calibri" w:hAnsi="Calibri" w:cs="Calibri" w:eastAsia="Calibri"/>
          <w:color w:val="000000"/>
          <w:spacing w:val="0"/>
          <w:position w:val="0"/>
          <w:sz w:val="24"/>
          <w:shd w:fill="auto" w:val="clear"/>
        </w:rPr>
        <w:t xml:space="preserve">Importantly, this assay format assumes there is functional protein when it is bound to a surface. Therefore, prior knowledge is required before embarking on these measurements to ensure there is protein activity. It is also beneficial to make sure that the binding of molecules to the paramagnetic beads and surface is optimized for each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concept can be modified to function across all types of microplates; however, the magnet selection will need to be adapted for microplates above 24 wells, as magnets cannot fit in the wells. Magnets can still be placed on top of the wells; however, in a 24 well plate, this does not lead to stray fields across the other wells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smaller wells, such as 96 well plates, there may be field variations between the wells. Lastly, it is possible to use the same approach while performing fluorescence microscopy on an inverted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approach does not have the force accuracy found within single-molecule measurements and therefore aims to complement those methodologies. </w:t>
      </w:r>
      <w:r>
        <w:rPr>
          <w:rFonts w:ascii="Calibri" w:hAnsi="Calibri" w:cs="Calibri" w:eastAsia="Calibri"/>
          <w:color w:val="000000"/>
          <w:spacing w:val="0"/>
          <w:position w:val="0"/>
          <w:sz w:val="24"/>
          <w:shd w:fill="auto" w:val="clear"/>
        </w:rPr>
        <w:t xml:space="preserve">Furthermore, </w:t>
      </w: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his approach applies a fixed amount of force to the sample and does not allow forces to be varied within a well or monitor forces exerted by a protein. Moreover, assumptions are made which does not apply to single-molecule measurements. For example, we cannot determine the number of molecules attached to each bead. However, the molecule attachment is assumed to be the same for each bead-tether pairing; therefore, relative force changes can be measured. In addition, we cannot determine if a molecule is bound by a paramagnetic particle, and therefore we do not know what fraction of the biomolecule population is generating the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using this approach, it is now possible to quantitatively study biological processes using established assays under mechanical load. Moreover, multiple conditions can be tested simultaneously, thereby increasing the throughput.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Cancer Research UK (A26206), the MRC (MR/M020606/1), and the Royal Society (RG150801) for funding.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Jansen,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guide to mechanobiology: Where biology and physics meet.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1853</w:t>
      </w:r>
      <w:r>
        <w:rPr>
          <w:rFonts w:ascii="Calibri" w:hAnsi="Calibri" w:cs="Calibri" w:eastAsia="Calibri"/>
          <w:color w:val="auto"/>
          <w:spacing w:val="0"/>
          <w:position w:val="0"/>
          <w:sz w:val="24"/>
          <w:shd w:fill="auto" w:val="clear"/>
        </w:rPr>
        <w:t xml:space="preserve">, 3043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Dos Santos, A., Toseland, C. P. Regulation of nuclear mechanics and the impact on dna damage.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(6), 3178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Dos Santos,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DNA damage alters nuclear mechanics through chromatin reorganization.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49 </w:t>
      </w:r>
      <w:r>
        <w:rPr>
          <w:rFonts w:ascii="Calibri" w:hAnsi="Calibri" w:cs="Calibri" w:eastAsia="Calibri"/>
          <w:color w:val="auto"/>
          <w:spacing w:val="0"/>
          <w:position w:val="0"/>
          <w:sz w:val="24"/>
          <w:shd w:fill="auto" w:val="clear"/>
        </w:rPr>
        <w:t xml:space="preserve">(1),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Elosegui-Artola,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Force triggers YAP nuclear entry by regulating transport across nuclear pores.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1410 e1314,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Lherbette,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Atomic force microscopy micro-rheology reveals large structural inhomogeneities in single cell-nuclei.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8116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Seo,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mechanogenetic toolkit for interrogating cell signaling in space and time.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mechanical response of talin.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11966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Dos Santos, A., Fili, N., Pearson, D. S., Hari-Gupta, Y., Toseland, C. P. High-throughput mechanobiology: Force modulation of ensemble biochemical and cell-based assays.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Fili, N., Toseland, C. P. Unconventional myosins: How regulation meets function.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67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Fili,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Competition between two high- and low-affinity protein-binding sites in myosin VI controls its cellular function.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Fili,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NDP52 activates nuclear myosin VI to enhance RNA polymerase II transcription.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1871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MagPlate at GitHub &amp;lt;https://github.com/cptoseland/MagPlate</w:t>
      </w:r>
      <w:r>
        <w:rPr>
          <w:rFonts w:ascii="Calibri" w:hAnsi="Calibri" w:cs="Calibri" w:eastAsia="Calibri"/>
          <w:color w:val="000000"/>
          <w:spacing w:val="0"/>
          <w:position w:val="0"/>
          <w:sz w:val="24"/>
          <w:shd w:fill="auto" w:val="clear"/>
        </w:rPr>
        <w:t xml:space="preserve">&amp;gt;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Toseland, C. P. Fluorescent labeling and modification of proteins. </w:t>
      </w:r>
      <w:r>
        <w:rPr>
          <w:rFonts w:ascii="Calibri" w:hAnsi="Calibri" w:cs="Calibri" w:eastAsia="Calibri"/>
          <w:i/>
          <w:color w:val="auto"/>
          <w:spacing w:val="0"/>
          <w:position w:val="0"/>
          <w:sz w:val="24"/>
          <w:shd w:fill="auto" w:val="clear"/>
        </w:rPr>
        <w:t xml:space="preserve">Journal of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(2013).</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