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Dissection and Immunostaining of Larval Salivary Glands from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Mosquitoes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Z. Chiu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Steven Lannon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Marisol Luchetti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B. Wells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Deborah J. Andrew</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Cell Biology, The Johns Hopkins University School of Medicine, Baltimore, MD 21205,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address: Tufts School of Medicine, 145 Harrison Ave, Boston, MA 02111,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Current address: Department of Biomedical Sciences, Idaho College of Osteopathic Medicine, Meridian, ID 83642,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Z. Chiu</w:t>
        <w:tab/>
        <w:tab/>
        <w:t xml:space="preserve">(michelle.chiu@tufts.edu)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 Lannon</w:t>
        <w:tab/>
        <w:tab/>
        <w:tab/>
        <w:t xml:space="preserve">(slannon3@jhmi.edu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Marisol Luchetti</w:t>
        <w:tab/>
        <w:tab/>
        <w:t xml:space="preserve">(mluchet2@jhu.edu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B. Wells</w:t>
        <w:tab/>
        <w:tab/>
        <w:t xml:space="preserve">(mwells@idahocom.org)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Deborah J. Andrew</w:t>
        <w:tab/>
        <w:tab/>
        <w:t xml:space="preserve">(dandrew@jhmi.edu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adult mosquito salivary gland (SG) is required for the transmission of all mosquito-borne pathogens to their human hosts, including viruses and parasites. This video demonstrates efficient isolation of the SGs from the larval (L4) stage </w:t>
      </w:r>
      <w:r>
        <w:rPr>
          <w:rFonts w:ascii="Calibri" w:hAnsi="Calibri" w:cs="Calibri" w:eastAsia="Calibri"/>
          <w:i/>
          <w:color w:val="auto"/>
          <w:spacing w:val="0"/>
          <w:position w:val="0"/>
          <w:sz w:val="24"/>
          <w:shd w:fill="FFFFFF" w:val="clear"/>
        </w:rPr>
        <w:t xml:space="preserve">Anopheles gambiae</w:t>
      </w:r>
      <w:r>
        <w:rPr>
          <w:rFonts w:ascii="Calibri" w:hAnsi="Calibri" w:cs="Calibri" w:eastAsia="Calibri"/>
          <w:color w:val="auto"/>
          <w:spacing w:val="0"/>
          <w:position w:val="0"/>
          <w:sz w:val="24"/>
          <w:shd w:fill="FFFFFF" w:val="clear"/>
        </w:rPr>
        <w:t xml:space="preserve"> mosquitoes and preparation of the L4 SGs for further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Mosquito salivary glands (SGs) are a requisite gateway organ for the transmission of insect-borne pathogens. Disease-causing agents, including viruses and the Plasmodium parasites that cause malaria, accumulate in the secretory cavities of SG cells. Here, they are poised for transmission to their vertebrate hosts during a subsequent blood meal. As adult glands form as an elaboration of larval SG duct bud remnants that persist beyond early pupal SG histolysis, the larval SG is an ideal target for interventions that limit disease transmission. Understanding larval SG development can help develop a better understanding of its morphology and functional adaptations and aid in the assessment of new interventions that target this organ. This video protocol demonstrates an efficient technique for isolating, fixing, and staining larval SGs from </w:t>
      </w:r>
      <w:r>
        <w:rPr>
          <w:rFonts w:ascii="Calibri" w:hAnsi="Calibri" w:cs="Calibri" w:eastAsia="Calibri"/>
          <w:i/>
          <w:color w:val="auto"/>
          <w:spacing w:val="0"/>
          <w:position w:val="0"/>
          <w:sz w:val="24"/>
          <w:shd w:fill="FFFFFF" w:val="clear"/>
        </w:rPr>
        <w:t xml:space="preserve">Anopheles gambiae</w:t>
      </w:r>
      <w:r>
        <w:rPr>
          <w:rFonts w:ascii="Calibri" w:hAnsi="Calibri" w:cs="Calibri" w:eastAsia="Calibri"/>
          <w:color w:val="auto"/>
          <w:spacing w:val="0"/>
          <w:position w:val="0"/>
          <w:sz w:val="24"/>
          <w:shd w:fill="FFFFFF" w:val="clear"/>
        </w:rPr>
        <w:t xml:space="preserve"> mosquitoes. Glands dissected from larvae in a 25% ethanol solution are fixed in a methanol</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glacial acetic acid mixture, followed by a cold acetone wash. After a few rinses in phosphate-buffered saline (PBS), SGs can be stained with a broad array of marker dyes and/or antisera against SG-expressed proteins. This method for larval SG isolation could also be used to collect tissue for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hybridization analysis, other transcriptomic applications, and proteomic studies.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Malaria is a major public health threat causing almost 230 million infections and an estimated 409,000 deaths in 2019</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The majority of deaths are in sub-Saharan Africa and are caused by the parasite </w:t>
      </w:r>
      <w:r>
        <w:rPr>
          <w:rFonts w:ascii="Calibri" w:hAnsi="Calibri" w:cs="Calibri" w:eastAsia="Calibri"/>
          <w:i/>
          <w:color w:val="auto"/>
          <w:spacing w:val="0"/>
          <w:position w:val="0"/>
          <w:sz w:val="24"/>
          <w:shd w:fill="FFFFFF" w:val="clear"/>
        </w:rPr>
        <w:t xml:space="preserve">Plasmodium falciparum</w:t>
      </w:r>
      <w:r>
        <w:rPr>
          <w:rFonts w:ascii="Calibri" w:hAnsi="Calibri" w:cs="Calibri" w:eastAsia="Calibri"/>
          <w:color w:val="auto"/>
          <w:spacing w:val="0"/>
          <w:position w:val="0"/>
          <w:sz w:val="24"/>
          <w:shd w:fill="FFFFFF" w:val="clear"/>
        </w:rPr>
        <w:t xml:space="preserve">, whose insect vector is </w:t>
      </w:r>
      <w:r>
        <w:rPr>
          <w:rFonts w:ascii="Calibri" w:hAnsi="Calibri" w:cs="Calibri" w:eastAsia="Calibri"/>
          <w:i/>
          <w:color w:val="auto"/>
          <w:spacing w:val="0"/>
          <w:position w:val="0"/>
          <w:sz w:val="24"/>
          <w:shd w:fill="FFFFFF" w:val="clear"/>
        </w:rPr>
        <w:t xml:space="preserve">Anopheles gambiae</w:t>
      </w:r>
      <w:r>
        <w:rPr>
          <w:rFonts w:ascii="Calibri" w:hAnsi="Calibri" w:cs="Calibri" w:eastAsia="Calibri"/>
          <w:color w:val="auto"/>
          <w:spacing w:val="0"/>
          <w:position w:val="0"/>
          <w:sz w:val="24"/>
          <w:shd w:fill="FFFFFF" w:val="clear"/>
        </w:rPr>
        <w:t xml:space="preserve">, the subject of this video demonstration. Although the numbers indicate a significant drop in annual death rate since the turn of the century (&amp;gt;300,000 fewer annual deaths), the promising decreases in disease rates observed from 2000 to 2015 are tapering, suggesting the need for new approaches to limiting disease transmission</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Among promising additional strategies for controlling and possibly eliminating malaria is targeting mosquito vector capacity using CRISPR/Cas9-based gene-editing and gene-drive</w:t>
      </w:r>
      <w:r>
        <w:rPr>
          <w:rFonts w:ascii="Calibri" w:hAnsi="Calibri" w:cs="Calibri" w:eastAsia="Calibri"/>
          <w:color w:val="auto"/>
          <w:spacing w:val="0"/>
          <w:position w:val="0"/>
          <w:sz w:val="24"/>
          <w:shd w:fill="FFFFFF" w:val="clear"/>
          <w:vertAlign w:val="superscript"/>
        </w:rPr>
        <w:t xml:space="preserve">3-5</w:t>
      </w:r>
      <w:r>
        <w:rPr>
          <w:rFonts w:ascii="Calibri" w:hAnsi="Calibri" w:cs="Calibri" w:eastAsia="Calibri"/>
          <w:color w:val="auto"/>
          <w:spacing w:val="0"/>
          <w:position w:val="0"/>
          <w:sz w:val="24"/>
          <w:shd w:fill="FFFFFF" w:val="clear"/>
        </w:rPr>
        <w:t xml:space="preserve">. Indeed, it is the targeting of the mosquito vector (through the expanded use of long-lasting insecticide-treated bed nets) that has had the greatest impact on reducing disease transmission</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Female mosquitoes acquire Plasmodium gametocytes from an infected human during a blood meal. Following fertilization, maturation, midgut epithelium traversal, population expansion, and hemocoel navigation in their obligate mosquito hosts, hundreds to tens of thousands of Plasmodium sporozoites invade the mosquito SGs and fill the secretory cavities of the constituent secretory cells. Once inside the secretory cavities, the parasites have direct access to the salivary duct and are thus poised for transmission to a new vertebrate host upon the next blood meal. Because SGs are critical for the transmission of malaria-causing sporozoites to their human hosts, and laboratory studies suggest that SGs are not essential for blood-feeding, mosquito survival, or fecundity</w:t>
      </w:r>
      <w:r>
        <w:rPr>
          <w:rFonts w:ascii="Calibri" w:hAnsi="Calibri" w:cs="Calibri" w:eastAsia="Calibri"/>
          <w:color w:val="auto"/>
          <w:spacing w:val="0"/>
          <w:position w:val="0"/>
          <w:sz w:val="24"/>
          <w:shd w:fill="FFFFFF" w:val="clear"/>
          <w:vertAlign w:val="superscript"/>
        </w:rPr>
        <w:t xml:space="preserve">7-9</w:t>
      </w:r>
      <w:r>
        <w:rPr>
          <w:rFonts w:ascii="Calibri" w:hAnsi="Calibri" w:cs="Calibri" w:eastAsia="Calibri"/>
          <w:color w:val="auto"/>
          <w:spacing w:val="0"/>
          <w:position w:val="0"/>
          <w:sz w:val="24"/>
          <w:shd w:fill="FFFFFF" w:val="clear"/>
        </w:rPr>
        <w:t xml:space="preserve">, they represent an ideal target for transmission-blocking measures. Adult mosquito SGs form as an elaboration of “duct bud” remnants in the larval SGs that persist beyond early pupal SG histolysis</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making the larval SG an ideal target for interventions to limit adult-stage disease transmission.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Characterizing the larval stage of SG development can help develop not only a better understanding of its morphology and functional adaptations but can also aid in assessing new interventions that target this organ through gene editing of key SG regulators. Because all previous studies of larval salivary gland architecture predate immunostaining and modern imaging techniques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FFFFFF" w:val="clear"/>
        </w:rPr>
        <w:t xml:space="preserve">, we have developed a protocol for isolating and staining salivary glands with a variety of antibodies and cell markers</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This video demonstrates this approach to the extraction, fixation, and staining of larval SGs from </w:t>
      </w:r>
      <w:r>
        <w:rPr>
          <w:rFonts w:ascii="Calibri" w:hAnsi="Calibri" w:cs="Calibri" w:eastAsia="Calibri"/>
          <w:i/>
          <w:color w:val="auto"/>
          <w:spacing w:val="0"/>
          <w:position w:val="0"/>
          <w:sz w:val="24"/>
          <w:shd w:fill="FFFFFF" w:val="clear"/>
        </w:rPr>
        <w:t xml:space="preserve">Anopheles gambiae</w:t>
      </w:r>
      <w:r>
        <w:rPr>
          <w:rFonts w:ascii="Calibri" w:hAnsi="Calibri" w:cs="Calibri" w:eastAsia="Calibri"/>
          <w:color w:val="auto"/>
          <w:spacing w:val="0"/>
          <w:position w:val="0"/>
          <w:sz w:val="24"/>
          <w:shd w:fill="FFFFFF" w:val="clear"/>
        </w:rPr>
        <w:t xml:space="preserve"> L4 larvae for confocal imaging.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 and tools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dissection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To prepare dissecting solution, add 2.5 mL of 100% ethanol to 7.5 mL of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15 plastic tube. Invert the tube 3 times to mix.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solution can be stored at room temperature for several weeks.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Preparation of 10x phosphate-buffered saline (PBS) stock</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w:t>
        <w:tab/>
        <w:t xml:space="preserve">To prepare 10x PBS stock, add 17.8 g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HPO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2H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 2.4 g KH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80 g NaCl, and 2 g KCl to 800 mL of deionized water. Mix with a stir bar on a stir plate until the solids have fully dissolved. Adjust the final volume to 1 L with purified water.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solution can be stored at room temperature for several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Preparation of 1x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Add 10 mL of 10x PBS to 90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 sterile glass bottle. Close the lid tightly and invert 3x to mix.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solution can be stored at 4 &amp;#176;C for several weeks.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Preparation of fixative.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 Add 600 &amp;#181;L of methanol to 200 &amp;#181;L of glacial acetic acid. Make the solution fresh each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Construction of putty plate (a tissue culture dish filled with silicone rubber)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Mix the components (1:50) of epoxy (1 g) and water (50 mL) and pour the mixture into a Petri dish. Wait for the components to dry before using.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constructed, the putty plate can be used for years.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Gland dissection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Collect late-stage L4 larvae (~10 days post hatch;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from feeding trays using a plastic transfer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this helpful online manual for standard mosquito husbandry and larval culture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a putty plate on the stage of a dissecting microscope and transfer larvae onto the putty 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aliquoting larvae for initial dissection, it is helpful to transfer ~10 larvae onto the slide at one time using a plastic transfer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a drop of dissection solution (1:3 EtOH:H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onto the putty plate, separate from the 10 larvae.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Use a plastic transfer pipette or disposable glass pipette to place one L4 larva into the 25% EtOH drop.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Take forceps (#5), one in each hand, and with the non-dominant hand, grip the head of the larva. Using the dominant hand, grasp the larva with forceps just below the head and gently pull with minimal constant force, such that the head detaches from the rest of the body and the glands remain attached to the head. Discard the body portion of the larva carcass.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dissecting, set a paper towel nearby to collect the larvae carcasses.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Collect the head/glands into 1 mL of 1x PBS in a 1.5 mL microcentrifuge tube. </w:t>
      </w:r>
      <w:r>
        <w:rPr>
          <w:rFonts w:ascii="Calibri" w:hAnsi="Calibri" w:cs="Calibri" w:eastAsia="Calibri"/>
          <w:color w:val="auto"/>
          <w:spacing w:val="0"/>
          <w:position w:val="0"/>
          <w:sz w:val="24"/>
          <w:shd w:fill="auto" w:val="clear"/>
        </w:rPr>
        <w:t xml:space="preserve">Use 1 mL of PBS for ~40 dissected glands with their attached heads. </w:t>
      </w:r>
      <w:r>
        <w:rPr>
          <w:rFonts w:ascii="Calibri" w:hAnsi="Calibri" w:cs="Calibri" w:eastAsia="Calibri"/>
          <w:color w:val="auto"/>
          <w:spacing w:val="0"/>
          <w:position w:val="0"/>
          <w:sz w:val="24"/>
          <w:shd w:fill="FFFF00" w:val="clear"/>
        </w:rPr>
        <w:t xml:space="preserve">Wait for the heads/SGs to sink to the bottom of the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Fixation for antibody staining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Drain the PBS starting from the top of the microcentrifuge tube using a glass transfer pipette, avoiding the sticky mosquito tissues and removing as much of the PBS solution as possible without damaging the tissues. Replace the solution with 800 &amp;#181;L of a 3:1 mixture of methanol to glacial acetic acid. Place the tube at 4 &amp;#176;C overnight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recommended; 19 h preferred).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The following day, drain the solution and replace it with 1 mL of cold 100% acetone. Leave for 90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Remove the acetone and gently rinse the tissues three times with 1 mL of 1x PBS each time.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should float slowly up with the flow, then fall back to the bottom of the tube by the time each PBS addition is complete.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Immunostaining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Add primary antibody (e.g., Rab11) at the appropriate dilution (1:100) in 200 &amp;#181;L of the total volume of 1x PBS. Swirl the tube contents gently with a pipette tip.</w:t>
      </w:r>
      <w:r>
        <w:rPr>
          <w:rFonts w:ascii="Calibri" w:hAnsi="Calibri" w:cs="Calibri" w:eastAsia="Calibri"/>
          <w:color w:val="auto"/>
          <w:spacing w:val="0"/>
          <w:position w:val="0"/>
          <w:sz w:val="24"/>
          <w:shd w:fill="auto" w:val="clear"/>
        </w:rPr>
        <w:t xml:space="preserve"> Incubate overnight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Remove the primary antibody solution and wash three times with 1 mL of 1x PBS (gently pipetting the solution in and out of the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Add secondary antibody (Alex Fluor 488 Goat anti-Rabbit) at the appropriate dilution (1:200) in 200 &amp;#181;L of total volume. Swirl the tube contents gently with a pipette tip.</w:t>
      </w:r>
      <w:r>
        <w:rPr>
          <w:rFonts w:ascii="Calibri" w:hAnsi="Calibri" w:cs="Calibri" w:eastAsia="Calibri"/>
          <w:color w:val="auto"/>
          <w:spacing w:val="0"/>
          <w:position w:val="0"/>
          <w:sz w:val="24"/>
          <w:shd w:fill="auto" w:val="clear"/>
        </w:rPr>
        <w:t xml:space="preserve"> Incubate at room temperature for 90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Add dyes, such as Nile Red (lipids, 5 &amp;#181;L of 1 &amp;#181;g/&amp;#181;L) and/or Hoechst (DNA, 3 &amp;#181;L of 1 &amp;#181;g/&amp;#181;L), into 200 &amp;#181;L of PBS at this stage. Incubate at room temperature for an additional 60 min. Wash gently three times with 1x PBS.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Mounting stained glands for microscopy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Pipette 200 &amp;#181;L of 100% glycerol onto a microscope slide.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glycerol is viscous, leave the pipette tip in the liquid until it reaches the appropriate volume. No tissue shrinking was observed when going straight into 100% glycerol. However, researchers can go through 30% and 50% glycerol washes in the tubes before moving the samples into 100% glycerol.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Transfer the stained heads (up to 20 per slide) with the attached glands (along with other internal structures) to the microscope slide using a soft brush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Spread the samples out so that they are evenly distributed along the glass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depositing glands on a cover slide with a brush, forceps can be used to gently orient the SGs so that they are all oriented in the same direction.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Viewing under a dissecting microscope, separate the larval head from the glands using two pairs of forceps and carefully pulling the two tissues in opposite directions.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it is challenging to completely isolate the SGs, simply remove the heads, leaving the SGs and associated internal structures. Even if the SGs remain associated with other tissues, they are easily recognized when stained with Hoechst and other markers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Remove and discard the heads and repeat the separation process for each SG.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removing heads, set a paper towel nearby to collect them.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Gently place a 1.5 mm thick coverslip on the top (avoiding air bubbles) and seal with clear nail polish.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Store at 4 &amp;#176;C in a light-proof container.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Prepared slides of stained glands can be kept at 4 &amp;#176;C in the dark for up to six months to one year without any notable changes in quality. If glycerol starts to leak as the months go by, gently lift the coverslip and pipette in more glycerol to fill holes.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Salivary glands are relatively easy to dissect from all stage 4 larvae. Male and female larvae can be distinguished at the late L4 larval stage by a red stripe along the dorsal thorax of females but not males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 also observe that antennal morphology is much more elaborate in male than in female L4 larvae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similar to the differences observed in this structure in adult mosquitoes. Along with the considerable overall growth during the L4 stage, the salivary glands also form a lumen during L4</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Salivary glands isolated from early L4 stage larvae stained with Hoechst reveal the proximal and distal lobes separated by a narrow constriction (</w:t>
      </w:r>
      <w:r>
        <w:rPr>
          <w:rFonts w:ascii="Calibri" w:hAnsi="Calibri" w:cs="Calibri" w:eastAsia="Calibri"/>
          <w:b/>
          <w:color w:val="auto"/>
          <w:spacing w:val="0"/>
          <w:position w:val="0"/>
          <w:sz w:val="24"/>
          <w:shd w:fill="auto" w:val="clear"/>
        </w:rPr>
        <w:t xml:space="preserve">Figure 3B,C</w:t>
      </w:r>
      <w:r>
        <w:rPr>
          <w:rFonts w:ascii="Calibri" w:hAnsi="Calibri" w:cs="Calibri" w:eastAsia="Calibri"/>
          <w:color w:val="auto"/>
          <w:spacing w:val="0"/>
          <w:position w:val="0"/>
          <w:sz w:val="24"/>
          <w:shd w:fill="auto" w:val="clear"/>
        </w:rPr>
        <w:t xml:space="preserve">). The forming lumen will extend all the way from the salivary duct at the proximal-most end (not shown) through the distal lobe. The forming lumen can be seen in the immunostained distal salivary gland of a mid-to-late L4 larva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apical domains of the secretory cells surrounding the forming lumen have intense Nile Red staining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suggestive of microvilli-like structures. Also observed close to the apical surface is Rab11 staining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arrows). Rab11 localizes to apical recycling endosomes. The Rab11 staining that also accumulates along the basal surface of the gland is an artefact due to the stickiness of the basal membrane. Similar background staining is common with immunostaining of both larval and adult salivary glands and has been mistaken for bona fide signal.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Cartoon visualization of the immunostaining process from gland dissection through slide preparation. </w:t>
      </w:r>
      <w:r>
        <w:rPr>
          <w:rFonts w:ascii="Calibri" w:hAnsi="Calibri" w:cs="Calibri" w:eastAsia="Calibri"/>
          <w:color w:val="auto"/>
          <w:spacing w:val="0"/>
          <w:position w:val="0"/>
          <w:sz w:val="24"/>
          <w:shd w:fill="auto" w:val="clear"/>
        </w:rPr>
        <w:t xml:space="preserve">Abbreviations: SGs = salivary glands; PBS = phosphate-buffered saline; MeOH = methanol;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Abs = antibodies; LH = left hand; RH = right hand.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Male and female L4 stage </w:t>
      </w:r>
      <w:r>
        <w:rPr>
          <w:rFonts w:ascii="Calibri" w:hAnsi="Calibri" w:cs="Calibri" w:eastAsia="Calibri"/>
          <w:b/>
          <w:i/>
          <w:color w:val="auto"/>
          <w:spacing w:val="0"/>
          <w:position w:val="0"/>
          <w:sz w:val="24"/>
          <w:shd w:fill="auto" w:val="clear"/>
        </w:rPr>
        <w:t xml:space="preserve">Anopheles gambaie </w:t>
      </w:r>
      <w:r>
        <w:rPr>
          <w:rFonts w:ascii="Calibri" w:hAnsi="Calibri" w:cs="Calibri" w:eastAsia="Calibri"/>
          <w:b/>
          <w:color w:val="auto"/>
          <w:spacing w:val="0"/>
          <w:position w:val="0"/>
          <w:sz w:val="24"/>
          <w:shd w:fill="auto" w:val="clear"/>
        </w:rPr>
        <w:t xml:space="preserve">larvae.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Early L4 larvae.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Late L4 Larvae. There is considerable growth during the L4 stage. Females (</w:t>
      </w:r>
      <w:r>
        <w:rPr>
          <w:rFonts w:ascii="Calibri" w:hAnsi="Calibri" w:cs="Calibri" w:eastAsia="Calibri"/>
          <w:b/>
          <w:color w:val="auto"/>
          <w:spacing w:val="0"/>
          <w:position w:val="0"/>
          <w:sz w:val="24"/>
          <w:shd w:fill="auto" w:val="clear"/>
        </w:rPr>
        <w:t xml:space="preserve">A, C</w:t>
      </w:r>
      <w:r>
        <w:rPr>
          <w:rFonts w:ascii="Calibri" w:hAnsi="Calibri" w:cs="Calibri" w:eastAsia="Calibri"/>
          <w:color w:val="auto"/>
          <w:spacing w:val="0"/>
          <w:position w:val="0"/>
          <w:sz w:val="24"/>
          <w:shd w:fill="auto" w:val="clear"/>
        </w:rPr>
        <w:t xml:space="preserve">) have been described as having a distinguishing red stripe down the dorsal thorax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black arrow) that is not present in males (</w:t>
      </w:r>
      <w:r>
        <w:rPr>
          <w:rFonts w:ascii="Calibri" w:hAnsi="Calibri" w:cs="Calibri" w:eastAsia="Calibri"/>
          <w:b/>
          <w:color w:val="auto"/>
          <w:spacing w:val="0"/>
          <w:position w:val="0"/>
          <w:sz w:val="24"/>
          <w:shd w:fill="auto" w:val="clear"/>
        </w:rPr>
        <w:t xml:space="preserve">B, D</w:t>
      </w:r>
      <w:r>
        <w:rPr>
          <w:rFonts w:ascii="Calibri" w:hAnsi="Calibri" w:cs="Calibri" w:eastAsia="Calibri"/>
          <w:color w:val="auto"/>
          <w:spacing w:val="0"/>
          <w:position w:val="0"/>
          <w:sz w:val="24"/>
          <w:shd w:fill="auto" w:val="clear"/>
        </w:rPr>
        <w:t xml:space="preserve">), but also their antennae are much less elaborate (frilly) than those of male larvae from both early and late L4 (white arrows in enlarged images). Scale bars = 1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Early L4 salivary glands.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Early L4 female larval head with salivary glands and other internal organs still attached. Salivary gland is outlined. Scale bar = 50 &amp;#181;m.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Isolated larval glands stained with Hoechst.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Merge of fluorescent and Nomarski images showing the shape of the proximal and distal lobes and the blue Hoechst staining in nuclei.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Hoechst fluorescent image highlights nuclei only. Scale bar in bottom panels = 20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Immunostained distal L4 salivary 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Gland has been stained with Hoechst (nuclear DNA, blue)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Nile Red (membrane marker, red); immunostained for Rab11 (apical recycling vesicles, green)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merged image. Note that a lumen is present at the stage shown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arrows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point to the expected Rab11 staining of vesicles near the apical surface that overlaps the Nile Red-positive vesicular staining in the merge (white arrows). Non-specific background staining around the basal surface (asterisks) is also observed, a common type of background observed in larval and adult salivary glands. Scale bars = 20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herein was adapted from a Drosophila SG dissection protocol and an adult mosquito dissection protocol</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However, m</w:t>
      </w:r>
      <w:r>
        <w:rPr>
          <w:rFonts w:ascii="Calibri" w:hAnsi="Calibri" w:cs="Calibri" w:eastAsia="Calibri"/>
          <w:color w:val="auto"/>
          <w:spacing w:val="0"/>
          <w:position w:val="0"/>
          <w:sz w:val="24"/>
          <w:shd w:fill="FFFFFF" w:val="clear"/>
        </w:rPr>
        <w:t xml:space="preserve">ost markers did not penetrate the basement membrane (data not shown) when using the adult dissection and SG staining methods. </w:t>
      </w:r>
      <w:r>
        <w:rPr>
          <w:rFonts w:ascii="Calibri" w:hAnsi="Calibri" w:cs="Calibri" w:eastAsia="Calibri"/>
          <w:color w:val="auto"/>
          <w:spacing w:val="0"/>
          <w:position w:val="0"/>
          <w:sz w:val="24"/>
          <w:shd w:fill="auto" w:val="clear"/>
        </w:rPr>
        <w:t xml:space="preserve">Adaptations of the adult protocol included dissecting the glands in a 25% EtOH solution, washing the glands with a combination of MeOH and glacial acetic acid, and having a 90 s acetone wash. In the original adult protocol, adult SGs were dissected in 1x PBS</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Dissecting in a 25% EtOH solution helped preserve the SGs and prevented damage during the staining periods. When performing the initial dissection, it was easiest to orient the larval SGs with the head facing the non-dominant hand and having the dominant hand gently pull outwards (because the larvae are very actively moving). The improved tissue penetration achieved by washing the glands with a MeOH: glacial acetic acid solution suggests that the lipid content in the larval SG basement membrane and/or cellular plasma membranes is distinct from that of the adult SG. The 90 s acetone wash improved the clarity of glands for imaging. Although the fixation period was recommended to be at least 19 h (overnight), longer periods worked just as effectively.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morphology of the SGs can vary widely depending on when the larvae are dissected in the 2-day long L4 stage. In early L4 dissections (day 1), the lumen appears much smaller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late L4 dissections (second half of day 2), the lumen is large, and the cells are elongated. We found that the optimal period for working with larvae was the L4; L1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L3 SGs are simply too small for manual dissections. In imaging results, glands dissected at mid-to-late-L4 showed smaller cells mixed with larger, laterally elongated cells, particularly in the distal sac.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Previous reports on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FFFFFF" w:val="clear"/>
        </w:rPr>
        <w:t xml:space="preserve"> SG development have provided much guidance for the current studies. These reports have included illustrations of dissected embryonic and larval SGs</w:t>
      </w:r>
      <w:r>
        <w:rPr>
          <w:rFonts w:ascii="Calibri" w:hAnsi="Calibri" w:cs="Calibri" w:eastAsia="Calibri"/>
          <w:color w:val="auto"/>
          <w:spacing w:val="0"/>
          <w:position w:val="0"/>
          <w:sz w:val="24"/>
          <w:shd w:fill="FFFFFF" w:val="clear"/>
          <w:vertAlign w:val="superscript"/>
        </w:rPr>
        <w:t xml:space="preserve">17,18</w:t>
      </w:r>
      <w:r>
        <w:rPr>
          <w:rFonts w:ascii="Calibri" w:hAnsi="Calibri" w:cs="Calibri" w:eastAsia="Calibri"/>
          <w:color w:val="auto"/>
          <w:spacing w:val="0"/>
          <w:position w:val="0"/>
          <w:sz w:val="24"/>
          <w:shd w:fill="FFFFFF" w:val="clear"/>
        </w:rPr>
        <w:t xml:space="preserve">, detailed microscopic analysis of dissected glands</w:t>
      </w:r>
      <w:r>
        <w:rPr>
          <w:rFonts w:ascii="Calibri" w:hAnsi="Calibri" w:cs="Calibri" w:eastAsia="Calibri"/>
          <w:color w:val="auto"/>
          <w:spacing w:val="0"/>
          <w:position w:val="0"/>
          <w:sz w:val="24"/>
          <w:shd w:fill="FFFFFF" w:val="clear"/>
          <w:vertAlign w:val="superscript"/>
        </w:rPr>
        <w:t xml:space="preserve">19,20</w:t>
      </w:r>
      <w:r>
        <w:rPr>
          <w:rFonts w:ascii="Calibri" w:hAnsi="Calibri" w:cs="Calibri" w:eastAsia="Calibri"/>
          <w:color w:val="auto"/>
          <w:spacing w:val="0"/>
          <w:position w:val="0"/>
          <w:sz w:val="24"/>
          <w:shd w:fill="FFFFFF" w:val="clear"/>
        </w:rPr>
        <w:t xml:space="preserve">, and transcriptomic studies</w:t>
      </w:r>
      <w:r>
        <w:rPr>
          <w:rFonts w:ascii="Calibri" w:hAnsi="Calibri" w:cs="Calibri" w:eastAsia="Calibri"/>
          <w:color w:val="auto"/>
          <w:spacing w:val="0"/>
          <w:position w:val="0"/>
          <w:sz w:val="24"/>
          <w:shd w:fill="FFFFFF" w:val="clear"/>
          <w:vertAlign w:val="superscript"/>
        </w:rPr>
        <w:t xml:space="preserve">20-22</w:t>
      </w:r>
      <w:r>
        <w:rPr>
          <w:rFonts w:ascii="Calibri" w:hAnsi="Calibri" w:cs="Calibri" w:eastAsia="Calibri"/>
          <w:color w:val="auto"/>
          <w:spacing w:val="0"/>
          <w:position w:val="0"/>
          <w:sz w:val="24"/>
          <w:shd w:fill="FFFFFF" w:val="clear"/>
        </w:rPr>
        <w:t xml:space="preserve">. The features of the </w:t>
      </w:r>
      <w:r>
        <w:rPr>
          <w:rFonts w:ascii="Calibri" w:hAnsi="Calibri" w:cs="Calibri" w:eastAsia="Calibri"/>
          <w:i/>
          <w:color w:val="auto"/>
          <w:spacing w:val="0"/>
          <w:position w:val="0"/>
          <w:sz w:val="24"/>
          <w:shd w:fill="auto" w:val="clear"/>
        </w:rPr>
        <w:t xml:space="preserve">Anopheles stephensi</w:t>
      </w:r>
      <w:r>
        <w:rPr>
          <w:rFonts w:ascii="Calibri" w:hAnsi="Calibri" w:cs="Calibri" w:eastAsia="Calibri"/>
          <w:color w:val="auto"/>
          <w:spacing w:val="0"/>
          <w:position w:val="0"/>
          <w:sz w:val="24"/>
          <w:shd w:fill="FFFFFF" w:val="clear"/>
        </w:rPr>
        <w:t xml:space="preserve"> SG were reported during the 1950s by two different groups</w:t>
      </w:r>
      <w:r>
        <w:rPr>
          <w:rFonts w:ascii="Calibri" w:hAnsi="Calibri" w:cs="Calibri" w:eastAsia="Calibri"/>
          <w:color w:val="auto"/>
          <w:spacing w:val="0"/>
          <w:position w:val="0"/>
          <w:sz w:val="24"/>
          <w:shd w:fill="FFFFFF" w:val="clear"/>
          <w:vertAlign w:val="superscript"/>
        </w:rPr>
        <w:t xml:space="preserve">10,11</w:t>
      </w:r>
      <w:r>
        <w:rPr>
          <w:rFonts w:ascii="Calibri" w:hAnsi="Calibri" w:cs="Calibri" w:eastAsia="Calibri"/>
          <w:color w:val="auto"/>
          <w:spacing w:val="0"/>
          <w:position w:val="0"/>
          <w:sz w:val="24"/>
          <w:shd w:fill="FFFFFF" w:val="clear"/>
        </w:rPr>
        <w:t xml:space="preserve">. Many of the morphological features of the larval glands were described, including the overall organization of the SG, the relative positions of distinct cell types within the organ (duct, adult SG precursors, and the larval proximal and distal secretory sacs)</w:t>
      </w:r>
      <w:r>
        <w:rPr>
          <w:rFonts w:ascii="Calibri" w:hAnsi="Calibri" w:cs="Calibri" w:eastAsia="Calibri"/>
          <w:color w:val="auto"/>
          <w:spacing w:val="0"/>
          <w:position w:val="0"/>
          <w:sz w:val="24"/>
          <w:shd w:fill="FFFFFF" w:val="clear"/>
          <w:vertAlign w:val="superscript"/>
        </w:rPr>
        <w:t xml:space="preserve">10,11</w:t>
      </w:r>
      <w:r>
        <w:rPr>
          <w:rFonts w:ascii="Calibri" w:hAnsi="Calibri" w:cs="Calibri" w:eastAsia="Calibri"/>
          <w:color w:val="auto"/>
          <w:spacing w:val="0"/>
          <w:position w:val="0"/>
          <w:sz w:val="24"/>
          <w:shd w:fill="FFFFFF" w:val="clear"/>
        </w:rPr>
        <w:t xml:space="preserve">. Both groups also reported additional morphometric data, including the number and distribution of secretory cells within each sac and their nuclear size</w:t>
      </w:r>
      <w:r>
        <w:rPr>
          <w:rFonts w:ascii="Calibri" w:hAnsi="Calibri" w:cs="Calibri" w:eastAsia="Calibri"/>
          <w:color w:val="auto"/>
          <w:spacing w:val="0"/>
          <w:position w:val="0"/>
          <w:sz w:val="24"/>
          <w:shd w:fill="FFFFFF" w:val="clear"/>
          <w:vertAlign w:val="superscript"/>
        </w:rPr>
        <w:t xml:space="preserve">10,11</w:t>
      </w:r>
      <w:r>
        <w:rPr>
          <w:rFonts w:ascii="Calibri" w:hAnsi="Calibri" w:cs="Calibri" w:eastAsia="Calibri"/>
          <w:color w:val="auto"/>
          <w:spacing w:val="0"/>
          <w:position w:val="0"/>
          <w:sz w:val="24"/>
          <w:shd w:fill="FFFFFF" w:val="clear"/>
        </w:rPr>
        <w:t xml:space="preserve">. Rishikesh showed that, like the Drosophila larval SGs, the larval SG chromosomes from </w:t>
      </w:r>
      <w:r>
        <w:rPr>
          <w:rFonts w:ascii="Calibri" w:hAnsi="Calibri" w:cs="Calibri" w:eastAsia="Calibri"/>
          <w:i/>
          <w:color w:val="auto"/>
          <w:spacing w:val="0"/>
          <w:position w:val="0"/>
          <w:sz w:val="24"/>
          <w:shd w:fill="FFFFFF" w:val="clear"/>
        </w:rPr>
        <w:t xml:space="preserve">Anopheles stephensi </w:t>
      </w:r>
      <w:r>
        <w:rPr>
          <w:rFonts w:ascii="Calibri" w:hAnsi="Calibri" w:cs="Calibri" w:eastAsia="Calibri"/>
          <w:color w:val="auto"/>
          <w:spacing w:val="0"/>
          <w:position w:val="0"/>
          <w:sz w:val="24"/>
          <w:shd w:fill="FFFFFF" w:val="clear"/>
        </w:rPr>
        <w:t xml:space="preserve">are polytenized</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These important foundational overviews described broad biological aspects of larval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FFFFFF" w:val="clear"/>
        </w:rPr>
        <w:t xml:space="preserve"> SGs.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method described herein should be useful for studying not only larval SGs of </w:t>
      </w:r>
      <w:r>
        <w:rPr>
          <w:rFonts w:ascii="Calibri" w:hAnsi="Calibri" w:cs="Calibri" w:eastAsia="Calibri"/>
          <w:i/>
          <w:color w:val="auto"/>
          <w:spacing w:val="0"/>
          <w:position w:val="0"/>
          <w:sz w:val="24"/>
          <w:shd w:fill="FFFFFF" w:val="clear"/>
        </w:rPr>
        <w:t xml:space="preserve">An. gambiae </w:t>
      </w:r>
      <w:r>
        <w:rPr>
          <w:rFonts w:ascii="Calibri" w:hAnsi="Calibri" w:cs="Calibri" w:eastAsia="Calibri"/>
          <w:color w:val="auto"/>
          <w:spacing w:val="0"/>
          <w:position w:val="0"/>
          <w:sz w:val="24"/>
          <w:shd w:fill="FFFFFF" w:val="clear"/>
        </w:rPr>
        <w:t xml:space="preserve">but can also apply to those studying other species of mosquitos. Indeed, the same protocol has been successfully utilized (unpublished) with </w:t>
      </w:r>
      <w:r>
        <w:rPr>
          <w:rFonts w:ascii="Calibri" w:hAnsi="Calibri" w:cs="Calibri" w:eastAsia="Calibri"/>
          <w:i/>
          <w:color w:val="auto"/>
          <w:spacing w:val="0"/>
          <w:position w:val="0"/>
          <w:sz w:val="24"/>
          <w:shd w:fill="FFFFFF" w:val="clear"/>
        </w:rPr>
        <w:t xml:space="preserve">An. stephensi</w:t>
      </w:r>
      <w:r>
        <w:rPr>
          <w:rFonts w:ascii="Calibri" w:hAnsi="Calibri" w:cs="Calibri" w:eastAsia="Calibri"/>
          <w:color w:val="auto"/>
          <w:spacing w:val="0"/>
          <w:position w:val="0"/>
          <w:sz w:val="24"/>
          <w:shd w:fill="FFFFFF" w:val="clear"/>
        </w:rPr>
        <w:t xml:space="preserve">, a species frequently studied in the laboratory. One limitation to the protocol is the limited number of antibodies that have been specifically generated against mosquito proteins. Although using Drosophila antibodies for highly conserved proteins has circumnavigated this limitation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FFFFFF" w:val="clear"/>
        </w:rPr>
        <w:t xml:space="preserve">, the field could benefit from more mosquito protein-specific antibodies. Understanding larval SG cellular and molecular biology can contribute to new control or target strategies and allow for the discovery of new candidate target genes for SG disruption.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Johns Hopkins Malaria Research Institute for access to and rearing of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larvae.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World Health Organization. World malaria report 2020: 20 years of global progress and challenges.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https://apps.who.int/iris/handle/10665/337660</w:t>
        </w:r>
      </w:hyperlink>
      <w:r>
        <w:rPr>
          <w:rFonts w:ascii="Calibri" w:hAnsi="Calibri" w:cs="Calibri" w:eastAsia="Calibri"/>
          <w:color w:val="auto"/>
          <w:spacing w:val="0"/>
          <w:position w:val="0"/>
          <w:sz w:val="24"/>
          <w:shd w:fill="auto" w:val="clear"/>
        </w:rPr>
        <w:t xml:space="preserve">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Feachem, R. 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Malaria eradication within a generation: ambitious, achievable, and necessary.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394 </w:t>
      </w:r>
      <w:r>
        <w:rPr>
          <w:rFonts w:ascii="Calibri" w:hAnsi="Calibri" w:cs="Calibri" w:eastAsia="Calibri"/>
          <w:color w:val="auto"/>
          <w:spacing w:val="0"/>
          <w:position w:val="0"/>
          <w:sz w:val="24"/>
          <w:shd w:fill="auto" w:val="clear"/>
        </w:rPr>
        <w:t xml:space="preserve">(10203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Adolfi,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Efficient population modification gene-drive rescue system in the malaria mosquito </w:t>
      </w:r>
      <w:r>
        <w:rPr>
          <w:rFonts w:ascii="Calibri" w:hAnsi="Calibri" w:cs="Calibri" w:eastAsia="Calibri"/>
          <w:i/>
          <w:color w:val="auto"/>
          <w:spacing w:val="0"/>
          <w:position w:val="0"/>
          <w:sz w:val="24"/>
          <w:shd w:fill="auto" w:val="clear"/>
        </w:rPr>
        <w:t xml:space="preserve">Anopheles stephensi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5553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Kyrou,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CRISPR-Cas9 gene drive targeting doublesex causes complete population suppression in caged Anopheles gambiae mosquitoes.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(11), 1062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Rostami, M. N. CRISPR/Cas9 gene drive technology to control transmission of vector-borne parasitic infections. </w:t>
      </w:r>
      <w:r>
        <w:rPr>
          <w:rFonts w:ascii="Calibri" w:hAnsi="Calibri" w:cs="Calibri" w:eastAsia="Calibri"/>
          <w:i/>
          <w:color w:val="auto"/>
          <w:spacing w:val="0"/>
          <w:position w:val="0"/>
          <w:sz w:val="24"/>
          <w:shd w:fill="auto" w:val="clear"/>
        </w:rPr>
        <w:t xml:space="preserve">Parasite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(9), e12762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Bhatt,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Coverage and system efficiencies of insecticide-treated nets in Africa from 2000 to 2017.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e09672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Mellink, J. J., Van den Bovenkamp, W. Functional aspects of mosquito salivation in blood feeding of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Mosquito News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(1), 115 (1981).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Ribeiro, J. M., Rossignol, P. A., Spielman, A. Role of mosquito saliva in blood vessel location.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(1984).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Yamamoto, D. S., Sumitani, M., Kasashima, K., Sezutsu, H., Matsuoka, H. Inhibition of malaria infection in transgenic Anopheline mosquitoes lacking salivary gland cells.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e1005872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Rishikesh, N. Morphology and development of the salivary glands and their chromosomes in the larvae of </w:t>
      </w:r>
      <w:r>
        <w:rPr>
          <w:rFonts w:ascii="Calibri" w:hAnsi="Calibri" w:cs="Calibri" w:eastAsia="Calibri"/>
          <w:i/>
          <w:color w:val="auto"/>
          <w:spacing w:val="0"/>
          <w:position w:val="0"/>
          <w:sz w:val="24"/>
          <w:shd w:fill="auto" w:val="clear"/>
        </w:rPr>
        <w:t xml:space="preserve">Anopheles stephensi</w:t>
      </w:r>
      <w:r>
        <w:rPr>
          <w:rFonts w:ascii="Calibri" w:hAnsi="Calibri" w:cs="Calibri" w:eastAsia="Calibri"/>
          <w:color w:val="auto"/>
          <w:spacing w:val="0"/>
          <w:position w:val="0"/>
          <w:sz w:val="24"/>
          <w:shd w:fill="auto" w:val="clear"/>
        </w:rPr>
        <w:t xml:space="preserve"> sensu stricto. </w:t>
      </w:r>
      <w:r>
        <w:rPr>
          <w:rFonts w:ascii="Calibri" w:hAnsi="Calibri" w:cs="Calibri" w:eastAsia="Calibri"/>
          <w:i/>
          <w:color w:val="auto"/>
          <w:spacing w:val="0"/>
          <w:position w:val="0"/>
          <w:sz w:val="24"/>
          <w:shd w:fill="auto" w:val="clear"/>
        </w:rPr>
        <w:t xml:space="preserve">Bulletin of the World Health Organization.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(1959).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Jensen, D. V., Jones, J. C. The development of the salivary glands in </w:t>
      </w:r>
      <w:r>
        <w:rPr>
          <w:rFonts w:ascii="Calibri" w:hAnsi="Calibri" w:cs="Calibri" w:eastAsia="Calibri"/>
          <w:i/>
          <w:color w:val="auto"/>
          <w:spacing w:val="0"/>
          <w:position w:val="0"/>
          <w:sz w:val="24"/>
          <w:shd w:fill="auto" w:val="clear"/>
        </w:rPr>
        <w:t xml:space="preserve">Anopheles albimanus</w:t>
      </w:r>
      <w:r>
        <w:rPr>
          <w:rFonts w:ascii="Calibri" w:hAnsi="Calibri" w:cs="Calibri" w:eastAsia="Calibri"/>
          <w:color w:val="auto"/>
          <w:spacing w:val="0"/>
          <w:position w:val="0"/>
          <w:sz w:val="24"/>
          <w:shd w:fill="auto" w:val="clear"/>
        </w:rPr>
        <w:t xml:space="preserve"> Wiedemann (Diptera, Culicidae). </w:t>
      </w:r>
      <w:r>
        <w:rPr>
          <w:rFonts w:ascii="Calibri" w:hAnsi="Calibri" w:cs="Calibri" w:eastAsia="Calibri"/>
          <w:i/>
          <w:color w:val="auto"/>
          <w:spacing w:val="0"/>
          <w:position w:val="0"/>
          <w:sz w:val="24"/>
          <w:shd w:fill="auto" w:val="clear"/>
        </w:rPr>
        <w:t xml:space="preserve">Annals of the Entomological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(5), 40824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44083 (1957).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Chiu, M., Trigg, B., Taracena, M., Wells, M. Diverse cellular morphologies during lumen maturation in Anopheles gambiae larval salivary glands. </w:t>
      </w:r>
      <w:r>
        <w:rPr>
          <w:rFonts w:ascii="Calibri" w:hAnsi="Calibri" w:cs="Calibri" w:eastAsia="Calibri"/>
          <w:i/>
          <w:color w:val="auto"/>
          <w:spacing w:val="0"/>
          <w:position w:val="0"/>
          <w:sz w:val="24"/>
          <w:shd w:fill="auto" w:val="clear"/>
        </w:rPr>
        <w:t xml:space="preserve">Insect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(2), 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Benedict, M. Q., MR4. Methods in Anopheles research. Center for Disease Control; The MR4 Vector Activity Team (ed),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https://www.beiresources.org/Portals/2/</w:t>
        </w:r>
      </w:hyperlink>
      <w:r>
        <w:rPr>
          <w:rFonts w:ascii="Calibri" w:hAnsi="Calibri" w:cs="Calibri" w:eastAsia="Calibri"/>
          <w:color w:val="auto"/>
          <w:spacing w:val="0"/>
          <w:position w:val="0"/>
          <w:sz w:val="24"/>
          <w:shd w:fill="auto" w:val="clear"/>
        </w:rPr>
        <w:t xml:space="preserve"> VectorResources/2016%20Methods%20in%20Anopheles%20Research%20full%20manual.pdf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Wells, M. B., Andrew, D. J. Salivary gland cellular architecture in the Asian malaria vector mosquito </w:t>
      </w:r>
      <w:r>
        <w:rPr>
          <w:rFonts w:ascii="Calibri" w:hAnsi="Calibri" w:cs="Calibri" w:eastAsia="Calibri"/>
          <w:i/>
          <w:color w:val="auto"/>
          <w:spacing w:val="0"/>
          <w:position w:val="0"/>
          <w:sz w:val="24"/>
          <w:shd w:fill="auto" w:val="clear"/>
        </w:rPr>
        <w:t xml:space="preserve">Anopheles stephensi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Parasites &amp;amp;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617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Wells, M. B., Villamor, J., Andrew, D. J. Salivary gland maturation and duct formation in the African malaria mosquito Anopheles gambiae.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601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Wells, M. B., Andrew, D. J. Anopheles salivary gland architecture shapes plasmodium sporozoite availability for transmission.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e01238-19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Clements, A. N. </w:t>
      </w:r>
      <w:r>
        <w:rPr>
          <w:rFonts w:ascii="Calibri" w:hAnsi="Calibri" w:cs="Calibri" w:eastAsia="Calibri"/>
          <w:i/>
          <w:color w:val="auto"/>
          <w:spacing w:val="0"/>
          <w:position w:val="0"/>
          <w:sz w:val="24"/>
          <w:shd w:fill="auto" w:val="clear"/>
        </w:rPr>
        <w:t xml:space="preserve">The physiology of mosquitoes</w:t>
      </w:r>
      <w:r>
        <w:rPr>
          <w:rFonts w:ascii="Calibri" w:hAnsi="Calibri" w:cs="Calibri" w:eastAsia="Calibri"/>
          <w:color w:val="auto"/>
          <w:spacing w:val="0"/>
          <w:position w:val="0"/>
          <w:sz w:val="24"/>
          <w:shd w:fill="auto" w:val="clear"/>
        </w:rPr>
        <w:t xml:space="preserve">. Pergamon Press, Paris (1963).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Imms, A. D. On the larval and pupal stages of </w:t>
      </w:r>
      <w:r>
        <w:rPr>
          <w:rFonts w:ascii="Calibri" w:hAnsi="Calibri" w:cs="Calibri" w:eastAsia="Calibri"/>
          <w:i/>
          <w:color w:val="auto"/>
          <w:spacing w:val="0"/>
          <w:position w:val="0"/>
          <w:sz w:val="24"/>
          <w:shd w:fill="auto" w:val="clear"/>
        </w:rPr>
        <w:t xml:space="preserve">Anopheles maculipennis</w:t>
      </w:r>
      <w:r>
        <w:rPr>
          <w:rFonts w:ascii="Calibri" w:hAnsi="Calibri" w:cs="Calibri" w:eastAsia="Calibri"/>
          <w:color w:val="auto"/>
          <w:spacing w:val="0"/>
          <w:position w:val="0"/>
          <w:sz w:val="24"/>
          <w:shd w:fill="auto" w:val="clear"/>
        </w:rPr>
        <w:t xml:space="preserve">, meigen. </w:t>
      </w:r>
      <w:r>
        <w:rPr>
          <w:rFonts w:ascii="Calibri" w:hAnsi="Calibri" w:cs="Calibri" w:eastAsia="Calibri"/>
          <w:i/>
          <w:color w:val="auto"/>
          <w:spacing w:val="0"/>
          <w:position w:val="0"/>
          <w:sz w:val="24"/>
          <w:shd w:fill="auto" w:val="clear"/>
        </w:rPr>
        <w:t xml:space="preserve">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(2),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(1908).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Favia,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Bacteria of the genus Asaia stably associate with </w:t>
      </w:r>
      <w:r>
        <w:rPr>
          <w:rFonts w:ascii="Calibri" w:hAnsi="Calibri" w:cs="Calibri" w:eastAsia="Calibri"/>
          <w:i/>
          <w:color w:val="auto"/>
          <w:spacing w:val="0"/>
          <w:position w:val="0"/>
          <w:sz w:val="24"/>
          <w:shd w:fill="auto" w:val="clear"/>
        </w:rPr>
        <w:t xml:space="preserve">Anopheles stephensi</w:t>
      </w:r>
      <w:r>
        <w:rPr>
          <w:rFonts w:ascii="Calibri" w:hAnsi="Calibri" w:cs="Calibri" w:eastAsia="Calibri"/>
          <w:color w:val="auto"/>
          <w:spacing w:val="0"/>
          <w:position w:val="0"/>
          <w:sz w:val="24"/>
          <w:shd w:fill="auto" w:val="clear"/>
        </w:rPr>
        <w:t xml:space="preserve">, an Asian malarial mosquito vector.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(21), 9047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9051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Neira Oviedo,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salivary transcriptome of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(Diptera: Culicidae) larvae: A microarray-based analysis. </w:t>
      </w:r>
      <w:r>
        <w:rPr>
          <w:rFonts w:ascii="Calibri" w:hAnsi="Calibri" w:cs="Calibri" w:eastAsia="Calibri"/>
          <w:i/>
          <w:color w:val="auto"/>
          <w:spacing w:val="0"/>
          <w:position w:val="0"/>
          <w:sz w:val="24"/>
          <w:shd w:fill="auto" w:val="clear"/>
        </w:rPr>
        <w:t xml:space="preserve">Insect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Linser, P. J., Smith, K. E., Seron, T. J., Neira Oviedo, M. Carbonic anhydrases and anion transport in mosquito midgut pH regulation.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212 </w:t>
      </w:r>
      <w:r>
        <w:rPr>
          <w:rFonts w:ascii="Calibri" w:hAnsi="Calibri" w:cs="Calibri" w:eastAsia="Calibri"/>
          <w:color w:val="auto"/>
          <w:spacing w:val="0"/>
          <w:position w:val="0"/>
          <w:sz w:val="24"/>
          <w:shd w:fill="auto" w:val="clear"/>
        </w:rPr>
        <w:t xml:space="preserve">(11), 1662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Linser, P.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Slc4-like anion transporters of the larval mosquito alimentary canal. </w:t>
      </w:r>
      <w:r>
        <w:rPr>
          <w:rFonts w:ascii="Calibri" w:hAnsi="Calibri" w:cs="Calibri" w:eastAsia="Calibri"/>
          <w:i/>
          <w:color w:val="auto"/>
          <w:spacing w:val="0"/>
          <w:position w:val="0"/>
          <w:sz w:val="24"/>
          <w:shd w:fill="auto" w:val="clear"/>
        </w:rPr>
        <w:t xml:space="preserve">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(4), 551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562 (2012).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pps.who.int/iris/handle/10665/337660" Id="docRId0" Type="http://schemas.openxmlformats.org/officeDocument/2006/relationships/hyperlink" /><Relationship TargetMode="External" Target="https://www.beiresources.org/Portals/2/"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