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Cytometric Analysis for Identification of the Innate and Adaptive Immune Cells of Murine Lung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Anthos Christofides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Carol Cao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Rinku Pal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Halil I. Aksoylar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Vassiliki A. Boussiotis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Hematology-Oncology, Beth Israel Deaconess Medical Center, Harvard Medical School, Boston, MA 02215,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Beth Israel Deaconess Medical Center, Harvard Medical School, Boston, MA 02215,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Harvard College, 10 Holyoke Pl, Cambridge, MA 02138,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Anthos Christofides</w:t>
        <w:tab/>
        <w:tab/>
        <w:tab/>
        <w:t xml:space="preserve">(</w:t>
      </w:r>
      <w:r>
        <w:rPr>
          <w:rFonts w:ascii="Calibri" w:hAnsi="Calibri" w:cs="Calibri" w:eastAsia="Calibri"/>
          <w:color w:val="000000"/>
          <w:spacing w:val="0"/>
          <w:position w:val="0"/>
          <w:sz w:val="24"/>
          <w:shd w:fill="auto" w:val="clear"/>
        </w:rPr>
        <w:t xml:space="preserve">achrist3@bidmc.harvard.edu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 Cao</w:t>
        <w:tab/>
        <w:tab/>
        <w:tab/>
        <w:tab/>
        <w:t xml:space="preserve">(</w:t>
      </w:r>
      <w:r>
        <w:rPr>
          <w:rFonts w:ascii="Calibri" w:hAnsi="Calibri" w:cs="Calibri" w:eastAsia="Calibri"/>
          <w:color w:val="000000"/>
          <w:spacing w:val="0"/>
          <w:position w:val="0"/>
          <w:sz w:val="24"/>
          <w:shd w:fill="auto" w:val="clear"/>
        </w:rPr>
        <w:t xml:space="preserve">carolcao@college.harvard.edu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Rinku Pal</w:t>
        <w:tab/>
        <w:tab/>
        <w:tab/>
        <w:tab/>
        <w:t xml:space="preserve">(</w:t>
      </w:r>
      <w:r>
        <w:rPr>
          <w:rFonts w:ascii="Calibri" w:hAnsi="Calibri" w:cs="Calibri" w:eastAsia="Calibri"/>
          <w:color w:val="000000"/>
          <w:spacing w:val="0"/>
          <w:position w:val="0"/>
          <w:sz w:val="24"/>
          <w:shd w:fill="auto" w:val="clear"/>
        </w:rPr>
        <w:t xml:space="preserve">rpal@bidmc.harvard.edu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Halil I. Aksoylar</w:t>
        <w:tab/>
        <w:tab/>
        <w:tab/>
        <w:t xml:space="preserve">(</w:t>
      </w:r>
      <w:r>
        <w:rPr>
          <w:rFonts w:ascii="Calibri" w:hAnsi="Calibri" w:cs="Calibri" w:eastAsia="Calibri"/>
          <w:color w:val="000000"/>
          <w:spacing w:val="0"/>
          <w:position w:val="0"/>
          <w:sz w:val="24"/>
          <w:shd w:fill="auto" w:val="clear"/>
        </w:rPr>
        <w:t xml:space="preserve">haksoyla@bidmc.harvard.edu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Vassiliki A. Boussiotis</w:t>
        <w:tab/>
        <w:tab/>
        <w:tab/>
        <w:t xml:space="preserve">(</w:t>
      </w:r>
      <w:r>
        <w:rPr>
          <w:rFonts w:ascii="Calibri" w:hAnsi="Calibri" w:cs="Calibri" w:eastAsia="Calibri"/>
          <w:color w:val="auto"/>
          <w:spacing w:val="0"/>
          <w:position w:val="0"/>
          <w:sz w:val="24"/>
          <w:shd w:fill="FFFFFF" w:val="clear"/>
        </w:rPr>
        <w:t xml:space="preserve">vboussio@bidmc.harvard.edu</w:t>
      </w:r>
      <w:r>
        <w:rPr>
          <w:rFonts w:ascii="Calibri" w:hAnsi="Calibri" w:cs="Calibri" w:eastAsia="Calibri"/>
          <w:color w:val="auto"/>
          <w:spacing w:val="0"/>
          <w:position w:val="0"/>
          <w:sz w:val="24"/>
          <w:u w:val="single"/>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lung, immune cells, gating strategy, flow cytometry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In this study, we present an effective and reproducible protocol to isolate the immune populations of the murine respiratory system. We also provide a method for the </w:t>
      </w:r>
      <w:r>
        <w:rPr>
          <w:rFonts w:ascii="Calibri" w:hAnsi="Calibri" w:cs="Calibri" w:eastAsia="Calibri"/>
          <w:color w:val="auto"/>
          <w:spacing w:val="0"/>
          <w:position w:val="0"/>
          <w:sz w:val="24"/>
          <w:shd w:fill="auto" w:val="clear"/>
        </w:rPr>
        <w:t xml:space="preserve">identification of all innate and adaptive immune cells that reside in the lungs of healthy mice, using a 9-color-based flow cytometry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respiratory tract is in direct contact with the outside environment and requires a precisely regulated immune system to provide protection while suppressing unwanted reactions to environmental antigens. </w:t>
      </w:r>
      <w:r>
        <w:rPr>
          <w:rFonts w:ascii="Calibri" w:hAnsi="Calibri" w:cs="Calibri" w:eastAsia="Calibri"/>
          <w:color w:val="auto"/>
          <w:spacing w:val="0"/>
          <w:position w:val="0"/>
          <w:sz w:val="24"/>
          <w:shd w:fill="auto" w:val="clear"/>
        </w:rPr>
        <w:t xml:space="preserve">Lungs host several populations of innate and adaptive immune cells that provide immune surveillance but also mediate protective immune responses. These cells, which keep the healthy pulmonary immune system in balance, also participate in several pathological conditions such as asthma, infections, autoimmune diseases, and cancer. Selective expression of surface and intracellular proteins provides unique immunophenotypic properties to the immune cells of the lung. Consequently, flow cytometry has an instrumental role in the identification of such cell populations during steady-state and pathological conditions. This paper presents a protocol that describes a consistent and reproducible method to identify the immune cells that reside in the lungs of healthy mice under steady-state conditions. However, this protocol can also be used to identify changes in these cell populations in various disease models to help identify disease-specific changes in the lung immune landscape.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murine respiratory tract contains a unique immune system responsible for fighting pathogens and maintaining immune homeostasis. The pulmonary immune system consists of cellular populations with significant heterogeneity in their phenotype, function, origin, and location. </w:t>
      </w:r>
      <w:r>
        <w:rPr>
          <w:rFonts w:ascii="Calibri" w:hAnsi="Calibri" w:cs="Calibri" w:eastAsia="Calibri"/>
          <w:color w:val="auto"/>
          <w:spacing w:val="0"/>
          <w:position w:val="0"/>
          <w:sz w:val="24"/>
          <w:shd w:fill="auto" w:val="clear"/>
        </w:rPr>
        <w:t xml:space="preserve">Resident alveolar macrophages (AMs), originated from fetal monocytes, reside in the alveolar lumen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bone marrow-derived interstitial macrophages (IMs) reside in the lung parenchyma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IMs can be further subclassified by the expression of CD206. CD206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IMs populate the peribronchial and perivascular area, while CD206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IMs are located at the alveolar interstitium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few subclassifications of IMs have been proposed recently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Although IMs are less studied than AMs, recent evidence supports their crucial role in the regulation of the immune system of the lung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CD206 is also expressed in alternatively activated AMs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dendritic cells (DCs) are another heterogeneous group of lung immune cells with respect to their functional properties, location, and origin. Four subcategories of DCs have been described in the lung: conventional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(also known as cDC1), conventional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(also known as cDC2), monocyte-derived DCs (MoDCs), and plasmacytoid DCs</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The first three subclasses can be defined as major histocompatibility complex (MHC)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+9,10,14,15</w:t>
      </w:r>
      <w:r>
        <w:rPr>
          <w:rFonts w:ascii="Calibri" w:hAnsi="Calibri" w:cs="Calibri" w:eastAsia="Calibri"/>
          <w:color w:val="auto"/>
          <w:spacing w:val="0"/>
          <w:position w:val="0"/>
          <w:sz w:val="24"/>
          <w:shd w:fill="auto" w:val="clear"/>
        </w:rPr>
        <w:t xml:space="preserve">. Plasmacytoid DCs express MHC II and are intermediately positive for CD11c but express high levels of B220 and PDCA-1</w:t>
      </w:r>
      <w:r>
        <w:rPr>
          <w:rFonts w:ascii="Calibri" w:hAnsi="Calibri" w:cs="Calibri" w:eastAsia="Calibri"/>
          <w:color w:val="auto"/>
          <w:spacing w:val="0"/>
          <w:position w:val="0"/>
          <w:sz w:val="24"/>
          <w:shd w:fill="auto" w:val="clear"/>
          <w:vertAlign w:val="superscript"/>
        </w:rPr>
        <w:t xml:space="preserve">9,13,16</w:t>
      </w:r>
      <w:r>
        <w:rPr>
          <w:rFonts w:ascii="Calibri" w:hAnsi="Calibri" w:cs="Calibri" w:eastAsia="Calibri"/>
          <w:color w:val="auto"/>
          <w:spacing w:val="0"/>
          <w:position w:val="0"/>
          <w:sz w:val="24"/>
          <w:shd w:fill="auto" w:val="clear"/>
        </w:rPr>
        <w:t xml:space="preserve">. In na&amp;#239;ve murine lungs, CD103 DCs and CD11b DCs are located in the airway interstitium, whereas plasmacytoid DCs are located in the alveolar interstitium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major populations of monocytes reside in the lung during steady state: classical monocytes and non-classical monocytes. Classical monocytes are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are critical for the initial inflammatory response. In contrast, non-classical monocytes are Ly6C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have been widely viewed as anti-inflammatory cells</w:t>
      </w:r>
      <w:r>
        <w:rPr>
          <w:rFonts w:ascii="Calibri" w:hAnsi="Calibri" w:cs="Calibri" w:eastAsia="Calibri"/>
          <w:color w:val="auto"/>
          <w:spacing w:val="0"/>
          <w:position w:val="0"/>
          <w:sz w:val="24"/>
          <w:shd w:fill="auto" w:val="clear"/>
          <w:vertAlign w:val="superscript"/>
        </w:rPr>
        <w:t xml:space="preserve">3,16,18</w:t>
      </w:r>
      <w:r>
        <w:rPr>
          <w:rFonts w:ascii="Calibri" w:hAnsi="Calibri" w:cs="Calibri" w:eastAsia="Calibri"/>
          <w:color w:val="auto"/>
          <w:spacing w:val="0"/>
          <w:position w:val="0"/>
          <w:sz w:val="24"/>
          <w:shd w:fill="auto" w:val="clear"/>
        </w:rPr>
        <w:t xml:space="preserve">. Recently, an additional population of 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was described, which originate from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and give rise to CD206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Eosinophils mainly appear in the lungs during helminth infection or allergic conditions. However, there is a small number of eosinophils in the pulmonary parenchyma during steady state, known as resident eosinophils. In contrast to the resident eosinophils, inflammatory eosinophils are found in the lung interstitium and bronchoalveolar lavage (BAL). In mouse models of house dust mite (HDM), inflammatory eosinophils are recruited into the lung after antigen-mediated stimulation. It has been proposed that resident eosinophils might have a regulatory role in allergy by inhibiting T helper 2 (Th2) sensitization to HDM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rest of pulmonary myeloid cells, neutrophils express Ly6G but not CD68 and are characterized by a signature of the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immunophenotype</w:t>
      </w:r>
      <w:r>
        <w:rPr>
          <w:rFonts w:ascii="Calibri" w:hAnsi="Calibri" w:cs="Calibri" w:eastAsia="Calibri"/>
          <w:color w:val="auto"/>
          <w:spacing w:val="0"/>
          <w:position w:val="0"/>
          <w:sz w:val="24"/>
          <w:shd w:fill="auto" w:val="clear"/>
          <w:vertAlign w:val="superscript"/>
        </w:rPr>
        <w:t xml:space="preserve">16,20,21</w:t>
      </w:r>
      <w:r>
        <w:rPr>
          <w:rFonts w:ascii="Calibri" w:hAnsi="Calibri" w:cs="Calibri" w:eastAsia="Calibri"/>
          <w:color w:val="auto"/>
          <w:spacing w:val="0"/>
          <w:position w:val="0"/>
          <w:sz w:val="24"/>
          <w:shd w:fill="auto" w:val="clear"/>
        </w:rPr>
        <w:t xml:space="preserve">. Visualization studies have shown that during steady state, the lung reserves a pool of neutrophils in the intravascular compartment and hosts a considerable number of extravascular neutrophils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Similar to eosinophils, neutrophils are not found in BAL at steady state; however, several forms of immune stimulation, such as LPS challenge, asthma, or pneumonia, drive neutrophils into the alveolar lumen, resulting in their presence in BAL</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substantial number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of the lung represent natural killer (NK), T cells, and B cells and are negative for most myeloid markers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lungs of na&amp;#239;ve mice, these three cell types can be identified based on the expression of CD11b and MHC II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Around 25% of pulmonary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B cells, whereas the percentage of NK cells is higher in the lung than other lymphoid and non-lymphoid tissues</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Among pulmonary T cells, a considerable fraction is CD4</w:t>
      </w:r>
      <w:r>
        <w:rPr>
          <w:rFonts w:ascii="Calibri" w:hAnsi="Calibri" w:cs="Calibri" w:eastAsia="Calibri"/>
          <w:color w:val="auto"/>
          <w:spacing w:val="0"/>
          <w:position w:val="0"/>
          <w:sz w:val="24"/>
          <w:u w:val="single"/>
          <w:shd w:fill="auto" w:val="clear"/>
          <w:vertAlign w:val="superscript"/>
        </w:rPr>
        <w:t xml:space="preserve">-</w:t>
      </w:r>
      <w:r>
        <w:rPr>
          <w:rFonts w:ascii="Calibri" w:hAnsi="Calibri" w:cs="Calibri" w:eastAsia="Calibri"/>
          <w:color w:val="auto"/>
          <w:spacing w:val="0"/>
          <w:position w:val="0"/>
          <w:sz w:val="24"/>
          <w:u w:val="single"/>
          <w:shd w:fill="auto" w:val="clear"/>
        </w:rPr>
        <w:t xml:space="preserve">CD8</w:t>
      </w:r>
      <w:r>
        <w:rPr>
          <w:rFonts w:ascii="Calibri" w:hAnsi="Calibri" w:cs="Calibri" w:eastAsia="Calibri"/>
          <w:color w:val="auto"/>
          <w:spacing w:val="0"/>
          <w:position w:val="0"/>
          <w:sz w:val="24"/>
          <w:u w:val="single"/>
          <w:shd w:fill="auto" w:val="clear"/>
          <w:vertAlign w:val="superscript"/>
        </w:rPr>
        <w:t xml:space="preserve">-</w:t>
      </w:r>
      <w:r>
        <w:rPr>
          <w:rFonts w:ascii="Calibri" w:hAnsi="Calibri" w:cs="Calibri" w:eastAsia="Calibri"/>
          <w:color w:val="auto"/>
          <w:spacing w:val="0"/>
          <w:position w:val="0"/>
          <w:sz w:val="24"/>
          <w:shd w:fill="auto" w:val="clear"/>
        </w:rPr>
        <w:t xml:space="preserve"> and plays an important role in respiratory infections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lung hosts a very complex and unique immune system, several gating strategies for the identification of lung immune cells have been developed and reported</w:t>
      </w:r>
      <w:r>
        <w:rPr>
          <w:rFonts w:ascii="Calibri" w:hAnsi="Calibri" w:cs="Calibri" w:eastAsia="Calibri"/>
          <w:color w:val="auto"/>
          <w:spacing w:val="0"/>
          <w:position w:val="0"/>
          <w:sz w:val="24"/>
          <w:shd w:fill="auto" w:val="clear"/>
          <w:vertAlign w:val="superscript"/>
        </w:rPr>
        <w:t xml:space="preserve">16,18,20,27</w:t>
      </w:r>
      <w:r>
        <w:rPr>
          <w:rFonts w:ascii="Calibri" w:hAnsi="Calibri" w:cs="Calibri" w:eastAsia="Calibri"/>
          <w:color w:val="auto"/>
          <w:spacing w:val="0"/>
          <w:position w:val="0"/>
          <w:sz w:val="24"/>
          <w:shd w:fill="auto" w:val="clear"/>
        </w:rPr>
        <w:t xml:space="preserve">. The gating strategy described herein provides a comprehensive and reproducible way to identify up to 12 different pulmonary myeloid and non-myeloid immune populations using 9 markers. Additional markers have been used to validate the results. Furthermore, a detailed method is provided for the preparation of a single-cell suspension that minimizes cell death and allows the identification of the most complete profile of the immune cell compartment of the lung. It should be noted that the identification of non-immune cells of the lung, such as epithelial cells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endothelial cells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fibroblasts requires a different approach</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Identification of such populations is not included in the protocol and method described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All studies and experiments described in this protocol were conducted under guidelines according to the Institutional Animal Care and Use Committee (IACUC) of Beth Israel Deaconess Medical Center. Six to ten weeks old C57BL/6 mice of either sex were used to develop this protocol.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 Surgical excision and tissue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Euthanize the mouse by intraperitoneally injecting 1 mL of tribromoethanol (prepared according to standard protocol;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should be avoided in lung studies as it might cause lung injury and alter the features and properties of lung immune cells. Cervical dislocation should also be avoided as it might cause mechanical injury of the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Times New Roman" w:hAnsi="Times New Roman" w:cs="Times New Roman" w:eastAsia="Times New Roman"/>
          <w:color w:val="auto"/>
          <w:spacing w:val="0"/>
          <w:position w:val="0"/>
          <w:sz w:val="24"/>
          <w:shd w:fill="FFFF00" w:val="clear"/>
        </w:rPr>
        <w:t xml:space="preserve">Transfer the mouse to a clean and dedicated area for surgical operation.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Times New Roman" w:hAnsi="Times New Roman" w:cs="Times New Roman" w:eastAsia="Times New Roman"/>
          <w:color w:val="auto"/>
          <w:spacing w:val="0"/>
          <w:position w:val="0"/>
          <w:sz w:val="24"/>
          <w:shd w:fill="FFFF00" w:val="clear"/>
        </w:rPr>
        <w:t xml:space="preserve">Stabilize the mouse dorsal side down by using needles or tape on the four extremities. Use 70% ethanol to sanitize the skin of the ventral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Times New Roman" w:hAnsi="Times New Roman" w:cs="Times New Roman" w:eastAsia="Times New Roman"/>
          <w:color w:val="auto"/>
          <w:spacing w:val="0"/>
          <w:position w:val="0"/>
          <w:sz w:val="24"/>
          <w:shd w:fill="FFFF00" w:val="clear"/>
        </w:rPr>
        <w:t xml:space="preserve">Perform an incision in the skin, from the neck to the abdomen. Carefully remove the skin from the thoracic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r>
      <w:r>
        <w:rPr>
          <w:rFonts w:ascii="Times New Roman" w:hAnsi="Times New Roman" w:cs="Times New Roman" w:eastAsia="Times New Roman"/>
          <w:color w:val="auto"/>
          <w:spacing w:val="0"/>
          <w:position w:val="0"/>
          <w:sz w:val="24"/>
          <w:shd w:fill="FFFF00" w:val="clear"/>
        </w:rPr>
        <w:t xml:space="preserve">Carefully remove the sternum and ribs.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Times New Roman" w:hAnsi="Times New Roman" w:cs="Times New Roman" w:eastAsia="Times New Roman"/>
          <w:color w:val="auto"/>
          <w:spacing w:val="0"/>
          <w:position w:val="0"/>
          <w:sz w:val="24"/>
          <w:shd w:fill="FFFF00" w:val="clear"/>
        </w:rPr>
        <w:t xml:space="preserve">Flush the lungs by injecting 10 mL of cold PBS directly in the right ventricle, using an 18</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21 G needle, until the lungs become completely white.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Times New Roman" w:hAnsi="Times New Roman" w:cs="Times New Roman" w:eastAsia="Times New Roman"/>
          <w:color w:val="auto"/>
          <w:spacing w:val="0"/>
          <w:position w:val="0"/>
          <w:sz w:val="24"/>
          <w:shd w:fill="FFFF00" w:val="clear"/>
        </w:rPr>
        <w:t xml:space="preserve">Carefully remove the thymus and heart without touching the lungs.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Times New Roman" w:hAnsi="Times New Roman" w:cs="Times New Roman" w:eastAsia="Times New Roman"/>
          <w:color w:val="auto"/>
          <w:spacing w:val="0"/>
          <w:position w:val="0"/>
          <w:sz w:val="24"/>
          <w:shd w:fill="FFFF00" w:val="clear"/>
        </w:rPr>
        <w:t xml:space="preserve">Gently detach the lungs from the surrounding tissues and transfer them to a tube with cold BSA buffer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Effort should be made to remove all </w:t>
      </w:r>
      <w:r>
        <w:rPr>
          <w:rFonts w:ascii="Calibri" w:hAnsi="Calibri" w:cs="Calibri" w:eastAsia="Calibri"/>
          <w:color w:val="auto"/>
          <w:spacing w:val="0"/>
          <w:position w:val="0"/>
          <w:sz w:val="24"/>
          <w:shd w:fill="FFFFFF" w:val="clear"/>
        </w:rPr>
        <w:t xml:space="preserve">adjacent fat from the lungs before further preparing the single-cell suspension, as this could bias the readouts.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Preparation of single-cell suspension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Transfer the lungs to an empty Petri dish and mince them with two fine scalpels. Transfer all the pieces of the minced lung to a new 50 mL conical tube. Use 5 mL of digestion buffer to wash the plate and add it to the 50 mL tube containing the minced lung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Digestion buffer should be prepared immediately before use. Use 5 mg/mL of collagenase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Combining 1 or 5 mg of collagenase with BSA buffer or protein-free PBS did not improve results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Secure the lid of the tube and digest the lung for 30 min on an orbital shaker at a speed of 150 rpm at 37 </w:t>
      </w:r>
      <w:r>
        <w:rPr>
          <w:rFonts w:ascii="Times New Roman" w:hAnsi="Times New Roman" w:cs="Times New Roman" w:eastAsia="Times New Roman"/>
          <w:color w:val="auto"/>
          <w:spacing w:val="0"/>
          <w:position w:val="0"/>
          <w:sz w:val="24"/>
          <w:shd w:fill="FFFFFF" w:val="clear"/>
        </w:rPr>
        <w:t xml:space="preserve">&amp;#176;C. Stop the reaction by adding 10 mL of</w:t>
      </w:r>
      <w:r>
        <w:rPr>
          <w:rFonts w:ascii="Times New Roman" w:hAnsi="Times New Roman" w:cs="Times New Roman" w:eastAsia="Times New Roman"/>
          <w:color w:val="auto"/>
          <w:spacing w:val="0"/>
          <w:position w:val="0"/>
          <w:sz w:val="24"/>
          <w:shd w:fill="FFFF00" w:val="clear"/>
        </w:rPr>
        <w:t xml:space="preserve"> cold BSA buffer</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FF" w:val="clear"/>
        </w:rPr>
        <w:t xml:space="preserve">After digestion, use an 18 G needle to mix and dissolve the lung pieces.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FF" w:val="clear"/>
        </w:rPr>
        <w:t xml:space="preserve">Place a 70 &amp;#181;m filter strainer at the top of a new 50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Usage of a smaller micron filter might result in the loss of major myeloid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Slowly transfer the digested lung mixture directly on the strainer. Use the rubber side of a 10 mL syringe plunger to smash the remaining lung pieces on the filter. Wash the processed material on the filter with BSA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Centrifuge the single-cell suspension at 350 &amp;#215;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8 min at 7 </w:t>
      </w:r>
      <w:r>
        <w:rPr>
          <w:rFonts w:ascii="Times New Roman" w:hAnsi="Times New Roman" w:cs="Times New Roman" w:eastAsia="Times New Roman"/>
          <w:color w:val="auto"/>
          <w:spacing w:val="0"/>
          <w:position w:val="0"/>
          <w:sz w:val="24"/>
          <w:shd w:fill="FFFFFF" w:val="clear"/>
        </w:rPr>
        <w:t xml:space="preserve">&amp;#176;C.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FF" w:val="clear"/>
        </w:rPr>
        <w:t xml:space="preserve">Carefully discard the supernatant and resuspend the cells in 1 mL of ACK lysis buffer. Mix well using a 1 mL pipet, and incubate for 90 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Add 10 mL of cold BSA buffer to stop the reaction and centrifuge at 350 &amp;#215;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7 min at 4 </w:t>
      </w:r>
      <w:r>
        <w:rPr>
          <w:rFonts w:ascii="Times New Roman" w:hAnsi="Times New Roman" w:cs="Times New Roman" w:eastAsia="Times New Roman"/>
          <w:color w:val="auto"/>
          <w:spacing w:val="0"/>
          <w:position w:val="0"/>
          <w:sz w:val="24"/>
          <w:shd w:fill="FFFFFF" w:val="clear"/>
        </w:rPr>
        <w:t xml:space="preserve">&amp;#176;C.</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FF" w:val="clear"/>
        </w:rPr>
        <w:t xml:space="preserve">Carefully discard the supernatant and resuspend the pellet in Staining Buffer to count the cells using a hemocytometer.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Times New Roman" w:hAnsi="Times New Roman" w:cs="Times New Roman" w:eastAsia="Times New Roman"/>
          <w:color w:val="auto"/>
          <w:spacing w:val="0"/>
          <w:position w:val="0"/>
          <w:sz w:val="24"/>
          <w:shd w:fill="FFFFFF" w:val="clear"/>
        </w:rPr>
        <w:t xml:space="preserve">Resuspend the cells at a concentration of 5 &amp;#215; 10</w:t>
      </w:r>
      <w:r>
        <w:rPr>
          <w:rFonts w:ascii="Times New Roman" w:hAnsi="Times New Roman" w:cs="Times New Roman" w:eastAsia="Times New Roman"/>
          <w:color w:val="auto"/>
          <w:spacing w:val="0"/>
          <w:position w:val="0"/>
          <w:sz w:val="24"/>
          <w:shd w:fill="FFFFFF" w:val="clear"/>
          <w:vertAlign w:val="superscript"/>
        </w:rPr>
        <w:t xml:space="preserve">6</w:t>
      </w:r>
      <w:r>
        <w:rPr>
          <w:rFonts w:ascii="Times New Roman" w:hAnsi="Times New Roman" w:cs="Times New Roman" w:eastAsia="Times New Roman"/>
          <w:color w:val="auto"/>
          <w:spacing w:val="0"/>
          <w:position w:val="0"/>
          <w:sz w:val="24"/>
          <w:shd w:fill="FFFFFF" w:val="clear"/>
        </w:rPr>
        <w:t xml:space="preserve"> cells/mL and use them</w:t>
      </w:r>
      <w:r>
        <w:rPr>
          <w:rFonts w:ascii="Times New Roman" w:hAnsi="Times New Roman" w:cs="Times New Roman" w:eastAsia="Times New Roman"/>
          <w:color w:val="auto"/>
          <w:spacing w:val="0"/>
          <w:position w:val="0"/>
          <w:sz w:val="24"/>
          <w:shd w:fill="FFFF00" w:val="clear"/>
        </w:rPr>
        <w:t xml:space="preserve"> for surface staining (</w:t>
      </w:r>
      <w:r>
        <w:rPr>
          <w:rFonts w:ascii="Times New Roman" w:hAnsi="Times New Roman" w:cs="Times New Roman" w:eastAsia="Times New Roman"/>
          <w:color w:val="auto"/>
          <w:spacing w:val="0"/>
          <w:position w:val="0"/>
          <w:sz w:val="24"/>
          <w:shd w:fill="auto" w:val="clear"/>
        </w:rPr>
        <w:t xml:space="preserve">see section 3</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purpose, plate the cells in a 96-well round-bottom plate followed by antibody staining and washes. If a plate centrifuge is not available, use flow tubes instead of plates. With this protocol,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lung can be obtained from a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10-week-old C57BL/6 mouse of average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Surface antibody staining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FFFFFF" w:val="clear"/>
        </w:rPr>
        <w:t xml:space="preserve">Transfer 1 &amp;#215;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 in 200 &amp;#181;L per well in a 96-well plate.</w:t>
      </w:r>
      <w:r>
        <w:rPr>
          <w:rFonts w:ascii="Calibri" w:hAnsi="Calibri" w:cs="Calibri" w:eastAsia="Calibri"/>
          <w:color w:val="auto"/>
          <w:spacing w:val="0"/>
          <w:position w:val="0"/>
          <w:sz w:val="24"/>
          <w:shd w:fill="FFFF00" w:val="clear"/>
        </w:rPr>
        <w:t xml:space="preserve"> Centrifuge the plate at 350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at 4 </w:t>
      </w:r>
      <w:r>
        <w:rPr>
          <w:rFonts w:ascii="Calibri" w:hAnsi="Calibri" w:cs="Calibri" w:eastAsia="Calibri"/>
          <w:color w:val="auto"/>
          <w:spacing w:val="0"/>
          <w:position w:val="0"/>
          <w:sz w:val="24"/>
          <w:shd w:fill="FFFFFF" w:val="clear"/>
        </w:rPr>
        <w:t xml:space="preserve">&amp;#176;C. In the meantime, prepare the Fc-block solution by diluting anti-16/32 antibody (1:100) in staining buffer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4"/>
          <w:shd w:fill="FFFFFF" w:val="clear"/>
        </w:rPr>
        <w:t xml:space="preserve">Resuspend the cells in 50 &amp;#181;L of the pre-prepared Fc-blocking solution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and incubate for 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FF" w:val="clear"/>
        </w:rPr>
        <w:t xml:space="preserve">&amp;#176;C or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auto"/>
          <w:spacing w:val="0"/>
          <w:position w:val="0"/>
          <w:sz w:val="24"/>
          <w:shd w:fill="FFFFFF" w:val="clear"/>
        </w:rPr>
        <w:t xml:space="preserve">Add 150 &amp;#181;L of staining buffer and centrifuge </w:t>
      </w:r>
      <w:r>
        <w:rPr>
          <w:rFonts w:ascii="Calibri" w:hAnsi="Calibri" w:cs="Calibri" w:eastAsia="Calibri"/>
          <w:color w:val="auto"/>
          <w:spacing w:val="0"/>
          <w:position w:val="0"/>
          <w:sz w:val="24"/>
          <w:shd w:fill="FFFF00" w:val="clear"/>
        </w:rPr>
        <w:t xml:space="preserve">the plate at 350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color w:val="auto"/>
          <w:spacing w:val="0"/>
          <w:position w:val="0"/>
          <w:sz w:val="24"/>
          <w:shd w:fill="FFFFFF" w:val="clear"/>
        </w:rPr>
        <w:t xml:space="preserve">&amp;#176;C. Meanwhile, prepare the surface antibody cocktail by diluting surface antibodies (1:100;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in staining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 Anti-16/32 antibody for Fc-blocking can be used with the surface antibodies in the same mixture. (ii) If fixable viability dye is used, add it to the surface antibody cocktail at a dilution of 1:1,000.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auto"/>
          <w:spacing w:val="0"/>
          <w:position w:val="0"/>
          <w:sz w:val="24"/>
          <w:shd w:fill="FFFFFF" w:val="clear"/>
        </w:rPr>
        <w:t xml:space="preserve">Resuspend the cells in 50 &amp;#181;L of the pre-prepared surface antibody cocktail and incubate for 30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 min at 4 &amp;#176;C in the dark.</w:t>
      </w:r>
      <w:r>
        <w:rPr>
          <w:rFonts w:ascii="Calibri" w:hAnsi="Calibri" w:cs="Calibri" w:eastAsia="Calibri"/>
          <w:color w:val="auto"/>
          <w:spacing w:val="0"/>
          <w:position w:val="0"/>
          <w:sz w:val="24"/>
          <w:shd w:fill="FFFF00" w:val="clear"/>
        </w:rPr>
        <w:t xml:space="preserve"> Wash the cells with </w:t>
      </w:r>
      <w:r>
        <w:rPr>
          <w:rFonts w:ascii="Calibri" w:hAnsi="Calibri" w:cs="Calibri" w:eastAsia="Calibri"/>
          <w:color w:val="auto"/>
          <w:spacing w:val="0"/>
          <w:position w:val="0"/>
          <w:sz w:val="24"/>
          <w:shd w:fill="FFFFFF" w:val="clear"/>
        </w:rPr>
        <w:t xml:space="preserve">staining buffer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intracellular staining is required, resuspend the cells in 200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of staining buffer and proceed directly to the acquisition of data on the flow cytometer. Alternatively, cells might be fixed and stored at 4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for acquisition later. We recommend using the cells for flow cytometry within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Cell fixation and intracellular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Prepare the fixation/permeabilization buffer (Fix/Perm Buffer) by mixing three parts of fixation/permeabilization diluent and 1 part of fixation/permeabilization diluent of the FoxP3/Transcription Factor Staining Buffer Set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FF" w:val="clear"/>
        </w:rPr>
        <w:t xml:space="preserve">Resuspend the cells in 50 &amp;#181;L of the pre-prepared </w:t>
      </w:r>
      <w:r>
        <w:rPr>
          <w:rFonts w:ascii="Times New Roman" w:hAnsi="Times New Roman" w:cs="Times New Roman" w:eastAsia="Times New Roman"/>
          <w:color w:val="auto"/>
          <w:spacing w:val="0"/>
          <w:position w:val="0"/>
          <w:sz w:val="24"/>
          <w:shd w:fill="FFFF00" w:val="clear"/>
        </w:rPr>
        <w:t xml:space="preserve">Fix/Perm Buffer</w:t>
      </w:r>
      <w:r>
        <w:rPr>
          <w:rFonts w:ascii="Times New Roman" w:hAnsi="Times New Roman" w:cs="Times New Roman" w:eastAsia="Times New Roman"/>
          <w:color w:val="auto"/>
          <w:spacing w:val="0"/>
          <w:position w:val="0"/>
          <w:sz w:val="24"/>
          <w:shd w:fill="FFFFFF" w:val="clear"/>
        </w:rPr>
        <w:t xml:space="preserve"> per well of the 96-well plate, where cells were plated as described in section 3, and incubate them for 20</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25 min at 4 &amp;#176;C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FF" w:val="clear"/>
        </w:rPr>
        <w:t xml:space="preserve">Dilute the 10x permeabilization buffer as 1: 10 in purified deionized water to prepare 1x permeabilization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r>
      <w:r>
        <w:rPr>
          <w:rFonts w:ascii="Times New Roman" w:hAnsi="Times New Roman" w:cs="Times New Roman" w:eastAsia="Times New Roman"/>
          <w:color w:val="auto"/>
          <w:spacing w:val="0"/>
          <w:position w:val="0"/>
          <w:sz w:val="24"/>
          <w:shd w:fill="FFFFFF" w:val="clear"/>
        </w:rPr>
        <w:t xml:space="preserve">Wash the cells once with 1x permeabilization buffer. Meanwhile, prepare the intracellular antibody cocktail by diluting intracellular antibodies (1:100) in 1 mL of permeabilization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Times New Roman" w:hAnsi="Times New Roman" w:cs="Times New Roman" w:eastAsia="Times New Roman"/>
          <w:color w:val="auto"/>
          <w:spacing w:val="0"/>
          <w:position w:val="0"/>
          <w:sz w:val="24"/>
          <w:shd w:fill="FFFFFF" w:val="clear"/>
        </w:rPr>
        <w:t xml:space="preserve">Resuspend the cells using 50 &amp;#181;L of the pre-prepared surface antibody cocktail per cell of the 96-well plate and incubate for 40 min at 4 &amp;#176;C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Times New Roman" w:hAnsi="Times New Roman" w:cs="Times New Roman" w:eastAsia="Times New Roman"/>
          <w:color w:val="auto"/>
          <w:spacing w:val="0"/>
          <w:position w:val="0"/>
          <w:sz w:val="24"/>
          <w:shd w:fill="FFFF00" w:val="clear"/>
        </w:rPr>
        <w:t xml:space="preserve">Wash the cells once with </w:t>
      </w:r>
      <w:r>
        <w:rPr>
          <w:rFonts w:ascii="Times New Roman" w:hAnsi="Times New Roman" w:cs="Times New Roman" w:eastAsia="Times New Roman"/>
          <w:color w:val="auto"/>
          <w:spacing w:val="0"/>
          <w:position w:val="0"/>
          <w:sz w:val="24"/>
          <w:shd w:fill="FFFFFF" w:val="clear"/>
        </w:rPr>
        <w:t xml:space="preserve">permeabilization buffer and once with staining buffer</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FF" w:val="clear"/>
        </w:rPr>
        <w:t xml:space="preserve">After the final wash, resuspend the cells in 200 &amp;#181;L of staining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flow cytometer with plate reader is available, transfer the cells into flow cytometry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Times New Roman" w:hAnsi="Times New Roman" w:cs="Times New Roman" w:eastAsia="Times New Roman"/>
          <w:color w:val="auto"/>
          <w:spacing w:val="0"/>
          <w:position w:val="0"/>
          <w:sz w:val="24"/>
          <w:shd w:fill="FFFF00" w:val="clear"/>
        </w:rPr>
        <w:t xml:space="preserve">Acquire a minimum of 1.5 &amp;#215; 10</w:t>
      </w:r>
      <w:r>
        <w:rPr>
          <w:rFonts w:ascii="Times New Roman" w:hAnsi="Times New Roman" w:cs="Times New Roman" w:eastAsia="Times New Roman"/>
          <w:color w:val="auto"/>
          <w:spacing w:val="0"/>
          <w:position w:val="0"/>
          <w:sz w:val="24"/>
          <w:shd w:fill="FFFF00" w:val="clear"/>
          <w:vertAlign w:val="superscript"/>
        </w:rPr>
        <w:t xml:space="preserve">6 </w:t>
      </w:r>
      <w:r>
        <w:rPr>
          <w:rFonts w:ascii="Times New Roman" w:hAnsi="Times New Roman" w:cs="Times New Roman" w:eastAsia="Times New Roman"/>
          <w:color w:val="auto"/>
          <w:spacing w:val="0"/>
          <w:position w:val="0"/>
          <w:sz w:val="24"/>
          <w:shd w:fill="FFFF00" w:val="clear"/>
        </w:rPr>
        <w:t xml:space="preserve">cells per sample on the flow 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single colors and unstained control samples,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sample will be sufficient. It is recommended to titer the individual antibodies used to achieve optimal staining and reduce costs. The present protocol has been optimized using Fix/Perm Buffer prepared using the FoxP3 staining buffer set. Because CD68 is a cytoplasmic and not a nuclear marker, other permeabilization solutions such as a low </w:t>
      </w:r>
      <w:r>
        <w:rPr>
          <w:rFonts w:ascii="Calibri" w:hAnsi="Calibri" w:cs="Calibri" w:eastAsia="Calibri"/>
          <w:color w:val="auto"/>
          <w:spacing w:val="0"/>
          <w:position w:val="0"/>
          <w:sz w:val="24"/>
          <w:shd w:fill="FFFFFF" w:val="clear"/>
        </w:rPr>
        <w:t xml:space="preserve">concentration of paraformaldehyde or cytofix/ cytoperm kits from various vendors might be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Gating strategy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of our gating strategy is the exclusion of the debris and doublets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Careful exclusion of doublets is critical to avoid false-positive populations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Then, immune cells are identified using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 marker for hematopoietic cells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live-dead stain can be added to exclude dead cells. However, this protocol results in the death of &lt;5% of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whereas more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identified as dead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monocytes and neutrophils, in contrast to previous studies that used specific antibodies for each of these populations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we prefer to use an anti-GR-1 antibody that identifies both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Using the anti-GR-1 antibody together with anti-CD68 allows the separation of the lung immune cells into three clusters: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(that can be further identified as 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-/int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CD68 is a marker that is predominantly detected intracellularly. Surface CD68 was probed but could not be detected without fixation/permeabilization (</w:t>
      </w:r>
      <w:r>
        <w:rPr>
          <w:rFonts w:ascii="Calibri" w:hAnsi="Calibri" w:cs="Calibri" w:eastAsia="Calibri"/>
          <w:b/>
          <w:color w:val="auto"/>
          <w:spacing w:val="0"/>
          <w:position w:val="0"/>
          <w:sz w:val="24"/>
          <w:shd w:fill="auto" w:val="clear"/>
        </w:rPr>
        <w:t xml:space="preserve">Supplemental Figure S4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Polymorphonuclear cells (neutrophils) were identified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These results were verified using GR1 together with an antibody specific for Ly6G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unique marker for polymorphonuclear neutrophils</w:t>
      </w:r>
      <w:r>
        <w:rPr>
          <w:rFonts w:ascii="Calibri" w:hAnsi="Calibri" w:cs="Calibri" w:eastAsia="Calibri"/>
          <w:color w:val="auto"/>
          <w:spacing w:val="0"/>
          <w:position w:val="0"/>
          <w:sz w:val="24"/>
          <w:shd w:fill="auto" w:val="clear"/>
          <w:vertAlign w:val="superscript"/>
        </w:rPr>
        <w:t xml:space="preserve">16,18,27</w:t>
      </w:r>
      <w:r>
        <w:rPr>
          <w:rFonts w:ascii="Calibri" w:hAnsi="Calibri" w:cs="Calibri" w:eastAsia="Calibri"/>
          <w:color w:val="auto"/>
          <w:spacing w:val="0"/>
          <w:position w:val="0"/>
          <w:sz w:val="24"/>
          <w:shd w:fill="auto" w:val="clear"/>
        </w:rPr>
        <w:t xml:space="preserve">. Within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-/int </w:t>
      </w:r>
      <w:r>
        <w:rPr>
          <w:rFonts w:ascii="Calibri" w:hAnsi="Calibri" w:cs="Calibri" w:eastAsia="Calibri"/>
          <w:color w:val="auto"/>
          <w:spacing w:val="0"/>
          <w:position w:val="0"/>
          <w:sz w:val="24"/>
          <w:shd w:fill="auto" w:val="clear"/>
        </w:rPr>
        <w:t xml:space="preserve">population,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are 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CD11b</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and represent the NK cells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1F). NK1.1, a unique marker for NK cells, was used to confirm this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25,30</w:t>
      </w:r>
      <w:r>
        <w:rPr>
          <w:rFonts w:ascii="Calibri" w:hAnsi="Calibri" w:cs="Calibri" w:eastAsia="Calibri"/>
          <w:color w:val="auto"/>
          <w:spacing w:val="0"/>
          <w:position w:val="0"/>
          <w:sz w:val="24"/>
          <w:shd w:fill="auto" w:val="clear"/>
        </w:rPr>
        <w:t xml:space="preserve">.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consists of 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and 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Two additional antibodies were used to verify T cells and B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CD3 and B220,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healthy mice under steady-state conditions, the majority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detected in BAL are AMs, the main residents of the airways. Hence, BAL was performed to assess the markers that characterize AMs</w:t>
      </w:r>
      <w:r>
        <w:rPr>
          <w:rFonts w:ascii="Calibri" w:hAnsi="Calibri" w:cs="Calibri" w:eastAsia="Calibri"/>
          <w:color w:val="auto"/>
          <w:spacing w:val="0"/>
          <w:position w:val="0"/>
          <w:sz w:val="24"/>
          <w:shd w:fill="auto" w:val="clear"/>
          <w:vertAlign w:val="superscript"/>
        </w:rPr>
        <w:t xml:space="preserve">20,31</w:t>
      </w:r>
      <w:r>
        <w:rPr>
          <w:rFonts w:ascii="Calibri" w:hAnsi="Calibri" w:cs="Calibri" w:eastAsia="Calibri"/>
          <w:color w:val="auto"/>
          <w:spacing w:val="0"/>
          <w:position w:val="0"/>
          <w:sz w:val="24"/>
          <w:shd w:fill="auto" w:val="clear"/>
        </w:rPr>
        <w:t xml:space="preserve">. These cells are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but, unlike other myeloid cells, do not express high levels of CD11b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same combination of immune markers also identifies AMs in homogenates of total lungs (</w:t>
      </w:r>
      <w:r>
        <w:rPr>
          <w:rFonts w:ascii="Calibri" w:hAnsi="Calibri" w:cs="Calibri" w:eastAsia="Calibri"/>
          <w:b/>
          <w:color w:val="auto"/>
          <w:spacing w:val="0"/>
          <w:position w:val="0"/>
          <w:sz w:val="24"/>
          <w:shd w:fill="auto" w:val="clear"/>
        </w:rPr>
        <w:t xml:space="preserve">Figure 1G,H</w:t>
      </w:r>
      <w:r>
        <w:rPr>
          <w:rFonts w:ascii="Calibri" w:hAnsi="Calibri" w:cs="Calibri" w:eastAsia="Calibri"/>
          <w:color w:val="auto"/>
          <w:spacing w:val="0"/>
          <w:position w:val="0"/>
          <w:sz w:val="24"/>
          <w:shd w:fill="auto" w:val="clear"/>
        </w:rPr>
        <w:t xml:space="preserve">). In addition to AMs, in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gate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there is a distinct cell population that is positive for CD11b but not for CD11c. This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of leukocytes represents eosinophils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gate with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there is a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that represents pulmonary DCs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Several investigators identify pulmonary DCs as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CD24 expression was assessed to confirm the identity of this population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majority of the lung DCs are either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The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represent the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conventional DCs and are identified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contrast,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are divided into conventional DCs and MoDCs based on CD64 expression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 Therefore, conventional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are identified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while the MoDCs are identified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contrast to conventional DCs, MoDCs are low-positive for the DC marker CD24 and positive for pan-macrophage markers, including F4/80, CD64 and MERTK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9-11,13,33,34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IMs and classical and non-classical monocytes are in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gate (</w:t>
      </w:r>
      <w:r>
        <w:rPr>
          <w:rFonts w:ascii="Calibri" w:hAnsi="Calibri" w:cs="Calibri" w:eastAsia="Calibri"/>
          <w:b/>
          <w:color w:val="auto"/>
          <w:spacing w:val="0"/>
          <w:position w:val="0"/>
          <w:sz w:val="24"/>
          <w:shd w:fill="auto" w:val="clear"/>
        </w:rPr>
        <w:t xml:space="preserve">Figure 1L</w:t>
      </w:r>
      <w:r>
        <w:rPr>
          <w:rFonts w:ascii="Calibri" w:hAnsi="Calibri" w:cs="Calibri" w:eastAsia="Calibri"/>
          <w:color w:val="auto"/>
          <w:spacing w:val="0"/>
          <w:position w:val="0"/>
          <w:sz w:val="24"/>
          <w:shd w:fill="auto" w:val="clear"/>
        </w:rPr>
        <w:t xml:space="preserve">) and are distinguished based on CD64 and GR-1 expression (</w:t>
      </w:r>
      <w:r>
        <w:rPr>
          <w:rFonts w:ascii="Calibri" w:hAnsi="Calibri" w:cs="Calibri" w:eastAsia="Calibri"/>
          <w:b/>
          <w:color w:val="auto"/>
          <w:spacing w:val="0"/>
          <w:position w:val="0"/>
          <w:sz w:val="24"/>
          <w:shd w:fill="auto" w:val="clear"/>
        </w:rPr>
        <w:t xml:space="preserve">Figure 1M</w:t>
      </w:r>
      <w:r>
        <w:rPr>
          <w:rFonts w:ascii="Calibri" w:hAnsi="Calibri" w:cs="Calibri" w:eastAsia="Calibri"/>
          <w:color w:val="auto"/>
          <w:spacing w:val="0"/>
          <w:position w:val="0"/>
          <w:sz w:val="24"/>
          <w:shd w:fill="auto" w:val="clear"/>
        </w:rPr>
        <w:t xml:space="preserve">). CD64, a pan-macrophage marker, is mainly expressed by IMs and AMs, as well as a subset of DCs. Classical monocytes are also known as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and non-classical monocytes as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Both monocytes and IMs are negative for Ly6G; however, classical monocytes express Ly6C and are therefore positive for GR-1. In contrast, both interstitial macrophages and non-classical monocytes are negative for GR-1 and Ly6C</w:t>
      </w:r>
      <w:r>
        <w:rPr>
          <w:rFonts w:ascii="Calibri" w:hAnsi="Calibri" w:cs="Calibri" w:eastAsia="Calibri"/>
          <w:color w:val="auto"/>
          <w:spacing w:val="0"/>
          <w:position w:val="0"/>
          <w:sz w:val="24"/>
          <w:shd w:fill="auto" w:val="clear"/>
          <w:vertAlign w:val="superscript"/>
        </w:rPr>
        <w:t xml:space="preserve">3,4,11,16,18,20,35,36</w:t>
      </w:r>
      <w:r>
        <w:rPr>
          <w:rFonts w:ascii="Calibri" w:hAnsi="Calibri" w:cs="Calibri" w:eastAsia="Calibri"/>
          <w:color w:val="auto"/>
          <w:spacing w:val="0"/>
          <w:position w:val="0"/>
          <w:sz w:val="24"/>
          <w:shd w:fill="auto" w:val="clear"/>
        </w:rPr>
        <w:t xml:space="preserve">. In addition, non-classical monocytes are 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while classical monocytes are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Although this difference in CD11c expression is generally insignificant for distinguishing the two types of monocytes at baseline, it could be critical for pathological conditions when classical monocytes accumulate. Based on the above, interstitial macrophages are defined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classical monocytes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non-classical monocytes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Both AMs and IMs are positive for all the macrophage markers, including CD68, CD64, F4/80, and </w:t>
      </w:r>
      <w:r>
        <w:rPr>
          <w:rFonts w:ascii="Calibri" w:hAnsi="Calibri" w:cs="Calibri" w:eastAsia="Calibri"/>
          <w:color w:val="auto"/>
          <w:spacing w:val="0"/>
          <w:position w:val="0"/>
          <w:sz w:val="24"/>
          <w:shd w:fill="FFFFFF" w:val="clear"/>
        </w:rPr>
        <w:t xml:space="preserve">MERTK proto-oncogene</w:t>
      </w:r>
      <w:r>
        <w:rPr>
          <w:rFonts w:ascii="Calibri" w:hAnsi="Calibri" w:cs="Calibri" w:eastAsia="Calibri"/>
          <w:color w:val="auto"/>
          <w:spacing w:val="0"/>
          <w:position w:val="0"/>
          <w:sz w:val="24"/>
          <w:shd w:fill="auto" w:val="clear"/>
        </w:rPr>
        <w:t xml:space="preserve">. However, unlike IMs, AMs are CX3CR1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contrast to IMs, which could be explained by the difference in the origin of the two types of lung macrophages</w:t>
      </w:r>
      <w:r>
        <w:rPr>
          <w:rFonts w:ascii="Calibri" w:hAnsi="Calibri" w:cs="Calibri" w:eastAsia="Calibri"/>
          <w:color w:val="auto"/>
          <w:spacing w:val="0"/>
          <w:position w:val="0"/>
          <w:sz w:val="24"/>
          <w:shd w:fill="auto" w:val="clear"/>
          <w:vertAlign w:val="superscript"/>
        </w:rPr>
        <w:t xml:space="preserve">4,37-39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1: Gating strategy of immune cells present in the murine lung. </w:t>
      </w:r>
      <w:r>
        <w:rPr>
          <w:rFonts w:ascii="Calibri" w:hAnsi="Calibri" w:cs="Calibri" w:eastAsia="Calibri"/>
          <w:color w:val="auto"/>
          <w:spacing w:val="0"/>
          <w:position w:val="0"/>
          <w:sz w:val="24"/>
          <w:shd w:fill="auto" w:val="clear"/>
        </w:rPr>
        <w:t xml:space="preserve">After careful exclusion of debris, doublets, dead cells, and the non-immune cells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separated into 3 main clusters based on the expression of CD68 and GR-1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Neutrophils belong to the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while the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population consists of NK cells, B cells, and T cells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CD68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can be further divided into Siglec 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which are AMs and eosinophils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Siglec 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which consist of monocytes, IMs, and DCs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Abbreviations: SSC-A = peak area of side-scattered light; FSC-A = peak area of forward-scattered light; SSC-H = peak height of side-scattered light; L/D = live/dead staining; MHC = major histocompatibility complex; SF = Siglec F; GR-1 = GPI-linked myeloid differentiation marker (Ly-6G); NK = natural killer; IMs = interstitial macrophages; DCs = dendritic cells; AMs = alveolar macrophages.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Ly6G in the lung is expressed only by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CD68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GR-1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CD11b</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identified as polymorphonuclear neutrophils.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Verification of the identification of NK cells, T cells, and B cells by the gating strategy.</w:t>
      </w:r>
      <w:r>
        <w:rPr>
          <w:rFonts w:ascii="Calibri" w:hAnsi="Calibri" w:cs="Calibri" w:eastAsia="Calibri"/>
          <w:color w:val="auto"/>
          <w:spacing w:val="0"/>
          <w:position w:val="0"/>
          <w:sz w:val="24"/>
          <w:shd w:fill="auto" w:val="clear"/>
        </w:rPr>
        <w:t xml:space="preserve"> Markers specific for NK 1.1, CD3, and B220 were used to verify the identification of NK cells, T cells, and B cells, respectively. It should be noted that NKT cells, if present, might fall in the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population within the NK cell gate, and caution is required to avoid contamination of NK with NKT cells. Abbreviations: NK = natural killer; MHC = major histocompatibility complex.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majority of the immune cells obtained by bronchoalveolar lavage in na&amp;#239;ve mice are alveolar macrophages.</w:t>
      </w:r>
      <w:r>
        <w:rPr>
          <w:rFonts w:ascii="Calibri" w:hAnsi="Calibri" w:cs="Calibri" w:eastAsia="Calibri"/>
          <w:color w:val="auto"/>
          <w:spacing w:val="0"/>
          <w:position w:val="0"/>
          <w:sz w:val="24"/>
          <w:shd w:fill="auto" w:val="clear"/>
        </w:rPr>
        <w:t xml:space="preserve"> Abbreviations: AMs = alveolar macrophages; DCs = dendritic cells; IM = interstitial macrophage; SSC-A = peak area of side-scattered light; FSC-A = peak area of forward-scattered light; SSC-H = peak height of side-scattered light; SF = Siglec F; GR-1 = GPI-linked myeloid differentiation marker (Ly-6G).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the expression of different markers in immune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Comparison of CD24, CD64, MERTK, F4/80, and CD103 expression in pulmonary DCs.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CD68, CD64, MERTK, F4/80, CD11c, Siglec F (SF), CD11b, and CX3CR1 in pulmonary macrophages and monocytes. Abbreviations: DCs = dendritic cells; MoDCs = monocyte-derived DCs; AMs = alveolar macrophages; IMs = interstitial macrophages; SF = Siglec F; MERTK = myeloid-epithelial-reproductive tyrosine kinase.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Buffers.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Usage of monoclonal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The best cellular dissociation is achieved by 5 mg/mL of collagenase 1 in prewarmed PBS + 0.5% BSA. </w:t>
      </w:r>
      <w:r>
        <w:rPr>
          <w:rFonts w:ascii="Calibri" w:hAnsi="Calibri" w:cs="Calibri" w:eastAsia="Calibri"/>
          <w:color w:val="auto"/>
          <w:spacing w:val="0"/>
          <w:position w:val="0"/>
          <w:sz w:val="24"/>
          <w:shd w:fill="auto" w:val="clear"/>
        </w:rPr>
        <w:t xml:space="preserve">In all different conditions, 0.2 mg of DNAse I was also included. Abbreviations: BSA = bovine serum albumin; FSC-A = peak area of forward-scattered light; L/D = live/dead staining; SF = Siglec 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Inclusion of doublets might result in false-positive populations. </w:t>
      </w:r>
      <w:r>
        <w:rPr>
          <w:rFonts w:ascii="Calibri" w:hAnsi="Calibri" w:cs="Calibri" w:eastAsia="Calibri"/>
          <w:color w:val="auto"/>
          <w:spacing w:val="0"/>
          <w:position w:val="0"/>
          <w:sz w:val="24"/>
          <w:shd w:fill="auto" w:val="clear"/>
        </w:rPr>
        <w:t xml:space="preserve">Abbreviation: FP = false positive.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More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than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have features consistent with dead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S4: Surface staining for CD68 is not adequate to properly distinguish the individual immune cell populations of the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Identification of pulmonary immune cells can be </w:t>
      </w:r>
      <w:r>
        <w:rPr>
          <w:rFonts w:ascii="Calibri" w:hAnsi="Calibri" w:cs="Calibri" w:eastAsia="Calibri"/>
          <w:color w:val="auto"/>
          <w:spacing w:val="0"/>
          <w:position w:val="0"/>
          <w:sz w:val="24"/>
          <w:shd w:fill="FFFFFF" w:val="clear"/>
        </w:rPr>
        <w:t xml:space="preserve">challenging because of the multiple immune cell types residing in the lung and their unique immunophenotypic characteristics compared to their counterparts residing in other tissues. In several pathologic conditions, cells with distinct phenotypic features appear in the lungs. For example, bleomycin-induced lung injury results in the recruitment of circulating monocyte-derived macrophages in the alveolar space, where they can remain for as long as one year and even persist after bleomycin-induced fibrosis. In contrast to tissue-resident AMs, the circulating monocyte-derived macrophages are Siglec F</w:t>
      </w:r>
      <w:r>
        <w:rPr>
          <w:rFonts w:ascii="Calibri" w:hAnsi="Calibri" w:cs="Calibri" w:eastAsia="Calibri"/>
          <w:color w:val="auto"/>
          <w:spacing w:val="0"/>
          <w:position w:val="0"/>
          <w:sz w:val="24"/>
          <w:shd w:fill="FFFFFF" w:val="clear"/>
          <w:vertAlign w:val="superscript"/>
        </w:rPr>
        <w:t xml:space="preserve">low</w:t>
      </w:r>
      <w:r>
        <w:rPr>
          <w:rFonts w:ascii="Calibri" w:hAnsi="Calibri" w:cs="Calibri" w:eastAsia="Calibri"/>
          <w:color w:val="auto"/>
          <w:spacing w:val="0"/>
          <w:position w:val="0"/>
          <w:sz w:val="24"/>
          <w:shd w:fill="FFFFFF" w:val="clear"/>
        </w:rPr>
        <w:t xml:space="preserve">CD11b</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Targeted depletion of the monocyte-derived macrophages results in the amelioration of bleomycin-mediated pulmonary fibrosis</w:t>
      </w:r>
      <w:r>
        <w:rPr>
          <w:rFonts w:ascii="Calibri" w:hAnsi="Calibri" w:cs="Calibri" w:eastAsia="Calibri"/>
          <w:color w:val="auto"/>
          <w:spacing w:val="0"/>
          <w:position w:val="0"/>
          <w:sz w:val="24"/>
          <w:shd w:fill="FFFFFF" w:val="clear"/>
          <w:vertAlign w:val="superscript"/>
        </w:rPr>
        <w:t xml:space="preserve">16,40</w:t>
      </w:r>
      <w:r>
        <w:rPr>
          <w:rFonts w:ascii="Calibri" w:hAnsi="Calibri" w:cs="Calibri" w:eastAsia="Calibri"/>
          <w:color w:val="auto"/>
          <w:spacing w:val="0"/>
          <w:position w:val="0"/>
          <w:sz w:val="24"/>
          <w:shd w:fill="FFFFFF" w:val="clear"/>
        </w:rPr>
        <w:t xml:space="preserve">. Cells with similar features are recruited to the lungs during influenza infection and provide prolonged protection against streptococcal pneumonia</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CD11c and MHC II expression, IMs have been further subcategorized into IM1, IM2, and IM3. IM1 are immunophenotypically defined as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IM2 are defined as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IM3 are defined as 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It has been proposed that IM1, IM2, and IM3 represent the physiologic stages of monocyte to macrophage transition, rather than distinct macrophages categories, with IM3 representing the monocytic compartment</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As mentioned above, MoDCs are low-positive for the DC marker CD24 and positive for pan-macrophage markers, including F4/80, CD64, and MERTK</w:t>
      </w:r>
      <w:r>
        <w:rPr>
          <w:rFonts w:ascii="Calibri" w:hAnsi="Calibri" w:cs="Calibri" w:eastAsia="Calibri"/>
          <w:color w:val="auto"/>
          <w:spacing w:val="0"/>
          <w:position w:val="0"/>
          <w:sz w:val="24"/>
          <w:shd w:fill="auto" w:val="clear"/>
          <w:vertAlign w:val="superscript"/>
        </w:rPr>
        <w:t xml:space="preserve">9-11,13,33,34</w:t>
      </w:r>
      <w:r>
        <w:rPr>
          <w:rFonts w:ascii="Calibri" w:hAnsi="Calibri" w:cs="Calibri" w:eastAsia="Calibri"/>
          <w:color w:val="auto"/>
          <w:spacing w:val="0"/>
          <w:position w:val="0"/>
          <w:sz w:val="24"/>
          <w:shd w:fill="auto" w:val="clear"/>
        </w:rPr>
        <w:t xml:space="preserve">. However, several studies identify 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MERKT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pulmonary macrophages</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Both IM3 and MoDCs have been defined as 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MERKT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suggesting that these two populations most likely represent the same cell type. Consistent with this hypothesis, the gating strategy presented here does not identify a distinct population representing IM3 cells, in addition to MoDCs.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the protocol described here include: 1) the removal of all </w:t>
      </w:r>
      <w:r>
        <w:rPr>
          <w:rFonts w:ascii="Calibri" w:hAnsi="Calibri" w:cs="Calibri" w:eastAsia="Calibri"/>
          <w:color w:val="auto"/>
          <w:spacing w:val="0"/>
          <w:position w:val="0"/>
          <w:sz w:val="24"/>
          <w:shd w:fill="FFFFFF" w:val="clear"/>
        </w:rPr>
        <w:t xml:space="preserve">adjacent fat from the lungs before preparing the single-cell suspension, as this could bias the readouts; 2) </w:t>
      </w:r>
      <w:r>
        <w:rPr>
          <w:rFonts w:ascii="Calibri" w:hAnsi="Calibri" w:cs="Calibri" w:eastAsia="Calibri"/>
          <w:color w:val="auto"/>
          <w:spacing w:val="0"/>
          <w:position w:val="0"/>
          <w:sz w:val="24"/>
          <w:shd w:fill="auto" w:val="clear"/>
        </w:rPr>
        <w:t xml:space="preserve">permeabilization before staining with the anti-CD68 antibody. A limitation of the present protocol is that it cannot identify non-immune cells of the lung, such as epithelial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endothelial cells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fibroblasts. Identification of such populations requires a different approach</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In addition, the protocol requires staining for CD68, an intracellular marker, which might pose a limitation if the investigator is not experienced in intracellular staining. The significance of the present protocol and gating strategy with respect to existing methods is that this strategy provides a streamlined approach that uses a lower number of markers while allowing reproducible identification of all the immune populations of the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 detailed method is provided for the preparation of a single-cell suspension that minimizes cell death and allows the identification of a complete profile of the immune cell compartment of the lung. Although the protocol outlined here describes the characterization and identification of lung immune populations under steady-state conditions, future applications may include the assessment of these populations in various disease models where it can help identify disease-specific changes in the lung immune landscape. In conclusion, this article presents a simple and reproducible protocol for lung single-cell preparation and a 9-color-based flow cytometry panel for the identification of 12 different immune cell 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V.A.B. has patents on the PD-1 pathway licensed by Bristol-Myers Squibb, Roche, Merck, EMD-Serono, Boehringer Ingelheim, AstraZeneca, Novartis, and Dako. The authors declare no other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grants R01CA238263 and R01CA229784 (VAB).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Guilliams,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Alveolar macrophages develop from fetal monocytes that differentiate into long-lived cells in the first week of life via GM-CSF.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 </w:t>
      </w:r>
      <w:r>
        <w:rPr>
          <w:rFonts w:ascii="Calibri" w:hAnsi="Calibri" w:cs="Calibri" w:eastAsia="Calibri"/>
          <w:color w:val="auto"/>
          <w:spacing w:val="0"/>
          <w:position w:val="0"/>
          <w:sz w:val="24"/>
          <w:shd w:fill="auto" w:val="clear"/>
        </w:rPr>
        <w:t xml:space="preserve">(10), 1977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Tan, S. Y., Krasnow, M. A. Developmental origin of lung macrophage diversity.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(8), 1318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Schyns,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Non-classical tissue monocytes and two functionally distinct populations of interstitial macrophages populate the mouse lung.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(1)</w:t>
      </w:r>
      <w:r>
        <w:rPr>
          <w:rFonts w:ascii="Calibri" w:hAnsi="Calibri" w:cs="Calibri" w:eastAsia="Calibri"/>
          <w:color w:val="auto"/>
          <w:spacing w:val="0"/>
          <w:position w:val="0"/>
          <w:sz w:val="24"/>
          <w:shd w:fill="auto" w:val="clear"/>
        </w:rPr>
        <w:t xml:space="preserve">, 3964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Gibbings,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 unique interstitial macrophages in the murine lung at steady state.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Ural, B. B. et al. Identification of a nerve-associated, lung-resident interstitial macrophage subset with distinct localization and immunoregulatory properties.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(45), eaax8756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Chakarov,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Two distinct interstitial macrophage populations coexist across tissues in specific subtissular niches.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 </w:t>
      </w:r>
      <w:r>
        <w:rPr>
          <w:rFonts w:ascii="Calibri" w:hAnsi="Calibri" w:cs="Calibri" w:eastAsia="Calibri"/>
          <w:color w:val="auto"/>
          <w:spacing w:val="0"/>
          <w:position w:val="0"/>
          <w:sz w:val="24"/>
          <w:shd w:fill="auto" w:val="clear"/>
        </w:rPr>
        <w:t xml:space="preserve">(6432), eaau0964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Liegeois, M., Legrand, C., Desmet, C. J., Marichal, T., Bureau, F. The interstitial macrophage: A long-neglected piece in the puzzle of lung immunity. </w:t>
      </w:r>
      <w:r>
        <w:rPr>
          <w:rFonts w:ascii="Calibri" w:hAnsi="Calibri" w:cs="Calibri" w:eastAsia="Calibri"/>
          <w:i/>
          <w:color w:val="auto"/>
          <w:spacing w:val="0"/>
          <w:position w:val="0"/>
          <w:sz w:val="24"/>
          <w:shd w:fill="auto" w:val="clear"/>
        </w:rPr>
        <w:t xml:space="preserve">Cellular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Stouch,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IkappaB kinase activity drives fetal lung macrophage maturation along a non-M1/M2 paradigm.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 </w:t>
      </w:r>
      <w:r>
        <w:rPr>
          <w:rFonts w:ascii="Calibri" w:hAnsi="Calibri" w:cs="Calibri" w:eastAsia="Calibri"/>
          <w:color w:val="auto"/>
          <w:spacing w:val="0"/>
          <w:position w:val="0"/>
          <w:sz w:val="24"/>
          <w:shd w:fill="auto" w:val="clear"/>
        </w:rPr>
        <w:t xml:space="preserve">(3), 1184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Kopf, M., Schneider, C., Nobs, S. P. The development and function of lung-resident macrophages and dendritic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Plantinga,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Conventional and monocyte-derived CD11b(+) dendritic cells initiate and maintain T helper 2 cell-mediated immunity to house dust mite allergen.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Dendritic cell trafficking and function in rare lung diseases.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b/>
          <w:color w:val="auto"/>
          <w:spacing w:val="0"/>
          <w:position w:val="0"/>
          <w:sz w:val="24"/>
          <w:shd w:fill="auto" w:val="clear"/>
        </w:rPr>
        <w:t xml:space="preserve"> 57 </w:t>
      </w:r>
      <w:r>
        <w:rPr>
          <w:rFonts w:ascii="Calibri" w:hAnsi="Calibri" w:cs="Calibri" w:eastAsia="Calibri"/>
          <w:color w:val="auto"/>
          <w:spacing w:val="0"/>
          <w:position w:val="0"/>
          <w:sz w:val="24"/>
          <w:shd w:fill="auto" w:val="clear"/>
        </w:rPr>
        <w:t xml:space="preserve">(4),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Cook, P. C., MacDonald, A. S. Dendritic cells in lung immunopathology. </w:t>
      </w:r>
      <w:r>
        <w:rPr>
          <w:rFonts w:ascii="Calibri" w:hAnsi="Calibri" w:cs="Calibri" w:eastAsia="Calibri"/>
          <w:i/>
          <w:color w:val="auto"/>
          <w:spacing w:val="0"/>
          <w:position w:val="0"/>
          <w:sz w:val="24"/>
          <w:shd w:fill="auto" w:val="clear"/>
        </w:rPr>
        <w:t xml:space="preserve">Seminars in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Guilliams, M., Lambrecht, B. N., Hammad, H. Division of labor between lung dendritic cells and macrophages in the defense against pulmonary infections.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 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Nobs, 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PPAR&amp;#947; in dendritic cells and T cells drives pathogenic type-2 effector responses in lung inflammation.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(10), 3015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Aegerter,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Influenza-induced monocyte-derived alveolar macrophages confer prolonged antibacterial protection.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Misharin, A. V., Morales-Nebreda, L., Mutlu, G. M., Budinger, G. R., Perlman, H. Flow cytometric analysis of macrophages and dendritic cell subsets in the mouse lung.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(4), 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Hoffmann, F.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Distribution and interaction of murine pulmonary phagocytes in the naive and allergic lung.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Yu, 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protocol for the comprehensive flow cytometric analysis of immune cells in normal and inflamed murine non-lymphoid tissues.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(3), e0150606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Mesnil,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Lung-resident eosinophils represent a distinct regulatory eosinophil subset.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 </w:t>
      </w:r>
      <w:r>
        <w:rPr>
          <w:rFonts w:ascii="Calibri" w:hAnsi="Calibri" w:cs="Calibri" w:eastAsia="Calibri"/>
          <w:color w:val="auto"/>
          <w:spacing w:val="0"/>
          <w:position w:val="0"/>
          <w:sz w:val="24"/>
          <w:shd w:fill="auto" w:val="clear"/>
        </w:rPr>
        <w:t xml:space="preserve">(9), 3279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Zaynagetdinov,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myeloid cell subsets in murine lungs using flow cytometry.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(2),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Tavares, A. H., Colby, J. K., Levy, B. D., Abdulnour, R. E. A model of self-limited acute lung injury by unilateral intra-bronchial acid instillation.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(150) doi:10.3791/60024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Kreisel,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two-photon imaging reveals monocyte-dependent neutrophil extravasation during pulmonary inflammation.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(42), 18073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Krishnamoorthy,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Neutrophil cytoplasts induce TH17 differentiation and skew inflammation toward neutrophilia in severe asthma.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(26), eaao4747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Ascon, D.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Normal mouse kidneys contain activated and CD3+CD4- CD8- double-negative T lymphocytes with a distinct TCR repertoire.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(6), 1400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Lung natural killer cells in mice: phenotype and response to respiratory infection.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 </w:t>
      </w:r>
      <w:r>
        <w:rPr>
          <w:rFonts w:ascii="Calibri" w:hAnsi="Calibri" w:cs="Calibri" w:eastAsia="Calibri"/>
          <w:color w:val="auto"/>
          <w:spacing w:val="0"/>
          <w:position w:val="0"/>
          <w:sz w:val="24"/>
          <w:shd w:fill="auto" w:val="clear"/>
        </w:rPr>
        <w:t xml:space="preserve">(1),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Cowley, S. C., Meierovics, A. I., Frelinger, J. A., Iwakura, Y., Elkins, K. L. Lung CD4-CD8- double-negative T cells are prominent producers of IL-17A and IFN-gamma during primary respiratory murine infection with Francisella tularensis live vaccine strain.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 </w:t>
      </w:r>
      <w:r>
        <w:rPr>
          <w:rFonts w:ascii="Calibri" w:hAnsi="Calibri" w:cs="Calibri" w:eastAsia="Calibri"/>
          <w:color w:val="auto"/>
          <w:spacing w:val="0"/>
          <w:position w:val="0"/>
          <w:sz w:val="24"/>
          <w:shd w:fill="auto" w:val="clear"/>
        </w:rPr>
        <w:t xml:space="preserve">(10), 5791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Gibbings, S. L., Jakubzick, C. V. Isolation and characterization of mononuclear phagocytes in the mouse lung and lymph nodes. In </w:t>
      </w:r>
      <w:r>
        <w:rPr>
          <w:rFonts w:ascii="Calibri" w:hAnsi="Calibri" w:cs="Calibri" w:eastAsia="Calibri"/>
          <w:i/>
          <w:color w:val="auto"/>
          <w:spacing w:val="0"/>
          <w:position w:val="0"/>
          <w:sz w:val="24"/>
          <w:shd w:fill="auto" w:val="clear"/>
        </w:rPr>
        <w:t xml:space="preserve">Lung innate immunity and inflammation</w:t>
      </w:r>
      <w:r>
        <w:rPr>
          <w:rFonts w:ascii="Calibri" w:hAnsi="Calibri" w:cs="Calibri" w:eastAsia="Calibri"/>
          <w:color w:val="auto"/>
          <w:spacing w:val="0"/>
          <w:position w:val="0"/>
          <w:sz w:val="24"/>
          <w:shd w:fill="auto" w:val="clear"/>
        </w:rPr>
        <w:t xml:space="preserve">. Alper, S., Janssen, W. (eds)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1809</w:t>
      </w:r>
      <w:r>
        <w:rPr>
          <w:rFonts w:ascii="Calibri" w:hAnsi="Calibri" w:cs="Calibri" w:eastAsia="Calibri"/>
          <w:color w:val="auto"/>
          <w:spacing w:val="0"/>
          <w:position w:val="0"/>
          <w:sz w:val="24"/>
          <w:shd w:fill="auto" w:val="clear"/>
        </w:rPr>
        <w:t xml:space="preserve">, Humana Press, New York, NY, doi:10.1007/978-1-4939-8570-8_3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Singer, B.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Flow-cytometric method for simultaneous analysis of mouse lung epithelial, endothelial, and hematopoietic lineage cells.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(9), L796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Matsushima,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CD248 and integrin alpha-8 are candidate markers for differentiating lung fibroblast subtypes. </w:t>
      </w:r>
      <w:r>
        <w:rPr>
          <w:rFonts w:ascii="Calibri" w:hAnsi="Calibri" w:cs="Calibri" w:eastAsia="Calibri"/>
          <w:i/>
          <w:color w:val="auto"/>
          <w:spacing w:val="0"/>
          <w:position w:val="0"/>
          <w:sz w:val="24"/>
          <w:shd w:fill="auto" w:val="clear"/>
        </w:rPr>
        <w:t xml:space="preserve">BMC Pulmonary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Cong, J., Wei, H. Natural killer cells in the lungs.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Daubeuf,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fast, easy, and customizable eight-color flow cytometric method for analysis of the cellular content of bronchoalveolar lavage fluid in the mouse.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Eosinophil recruitment is dynamically regulated by interplay among lung dendritic cell subsets after allergen challenge.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3879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Langlet,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CD64 expression distinguishes monocyte-derived and conventional dendritic cells and reveals their distinct role during intramuscular immunization.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 </w:t>
      </w:r>
      <w:r>
        <w:rPr>
          <w:rFonts w:ascii="Calibri" w:hAnsi="Calibri" w:cs="Calibri" w:eastAsia="Calibri"/>
          <w:color w:val="auto"/>
          <w:spacing w:val="0"/>
          <w:position w:val="0"/>
          <w:sz w:val="24"/>
          <w:shd w:fill="auto" w:val="clear"/>
        </w:rPr>
        <w:t xml:space="preserve">(4), 1751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Moran, T. P., Nakano, H., Kondilis-Mangum, H. D., Wade, P. A., Cook, D. N. Epigenetic control of Ccr7 expression in distinct lineages of lung dendritic 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 </w:t>
      </w:r>
      <w:r>
        <w:rPr>
          <w:rFonts w:ascii="Calibri" w:hAnsi="Calibri" w:cs="Calibri" w:eastAsia="Calibri"/>
          <w:color w:val="auto"/>
          <w:spacing w:val="0"/>
          <w:position w:val="0"/>
          <w:sz w:val="24"/>
          <w:shd w:fill="auto" w:val="clear"/>
        </w:rPr>
        <w:t xml:space="preserve">(10), 4904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Schyns, J., Bureau, F., Marichal, T. Lung interstitial macrophages: past, present, and future. </w:t>
      </w:r>
      <w:r>
        <w:rPr>
          <w:rFonts w:ascii="Calibri" w:hAnsi="Calibri" w:cs="Calibri" w:eastAsia="Calibri"/>
          <w:i/>
          <w:color w:val="auto"/>
          <w:spacing w:val="0"/>
          <w:position w:val="0"/>
          <w:sz w:val="24"/>
          <w:shd w:fill="auto" w:val="clear"/>
        </w:rPr>
        <w:t xml:space="preserve">Journal of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5160794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Krljanac,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RELMalpha-expressing macrophages protect against fatal lung damage and reduce parasite burden during helminth infection.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(35), eaau3814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Ginhoux, F., Guilliams, M. Tissue-resident macrophage ontogeny and homeostasis.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(3),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Svedberg, F.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lung environment controls alveolar macrophage metabolism and responsiveness in type 2 inflammation.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(5),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Yona,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Fate mapping reveals origins and dynamics of monocytes and tissue macrophages under homeostasis.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(1),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Misharin, A. V. et al. Monocyte-derived alveolar macrophages drive lung fibrosis and persist in the lung over the life span.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(8), 2387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Koch, C. M., Chiu, S. F., Misharin, A. V., Ridge, K. M. Lung Interstitial Macrophages: Establishing Identity and Uncovering Heterogeneity.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