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AA51B" w14:textId="77777777" w:rsidR="00A11892" w:rsidRDefault="00A11892" w:rsidP="00A11892">
      <w:pPr>
        <w:pStyle w:val="NormalWeb"/>
        <w:rPr>
          <w:rStyle w:val="Strong"/>
          <w:color w:val="0000FF"/>
          <w:u w:val="single"/>
        </w:rPr>
      </w:pPr>
      <w:r>
        <w:rPr>
          <w:rStyle w:val="Strong"/>
          <w:color w:val="0000FF"/>
          <w:u w:val="single"/>
        </w:rPr>
        <w:t>Reviewers' comments:</w:t>
      </w:r>
    </w:p>
    <w:p w14:paraId="170CE57C" w14:textId="77777777" w:rsidR="00A11892" w:rsidRDefault="00A11892" w:rsidP="00A11892">
      <w:pPr>
        <w:pStyle w:val="NormalWeb"/>
        <w:rPr>
          <w:b/>
          <w:bCs/>
        </w:rPr>
      </w:pPr>
      <w:r>
        <w:t>We thank the reviewers for their thoughtful comments. Below we have highlighted changes made to improve the manuscript.</w:t>
      </w:r>
    </w:p>
    <w:p w14:paraId="719B7D94" w14:textId="77777777" w:rsidR="00313742" w:rsidRDefault="00A11892" w:rsidP="00A11892">
      <w:pPr>
        <w:pStyle w:val="NormalWeb"/>
      </w:pPr>
      <w:r>
        <w:rPr>
          <w:b/>
          <w:bCs/>
        </w:rPr>
        <w:t xml:space="preserve">Reviewer #1: </w:t>
      </w:r>
      <w:r>
        <w:br/>
        <w:t>Major Concerns:</w:t>
      </w:r>
      <w:r>
        <w:br/>
        <w:t>The method requires intact ovaries after fine dissections and more than two weeks of processing for immunofluorescence that can introduce damage to the tissue as discussed in lines 726-731. I am concerned that this method may not be easily carried out by those who are not skilled at dissection and potentially waste ovaries that could have been used unless there is a way to address minor damage computationally. Include a way to judge whether an ovary is too damaged to process during image analysis, or in the case of minor damage, how to estimate the number of oocytes in a damaged region computationally. For example, quantify the number of oocytes in another similar region of the ovary that is intact and extrapolate this number to the damaged region area when reasonable.</w:t>
      </w:r>
    </w:p>
    <w:p w14:paraId="724A208D" w14:textId="1DF4BF1D" w:rsidR="00313742" w:rsidRDefault="00313742" w:rsidP="00A11892">
      <w:pPr>
        <w:pStyle w:val="NormalWeb"/>
      </w:pPr>
      <w:r w:rsidRPr="00313742">
        <w:rPr>
          <w:i/>
          <w:iCs/>
        </w:rPr>
        <w:t>We thank the reviewer for this idea. We have now included a method and simulations showing that computational correction for small damage may be done using data from intact ovaries. (</w:t>
      </w:r>
      <w:r w:rsidR="001B4179">
        <w:rPr>
          <w:i/>
          <w:iCs/>
        </w:rPr>
        <w:t xml:space="preserve">Protocol 7.19-7.23) </w:t>
      </w:r>
      <w:r w:rsidR="00076C5F">
        <w:rPr>
          <w:i/>
          <w:iCs/>
        </w:rPr>
        <w:t>;</w:t>
      </w:r>
      <w:r w:rsidR="001B4179">
        <w:rPr>
          <w:i/>
          <w:iCs/>
        </w:rPr>
        <w:t xml:space="preserve">Figure 6, </w:t>
      </w:r>
      <w:r w:rsidR="00076C5F">
        <w:rPr>
          <w:i/>
          <w:iCs/>
        </w:rPr>
        <w:t xml:space="preserve"> </w:t>
      </w:r>
      <w:r w:rsidR="001B4179">
        <w:rPr>
          <w:i/>
          <w:iCs/>
        </w:rPr>
        <w:t>L</w:t>
      </w:r>
      <w:r w:rsidR="000B683F">
        <w:rPr>
          <w:i/>
          <w:iCs/>
        </w:rPr>
        <w:t>694</w:t>
      </w:r>
      <w:r w:rsidR="00076C5F">
        <w:rPr>
          <w:i/>
          <w:iCs/>
        </w:rPr>
        <w:t>-7</w:t>
      </w:r>
      <w:r w:rsidR="001B4179">
        <w:rPr>
          <w:i/>
          <w:iCs/>
        </w:rPr>
        <w:t>0</w:t>
      </w:r>
      <w:r w:rsidR="000B683F">
        <w:rPr>
          <w:i/>
          <w:iCs/>
        </w:rPr>
        <w:t>0</w:t>
      </w:r>
      <w:r w:rsidR="00076C5F">
        <w:rPr>
          <w:i/>
          <w:iCs/>
        </w:rPr>
        <w:t>; 7</w:t>
      </w:r>
      <w:r w:rsidR="000B683F">
        <w:rPr>
          <w:i/>
          <w:iCs/>
        </w:rPr>
        <w:t>84</w:t>
      </w:r>
      <w:r w:rsidR="00076C5F">
        <w:rPr>
          <w:i/>
          <w:iCs/>
        </w:rPr>
        <w:t>-7</w:t>
      </w:r>
      <w:r w:rsidR="001B4179">
        <w:rPr>
          <w:i/>
          <w:iCs/>
        </w:rPr>
        <w:t>9</w:t>
      </w:r>
      <w:r w:rsidR="000B683F">
        <w:rPr>
          <w:i/>
          <w:iCs/>
        </w:rPr>
        <w:t>3</w:t>
      </w:r>
      <w:r w:rsidRPr="00313742">
        <w:rPr>
          <w:i/>
          <w:iCs/>
        </w:rPr>
        <w:t>)</w:t>
      </w:r>
      <w:r w:rsidRPr="00313742">
        <w:t xml:space="preserve"> </w:t>
      </w:r>
      <w:r w:rsidR="00A11892">
        <w:br/>
      </w:r>
      <w:r w:rsidR="00A11892">
        <w:br/>
        <w:t>Minor Concerns:</w:t>
      </w:r>
      <w:r w:rsidR="00A11892">
        <w:br/>
        <w:t xml:space="preserve">1. Title - The emphasis on 3D visualization and multiphoton microscopy in the title does not fully reflect the protocol that also demonstrates the acquisition, immunofluorescence staining, and clearing of ovarian tissue. </w:t>
      </w:r>
    </w:p>
    <w:p w14:paraId="3CFEAAD1" w14:textId="6449A7F3" w:rsidR="00313742" w:rsidRDefault="00313742" w:rsidP="00A11892">
      <w:pPr>
        <w:pStyle w:val="NormalWeb"/>
      </w:pPr>
      <w:r w:rsidRPr="00313742">
        <w:rPr>
          <w:i/>
          <w:iCs/>
        </w:rPr>
        <w:t>We have change the title to better reflect the content of this protocol.</w:t>
      </w:r>
      <w:r>
        <w:rPr>
          <w:i/>
          <w:iCs/>
        </w:rPr>
        <w:t xml:space="preserve"> New title “</w:t>
      </w:r>
      <w:r w:rsidR="00293C8D" w:rsidRPr="00293C8D">
        <w:rPr>
          <w:i/>
          <w:iCs/>
        </w:rPr>
        <w:t>Whole Ovary Immunofluorescence, Clearing and Imaging by Multiphoton Microscopy for Quantitative 3D Analysis of the Developing Ovarian Reserve in Mouse</w:t>
      </w:r>
      <w:r w:rsidR="00293C8D">
        <w:rPr>
          <w:i/>
          <w:iCs/>
        </w:rPr>
        <w:t>.</w:t>
      </w:r>
      <w:r w:rsidR="00A11892">
        <w:br/>
      </w:r>
      <w:r w:rsidR="00A11892">
        <w:br/>
        <w:t>2. Applications - Analysis of male germ cell development, development of the somatic cells of the ovary, and human ovarian tissues are potential applications worth discussing.</w:t>
      </w:r>
    </w:p>
    <w:p w14:paraId="24FE8821" w14:textId="667976EC" w:rsidR="004A6636" w:rsidRPr="001B4179" w:rsidRDefault="00313742" w:rsidP="00A11892">
      <w:pPr>
        <w:pStyle w:val="NormalWeb"/>
      </w:pPr>
      <w:r w:rsidRPr="004A6636">
        <w:rPr>
          <w:i/>
          <w:iCs/>
        </w:rPr>
        <w:t xml:space="preserve">We agree with the reviewer that this protocol </w:t>
      </w:r>
      <w:r w:rsidR="004A6636" w:rsidRPr="004A6636">
        <w:rPr>
          <w:i/>
          <w:iCs/>
        </w:rPr>
        <w:t>will be feasible for other applications. We have indeed used it for fetal male gonads. The protocol would need to be optimized for postnatal testes</w:t>
      </w:r>
      <w:r w:rsidR="001B4179">
        <w:rPr>
          <w:i/>
          <w:iCs/>
        </w:rPr>
        <w:t xml:space="preserve"> but we have not done it</w:t>
      </w:r>
      <w:r w:rsidR="004A6636" w:rsidRPr="004A6636">
        <w:rPr>
          <w:i/>
          <w:iCs/>
        </w:rPr>
        <w:t>. We have included this in the discussion. We have no experience in immunostaining human ovarian tissue therefore we will re</w:t>
      </w:r>
      <w:r w:rsidR="001B4179">
        <w:rPr>
          <w:i/>
          <w:iCs/>
        </w:rPr>
        <w:t>f</w:t>
      </w:r>
      <w:r w:rsidR="004A6636" w:rsidRPr="004A6636">
        <w:rPr>
          <w:i/>
          <w:iCs/>
        </w:rPr>
        <w:t>rain from making any recommendations.</w:t>
      </w:r>
      <w:r w:rsidR="001B4179">
        <w:rPr>
          <w:i/>
          <w:iCs/>
        </w:rPr>
        <w:t xml:space="preserve"> Theoretically this protocol should work for fragments of human ovary. </w:t>
      </w:r>
      <w:r w:rsidR="004A6636" w:rsidRPr="004A6636">
        <w:rPr>
          <w:i/>
          <w:iCs/>
        </w:rPr>
        <w:t xml:space="preserve"> </w:t>
      </w:r>
      <w:r w:rsidR="001B4179">
        <w:rPr>
          <w:i/>
          <w:iCs/>
        </w:rPr>
        <w:t>However,</w:t>
      </w:r>
      <w:r w:rsidR="004A6636" w:rsidRPr="004A6636">
        <w:rPr>
          <w:i/>
          <w:iCs/>
        </w:rPr>
        <w:t xml:space="preserve"> perfusion is not an option for human ovaries </w:t>
      </w:r>
      <w:r w:rsidR="001B4179">
        <w:rPr>
          <w:i/>
          <w:iCs/>
        </w:rPr>
        <w:t xml:space="preserve">therefore </w:t>
      </w:r>
      <w:r w:rsidR="004A6636" w:rsidRPr="004A6636">
        <w:rPr>
          <w:i/>
          <w:iCs/>
        </w:rPr>
        <w:t xml:space="preserve">it may be difficult to extrapolate the protocol from much smaller mouse ovaries.   </w:t>
      </w:r>
      <w:r w:rsidR="00A11892">
        <w:br/>
      </w:r>
      <w:r w:rsidR="00A11892">
        <w:br/>
        <w:t>3</w:t>
      </w:r>
      <w:r w:rsidR="00A11892" w:rsidRPr="001B4179">
        <w:t xml:space="preserve">. Imaging - For the acquisition of multiple colors, imaging the entire Z stack in the color of the longest wavelength first to avoid photobleaching is important. </w:t>
      </w:r>
    </w:p>
    <w:p w14:paraId="64CC9671" w14:textId="41139289" w:rsidR="00A11892" w:rsidRPr="004A6636" w:rsidRDefault="004A6636" w:rsidP="00A11892">
      <w:pPr>
        <w:pStyle w:val="NormalWeb"/>
        <w:rPr>
          <w:i/>
          <w:iCs/>
        </w:rPr>
      </w:pPr>
      <w:r w:rsidRPr="001B4179">
        <w:rPr>
          <w:rFonts w:asciiTheme="minorHAnsi" w:hAnsiTheme="minorHAnsi" w:cstheme="minorHAnsi"/>
          <w:i/>
          <w:iCs/>
        </w:rPr>
        <w:t>The advantage of multiphoton imaging is that o</w:t>
      </w:r>
      <w:r w:rsidR="00A11892" w:rsidRPr="001B4179">
        <w:rPr>
          <w:rFonts w:asciiTheme="minorHAnsi" w:hAnsiTheme="minorHAnsi" w:cstheme="minorHAnsi"/>
          <w:i/>
          <w:iCs/>
        </w:rPr>
        <w:t>ne laser is used t</w:t>
      </w:r>
      <w:r w:rsidRPr="001B4179">
        <w:rPr>
          <w:rFonts w:asciiTheme="minorHAnsi" w:hAnsiTheme="minorHAnsi" w:cstheme="minorHAnsi"/>
          <w:i/>
          <w:iCs/>
        </w:rPr>
        <w:t>o capture</w:t>
      </w:r>
      <w:r w:rsidR="00A11892" w:rsidRPr="001B4179">
        <w:rPr>
          <w:rFonts w:asciiTheme="minorHAnsi" w:hAnsiTheme="minorHAnsi" w:cstheme="minorHAnsi"/>
          <w:i/>
          <w:iCs/>
        </w:rPr>
        <w:t xml:space="preserve"> image</w:t>
      </w:r>
      <w:r w:rsidRPr="001B4179">
        <w:rPr>
          <w:rFonts w:asciiTheme="minorHAnsi" w:hAnsiTheme="minorHAnsi" w:cstheme="minorHAnsi"/>
          <w:i/>
          <w:iCs/>
        </w:rPr>
        <w:t xml:space="preserve">s for </w:t>
      </w:r>
      <w:r w:rsidR="00746ED7" w:rsidRPr="001B4179">
        <w:rPr>
          <w:rFonts w:asciiTheme="minorHAnsi" w:hAnsiTheme="minorHAnsi" w:cstheme="minorHAnsi"/>
          <w:i/>
          <w:iCs/>
        </w:rPr>
        <w:t>two</w:t>
      </w:r>
      <w:r w:rsidRPr="001B4179">
        <w:rPr>
          <w:rFonts w:asciiTheme="minorHAnsi" w:hAnsiTheme="minorHAnsi" w:cstheme="minorHAnsi"/>
          <w:i/>
          <w:iCs/>
        </w:rPr>
        <w:t xml:space="preserve"> wavelengths</w:t>
      </w:r>
      <w:r w:rsidR="00A11892" w:rsidRPr="001B4179">
        <w:rPr>
          <w:rFonts w:asciiTheme="minorHAnsi" w:hAnsiTheme="minorHAnsi" w:cstheme="minorHAnsi"/>
          <w:i/>
          <w:iCs/>
        </w:rPr>
        <w:t xml:space="preserve"> </w:t>
      </w:r>
      <w:r w:rsidRPr="001B4179">
        <w:rPr>
          <w:rFonts w:asciiTheme="minorHAnsi" w:hAnsiTheme="minorHAnsi" w:cstheme="minorHAnsi"/>
          <w:i/>
          <w:iCs/>
        </w:rPr>
        <w:t>(</w:t>
      </w:r>
      <w:r w:rsidR="00A11892" w:rsidRPr="001B4179">
        <w:rPr>
          <w:rFonts w:asciiTheme="minorHAnsi" w:hAnsiTheme="minorHAnsi" w:cstheme="minorHAnsi"/>
          <w:i/>
          <w:iCs/>
        </w:rPr>
        <w:t>555 and 647</w:t>
      </w:r>
      <w:r w:rsidRPr="001B4179">
        <w:rPr>
          <w:rFonts w:asciiTheme="minorHAnsi" w:hAnsiTheme="minorHAnsi" w:cstheme="minorHAnsi"/>
          <w:i/>
          <w:iCs/>
        </w:rPr>
        <w:t>) at the same time.</w:t>
      </w:r>
      <w:r w:rsidR="00A11892" w:rsidRPr="001B4179">
        <w:rPr>
          <w:rFonts w:asciiTheme="minorHAnsi" w:hAnsiTheme="minorHAnsi" w:cstheme="minorHAnsi"/>
          <w:i/>
          <w:iCs/>
        </w:rPr>
        <w:t xml:space="preserve"> </w:t>
      </w:r>
      <w:r w:rsidRPr="001B4179">
        <w:rPr>
          <w:rFonts w:asciiTheme="minorHAnsi" w:hAnsiTheme="minorHAnsi" w:cstheme="minorHAnsi"/>
          <w:i/>
          <w:iCs/>
        </w:rPr>
        <w:t xml:space="preserve">Additionally, </w:t>
      </w:r>
      <w:r w:rsidR="00A11892" w:rsidRPr="001B4179">
        <w:rPr>
          <w:rFonts w:asciiTheme="minorHAnsi" w:hAnsiTheme="minorHAnsi" w:cstheme="minorHAnsi"/>
          <w:i/>
          <w:iCs/>
        </w:rPr>
        <w:t>the 2-photon laser acquisition yields low background and hardly any photobleaching throughout a long Z-stack acquisition</w:t>
      </w:r>
      <w:r w:rsidR="00746ED7" w:rsidRPr="001B4179">
        <w:rPr>
          <w:rFonts w:asciiTheme="minorHAnsi" w:hAnsiTheme="minorHAnsi" w:cstheme="minorHAnsi"/>
          <w:i/>
          <w:iCs/>
        </w:rPr>
        <w:t xml:space="preserve">. </w:t>
      </w:r>
      <w:r w:rsidRPr="001B4179">
        <w:rPr>
          <w:rFonts w:asciiTheme="minorHAnsi" w:hAnsiTheme="minorHAnsi" w:cstheme="minorHAnsi"/>
          <w:i/>
          <w:iCs/>
        </w:rPr>
        <w:t xml:space="preserve"> </w:t>
      </w:r>
      <w:r w:rsidR="00A11892" w:rsidRPr="001B4179">
        <w:rPr>
          <w:rFonts w:asciiTheme="minorHAnsi" w:hAnsiTheme="minorHAnsi" w:cstheme="minorHAnsi"/>
          <w:i/>
          <w:iCs/>
        </w:rPr>
        <w:t xml:space="preserve">This is explained under in discussion lines </w:t>
      </w:r>
      <w:r w:rsidR="00076C5F" w:rsidRPr="001B4179">
        <w:rPr>
          <w:rFonts w:asciiTheme="minorHAnsi" w:hAnsiTheme="minorHAnsi" w:cstheme="minorHAnsi"/>
          <w:i/>
          <w:iCs/>
        </w:rPr>
        <w:t>8</w:t>
      </w:r>
      <w:r w:rsidR="001B4179">
        <w:rPr>
          <w:rFonts w:asciiTheme="minorHAnsi" w:hAnsiTheme="minorHAnsi" w:cstheme="minorHAnsi"/>
          <w:i/>
          <w:iCs/>
        </w:rPr>
        <w:t>3</w:t>
      </w:r>
      <w:r w:rsidR="000B683F">
        <w:rPr>
          <w:rFonts w:asciiTheme="minorHAnsi" w:hAnsiTheme="minorHAnsi" w:cstheme="minorHAnsi"/>
          <w:i/>
          <w:iCs/>
        </w:rPr>
        <w:t>0</w:t>
      </w:r>
      <w:r w:rsidR="00A11892" w:rsidRPr="001B4179">
        <w:rPr>
          <w:rFonts w:asciiTheme="minorHAnsi" w:hAnsiTheme="minorHAnsi" w:cstheme="minorHAnsi"/>
          <w:i/>
          <w:iCs/>
        </w:rPr>
        <w:t>-</w:t>
      </w:r>
      <w:r w:rsidR="00076C5F" w:rsidRPr="001B4179">
        <w:rPr>
          <w:rFonts w:asciiTheme="minorHAnsi" w:hAnsiTheme="minorHAnsi" w:cstheme="minorHAnsi"/>
          <w:i/>
          <w:iCs/>
        </w:rPr>
        <w:t>8</w:t>
      </w:r>
      <w:r w:rsidR="000B683F">
        <w:rPr>
          <w:rFonts w:asciiTheme="minorHAnsi" w:hAnsiTheme="minorHAnsi" w:cstheme="minorHAnsi"/>
          <w:i/>
          <w:iCs/>
        </w:rPr>
        <w:t>36</w:t>
      </w:r>
      <w:r w:rsidR="00A11892" w:rsidRPr="001B4179">
        <w:rPr>
          <w:rFonts w:asciiTheme="minorHAnsi" w:hAnsiTheme="minorHAnsi" w:cstheme="minorHAnsi"/>
          <w:i/>
          <w:iCs/>
        </w:rPr>
        <w:t xml:space="preserve">. </w:t>
      </w:r>
    </w:p>
    <w:p w14:paraId="3EF5FFF2" w14:textId="77777777" w:rsidR="00E92DCA" w:rsidRDefault="00A11892" w:rsidP="00A11892">
      <w:pPr>
        <w:pStyle w:val="NormalWeb"/>
      </w:pPr>
      <w:r>
        <w:lastRenderedPageBreak/>
        <w:br/>
        <w:t xml:space="preserve">4. Sample setup - In sample setup for microscopy, include the exact sizes and depths for reusable silicon gaskets for corresponding stages of ovaries. A glass-bottom dish may be a simple alternative suggestion for mounting ovaries. </w:t>
      </w:r>
    </w:p>
    <w:p w14:paraId="17B4696F" w14:textId="450228F4" w:rsidR="00A11892" w:rsidRPr="00E92DCA" w:rsidRDefault="00E92DCA" w:rsidP="00A11892">
      <w:pPr>
        <w:pStyle w:val="NormalWeb"/>
        <w:rPr>
          <w:i/>
          <w:iCs/>
        </w:rPr>
      </w:pPr>
      <w:r w:rsidRPr="00E92DCA">
        <w:rPr>
          <w:i/>
          <w:iCs/>
        </w:rPr>
        <w:t xml:space="preserve">We have included details of </w:t>
      </w:r>
      <w:r w:rsidR="00A11892" w:rsidRPr="00E92DCA">
        <w:rPr>
          <w:i/>
          <w:iCs/>
        </w:rPr>
        <w:t xml:space="preserve">sizes </w:t>
      </w:r>
      <w:r w:rsidRPr="00E92DCA">
        <w:rPr>
          <w:i/>
          <w:iCs/>
        </w:rPr>
        <w:t xml:space="preserve">and depths </w:t>
      </w:r>
      <w:r w:rsidR="00A11892" w:rsidRPr="00E92DCA">
        <w:rPr>
          <w:i/>
          <w:iCs/>
        </w:rPr>
        <w:t>of the reusable silicon gasket</w:t>
      </w:r>
      <w:r w:rsidRPr="00E92DCA">
        <w:rPr>
          <w:i/>
          <w:iCs/>
        </w:rPr>
        <w:t>s</w:t>
      </w:r>
      <w:r w:rsidR="00A11892" w:rsidRPr="00E92DCA">
        <w:rPr>
          <w:i/>
          <w:iCs/>
        </w:rPr>
        <w:t xml:space="preserve"> in the table of reagents and also under the image set up section</w:t>
      </w:r>
      <w:r w:rsidR="00FF03A6">
        <w:rPr>
          <w:i/>
          <w:iCs/>
        </w:rPr>
        <w:t xml:space="preserve"> </w:t>
      </w:r>
      <w:r w:rsidR="00C72785">
        <w:rPr>
          <w:i/>
          <w:iCs/>
        </w:rPr>
        <w:t xml:space="preserve"> 6.1</w:t>
      </w:r>
      <w:r w:rsidR="00A11892" w:rsidRPr="00E92DCA">
        <w:rPr>
          <w:i/>
          <w:iCs/>
        </w:rPr>
        <w:t xml:space="preserve">. </w:t>
      </w:r>
      <w:r>
        <w:rPr>
          <w:i/>
          <w:iCs/>
        </w:rPr>
        <w:t>We have tested a g</w:t>
      </w:r>
      <w:r w:rsidR="00A11892" w:rsidRPr="00E92DCA">
        <w:rPr>
          <w:i/>
          <w:iCs/>
        </w:rPr>
        <w:t xml:space="preserve">lass-bottom dish </w:t>
      </w:r>
      <w:r>
        <w:rPr>
          <w:i/>
          <w:iCs/>
        </w:rPr>
        <w:t xml:space="preserve">and concluded that our set up is more efficient. We found that </w:t>
      </w:r>
      <w:r w:rsidR="00A11892" w:rsidRPr="00E92DCA">
        <w:rPr>
          <w:i/>
          <w:iCs/>
        </w:rPr>
        <w:t xml:space="preserve">samples </w:t>
      </w:r>
      <w:r>
        <w:rPr>
          <w:i/>
          <w:iCs/>
        </w:rPr>
        <w:t xml:space="preserve">placed in </w:t>
      </w:r>
      <w:r w:rsidR="00FF03A6">
        <w:rPr>
          <w:i/>
          <w:iCs/>
        </w:rPr>
        <w:t xml:space="preserve">a </w:t>
      </w:r>
      <w:r>
        <w:rPr>
          <w:i/>
          <w:iCs/>
        </w:rPr>
        <w:t xml:space="preserve">glass-bottom dish </w:t>
      </w:r>
      <w:r w:rsidR="00A11892" w:rsidRPr="00E92DCA">
        <w:rPr>
          <w:i/>
          <w:iCs/>
        </w:rPr>
        <w:t xml:space="preserve">move around during imaging, thereby distorting the image. </w:t>
      </w:r>
      <w:r>
        <w:rPr>
          <w:i/>
          <w:iCs/>
        </w:rPr>
        <w:t xml:space="preserve">We tried to construct a “well” inside a glass-bottom dish to restrict sample movement which improved imaging but was not easier. It required use of expensive dishes and eliminated the option to flip the sample to image from the other side. Base on the time we spent on optimizing this method without success we do not recommend this method. Instead we offer a more reliable and relatively cheap method using reusable silicon gasket. </w:t>
      </w:r>
      <w:r w:rsidR="00BF3B7B">
        <w:rPr>
          <w:i/>
          <w:iCs/>
        </w:rPr>
        <w:t>3D printing becomes more available in research institutions and there are 3D-printing hubs that researcher can use to print inserts if they have no access.</w:t>
      </w:r>
    </w:p>
    <w:p w14:paraId="0DFB33CA" w14:textId="77777777" w:rsidR="00BF3B7B" w:rsidRDefault="00A11892" w:rsidP="00A11892">
      <w:pPr>
        <w:pStyle w:val="NormalWeb"/>
      </w:pPr>
      <w:r>
        <w:t xml:space="preserve">5. Table of materials/equipment - Multiphoton microscope and IMARIS software version used are missing. </w:t>
      </w:r>
    </w:p>
    <w:p w14:paraId="706098D5" w14:textId="68A9A189" w:rsidR="00BF3B7B" w:rsidRDefault="00BF3B7B" w:rsidP="00A11892">
      <w:pPr>
        <w:pStyle w:val="NormalWeb"/>
      </w:pPr>
      <w:r w:rsidRPr="00BF3B7B">
        <w:rPr>
          <w:i/>
          <w:iCs/>
        </w:rPr>
        <w:t xml:space="preserve">We have update the table with details about microscope and software version. </w:t>
      </w:r>
      <w:r w:rsidRPr="00076C5F">
        <w:rPr>
          <w:i/>
          <w:iCs/>
        </w:rPr>
        <w:t>(</w:t>
      </w:r>
      <w:r w:rsidR="00A11892" w:rsidRPr="00076C5F">
        <w:rPr>
          <w:i/>
          <w:iCs/>
        </w:rPr>
        <w:t xml:space="preserve"> </w:t>
      </w:r>
      <w:r w:rsidR="00076C5F">
        <w:rPr>
          <w:i/>
          <w:iCs/>
        </w:rPr>
        <w:t>Supplementary</w:t>
      </w:r>
      <w:r w:rsidRPr="00BF3B7B">
        <w:rPr>
          <w:i/>
          <w:iCs/>
        </w:rPr>
        <w:t>)</w:t>
      </w:r>
      <w:r w:rsidR="00A11892">
        <w:br/>
      </w:r>
      <w:r w:rsidR="00A11892">
        <w:br/>
        <w:t xml:space="preserve">6. Typographical comments - In line 56, "and now termed oocytes" is underlined. In line 373, "7. Imaging" is not the same font/color as the previous steps. Indentation is not consistent throughout the protocol. </w:t>
      </w:r>
    </w:p>
    <w:p w14:paraId="30DAA034" w14:textId="77777777" w:rsidR="00BF3B7B" w:rsidRDefault="00BF3B7B" w:rsidP="00A11892">
      <w:pPr>
        <w:pStyle w:val="NormalWeb"/>
      </w:pPr>
      <w:r w:rsidRPr="00BF3B7B">
        <w:rPr>
          <w:i/>
          <w:iCs/>
        </w:rPr>
        <w:t>We corrected typographical errors in revised manuscript</w:t>
      </w:r>
      <w:r>
        <w:t>.</w:t>
      </w:r>
      <w:r w:rsidR="00A11892">
        <w:br/>
      </w:r>
      <w:r w:rsidR="00A11892">
        <w:br/>
      </w:r>
      <w:r w:rsidR="00A11892">
        <w:br/>
      </w:r>
      <w:r w:rsidR="00A11892">
        <w:rPr>
          <w:b/>
          <w:bCs/>
        </w:rPr>
        <w:t xml:space="preserve">Reviewer #2: </w:t>
      </w:r>
      <w:r w:rsidR="00A11892">
        <w:br/>
        <w:t>Concerns:</w:t>
      </w:r>
      <w:r w:rsidR="00A11892">
        <w:br/>
        <w:t xml:space="preserve">However a context of the follicular developmental stage would be useful. </w:t>
      </w:r>
    </w:p>
    <w:p w14:paraId="35791C7C" w14:textId="7A512E3B" w:rsidR="00BF3B7B" w:rsidRDefault="00FF03A6" w:rsidP="00A11892">
      <w:pPr>
        <w:pStyle w:val="NormalWeb"/>
      </w:pPr>
      <w:r>
        <w:t>We regret but we are unable to address reviewer</w:t>
      </w:r>
      <w:r w:rsidR="00212DE8">
        <w:t>’s</w:t>
      </w:r>
      <w:r>
        <w:t xml:space="preserve"> comment. Due to the absence of granulosa cell markers in our protocol it is not possible to differentiate follicular stages</w:t>
      </w:r>
      <w:r w:rsidR="00212DE8">
        <w:t>.</w:t>
      </w:r>
      <w:r>
        <w:t xml:space="preserve">   </w:t>
      </w:r>
      <w:r w:rsidR="00A11892">
        <w:br/>
      </w:r>
      <w:r w:rsidR="00A11892">
        <w:br/>
      </w:r>
      <w:r w:rsidR="00A11892">
        <w:br/>
      </w:r>
      <w:r w:rsidR="00A11892">
        <w:br/>
      </w:r>
      <w:r w:rsidR="00A11892">
        <w:rPr>
          <w:b/>
          <w:bCs/>
        </w:rPr>
        <w:t xml:space="preserve">Reviewer #3: </w:t>
      </w:r>
      <w:r w:rsidR="00A11892">
        <w:br/>
        <w:t>Minor Concerns:</w:t>
      </w:r>
      <w:r w:rsidR="00A11892">
        <w:br/>
        <w:t xml:space="preserve">The authors describe and provide a cartoon (Figure 1) of the dissection of embryonic ovaries and prepubertal and pubertal ovaries; however, a video of the dissection procedures would be helpful for those who have not performed these dissections previously. </w:t>
      </w:r>
    </w:p>
    <w:p w14:paraId="7F3D8EE1" w14:textId="23283052" w:rsidR="00A11892" w:rsidRDefault="00BF3B7B" w:rsidP="00A11892">
      <w:pPr>
        <w:pStyle w:val="NormalWeb"/>
      </w:pPr>
      <w:r w:rsidRPr="00BF3B7B">
        <w:rPr>
          <w:i/>
          <w:iCs/>
        </w:rPr>
        <w:t>Video including the dissection and other part’s of the protocol will be produced to accompany this publication. We will keep in mind reviewer’s comment when we film the procedure.</w:t>
      </w:r>
      <w:r w:rsidR="00A11892">
        <w:br/>
      </w:r>
      <w:r w:rsidR="00A11892">
        <w:br/>
        <w:t xml:space="preserve">The authors provide detailed protocols for counting oocytes/follicles and for quantifying immunofluorescence intensity using the Leica/DIVE/4TUNE/FALCON with two multiphoton lasers </w:t>
      </w:r>
      <w:r w:rsidR="00A11892">
        <w:lastRenderedPageBreak/>
        <w:t xml:space="preserve">coupled with </w:t>
      </w:r>
      <w:proofErr w:type="spellStart"/>
      <w:r w:rsidR="00A11892">
        <w:t>Imaris</w:t>
      </w:r>
      <w:proofErr w:type="spellEnd"/>
      <w:r w:rsidR="00A11892">
        <w:t xml:space="preserve"> software. These protocols are less generalizable than the dissection and immunostaining protocols because they will vary with the microscopy platform that is available to the user.</w:t>
      </w:r>
      <w:r>
        <w:t xml:space="preserve"> </w:t>
      </w:r>
      <w:r w:rsidR="00A11892">
        <w:t>The immunostaining and clearing protocols are standard and have been previously published.</w:t>
      </w:r>
    </w:p>
    <w:p w14:paraId="21BB2286" w14:textId="31EBC4D1" w:rsidR="00BF3B7B" w:rsidRPr="00903CB9" w:rsidRDefault="00BF3B7B" w:rsidP="00A11892">
      <w:pPr>
        <w:pStyle w:val="NormalWeb"/>
        <w:rPr>
          <w:i/>
          <w:iCs/>
        </w:rPr>
      </w:pPr>
      <w:r w:rsidRPr="00903CB9">
        <w:rPr>
          <w:i/>
          <w:iCs/>
        </w:rPr>
        <w:t xml:space="preserve">We agree with the reviewer that not all </w:t>
      </w:r>
      <w:r w:rsidR="00492770">
        <w:rPr>
          <w:i/>
          <w:iCs/>
        </w:rPr>
        <w:t>researchers</w:t>
      </w:r>
      <w:r w:rsidRPr="00903CB9">
        <w:rPr>
          <w:i/>
          <w:iCs/>
        </w:rPr>
        <w:t xml:space="preserve"> have access to the same equipment and software. </w:t>
      </w:r>
      <w:r w:rsidR="00B26E87" w:rsidRPr="00903CB9">
        <w:rPr>
          <w:i/>
          <w:iCs/>
        </w:rPr>
        <w:t>When we started our project we were whe</w:t>
      </w:r>
      <w:r w:rsidR="00492770">
        <w:rPr>
          <w:i/>
          <w:iCs/>
        </w:rPr>
        <w:t>re</w:t>
      </w:r>
      <w:r w:rsidR="00B26E87" w:rsidRPr="00903CB9">
        <w:rPr>
          <w:i/>
          <w:iCs/>
        </w:rPr>
        <w:t xml:space="preserve"> many of our colleagues may be now; considering which imaging platform to use or which software to choose. </w:t>
      </w:r>
      <w:r w:rsidR="00903CB9">
        <w:rPr>
          <w:i/>
          <w:iCs/>
        </w:rPr>
        <w:t>We tried confocal and light sheet and found multiphoton to be superior</w:t>
      </w:r>
      <w:r w:rsidR="00492770">
        <w:rPr>
          <w:i/>
          <w:iCs/>
        </w:rPr>
        <w:t xml:space="preserve"> for large scale imaging projects</w:t>
      </w:r>
      <w:r w:rsidR="00903CB9">
        <w:rPr>
          <w:i/>
          <w:iCs/>
        </w:rPr>
        <w:t xml:space="preserve">. </w:t>
      </w:r>
      <w:r w:rsidR="00B26E87" w:rsidRPr="00903CB9">
        <w:rPr>
          <w:i/>
          <w:iCs/>
        </w:rPr>
        <w:t>We present this protocol for users as a recommendation.</w:t>
      </w:r>
      <w:r w:rsidR="00903CB9">
        <w:rPr>
          <w:i/>
          <w:iCs/>
        </w:rPr>
        <w:t xml:space="preserve"> If they have a choice </w:t>
      </w:r>
      <w:r w:rsidR="00492770">
        <w:rPr>
          <w:i/>
          <w:iCs/>
        </w:rPr>
        <w:t xml:space="preserve">or </w:t>
      </w:r>
      <w:r w:rsidR="00B258B5">
        <w:rPr>
          <w:i/>
          <w:iCs/>
        </w:rPr>
        <w:t xml:space="preserve">consider </w:t>
      </w:r>
      <w:r w:rsidR="00212DE8">
        <w:rPr>
          <w:i/>
          <w:iCs/>
        </w:rPr>
        <w:t xml:space="preserve">new </w:t>
      </w:r>
      <w:r w:rsidR="00B258B5">
        <w:rPr>
          <w:i/>
          <w:iCs/>
        </w:rPr>
        <w:t>purchase</w:t>
      </w:r>
      <w:r w:rsidR="00212DE8">
        <w:rPr>
          <w:i/>
          <w:iCs/>
        </w:rPr>
        <w:t xml:space="preserve"> this protocol may be helpful</w:t>
      </w:r>
      <w:r w:rsidR="00903CB9">
        <w:rPr>
          <w:i/>
          <w:iCs/>
        </w:rPr>
        <w:t>.</w:t>
      </w:r>
      <w:r w:rsidR="00492770">
        <w:rPr>
          <w:i/>
          <w:iCs/>
        </w:rPr>
        <w:t xml:space="preserve"> Many imaging software require coding skills which may be limitation for biologists. We acknowledge that IMARIS or other commercial software may be expensive but commercial software may be provided by </w:t>
      </w:r>
      <w:r w:rsidR="00212DE8">
        <w:rPr>
          <w:i/>
          <w:iCs/>
        </w:rPr>
        <w:t xml:space="preserve">imaging </w:t>
      </w:r>
      <w:r w:rsidR="00B258B5">
        <w:rPr>
          <w:i/>
          <w:iCs/>
        </w:rPr>
        <w:t>facilities.</w:t>
      </w:r>
      <w:r w:rsidR="00903CB9">
        <w:rPr>
          <w:i/>
          <w:iCs/>
        </w:rPr>
        <w:t xml:space="preserve"> </w:t>
      </w:r>
      <w:r w:rsidR="00B26E87" w:rsidRPr="00903CB9">
        <w:rPr>
          <w:i/>
          <w:iCs/>
        </w:rPr>
        <w:t xml:space="preserve"> Even though our protocol is </w:t>
      </w:r>
      <w:r w:rsidR="00212DE8">
        <w:rPr>
          <w:i/>
          <w:iCs/>
        </w:rPr>
        <w:t xml:space="preserve">for a </w:t>
      </w:r>
      <w:r w:rsidR="00B26E87" w:rsidRPr="00903CB9">
        <w:rPr>
          <w:i/>
          <w:iCs/>
        </w:rPr>
        <w:t>specific platform</w:t>
      </w:r>
      <w:r w:rsidR="00492770">
        <w:rPr>
          <w:i/>
          <w:iCs/>
        </w:rPr>
        <w:t xml:space="preserve"> and software</w:t>
      </w:r>
      <w:r w:rsidR="00B26E87" w:rsidRPr="00903CB9">
        <w:rPr>
          <w:i/>
          <w:iCs/>
        </w:rPr>
        <w:t xml:space="preserve"> many aspects of the protocol</w:t>
      </w:r>
      <w:r w:rsidR="00492770">
        <w:rPr>
          <w:i/>
          <w:iCs/>
        </w:rPr>
        <w:t xml:space="preserve"> and analysis</w:t>
      </w:r>
      <w:r w:rsidR="00B26E87" w:rsidRPr="00903CB9">
        <w:rPr>
          <w:i/>
          <w:iCs/>
        </w:rPr>
        <w:t xml:space="preserve"> can be extended to other platforms</w:t>
      </w:r>
      <w:r w:rsidR="00492770">
        <w:rPr>
          <w:i/>
          <w:iCs/>
        </w:rPr>
        <w:t xml:space="preserve"> </w:t>
      </w:r>
      <w:r w:rsidR="00212DE8">
        <w:rPr>
          <w:i/>
          <w:iCs/>
        </w:rPr>
        <w:t>with</w:t>
      </w:r>
      <w:r w:rsidR="00492770">
        <w:rPr>
          <w:i/>
          <w:iCs/>
        </w:rPr>
        <w:t xml:space="preserve"> some optimization</w:t>
      </w:r>
      <w:r w:rsidR="00B258B5">
        <w:rPr>
          <w:i/>
          <w:iCs/>
        </w:rPr>
        <w:t xml:space="preserve"> as mentioned </w:t>
      </w:r>
      <w:r w:rsidR="00212DE8">
        <w:rPr>
          <w:i/>
          <w:iCs/>
        </w:rPr>
        <w:t>throughout</w:t>
      </w:r>
      <w:r w:rsidR="00B258B5">
        <w:rPr>
          <w:i/>
          <w:iCs/>
        </w:rPr>
        <w:t xml:space="preserve"> the manuscript</w:t>
      </w:r>
      <w:r w:rsidR="00212DE8">
        <w:rPr>
          <w:i/>
          <w:iCs/>
        </w:rPr>
        <w:t>.</w:t>
      </w:r>
    </w:p>
    <w:p w14:paraId="340D2AAB" w14:textId="77777777" w:rsidR="00A11892" w:rsidRDefault="00A11892" w:rsidP="00822FC7">
      <w:pPr>
        <w:pStyle w:val="NormalWeb"/>
        <w:rPr>
          <w:rStyle w:val="Strong"/>
          <w:color w:val="FF0000"/>
          <w:u w:val="single"/>
        </w:rPr>
      </w:pPr>
    </w:p>
    <w:p w14:paraId="065E24F9" w14:textId="0D4BE7ED" w:rsidR="00B25B99" w:rsidRDefault="00822FC7" w:rsidP="00822FC7">
      <w:pPr>
        <w:pStyle w:val="NormalWeb"/>
      </w:pPr>
      <w:r>
        <w:rPr>
          <w:rStyle w:val="Strong"/>
          <w:color w:val="FF0000"/>
          <w:u w:val="single"/>
        </w:rPr>
        <w:t>Editorial comments:</w:t>
      </w:r>
    </w:p>
    <w:p w14:paraId="1E054213" w14:textId="64BD2A37" w:rsidR="00822FC7" w:rsidRPr="00A11892" w:rsidRDefault="00822FC7" w:rsidP="00B258B5">
      <w:pPr>
        <w:pStyle w:val="NormalWeb"/>
        <w:spacing w:before="0" w:beforeAutospacing="0" w:after="0" w:afterAutospacing="0"/>
      </w:pPr>
      <w:r w:rsidRPr="00A11892">
        <w:t>1. Please take this opportunity to thoroughly proofread the manuscript to ensure that there are no spelling or grammar issues. Please define all abbreviations at first use.</w:t>
      </w:r>
    </w:p>
    <w:p w14:paraId="48095DF1" w14:textId="230ECCDF" w:rsidR="00B25B99" w:rsidRPr="00A11892" w:rsidRDefault="00B25B99" w:rsidP="00B258B5">
      <w:pPr>
        <w:pStyle w:val="NormalWeb"/>
        <w:numPr>
          <w:ilvl w:val="0"/>
          <w:numId w:val="2"/>
        </w:numPr>
        <w:spacing w:before="0" w:beforeAutospacing="0" w:after="0" w:afterAutospacing="0"/>
        <w:rPr>
          <w:i/>
          <w:iCs/>
        </w:rPr>
      </w:pPr>
      <w:r w:rsidRPr="00A11892">
        <w:rPr>
          <w:i/>
          <w:iCs/>
        </w:rPr>
        <w:t>Current version of the manuscript was proofread by a scientific writer.</w:t>
      </w:r>
    </w:p>
    <w:p w14:paraId="16D9A983" w14:textId="77777777" w:rsidR="00B25B99" w:rsidRPr="00A11892" w:rsidRDefault="00822FC7" w:rsidP="00822FC7">
      <w:pPr>
        <w:pStyle w:val="NormalWeb"/>
      </w:pPr>
      <w:r w:rsidRPr="00A11892">
        <w:t>2. Please provide an email address for each author.</w:t>
      </w:r>
      <w:r w:rsidR="00464472" w:rsidRPr="00A11892">
        <w:t xml:space="preserve"> </w:t>
      </w:r>
    </w:p>
    <w:p w14:paraId="4AC48E06" w14:textId="5AD399C9" w:rsidR="00822FC7" w:rsidRPr="00A11892" w:rsidRDefault="00212DE8" w:rsidP="00B258B5">
      <w:pPr>
        <w:pStyle w:val="NormalWeb"/>
        <w:numPr>
          <w:ilvl w:val="0"/>
          <w:numId w:val="2"/>
        </w:numPr>
        <w:rPr>
          <w:i/>
          <w:iCs/>
        </w:rPr>
      </w:pPr>
      <w:r>
        <w:rPr>
          <w:i/>
          <w:iCs/>
        </w:rPr>
        <w:t>A</w:t>
      </w:r>
      <w:r w:rsidR="00DB0CB3">
        <w:rPr>
          <w:i/>
          <w:iCs/>
        </w:rPr>
        <w:t>s</w:t>
      </w:r>
      <w:r>
        <w:rPr>
          <w:i/>
          <w:iCs/>
        </w:rPr>
        <w:t xml:space="preserve"> it is not specified where </w:t>
      </w:r>
      <w:r w:rsidR="00DB0CB3">
        <w:rPr>
          <w:i/>
          <w:iCs/>
        </w:rPr>
        <w:t>to</w:t>
      </w:r>
      <w:r>
        <w:rPr>
          <w:i/>
          <w:iCs/>
        </w:rPr>
        <w:t xml:space="preserve"> provide </w:t>
      </w:r>
      <w:r w:rsidR="0085658F" w:rsidRPr="00A11892">
        <w:rPr>
          <w:i/>
          <w:iCs/>
        </w:rPr>
        <w:t xml:space="preserve">email addresses of all the authors </w:t>
      </w:r>
      <w:r>
        <w:rPr>
          <w:i/>
          <w:iCs/>
        </w:rPr>
        <w:t xml:space="preserve">after authorship. </w:t>
      </w:r>
    </w:p>
    <w:p w14:paraId="4AC238F4" w14:textId="69701A75" w:rsidR="00CE1B14" w:rsidRPr="00A11892" w:rsidRDefault="00822FC7" w:rsidP="00822FC7">
      <w:pPr>
        <w:pStyle w:val="NormalWeb"/>
      </w:pPr>
      <w:r w:rsidRPr="00A11892">
        <w:t xml:space="preserve">3. Being a video based journal, </w:t>
      </w:r>
      <w:proofErr w:type="spellStart"/>
      <w:r w:rsidRPr="00A11892">
        <w:t>JoVE</w:t>
      </w:r>
      <w:proofErr w:type="spellEnd"/>
      <w:r w:rsidRPr="00A11892">
        <w:t xml:space="preserve"> authors must be very specific when it comes to the humane treatment of animals. Regarding animal treatment in the protocol, please add the following information to the text:</w:t>
      </w:r>
    </w:p>
    <w:p w14:paraId="6EBCEDE6" w14:textId="77777777" w:rsidR="00B25B99" w:rsidRPr="00A11892" w:rsidRDefault="00822FC7" w:rsidP="00822FC7">
      <w:pPr>
        <w:pStyle w:val="NormalWeb"/>
      </w:pPr>
      <w:r w:rsidRPr="00A11892">
        <w:t xml:space="preserve">a) What was the age and weight of the mice? </w:t>
      </w:r>
    </w:p>
    <w:p w14:paraId="3A43D58D" w14:textId="58EB5E9A" w:rsidR="00CE1B14" w:rsidRDefault="00822FC7" w:rsidP="00822FC7">
      <w:pPr>
        <w:pStyle w:val="NormalWeb"/>
      </w:pPr>
      <w:r w:rsidRPr="00212DE8">
        <w:t>Prenatal and prepuberal were not weighed</w:t>
      </w:r>
      <w:r w:rsidR="00CE1B14" w:rsidRPr="00212DE8">
        <w:t xml:space="preserve"> as there was no need to weight them. The</w:t>
      </w:r>
      <w:r w:rsidRPr="00212DE8">
        <w:t xml:space="preserve"> pubertal </w:t>
      </w:r>
      <w:r w:rsidR="00CE1B14" w:rsidRPr="00212DE8">
        <w:t xml:space="preserve">weight </w:t>
      </w:r>
      <w:r w:rsidRPr="00212DE8">
        <w:t>varies from 13.09g- 14.86g</w:t>
      </w:r>
      <w:r w:rsidR="00CE1B14" w:rsidRPr="00212DE8">
        <w:t xml:space="preserve"> and the weight was used to </w:t>
      </w:r>
      <w:r w:rsidR="00A81B69" w:rsidRPr="00212DE8">
        <w:t>determine</w:t>
      </w:r>
      <w:r w:rsidR="00CE1B14" w:rsidRPr="00212DE8">
        <w:t xml:space="preserve"> the amount of tribromoethanol needed for euthanasia</w:t>
      </w:r>
    </w:p>
    <w:p w14:paraId="1A63F866" w14:textId="77777777" w:rsidR="00433D98" w:rsidRDefault="00822FC7" w:rsidP="00822FC7">
      <w:pPr>
        <w:pStyle w:val="NormalWeb"/>
      </w:pPr>
      <w:r>
        <w:br/>
        <w:t>b) Please specify the euthanasia method without highlighting it.</w:t>
      </w:r>
    </w:p>
    <w:p w14:paraId="3D9D64BE" w14:textId="77777777" w:rsidR="00433D98" w:rsidRDefault="00433D98" w:rsidP="00212DE8">
      <w:pPr>
        <w:pStyle w:val="NormalWeb"/>
        <w:numPr>
          <w:ilvl w:val="0"/>
          <w:numId w:val="2"/>
        </w:numPr>
      </w:pPr>
      <w:r>
        <w:t>Described for pregnant mothers in point 1.1</w:t>
      </w:r>
    </w:p>
    <w:p w14:paraId="74351773" w14:textId="6096595B" w:rsidR="00433D98" w:rsidRDefault="00433D98" w:rsidP="00433D98">
      <w:pPr>
        <w:pStyle w:val="NormalWeb"/>
        <w:numPr>
          <w:ilvl w:val="0"/>
          <w:numId w:val="2"/>
        </w:numPr>
      </w:pPr>
      <w:r>
        <w:t>Described in point 1.4 for prenatal stages</w:t>
      </w:r>
    </w:p>
    <w:p w14:paraId="02EEEE00" w14:textId="4B4CC4A1" w:rsidR="00433D98" w:rsidRPr="00433D98" w:rsidRDefault="00433D98" w:rsidP="00433D98">
      <w:pPr>
        <w:pStyle w:val="NormalWeb"/>
        <w:numPr>
          <w:ilvl w:val="0"/>
          <w:numId w:val="2"/>
        </w:numPr>
      </w:pPr>
      <w:r>
        <w:t>Described in point 2.1 for neonatal pups</w:t>
      </w:r>
    </w:p>
    <w:p w14:paraId="3D7222E9" w14:textId="7E8586CD" w:rsidR="00CE1B14" w:rsidRPr="00212DE8" w:rsidRDefault="00A81B69" w:rsidP="00433D98">
      <w:pPr>
        <w:pStyle w:val="NormalWeb"/>
        <w:numPr>
          <w:ilvl w:val="0"/>
          <w:numId w:val="2"/>
        </w:numPr>
      </w:pPr>
      <w:r w:rsidRPr="00212DE8">
        <w:t xml:space="preserve">Described in point 3.1 for pubertal perfused mice. Injection with tribromoethanol is used for anesthesia prior to perfusion in 3.2. </w:t>
      </w:r>
    </w:p>
    <w:p w14:paraId="6F751502" w14:textId="79B3E097" w:rsidR="00B258B5" w:rsidRDefault="00822FC7" w:rsidP="00822FC7">
      <w:pPr>
        <w:pStyle w:val="NormalWeb"/>
      </w:pPr>
      <w:r>
        <w:lastRenderedPageBreak/>
        <w:br/>
        <w:t>c</w:t>
      </w:r>
      <w:r w:rsidR="00B258B5">
        <w:t xml:space="preserve">-g) </w:t>
      </w:r>
      <w:r>
        <w:t xml:space="preserve"> </w:t>
      </w:r>
      <w:r w:rsidR="00B258B5">
        <w:t>Do not apply.</w:t>
      </w:r>
    </w:p>
    <w:p w14:paraId="04BBEC3B" w14:textId="3C965BC4" w:rsidR="00B258B5" w:rsidRDefault="00B258B5" w:rsidP="00B258B5">
      <w:pPr>
        <w:pStyle w:val="NormalWeb"/>
        <w:numPr>
          <w:ilvl w:val="0"/>
          <w:numId w:val="2"/>
        </w:numPr>
      </w:pPr>
      <w:r>
        <w:t>Anesthesia was not used for survival surgery. We added information that perfusion is a terminal euthanasia procedure in point 3.1.</w:t>
      </w:r>
    </w:p>
    <w:p w14:paraId="7BDC2876" w14:textId="77777777" w:rsidR="00A11892" w:rsidRDefault="00822FC7" w:rsidP="00822FC7">
      <w:pPr>
        <w:pStyle w:val="NormalWeb"/>
      </w:pPr>
      <w:r>
        <w:t xml:space="preserve">4.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 xml:space="preserve">For example: in Eppendorf tubes; Leica DIVE/4TUNE/FALCON; LAS X 3.5.6 software; </w:t>
      </w:r>
      <w:proofErr w:type="spellStart"/>
      <w:r>
        <w:t>FastWells</w:t>
      </w:r>
      <w:proofErr w:type="spellEnd"/>
      <w:r>
        <w:t xml:space="preserve"> Reagent Barrier; X-Cite 120LED, </w:t>
      </w:r>
      <w:proofErr w:type="spellStart"/>
      <w:r>
        <w:t>Excelitas</w:t>
      </w:r>
      <w:proofErr w:type="spellEnd"/>
      <w:r>
        <w:t xml:space="preserve">; LAS X navigator; with IMARIS 3D/4D image visualization and analysis software </w:t>
      </w:r>
      <w:proofErr w:type="spellStart"/>
      <w:r>
        <w:t>etc</w:t>
      </w:r>
      <w:proofErr w:type="spellEnd"/>
      <w:r>
        <w:br/>
        <w:t>Obviously, if you have optimized your protocol with certain instruments/reagents/software, you will need to mention them, but include just the bare minimum information (e.g., name of product) in the manuscript and come up with a generic term to refer to the product (include this in the comments column in the Table of Materials) after the first mention so that you don’t keep repeating commercial terms throughout the paper. Please revise the text, especially in the protocol, to avoid the use of any personal pronouns (e.g., "we", "you", "our" etc.). You can mention products or software in the discussion if you wish to compare them to what you have used.</w:t>
      </w:r>
      <w:r w:rsidR="00CE1B14">
        <w:t xml:space="preserve"> </w:t>
      </w:r>
    </w:p>
    <w:p w14:paraId="291F0E64" w14:textId="612F3E30" w:rsidR="00B258B5" w:rsidRPr="00B258B5" w:rsidRDefault="00A11892" w:rsidP="00B258B5">
      <w:pPr>
        <w:pStyle w:val="NormalWeb"/>
        <w:numPr>
          <w:ilvl w:val="0"/>
          <w:numId w:val="2"/>
        </w:numPr>
      </w:pPr>
      <w:r w:rsidRPr="00A11892">
        <w:rPr>
          <w:i/>
          <w:iCs/>
        </w:rPr>
        <w:t>We r</w:t>
      </w:r>
      <w:r w:rsidR="00CE1B14" w:rsidRPr="00A11892">
        <w:rPr>
          <w:i/>
          <w:iCs/>
        </w:rPr>
        <w:t xml:space="preserve">evised </w:t>
      </w:r>
      <w:r w:rsidRPr="00A11892">
        <w:rPr>
          <w:i/>
          <w:iCs/>
        </w:rPr>
        <w:t>our</w:t>
      </w:r>
      <w:r w:rsidR="00CE1B14" w:rsidRPr="00A11892">
        <w:rPr>
          <w:i/>
          <w:iCs/>
        </w:rPr>
        <w:t xml:space="preserve"> manuscript</w:t>
      </w:r>
      <w:r w:rsidRPr="00A11892">
        <w:rPr>
          <w:i/>
          <w:iCs/>
        </w:rPr>
        <w:t xml:space="preserve"> to limit the use of commercial language. We left the minimum we deemed necessary for clarity.</w:t>
      </w:r>
    </w:p>
    <w:p w14:paraId="3E5798B2" w14:textId="7B528E03" w:rsidR="00CE1B14" w:rsidRDefault="00B258B5" w:rsidP="00B258B5">
      <w:pPr>
        <w:pStyle w:val="NormalWeb"/>
      </w:pPr>
      <w:r>
        <w:t xml:space="preserve"> </w:t>
      </w:r>
      <w:r w:rsidR="00822FC7">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A470A65" w14:textId="4DF08C42" w:rsidR="00A11892" w:rsidRPr="00A11892" w:rsidRDefault="00A11892" w:rsidP="00B258B5">
      <w:pPr>
        <w:pStyle w:val="NormalWeb"/>
        <w:numPr>
          <w:ilvl w:val="0"/>
          <w:numId w:val="2"/>
        </w:numPr>
        <w:rPr>
          <w:i/>
          <w:iCs/>
        </w:rPr>
      </w:pPr>
      <w:r w:rsidRPr="00A11892">
        <w:rPr>
          <w:i/>
          <w:iCs/>
        </w:rPr>
        <w:t>We have revised the manuscript to address this.</w:t>
      </w:r>
    </w:p>
    <w:p w14:paraId="25CB31C9" w14:textId="49D317D1" w:rsidR="00CE1B14" w:rsidRDefault="00822FC7" w:rsidP="00822FC7">
      <w:pPr>
        <w:pStyle w:val="NormalWeb"/>
      </w:pPr>
      <w:r>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to your protocol steps. Especially the setting of parameters, gain etc</w:t>
      </w:r>
      <w:r w:rsidRPr="00212DE8">
        <w:t xml:space="preserve">. </w:t>
      </w:r>
      <w:bookmarkStart w:id="0" w:name="_Hlk76975746"/>
      <w:r w:rsidRPr="00212DE8">
        <w:t>Consider providing supplemental material (tables, Word files) with all these settings. Including enough details will help to show representative results and also film your video</w:t>
      </w:r>
      <w:bookmarkEnd w:id="0"/>
      <w:r w:rsidRPr="00212DE8">
        <w:t>.</w:t>
      </w:r>
      <w:r>
        <w:t xml:space="preserve"> There should be enough detail in each step to supplement the actions seen in the video so that viewers can easily replicate the protocol.</w:t>
      </w:r>
      <w:r w:rsidR="00CE1B14">
        <w:t xml:space="preserve">  </w:t>
      </w:r>
    </w:p>
    <w:p w14:paraId="057B1A52" w14:textId="3810E351" w:rsidR="00A11892" w:rsidRPr="00A11892" w:rsidRDefault="00A11892" w:rsidP="00B258B5">
      <w:pPr>
        <w:pStyle w:val="NormalWeb"/>
        <w:numPr>
          <w:ilvl w:val="0"/>
          <w:numId w:val="2"/>
        </w:numPr>
        <w:rPr>
          <w:i/>
          <w:iCs/>
        </w:rPr>
      </w:pPr>
      <w:r w:rsidRPr="00A11892">
        <w:rPr>
          <w:i/>
          <w:iCs/>
        </w:rPr>
        <w:t>We have revised the manuscript to address this</w:t>
      </w:r>
      <w:r>
        <w:rPr>
          <w:i/>
          <w:iCs/>
        </w:rPr>
        <w:t xml:space="preserve"> and included </w:t>
      </w:r>
      <w:r w:rsidR="00212DE8">
        <w:rPr>
          <w:i/>
          <w:iCs/>
        </w:rPr>
        <w:t xml:space="preserve">Table </w:t>
      </w:r>
      <w:r w:rsidR="008F4E7D">
        <w:rPr>
          <w:i/>
          <w:iCs/>
        </w:rPr>
        <w:t>S</w:t>
      </w:r>
      <w:r w:rsidR="00212DE8">
        <w:rPr>
          <w:i/>
          <w:iCs/>
        </w:rPr>
        <w:t>1</w:t>
      </w:r>
      <w:r w:rsidR="008F4E7D">
        <w:rPr>
          <w:i/>
          <w:iCs/>
        </w:rPr>
        <w:t xml:space="preserve"> and Figure S1</w:t>
      </w:r>
      <w:r>
        <w:rPr>
          <w:i/>
          <w:iCs/>
        </w:rPr>
        <w:t xml:space="preserve"> with more details for image acquisition.</w:t>
      </w:r>
    </w:p>
    <w:p w14:paraId="73B50136" w14:textId="77777777" w:rsidR="00A11892" w:rsidRDefault="00822FC7" w:rsidP="00822FC7">
      <w:pPr>
        <w:pStyle w:val="NormalWeb"/>
      </w:pPr>
      <w:r>
        <w:lastRenderedPageBreak/>
        <w:t xml:space="preserve">7. Please format the manuscript as: paragraph Indentation: 0 for both left and right and special: none, Line spacings: single. Please include a single line space between each step, </w:t>
      </w:r>
      <w:proofErr w:type="spellStart"/>
      <w:r>
        <w:t>substep</w:t>
      </w:r>
      <w:proofErr w:type="spellEnd"/>
      <w:r>
        <w:t xml:space="preserve"> and note in the protocol section. Please use </w:t>
      </w:r>
      <w:r w:rsidRPr="00270A78">
        <w:rPr>
          <w:b/>
          <w:bCs/>
        </w:rPr>
        <w:t>Calibri 12 points and one-inch margins on all the side</w:t>
      </w:r>
      <w:r>
        <w:t>. Please include a ONE LINE SPACE between each protocol step and then HIGHLIGHT up to 3 pages of protocol text for inclusion in the protocol section of the video.</w:t>
      </w:r>
      <w:r w:rsidR="00CE1B14">
        <w:t xml:space="preserve"> </w:t>
      </w:r>
    </w:p>
    <w:p w14:paraId="74F52501" w14:textId="41065EB5" w:rsidR="00A11892" w:rsidRDefault="00A11892" w:rsidP="00B258B5">
      <w:pPr>
        <w:pStyle w:val="NormalWeb"/>
        <w:numPr>
          <w:ilvl w:val="0"/>
          <w:numId w:val="2"/>
        </w:numPr>
        <w:rPr>
          <w:i/>
          <w:iCs/>
        </w:rPr>
      </w:pPr>
      <w:r w:rsidRPr="00A11892">
        <w:rPr>
          <w:i/>
          <w:iCs/>
        </w:rPr>
        <w:t xml:space="preserve">We have revised the manuscript </w:t>
      </w:r>
      <w:r>
        <w:rPr>
          <w:i/>
          <w:iCs/>
        </w:rPr>
        <w:t>with correct formatting</w:t>
      </w:r>
      <w:r w:rsidRPr="00A11892">
        <w:rPr>
          <w:i/>
          <w:iCs/>
        </w:rPr>
        <w:t>.</w:t>
      </w:r>
    </w:p>
    <w:p w14:paraId="2EF6A4EC" w14:textId="77777777" w:rsidR="00B258B5" w:rsidRDefault="00822FC7" w:rsidP="00822FC7">
      <w:pPr>
        <w:pStyle w:val="NormalWeb"/>
      </w:pPr>
      <w:r>
        <w:br/>
        <w:t>8. Provide reaction set-ups and solution composition as Tables in separate .</w:t>
      </w:r>
      <w:proofErr w:type="spellStart"/>
      <w:r>
        <w:t>xls</w:t>
      </w:r>
      <w:proofErr w:type="spellEnd"/>
      <w:r>
        <w:t xml:space="preserve"> or .xlsx files uploaded to your Editorial Manager account. These tables can then be referenced in the protocol text.</w:t>
      </w:r>
      <w:r w:rsidR="00CE1B14">
        <w:t xml:space="preserve"> </w:t>
      </w:r>
    </w:p>
    <w:p w14:paraId="666CBFC8" w14:textId="5C6580A7" w:rsidR="00CE1B14" w:rsidRPr="00A11892" w:rsidRDefault="00B258B5" w:rsidP="00B258B5">
      <w:pPr>
        <w:pStyle w:val="NormalWeb"/>
        <w:numPr>
          <w:ilvl w:val="0"/>
          <w:numId w:val="2"/>
        </w:numPr>
        <w:rPr>
          <w:i/>
          <w:iCs/>
        </w:rPr>
      </w:pPr>
      <w:r>
        <w:t xml:space="preserve">Not applicable </w:t>
      </w:r>
      <w:r w:rsidR="00822FC7">
        <w:br/>
      </w:r>
    </w:p>
    <w:p w14:paraId="7A676ACC" w14:textId="77777777" w:rsidR="00B258B5" w:rsidRDefault="00822FC7" w:rsidP="00822FC7">
      <w:pPr>
        <w:pStyle w:val="NormalWeb"/>
      </w:pPr>
      <w:r>
        <w:t>9. Please include a scale bar for all images taken with a microscope to provide context to the magnification used. Define the scale in the appropriate Figure Legend.</w:t>
      </w:r>
      <w:r w:rsidR="00CE1B14">
        <w:t xml:space="preserve"> </w:t>
      </w:r>
    </w:p>
    <w:p w14:paraId="0D07FABD" w14:textId="7D34AD98" w:rsidR="00CE1B14" w:rsidRDefault="00B258B5" w:rsidP="00B258B5">
      <w:pPr>
        <w:pStyle w:val="NormalWeb"/>
        <w:numPr>
          <w:ilvl w:val="0"/>
          <w:numId w:val="2"/>
        </w:numPr>
      </w:pPr>
      <w:r>
        <w:t>All images have defined scale bars.</w:t>
      </w:r>
    </w:p>
    <w:p w14:paraId="0C509A42" w14:textId="77777777" w:rsidR="00B258B5" w:rsidRDefault="00822FC7" w:rsidP="00A11892">
      <w:pPr>
        <w:pStyle w:val="NormalWeb"/>
      </w:pPr>
      <w:r>
        <w:br/>
        <w:t>10. Please remove the embedded Table from the manuscript. All tables should be uploaded separately to your Editorial Manager account in the form of an .</w:t>
      </w:r>
      <w:proofErr w:type="spellStart"/>
      <w:r>
        <w:t>xls</w:t>
      </w:r>
      <w:proofErr w:type="spellEnd"/>
      <w:r>
        <w:t xml:space="preserve"> or .xlsx file. The table legend or caption (title and description) should appear in the Figure and Table Legends section after the Representative Results in the manuscript text.</w:t>
      </w:r>
      <w:r w:rsidR="00CE1B14">
        <w:t xml:space="preserve"> </w:t>
      </w:r>
    </w:p>
    <w:p w14:paraId="6A16C884" w14:textId="5A8B08D9" w:rsidR="00822FC7" w:rsidRDefault="00B258B5" w:rsidP="00B258B5">
      <w:pPr>
        <w:pStyle w:val="NormalWeb"/>
        <w:numPr>
          <w:ilvl w:val="0"/>
          <w:numId w:val="2"/>
        </w:numPr>
      </w:pPr>
      <w:r>
        <w:t xml:space="preserve">Table is now presented as separate </w:t>
      </w:r>
      <w:r w:rsidR="00364422">
        <w:t>file.</w:t>
      </w:r>
      <w:r w:rsidR="00CE1B14">
        <w:t xml:space="preserve"> </w:t>
      </w:r>
      <w:r w:rsidR="00822FC7">
        <w:br/>
      </w:r>
    </w:p>
    <w:p w14:paraId="07175B54" w14:textId="77777777" w:rsidR="00822FC7" w:rsidRDefault="00822FC7"/>
    <w:sectPr w:rsidR="00822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4004"/>
    <w:multiLevelType w:val="hybridMultilevel"/>
    <w:tmpl w:val="107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9F8"/>
    <w:multiLevelType w:val="multilevel"/>
    <w:tmpl w:val="5D1A10C6"/>
    <w:lvl w:ilvl="0">
      <w:start w:val="1"/>
      <w:numFmt w:val="decimal"/>
      <w:lvlText w:val="%1."/>
      <w:lvlJc w:val="left"/>
      <w:pPr>
        <w:ind w:left="360" w:hanging="360"/>
      </w:pPr>
      <w:rPr>
        <w:rFonts w:hint="default"/>
        <w:color w:val="7030A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szQxNTW0NDE2NzdW0lEKTi0uzszPAykwqgUAZwRBuSwAAAA="/>
  </w:docVars>
  <w:rsids>
    <w:rsidRoot w:val="00822FC7"/>
    <w:rsid w:val="00056F78"/>
    <w:rsid w:val="00076C5F"/>
    <w:rsid w:val="00077870"/>
    <w:rsid w:val="000B683F"/>
    <w:rsid w:val="000D5929"/>
    <w:rsid w:val="00110668"/>
    <w:rsid w:val="00140223"/>
    <w:rsid w:val="001B4179"/>
    <w:rsid w:val="00212DE8"/>
    <w:rsid w:val="002616E3"/>
    <w:rsid w:val="00270A78"/>
    <w:rsid w:val="00293C8D"/>
    <w:rsid w:val="002C583A"/>
    <w:rsid w:val="00313742"/>
    <w:rsid w:val="00364422"/>
    <w:rsid w:val="00386842"/>
    <w:rsid w:val="00433D98"/>
    <w:rsid w:val="00464472"/>
    <w:rsid w:val="00492770"/>
    <w:rsid w:val="004A6636"/>
    <w:rsid w:val="00606542"/>
    <w:rsid w:val="00653EF2"/>
    <w:rsid w:val="00746ED7"/>
    <w:rsid w:val="00756EEF"/>
    <w:rsid w:val="00822FC7"/>
    <w:rsid w:val="0085658F"/>
    <w:rsid w:val="008F2A1E"/>
    <w:rsid w:val="008F4E7D"/>
    <w:rsid w:val="00903CB9"/>
    <w:rsid w:val="009A0761"/>
    <w:rsid w:val="009E30EA"/>
    <w:rsid w:val="00A11892"/>
    <w:rsid w:val="00A81B69"/>
    <w:rsid w:val="00B258B5"/>
    <w:rsid w:val="00B25B99"/>
    <w:rsid w:val="00B26E87"/>
    <w:rsid w:val="00BF3B7B"/>
    <w:rsid w:val="00C20520"/>
    <w:rsid w:val="00C72785"/>
    <w:rsid w:val="00C77662"/>
    <w:rsid w:val="00CE1B14"/>
    <w:rsid w:val="00D84FBD"/>
    <w:rsid w:val="00D85D20"/>
    <w:rsid w:val="00DB0CB3"/>
    <w:rsid w:val="00E51A8D"/>
    <w:rsid w:val="00E774CF"/>
    <w:rsid w:val="00E92DCA"/>
    <w:rsid w:val="00E94936"/>
    <w:rsid w:val="00EB5625"/>
    <w:rsid w:val="00F054A1"/>
    <w:rsid w:val="00FF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CC0A"/>
  <w15:chartTrackingRefBased/>
  <w15:docId w15:val="{B30FBA65-6814-427A-AC24-46C2A26A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2FC7"/>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822FC7"/>
    <w:rPr>
      <w:b/>
      <w:bCs/>
    </w:rPr>
  </w:style>
  <w:style w:type="character" w:styleId="CommentReference">
    <w:name w:val="annotation reference"/>
    <w:basedOn w:val="DefaultParagraphFont"/>
    <w:uiPriority w:val="99"/>
    <w:semiHidden/>
    <w:unhideWhenUsed/>
    <w:rsid w:val="00756EEF"/>
    <w:rPr>
      <w:sz w:val="16"/>
      <w:szCs w:val="16"/>
    </w:rPr>
  </w:style>
  <w:style w:type="paragraph" w:styleId="CommentText">
    <w:name w:val="annotation text"/>
    <w:basedOn w:val="Normal"/>
    <w:link w:val="CommentTextChar"/>
    <w:uiPriority w:val="99"/>
    <w:semiHidden/>
    <w:unhideWhenUsed/>
    <w:rsid w:val="00756EEF"/>
    <w:pPr>
      <w:spacing w:line="240" w:lineRule="auto"/>
    </w:pPr>
    <w:rPr>
      <w:sz w:val="20"/>
      <w:szCs w:val="20"/>
    </w:rPr>
  </w:style>
  <w:style w:type="character" w:customStyle="1" w:styleId="CommentTextChar">
    <w:name w:val="Comment Text Char"/>
    <w:basedOn w:val="DefaultParagraphFont"/>
    <w:link w:val="CommentText"/>
    <w:uiPriority w:val="99"/>
    <w:semiHidden/>
    <w:rsid w:val="00756EEF"/>
    <w:rPr>
      <w:sz w:val="20"/>
      <w:szCs w:val="20"/>
    </w:rPr>
  </w:style>
  <w:style w:type="paragraph" w:styleId="CommentSubject">
    <w:name w:val="annotation subject"/>
    <w:basedOn w:val="CommentText"/>
    <w:next w:val="CommentText"/>
    <w:link w:val="CommentSubjectChar"/>
    <w:uiPriority w:val="99"/>
    <w:semiHidden/>
    <w:unhideWhenUsed/>
    <w:rsid w:val="00756EEF"/>
    <w:rPr>
      <w:b/>
      <w:bCs/>
    </w:rPr>
  </w:style>
  <w:style w:type="character" w:customStyle="1" w:styleId="CommentSubjectChar">
    <w:name w:val="Comment Subject Char"/>
    <w:basedOn w:val="CommentTextChar"/>
    <w:link w:val="CommentSubject"/>
    <w:uiPriority w:val="99"/>
    <w:semiHidden/>
    <w:rsid w:val="00756EEF"/>
    <w:rPr>
      <w:b/>
      <w:bCs/>
      <w:sz w:val="20"/>
      <w:szCs w:val="20"/>
    </w:rPr>
  </w:style>
  <w:style w:type="paragraph" w:styleId="BalloonText">
    <w:name w:val="Balloon Text"/>
    <w:basedOn w:val="Normal"/>
    <w:link w:val="BalloonTextChar"/>
    <w:uiPriority w:val="99"/>
    <w:semiHidden/>
    <w:unhideWhenUsed/>
    <w:rsid w:val="00756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EEF"/>
    <w:rPr>
      <w:rFonts w:ascii="Segoe UI" w:hAnsi="Segoe UI" w:cs="Segoe UI"/>
      <w:sz w:val="18"/>
      <w:szCs w:val="18"/>
    </w:rPr>
  </w:style>
  <w:style w:type="paragraph" w:styleId="ListParagraph">
    <w:name w:val="List Paragraph"/>
    <w:basedOn w:val="Normal"/>
    <w:uiPriority w:val="34"/>
    <w:qFormat/>
    <w:rsid w:val="00CE1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0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10708</Characters>
  <Application>Microsoft Office Word</Application>
  <DocSecurity>0</DocSecurity>
  <Lines>164</Lines>
  <Paragraphs>93</Paragraphs>
  <ScaleCrop>false</ScaleCrop>
  <HeadingPairs>
    <vt:vector size="2" baseType="variant">
      <vt:variant>
        <vt:lpstr>Title</vt:lpstr>
      </vt:variant>
      <vt:variant>
        <vt:i4>1</vt:i4>
      </vt:variant>
    </vt:vector>
  </HeadingPairs>
  <TitlesOfParts>
    <vt:vector size="1" baseType="lpstr">
      <vt:lpstr/>
    </vt:vector>
  </TitlesOfParts>
  <Company>The Jackson Laboratory</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Boateng</dc:creator>
  <cp:keywords/>
  <dc:description/>
  <cp:lastModifiedBy>Ewelina Bolcun-Filas</cp:lastModifiedBy>
  <cp:revision>3</cp:revision>
  <dcterms:created xsi:type="dcterms:W3CDTF">2021-07-15T23:18:00Z</dcterms:created>
  <dcterms:modified xsi:type="dcterms:W3CDTF">2021-07-16T00:00:00Z</dcterms:modified>
</cp:coreProperties>
</file>