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2DF83" w14:textId="77777777" w:rsidR="0098309F" w:rsidRPr="003670F6" w:rsidRDefault="0098309F" w:rsidP="003670F6">
      <w:pPr>
        <w:pStyle w:val="NoSpacing"/>
        <w:jc w:val="center"/>
        <w:rPr>
          <w:rStyle w:val="Strong"/>
          <w:rFonts w:ascii="Times New Roman" w:hAnsi="Times New Roman" w:cs="Times New Roman"/>
          <w:sz w:val="36"/>
          <w:lang w:val="en-US"/>
        </w:rPr>
      </w:pPr>
      <w:r w:rsidRPr="003670F6">
        <w:rPr>
          <w:rStyle w:val="Strong"/>
          <w:rFonts w:ascii="Times New Roman" w:hAnsi="Times New Roman" w:cs="Times New Roman"/>
          <w:sz w:val="36"/>
          <w:lang w:val="en-US"/>
        </w:rPr>
        <w:t>Answers to the referees</w:t>
      </w:r>
    </w:p>
    <w:p w14:paraId="3F6EF721" w14:textId="77777777" w:rsidR="003670F6" w:rsidRDefault="003670F6" w:rsidP="003670F6">
      <w:pPr>
        <w:pStyle w:val="NoSpacing"/>
        <w:rPr>
          <w:rStyle w:val="Strong"/>
          <w:rFonts w:ascii="Times New Roman" w:hAnsi="Times New Roman" w:cs="Times New Roman"/>
          <w:u w:val="single"/>
          <w:lang w:val="en-US"/>
        </w:rPr>
      </w:pPr>
    </w:p>
    <w:p w14:paraId="2C76C532" w14:textId="7E38D194" w:rsidR="00180588" w:rsidRPr="00831EB2" w:rsidRDefault="00180588" w:rsidP="00180588">
      <w:pPr>
        <w:pStyle w:val="NoSpacing"/>
        <w:spacing w:before="120"/>
        <w:rPr>
          <w:rStyle w:val="Strong"/>
          <w:rFonts w:ascii="Times New Roman" w:hAnsi="Times New Roman" w:cs="Times New Roman"/>
          <w:sz w:val="24"/>
          <w:szCs w:val="24"/>
          <w:u w:val="single"/>
          <w:lang w:val="en-US"/>
        </w:rPr>
      </w:pPr>
      <w:r w:rsidRPr="00831EB2">
        <w:rPr>
          <w:rStyle w:val="Strong"/>
          <w:rFonts w:ascii="Times New Roman" w:hAnsi="Times New Roman" w:cs="Times New Roman"/>
          <w:sz w:val="24"/>
          <w:szCs w:val="24"/>
          <w:u w:val="single"/>
          <w:lang w:val="en-US"/>
        </w:rPr>
        <w:t>Answers to the e</w:t>
      </w:r>
      <w:r w:rsidR="0098309F" w:rsidRPr="00831EB2">
        <w:rPr>
          <w:rStyle w:val="Strong"/>
          <w:rFonts w:ascii="Times New Roman" w:hAnsi="Times New Roman" w:cs="Times New Roman"/>
          <w:sz w:val="24"/>
          <w:szCs w:val="24"/>
          <w:u w:val="single"/>
          <w:lang w:val="en-US"/>
        </w:rPr>
        <w:t>ditorial comments:</w:t>
      </w:r>
    </w:p>
    <w:p w14:paraId="4C457630" w14:textId="64CD1007" w:rsidR="00E84BB5" w:rsidRPr="003670F6" w:rsidRDefault="0098309F" w:rsidP="00831EB2">
      <w:pPr>
        <w:pStyle w:val="NoSpacing"/>
        <w:spacing w:before="120"/>
        <w:rPr>
          <w:rFonts w:ascii="Times New Roman" w:hAnsi="Times New Roman" w:cs="Times New Roman"/>
          <w:b/>
          <w:lang w:val="en-US"/>
        </w:rPr>
      </w:pPr>
      <w:r w:rsidRPr="003670F6">
        <w:rPr>
          <w:rFonts w:ascii="Times New Roman" w:hAnsi="Times New Roman" w:cs="Times New Roman"/>
          <w:b/>
          <w:lang w:val="en-US"/>
        </w:rPr>
        <w:t xml:space="preserve">1. Please take this opportunity to thoroughly proofread the manuscript to ensure that there are no spelling or grammar issues. </w:t>
      </w:r>
      <w:r w:rsidRPr="00737412">
        <w:rPr>
          <w:rFonts w:ascii="Times New Roman" w:hAnsi="Times New Roman" w:cs="Times New Roman"/>
          <w:b/>
          <w:lang w:val="en-US"/>
        </w:rPr>
        <w:t>Please define all abbreviations at first use.</w:t>
      </w:r>
    </w:p>
    <w:p w14:paraId="0D3235B0" w14:textId="77777777" w:rsidR="003670F6" w:rsidRDefault="003670F6" w:rsidP="003670F6">
      <w:pPr>
        <w:pStyle w:val="NoSpacing"/>
        <w:jc w:val="both"/>
        <w:rPr>
          <w:rFonts w:ascii="Times New Roman" w:hAnsi="Times New Roman" w:cs="Times New Roman"/>
          <w:b/>
          <w:lang w:val="en-US"/>
        </w:rPr>
      </w:pPr>
    </w:p>
    <w:p w14:paraId="4065CD4A" w14:textId="50C769C9" w:rsidR="00091100" w:rsidRPr="003670F6" w:rsidRDefault="00091100" w:rsidP="003670F6">
      <w:pPr>
        <w:pStyle w:val="NoSpacing"/>
        <w:jc w:val="both"/>
        <w:rPr>
          <w:rFonts w:ascii="Times New Roman" w:hAnsi="Times New Roman" w:cs="Times New Roman"/>
          <w:lang w:val="en-US"/>
        </w:rPr>
      </w:pPr>
      <w:r w:rsidRPr="003670F6">
        <w:rPr>
          <w:rFonts w:ascii="Times New Roman" w:hAnsi="Times New Roman" w:cs="Times New Roman"/>
          <w:lang w:val="en-US"/>
        </w:rPr>
        <w:t>Thank you for this reminder. We have thoroughly proofread the manuscript and made sure that no grammatical or spelling errors are present. All abbreviations have been defined at first use.</w:t>
      </w:r>
    </w:p>
    <w:p w14:paraId="1FD3E1DC" w14:textId="5BB78CCE" w:rsidR="00E84BB5" w:rsidRPr="003670F6" w:rsidRDefault="0098309F" w:rsidP="003670F6">
      <w:pPr>
        <w:pStyle w:val="NoSpacing"/>
        <w:jc w:val="both"/>
        <w:rPr>
          <w:rFonts w:ascii="Times New Roman" w:hAnsi="Times New Roman" w:cs="Times New Roman"/>
          <w:b/>
          <w:lang w:val="en-US"/>
        </w:rPr>
      </w:pPr>
      <w:r w:rsidRPr="003670F6">
        <w:rPr>
          <w:rFonts w:ascii="Times New Roman" w:hAnsi="Times New Roman" w:cs="Times New Roman"/>
          <w:lang w:val="en-US"/>
        </w:rPr>
        <w:br/>
      </w:r>
      <w:r w:rsidRPr="003670F6">
        <w:rPr>
          <w:rFonts w:ascii="Times New Roman" w:hAnsi="Times New Roman" w:cs="Times New Roman"/>
          <w:b/>
          <w:lang w:val="en-US"/>
        </w:rPr>
        <w:t>2. Please revise the following lines to avoid overlap with previously published work: 44-46, 47-50.</w:t>
      </w:r>
    </w:p>
    <w:p w14:paraId="158DBAA7" w14:textId="77777777" w:rsidR="003670F6" w:rsidRDefault="003670F6" w:rsidP="003670F6">
      <w:pPr>
        <w:pStyle w:val="NoSpacing"/>
        <w:jc w:val="both"/>
        <w:rPr>
          <w:rFonts w:ascii="Times New Roman" w:hAnsi="Times New Roman" w:cs="Times New Roman"/>
          <w:lang w:val="en-US"/>
        </w:rPr>
      </w:pPr>
    </w:p>
    <w:p w14:paraId="6748E0B5" w14:textId="29ECC0B9" w:rsidR="003670F6" w:rsidRPr="003670F6" w:rsidRDefault="00091100" w:rsidP="003670F6">
      <w:pPr>
        <w:pStyle w:val="NoSpacing"/>
        <w:jc w:val="both"/>
        <w:rPr>
          <w:rFonts w:ascii="Times New Roman" w:hAnsi="Times New Roman" w:cs="Times New Roman"/>
          <w:lang w:val="en-US"/>
        </w:rPr>
      </w:pPr>
      <w:r w:rsidRPr="003670F6">
        <w:rPr>
          <w:rFonts w:ascii="Times New Roman" w:hAnsi="Times New Roman" w:cs="Times New Roman"/>
          <w:lang w:val="en-US"/>
        </w:rPr>
        <w:t>Thank you for</w:t>
      </w:r>
      <w:r w:rsidR="003670F6" w:rsidRPr="003670F6">
        <w:rPr>
          <w:rFonts w:ascii="Times New Roman" w:hAnsi="Times New Roman" w:cs="Times New Roman"/>
          <w:lang w:val="en-US"/>
        </w:rPr>
        <w:t xml:space="preserve"> pointing this out. We have rephrased the sentences in order to </w:t>
      </w:r>
      <w:r w:rsidR="008745EB">
        <w:rPr>
          <w:rFonts w:ascii="Times New Roman" w:hAnsi="Times New Roman" w:cs="Times New Roman"/>
          <w:lang w:val="en-US"/>
        </w:rPr>
        <w:t>avoid</w:t>
      </w:r>
      <w:r w:rsidR="008745EB" w:rsidRPr="003670F6">
        <w:rPr>
          <w:rFonts w:ascii="Times New Roman" w:hAnsi="Times New Roman" w:cs="Times New Roman"/>
          <w:lang w:val="en-US"/>
        </w:rPr>
        <w:t xml:space="preserve"> </w:t>
      </w:r>
      <w:r w:rsidR="003670F6" w:rsidRPr="003670F6">
        <w:rPr>
          <w:rFonts w:ascii="Times New Roman" w:hAnsi="Times New Roman" w:cs="Times New Roman"/>
          <w:lang w:val="en-US"/>
        </w:rPr>
        <w:t xml:space="preserve">the overlap with previously published work. </w:t>
      </w:r>
    </w:p>
    <w:p w14:paraId="1E8C8745" w14:textId="163E18C4" w:rsidR="00E84BB5" w:rsidRPr="003670F6"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3. 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r w:rsidRPr="003670F6">
        <w:rPr>
          <w:rFonts w:ascii="Times New Roman" w:hAnsi="Times New Roman" w:cs="Times New Roman"/>
          <w:b/>
          <w:lang w:val="en-US"/>
        </w:rPr>
        <w:br/>
        <w:t>For example: TrypLE express; Xona Microfluidics; XC150 Xona; Aclar sheets; RevitaCell; Nucblue; Pluronic F-127 etc</w:t>
      </w:r>
    </w:p>
    <w:p w14:paraId="17AD99B5" w14:textId="77777777" w:rsidR="004E5B80" w:rsidRDefault="004E5B80" w:rsidP="003670F6">
      <w:pPr>
        <w:pStyle w:val="NoSpacing"/>
        <w:jc w:val="both"/>
        <w:rPr>
          <w:rFonts w:ascii="Times New Roman" w:hAnsi="Times New Roman" w:cs="Times New Roman"/>
          <w:b/>
          <w:lang w:val="en-US"/>
        </w:rPr>
      </w:pPr>
    </w:p>
    <w:p w14:paraId="08A929F8" w14:textId="479F7625" w:rsidR="004E5B80" w:rsidRDefault="004E5B80" w:rsidP="003670F6">
      <w:pPr>
        <w:pStyle w:val="NoSpacing"/>
        <w:jc w:val="both"/>
        <w:rPr>
          <w:rFonts w:ascii="Times New Roman" w:hAnsi="Times New Roman" w:cs="Times New Roman"/>
          <w:lang w:val="en-US"/>
        </w:rPr>
      </w:pPr>
      <w:r>
        <w:rPr>
          <w:rFonts w:ascii="Times New Roman" w:hAnsi="Times New Roman" w:cs="Times New Roman"/>
          <w:lang w:val="en-US"/>
        </w:rPr>
        <w:t>Thank you for this</w:t>
      </w:r>
      <w:r w:rsidR="00E67572">
        <w:rPr>
          <w:rFonts w:ascii="Times New Roman" w:hAnsi="Times New Roman" w:cs="Times New Roman"/>
          <w:lang w:val="en-US"/>
        </w:rPr>
        <w:t xml:space="preserve"> comment. We have removed all commercial language from the manuscript. </w:t>
      </w:r>
    </w:p>
    <w:p w14:paraId="102E2D73" w14:textId="3D051FFE" w:rsidR="00E84BB5" w:rsidRPr="003670F6"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 xml:space="preserve">4. Please note that your protocol will be used to generate the script for the video and must contain everything that you would like shown in the video. </w:t>
      </w:r>
      <w:r w:rsidRPr="002F28BF">
        <w:rPr>
          <w:rFonts w:ascii="Times New Roman" w:hAnsi="Times New Roman" w:cs="Times New Roman"/>
          <w:b/>
          <w:lang w:val="en-US"/>
        </w:rPr>
        <w:t>Please add more details to your protocol steps. Please ensure you answer the “how” question, i.e., how is the step performed?</w:t>
      </w:r>
      <w:r w:rsidRPr="003670F6">
        <w:rPr>
          <w:rFonts w:ascii="Times New Roman" w:hAnsi="Times New Roman" w:cs="Times New Roman"/>
          <w:b/>
          <w:lang w:val="en-US"/>
        </w:rPr>
        <w:t xml:space="preserve"> Alternatively, add references to published material specifying how to perform the protocol action. Please add more specific details (e.g., button clicks for software actions, numerical values for settings, etc) to your protocol steps. There should be enough detail in each step to supplement the actions seen in the video so that viewers can easily replicate the protocol.</w:t>
      </w:r>
    </w:p>
    <w:p w14:paraId="6348D64B" w14:textId="77777777" w:rsidR="00045A83" w:rsidRDefault="00045A83" w:rsidP="003670F6">
      <w:pPr>
        <w:pStyle w:val="NoSpacing"/>
        <w:jc w:val="both"/>
        <w:rPr>
          <w:rFonts w:ascii="Times New Roman" w:hAnsi="Times New Roman" w:cs="Times New Roman"/>
          <w:b/>
          <w:lang w:val="en-US"/>
        </w:rPr>
      </w:pPr>
    </w:p>
    <w:p w14:paraId="1B239FFC" w14:textId="1438EF92" w:rsidR="00045A83" w:rsidRPr="00B22120" w:rsidRDefault="00B22120" w:rsidP="003670F6">
      <w:pPr>
        <w:pStyle w:val="NoSpacing"/>
        <w:jc w:val="both"/>
        <w:rPr>
          <w:rFonts w:ascii="Times New Roman" w:hAnsi="Times New Roman" w:cs="Times New Roman"/>
          <w:lang w:val="en-US"/>
        </w:rPr>
      </w:pPr>
      <w:r>
        <w:rPr>
          <w:rFonts w:ascii="Times New Roman" w:hAnsi="Times New Roman" w:cs="Times New Roman"/>
          <w:lang w:val="en-US"/>
        </w:rPr>
        <w:t xml:space="preserve">Thank you for this clarification. We have added additional information and specific details to ensure the reproducibility of the protocol. </w:t>
      </w:r>
    </w:p>
    <w:p w14:paraId="56923DE9" w14:textId="551A6E17" w:rsidR="00E84BB5"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lastRenderedPageBreak/>
        <w:br/>
        <w:t>5. Step 2.2: please provide more details about how to FACS sort or cite a paper.</w:t>
      </w:r>
    </w:p>
    <w:p w14:paraId="71FE3EF8" w14:textId="0D42FDBB" w:rsidR="00045A83" w:rsidRDefault="00045A83" w:rsidP="003670F6">
      <w:pPr>
        <w:pStyle w:val="NoSpacing"/>
        <w:jc w:val="both"/>
        <w:rPr>
          <w:rFonts w:ascii="Times New Roman" w:hAnsi="Times New Roman" w:cs="Times New Roman"/>
          <w:b/>
          <w:lang w:val="en-US"/>
        </w:rPr>
      </w:pPr>
    </w:p>
    <w:p w14:paraId="5E0CB48A" w14:textId="7AAA4D6C" w:rsidR="00045A83" w:rsidRPr="003670F6" w:rsidRDefault="00045A83" w:rsidP="003670F6">
      <w:pPr>
        <w:pStyle w:val="NoSpacing"/>
        <w:jc w:val="both"/>
        <w:rPr>
          <w:rFonts w:ascii="Times New Roman" w:hAnsi="Times New Roman" w:cs="Times New Roman"/>
          <w:b/>
          <w:lang w:val="en-US"/>
        </w:rPr>
      </w:pPr>
      <w:r>
        <w:rPr>
          <w:rFonts w:ascii="Times New Roman" w:hAnsi="Times New Roman" w:cs="Times New Roman"/>
          <w:lang w:val="en-US"/>
        </w:rPr>
        <w:t>We have cited a recently published protocol, which explains these</w:t>
      </w:r>
      <w:r w:rsidR="00B22120">
        <w:rPr>
          <w:rFonts w:ascii="Times New Roman" w:hAnsi="Times New Roman" w:cs="Times New Roman"/>
          <w:lang w:val="en-US"/>
        </w:rPr>
        <w:t xml:space="preserve"> steps in detail</w:t>
      </w:r>
      <w:r>
        <w:rPr>
          <w:rFonts w:ascii="Times New Roman" w:hAnsi="Times New Roman" w:cs="Times New Roman"/>
          <w:lang w:val="en-US"/>
        </w:rPr>
        <w:t>.</w:t>
      </w:r>
    </w:p>
    <w:p w14:paraId="435E0922" w14:textId="009BF3AD" w:rsidR="00E84BB5"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6. Step 10.2.1: how do you adjust gain and offset? Values?</w:t>
      </w:r>
    </w:p>
    <w:p w14:paraId="79DFF256" w14:textId="183E31FC" w:rsidR="00045A83" w:rsidRDefault="00045A83" w:rsidP="003670F6">
      <w:pPr>
        <w:pStyle w:val="NoSpacing"/>
        <w:jc w:val="both"/>
        <w:rPr>
          <w:rFonts w:ascii="Times New Roman" w:hAnsi="Times New Roman" w:cs="Times New Roman"/>
          <w:b/>
          <w:lang w:val="en-US"/>
        </w:rPr>
      </w:pPr>
    </w:p>
    <w:p w14:paraId="251056C2" w14:textId="72692EBA" w:rsidR="00045A83" w:rsidRDefault="00045A83" w:rsidP="003670F6">
      <w:pPr>
        <w:pStyle w:val="NoSpacing"/>
        <w:jc w:val="both"/>
        <w:rPr>
          <w:rFonts w:ascii="Times New Roman" w:hAnsi="Times New Roman" w:cs="Times New Roman"/>
          <w:lang w:val="en-US"/>
        </w:rPr>
      </w:pPr>
      <w:r>
        <w:rPr>
          <w:rFonts w:ascii="Times New Roman" w:hAnsi="Times New Roman" w:cs="Times New Roman"/>
          <w:lang w:val="en-US"/>
        </w:rPr>
        <w:t xml:space="preserve">We have included more details in the protocol regarding this step. </w:t>
      </w:r>
    </w:p>
    <w:p w14:paraId="09913000" w14:textId="326B9F4F" w:rsidR="00E84BB5"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7. Please add limitations of this technique to your discussion.</w:t>
      </w:r>
    </w:p>
    <w:p w14:paraId="65CB6334" w14:textId="292C0118" w:rsidR="00045A83" w:rsidRDefault="00045A83" w:rsidP="003670F6">
      <w:pPr>
        <w:pStyle w:val="NoSpacing"/>
        <w:jc w:val="both"/>
        <w:rPr>
          <w:rFonts w:ascii="Times New Roman" w:hAnsi="Times New Roman" w:cs="Times New Roman"/>
          <w:b/>
          <w:lang w:val="en-US"/>
        </w:rPr>
      </w:pPr>
    </w:p>
    <w:p w14:paraId="1832C213" w14:textId="57ED9B92" w:rsidR="00045A83" w:rsidRDefault="00045A83" w:rsidP="003670F6">
      <w:pPr>
        <w:pStyle w:val="NoSpacing"/>
        <w:jc w:val="both"/>
        <w:rPr>
          <w:rFonts w:ascii="Times New Roman" w:hAnsi="Times New Roman" w:cs="Times New Roman"/>
          <w:lang w:val="en-US"/>
        </w:rPr>
      </w:pPr>
      <w:r>
        <w:rPr>
          <w:rFonts w:ascii="Times New Roman" w:hAnsi="Times New Roman" w:cs="Times New Roman"/>
          <w:lang w:val="en-US"/>
        </w:rPr>
        <w:t>We would like to refer to the discussion, where we explain the limitations of this model:</w:t>
      </w:r>
    </w:p>
    <w:p w14:paraId="0C804067" w14:textId="1B3C4F28" w:rsidR="00045A83" w:rsidRPr="00045A83" w:rsidRDefault="00045A83" w:rsidP="003670F6">
      <w:pPr>
        <w:pStyle w:val="NoSpacing"/>
        <w:jc w:val="both"/>
        <w:rPr>
          <w:rFonts w:ascii="Times New Roman" w:hAnsi="Times New Roman" w:cs="Times New Roman"/>
          <w:lang w:val="en-US"/>
        </w:rPr>
      </w:pPr>
    </w:p>
    <w:p w14:paraId="1642CF8F" w14:textId="636D391C" w:rsidR="008B0CAE" w:rsidRPr="009F5E41" w:rsidRDefault="00045A83" w:rsidP="003670F6">
      <w:pPr>
        <w:pStyle w:val="NoSpacing"/>
        <w:jc w:val="both"/>
        <w:rPr>
          <w:rFonts w:ascii="Times New Roman" w:hAnsi="Times New Roman" w:cs="Times New Roman"/>
          <w:lang w:val="en-GB"/>
        </w:rPr>
      </w:pPr>
      <w:r w:rsidRPr="009F5E41">
        <w:rPr>
          <w:rFonts w:ascii="Times New Roman" w:hAnsi="Times New Roman" w:cs="Times New Roman"/>
          <w:lang w:val="en-US"/>
        </w:rPr>
        <w:t xml:space="preserve">Line </w:t>
      </w:r>
      <w:r w:rsidR="009F5E41" w:rsidRPr="009F5E41">
        <w:rPr>
          <w:rFonts w:ascii="Times New Roman" w:hAnsi="Times New Roman" w:cs="Times New Roman"/>
          <w:lang w:val="en-US"/>
        </w:rPr>
        <w:t>809-810</w:t>
      </w:r>
      <w:r w:rsidRPr="009F5E41">
        <w:rPr>
          <w:rFonts w:ascii="Times New Roman" w:hAnsi="Times New Roman" w:cs="Times New Roman"/>
          <w:lang w:val="en-US"/>
        </w:rPr>
        <w:t>: “</w:t>
      </w:r>
      <w:r w:rsidRPr="009F5E41">
        <w:rPr>
          <w:rFonts w:ascii="Times New Roman" w:hAnsi="Times New Roman" w:cs="Times New Roman"/>
          <w:lang w:val="en-GB"/>
        </w:rPr>
        <w:t xml:space="preserve">Although our system is a relative simple </w:t>
      </w:r>
      <w:r w:rsidRPr="009F5E41">
        <w:rPr>
          <w:rFonts w:ascii="Times New Roman" w:hAnsi="Times New Roman" w:cs="Times New Roman"/>
          <w:i/>
          <w:lang w:val="en-GB"/>
        </w:rPr>
        <w:t>in vitro</w:t>
      </w:r>
      <w:r w:rsidRPr="009F5E41">
        <w:rPr>
          <w:rFonts w:ascii="Times New Roman" w:hAnsi="Times New Roman" w:cs="Times New Roman"/>
          <w:lang w:val="en-GB"/>
        </w:rPr>
        <w:t xml:space="preserve"> setup, which lacks the complexity of an </w:t>
      </w:r>
      <w:r w:rsidRPr="009F5E41">
        <w:rPr>
          <w:rFonts w:ascii="Times New Roman" w:hAnsi="Times New Roman" w:cs="Times New Roman"/>
          <w:i/>
          <w:lang w:val="en-GB"/>
        </w:rPr>
        <w:t>in vivo</w:t>
      </w:r>
      <w:r w:rsidRPr="009F5E41">
        <w:rPr>
          <w:rFonts w:ascii="Times New Roman" w:hAnsi="Times New Roman" w:cs="Times New Roman"/>
          <w:lang w:val="en-GB"/>
        </w:rPr>
        <w:t xml:space="preserve"> model..”</w:t>
      </w:r>
    </w:p>
    <w:p w14:paraId="5A0208D2" w14:textId="08324162" w:rsidR="008B0CAE" w:rsidRPr="009F5E41" w:rsidRDefault="008B0CAE" w:rsidP="003670F6">
      <w:pPr>
        <w:pStyle w:val="NoSpacing"/>
        <w:jc w:val="both"/>
        <w:rPr>
          <w:rFonts w:ascii="Times New Roman" w:hAnsi="Times New Roman" w:cs="Times New Roman"/>
          <w:lang w:val="en-GB"/>
        </w:rPr>
      </w:pPr>
    </w:p>
    <w:p w14:paraId="2D769A1C" w14:textId="036C2AAD" w:rsidR="008B0CAE" w:rsidRDefault="008B0CAE" w:rsidP="008B0CAE">
      <w:pPr>
        <w:rPr>
          <w:rFonts w:ascii="Times New Roman" w:hAnsi="Times New Roman" w:cs="Times New Roman"/>
          <w:sz w:val="22"/>
          <w:lang w:val="en-GB"/>
        </w:rPr>
      </w:pPr>
      <w:r w:rsidRPr="009F5E41">
        <w:rPr>
          <w:rFonts w:ascii="Times New Roman" w:hAnsi="Times New Roman" w:cs="Times New Roman"/>
          <w:sz w:val="22"/>
          <w:lang w:val="en-GB"/>
        </w:rPr>
        <w:t xml:space="preserve">Line </w:t>
      </w:r>
      <w:r w:rsidR="009F5E41" w:rsidRPr="009F5E41">
        <w:rPr>
          <w:rFonts w:ascii="Times New Roman" w:hAnsi="Times New Roman" w:cs="Times New Roman"/>
          <w:sz w:val="22"/>
          <w:lang w:val="en-GB"/>
        </w:rPr>
        <w:t>814-818</w:t>
      </w:r>
      <w:r w:rsidRPr="009F5E41">
        <w:rPr>
          <w:rFonts w:ascii="Times New Roman" w:hAnsi="Times New Roman" w:cs="Times New Roman"/>
          <w:sz w:val="22"/>
          <w:lang w:val="en-GB"/>
        </w:rPr>
        <w:t>: “MABs provide a valid option to generate myotubes, although their limited survival of 10 days is a disadvantage</w:t>
      </w:r>
      <w:r w:rsidRPr="008B0CAE">
        <w:rPr>
          <w:rFonts w:ascii="Times New Roman" w:hAnsi="Times New Roman" w:cs="Times New Roman"/>
          <w:sz w:val="22"/>
          <w:lang w:val="en-GB"/>
        </w:rPr>
        <w:t xml:space="preserve"> of the system. The myotube survival relies on their attachment to the surface, which is compromised by spontaneous contractions of the myofibers. After more than 10 days, most myotubes will have detached rendering the NMJ culture unusable. Ideally, the myotubes would be generated from iPSCs as well.</w:t>
      </w:r>
      <w:r>
        <w:rPr>
          <w:rFonts w:ascii="Times New Roman" w:hAnsi="Times New Roman" w:cs="Times New Roman"/>
          <w:sz w:val="22"/>
          <w:lang w:val="en-GB"/>
        </w:rPr>
        <w:t>”</w:t>
      </w:r>
    </w:p>
    <w:p w14:paraId="4CC4FBF1" w14:textId="6D6AE02A" w:rsidR="006048B6" w:rsidRDefault="006048B6" w:rsidP="008B0CAE">
      <w:pPr>
        <w:rPr>
          <w:rFonts w:ascii="Times New Roman" w:hAnsi="Times New Roman" w:cs="Times New Roman"/>
          <w:sz w:val="22"/>
          <w:lang w:val="en-GB"/>
        </w:rPr>
      </w:pPr>
    </w:p>
    <w:p w14:paraId="21EB30E4" w14:textId="3F40B2EF" w:rsidR="00E84BB5" w:rsidRPr="003670F6" w:rsidRDefault="0098309F" w:rsidP="003670F6">
      <w:pPr>
        <w:pStyle w:val="NoSpacing"/>
        <w:jc w:val="both"/>
        <w:rPr>
          <w:rFonts w:ascii="Times New Roman" w:hAnsi="Times New Roman" w:cs="Times New Roman"/>
          <w:b/>
          <w:lang w:val="en-US"/>
        </w:rPr>
      </w:pPr>
      <w:r w:rsidRPr="00304EA1">
        <w:rPr>
          <w:rFonts w:ascii="Times New Roman" w:hAnsi="Times New Roman" w:cs="Times New Roman"/>
          <w:b/>
          <w:lang w:val="en-US"/>
        </w:rPr>
        <w:t xml:space="preserve">8. Please ensure that the references appear as the following: [Lastname, F.I., LastName, F.I., LastName, F.I. Article Title. Source (ITALICS). Volume (BOLD) (Issue), FirstPage–LastPage (YEAR).] For 6 and more than 6 authors, list only the first author then et al. </w:t>
      </w:r>
      <w:r w:rsidRPr="00C66B0D">
        <w:rPr>
          <w:rFonts w:ascii="Times New Roman" w:hAnsi="Times New Roman" w:cs="Times New Roman"/>
          <w:b/>
          <w:lang w:val="en-US"/>
        </w:rPr>
        <w:t>Please include volume and issue numbers for all references, and do not abbreviate the journal names. Make sure all references have page numbers or if early online publication, include doi.</w:t>
      </w:r>
    </w:p>
    <w:p w14:paraId="7BAC54DD" w14:textId="77777777" w:rsidR="00B22120" w:rsidRDefault="00B22120" w:rsidP="003670F6">
      <w:pPr>
        <w:pStyle w:val="NoSpacing"/>
        <w:jc w:val="both"/>
        <w:rPr>
          <w:rFonts w:ascii="Times New Roman" w:hAnsi="Times New Roman" w:cs="Times New Roman"/>
          <w:b/>
          <w:lang w:val="en-US"/>
        </w:rPr>
      </w:pPr>
    </w:p>
    <w:p w14:paraId="2C3B96CB" w14:textId="51762095" w:rsidR="00B22120" w:rsidRDefault="00B22120" w:rsidP="003670F6">
      <w:pPr>
        <w:pStyle w:val="NoSpacing"/>
        <w:jc w:val="both"/>
        <w:rPr>
          <w:rFonts w:ascii="Times New Roman" w:hAnsi="Times New Roman" w:cs="Times New Roman"/>
          <w:b/>
          <w:lang w:val="en-US"/>
        </w:rPr>
      </w:pPr>
      <w:r>
        <w:rPr>
          <w:rFonts w:ascii="Times New Roman" w:hAnsi="Times New Roman" w:cs="Times New Roman"/>
          <w:lang w:val="en-US"/>
        </w:rPr>
        <w:t>We have adjusted the references to accommodate the layout above.</w:t>
      </w:r>
    </w:p>
    <w:p w14:paraId="56BF59D7" w14:textId="3BCCC73A" w:rsidR="00E84BB5" w:rsidRPr="00B22120" w:rsidRDefault="0098309F" w:rsidP="003670F6">
      <w:pPr>
        <w:pStyle w:val="NoSpacing"/>
        <w:jc w:val="both"/>
        <w:rPr>
          <w:rFonts w:ascii="Times New Roman" w:hAnsi="Times New Roman" w:cs="Times New Roman"/>
          <w:lang w:val="en-US"/>
        </w:rPr>
      </w:pPr>
      <w:r w:rsidRPr="003670F6">
        <w:rPr>
          <w:rFonts w:ascii="Times New Roman" w:hAnsi="Times New Roman" w:cs="Times New Roman"/>
          <w:b/>
          <w:lang w:val="en-US"/>
        </w:rPr>
        <w:br/>
      </w:r>
      <w:r w:rsidRPr="002F28BF">
        <w:rPr>
          <w:rFonts w:ascii="Times New Roman" w:hAnsi="Times New Roman" w:cs="Times New Roman"/>
          <w:b/>
          <w:lang w:val="en-US"/>
        </w:rPr>
        <w:t>9. Please make sure you change the corresponding author’s name in Editorial manager.</w:t>
      </w:r>
      <w:r w:rsidRPr="003670F6">
        <w:rPr>
          <w:rFonts w:ascii="Times New Roman" w:hAnsi="Times New Roman" w:cs="Times New Roman"/>
          <w:b/>
          <w:lang w:val="en-US"/>
        </w:rPr>
        <w:br/>
      </w:r>
      <w:r w:rsidRPr="003670F6">
        <w:rPr>
          <w:rFonts w:ascii="Times New Roman" w:hAnsi="Times New Roman" w:cs="Times New Roman"/>
          <w:b/>
          <w:lang w:val="en-US"/>
        </w:rPr>
        <w:br/>
      </w:r>
      <w:r w:rsidR="00B22120">
        <w:rPr>
          <w:rFonts w:ascii="Times New Roman" w:hAnsi="Times New Roman" w:cs="Times New Roman"/>
          <w:lang w:val="en-US"/>
        </w:rPr>
        <w:t xml:space="preserve">We have made this change in Editorial manager. </w:t>
      </w:r>
    </w:p>
    <w:p w14:paraId="31CCBB7C" w14:textId="3A03C068" w:rsidR="008B0CAE" w:rsidRPr="00831EB2" w:rsidRDefault="0098309F" w:rsidP="003670F6">
      <w:pPr>
        <w:pStyle w:val="NoSpacing"/>
        <w:jc w:val="both"/>
        <w:rPr>
          <w:rStyle w:val="Strong"/>
          <w:rFonts w:ascii="Times New Roman" w:hAnsi="Times New Roman" w:cs="Times New Roman"/>
          <w:sz w:val="24"/>
          <w:szCs w:val="24"/>
          <w:u w:val="single"/>
          <w:lang w:val="en-US"/>
        </w:rPr>
      </w:pPr>
      <w:r w:rsidRPr="003670F6">
        <w:rPr>
          <w:rFonts w:ascii="Times New Roman" w:hAnsi="Times New Roman" w:cs="Times New Roman"/>
          <w:b/>
          <w:lang w:val="en-US"/>
        </w:rPr>
        <w:br/>
      </w:r>
      <w:r w:rsidR="00180588" w:rsidRPr="00831EB2">
        <w:rPr>
          <w:rStyle w:val="Strong"/>
          <w:rFonts w:ascii="Times New Roman" w:hAnsi="Times New Roman" w:cs="Times New Roman"/>
          <w:sz w:val="24"/>
          <w:szCs w:val="24"/>
          <w:u w:val="single"/>
          <w:lang w:val="en-US"/>
        </w:rPr>
        <w:t>Answers to the referees</w:t>
      </w:r>
    </w:p>
    <w:p w14:paraId="4C00862E" w14:textId="77777777" w:rsidR="008B0CAE" w:rsidRDefault="008B0CAE" w:rsidP="003670F6">
      <w:pPr>
        <w:pStyle w:val="NoSpacing"/>
        <w:jc w:val="both"/>
        <w:rPr>
          <w:rFonts w:ascii="Times New Roman" w:hAnsi="Times New Roman" w:cs="Times New Roman"/>
          <w:b/>
          <w:lang w:val="en-US"/>
        </w:rPr>
      </w:pPr>
    </w:p>
    <w:p w14:paraId="00B19D8F" w14:textId="63CD09DE" w:rsidR="008B0CAE"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Reviewer #1:</w:t>
      </w:r>
    </w:p>
    <w:p w14:paraId="5AF5EECA" w14:textId="77777777" w:rsidR="002D7836"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lastRenderedPageBreak/>
        <w:br/>
        <w:t>Major Concerns:</w:t>
      </w:r>
    </w:p>
    <w:p w14:paraId="68732EA8" w14:textId="5659F1C0" w:rsidR="002D7836"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a. Line 104; 1.2 cryopreservation of NPCs. The authors should advice on the optimal density for this cry</w:t>
      </w:r>
      <w:r w:rsidR="00344085">
        <w:rPr>
          <w:rFonts w:ascii="Times New Roman" w:hAnsi="Times New Roman" w:cs="Times New Roman"/>
          <w:b/>
          <w:lang w:val="en-US"/>
        </w:rPr>
        <w:t>o</w:t>
      </w:r>
      <w:r w:rsidRPr="003670F6">
        <w:rPr>
          <w:rFonts w:ascii="Times New Roman" w:hAnsi="Times New Roman" w:cs="Times New Roman"/>
          <w:b/>
          <w:lang w:val="en-US"/>
        </w:rPr>
        <w:t>preservation. As described in the previous study (Maury et al., 2015), a control quality of the differentiation (by immunoflurorescence for Olig2) could be done at this stage or right after the thawing.</w:t>
      </w:r>
    </w:p>
    <w:p w14:paraId="7D162859" w14:textId="77777777" w:rsidR="002D7836" w:rsidRDefault="002D7836" w:rsidP="003670F6">
      <w:pPr>
        <w:pStyle w:val="NoSpacing"/>
        <w:jc w:val="both"/>
        <w:rPr>
          <w:rFonts w:ascii="Times New Roman" w:hAnsi="Times New Roman" w:cs="Times New Roman"/>
          <w:b/>
          <w:lang w:val="en-US"/>
        </w:rPr>
      </w:pPr>
    </w:p>
    <w:p w14:paraId="472776B9" w14:textId="0CB0B617" w:rsidR="002D7836" w:rsidRPr="002F28BF" w:rsidRDefault="00344085" w:rsidP="003670F6">
      <w:pPr>
        <w:pStyle w:val="NoSpacing"/>
        <w:jc w:val="both"/>
        <w:rPr>
          <w:rFonts w:ascii="Times New Roman" w:hAnsi="Times New Roman" w:cs="Times New Roman"/>
          <w:lang w:val="en-US"/>
        </w:rPr>
      </w:pPr>
      <w:r>
        <w:rPr>
          <w:rFonts w:ascii="Times New Roman" w:hAnsi="Times New Roman" w:cs="Times New Roman"/>
          <w:lang w:val="en-US"/>
        </w:rPr>
        <w:t xml:space="preserve">Thank you for allowing us to clarify on this. We have included a description of the optimal </w:t>
      </w:r>
      <w:r w:rsidRPr="002F28BF">
        <w:rPr>
          <w:rFonts w:ascii="Times New Roman" w:hAnsi="Times New Roman" w:cs="Times New Roman"/>
          <w:lang w:val="en-US"/>
        </w:rPr>
        <w:t>cryopreservation density of the NPCs (</w:t>
      </w:r>
      <w:r w:rsidR="002F28BF" w:rsidRPr="002F28BF">
        <w:rPr>
          <w:rFonts w:ascii="Times New Roman" w:hAnsi="Times New Roman" w:cs="Times New Roman"/>
          <w:lang w:val="en-US"/>
        </w:rPr>
        <w:t>line 117</w:t>
      </w:r>
      <w:r w:rsidRPr="002F28BF">
        <w:rPr>
          <w:rFonts w:ascii="Times New Roman" w:hAnsi="Times New Roman" w:cs="Times New Roman"/>
          <w:lang w:val="en-US"/>
        </w:rPr>
        <w:t>).</w:t>
      </w:r>
    </w:p>
    <w:p w14:paraId="78713858" w14:textId="77777777" w:rsidR="00344085" w:rsidRPr="002F28BF" w:rsidRDefault="00344085" w:rsidP="00344085">
      <w:pPr>
        <w:rPr>
          <w:rFonts w:ascii="Times New Roman" w:hAnsi="Times New Roman" w:cs="Times New Roman"/>
          <w:sz w:val="22"/>
          <w:lang w:val="en-GB"/>
        </w:rPr>
      </w:pPr>
    </w:p>
    <w:p w14:paraId="30F5A37A" w14:textId="618D1E3E" w:rsidR="00344085" w:rsidRDefault="008329D6" w:rsidP="00344085">
      <w:pPr>
        <w:rPr>
          <w:rFonts w:ascii="Times New Roman" w:hAnsi="Times New Roman" w:cs="Times New Roman"/>
          <w:sz w:val="22"/>
          <w:lang w:val="en-GB"/>
        </w:rPr>
      </w:pPr>
      <w:r w:rsidRPr="002F28BF">
        <w:rPr>
          <w:rFonts w:ascii="Times New Roman" w:hAnsi="Times New Roman" w:cs="Times New Roman"/>
          <w:sz w:val="22"/>
          <w:lang w:val="en-GB"/>
        </w:rPr>
        <w:t>Line 11</w:t>
      </w:r>
      <w:r w:rsidR="002F28BF" w:rsidRPr="002F28BF">
        <w:rPr>
          <w:rFonts w:ascii="Times New Roman" w:hAnsi="Times New Roman" w:cs="Times New Roman"/>
          <w:sz w:val="22"/>
          <w:lang w:val="en-GB"/>
        </w:rPr>
        <w:t>7</w:t>
      </w:r>
      <w:r w:rsidRPr="002F28BF">
        <w:rPr>
          <w:rFonts w:ascii="Times New Roman" w:hAnsi="Times New Roman" w:cs="Times New Roman"/>
          <w:sz w:val="22"/>
          <w:lang w:val="en-GB"/>
        </w:rPr>
        <w:t xml:space="preserve">: </w:t>
      </w:r>
      <w:r w:rsidR="00344085" w:rsidRPr="002F28BF">
        <w:rPr>
          <w:rFonts w:ascii="Times New Roman" w:hAnsi="Times New Roman" w:cs="Times New Roman"/>
          <w:sz w:val="22"/>
          <w:lang w:val="en-GB"/>
        </w:rPr>
        <w:t>“</w:t>
      </w:r>
      <w:r w:rsidR="00344085" w:rsidRPr="00344085">
        <w:rPr>
          <w:rFonts w:ascii="Times New Roman" w:hAnsi="Times New Roman" w:cs="Times New Roman"/>
          <w:sz w:val="22"/>
          <w:lang w:val="en-GB"/>
        </w:rPr>
        <w:t>1.2.1. Cryopreserve NPCs at a density of 2-4 x 10</w:t>
      </w:r>
      <w:r w:rsidR="00344085" w:rsidRPr="00344085">
        <w:rPr>
          <w:rFonts w:ascii="Times New Roman" w:hAnsi="Times New Roman" w:cs="Times New Roman"/>
          <w:sz w:val="22"/>
          <w:vertAlign w:val="superscript"/>
          <w:lang w:val="en-GB"/>
        </w:rPr>
        <w:t>6</w:t>
      </w:r>
      <w:r w:rsidR="00344085" w:rsidRPr="00344085">
        <w:rPr>
          <w:rFonts w:ascii="Times New Roman" w:hAnsi="Times New Roman" w:cs="Times New Roman"/>
          <w:sz w:val="22"/>
          <w:lang w:val="en-GB"/>
        </w:rPr>
        <w:t xml:space="preserve"> cells per vial.</w:t>
      </w:r>
      <w:r w:rsidR="00344085">
        <w:rPr>
          <w:rFonts w:ascii="Times New Roman" w:hAnsi="Times New Roman" w:cs="Times New Roman"/>
          <w:sz w:val="22"/>
          <w:lang w:val="en-GB"/>
        </w:rPr>
        <w:t>”</w:t>
      </w:r>
    </w:p>
    <w:p w14:paraId="174FE150" w14:textId="6E8388E2" w:rsidR="00344085" w:rsidRDefault="00344085" w:rsidP="00344085">
      <w:pPr>
        <w:rPr>
          <w:rFonts w:ascii="Times New Roman" w:hAnsi="Times New Roman" w:cs="Times New Roman"/>
          <w:sz w:val="22"/>
          <w:lang w:val="en-GB"/>
        </w:rPr>
      </w:pPr>
    </w:p>
    <w:p w14:paraId="4727499A" w14:textId="7F23878D" w:rsidR="00344085" w:rsidRDefault="00344085" w:rsidP="00344085">
      <w:pPr>
        <w:rPr>
          <w:rFonts w:ascii="Times New Roman" w:hAnsi="Times New Roman" w:cs="Times New Roman"/>
          <w:sz w:val="22"/>
          <w:lang w:val="en-GB"/>
        </w:rPr>
      </w:pPr>
      <w:r>
        <w:rPr>
          <w:rFonts w:ascii="Times New Roman" w:hAnsi="Times New Roman" w:cs="Times New Roman"/>
          <w:sz w:val="22"/>
          <w:lang w:val="en-GB"/>
        </w:rPr>
        <w:t xml:space="preserve">For the quality control of the NPCs using Olig2 staining, we refer to </w:t>
      </w:r>
      <w:r w:rsidRPr="00730368">
        <w:rPr>
          <w:rFonts w:ascii="Times New Roman" w:hAnsi="Times New Roman" w:cs="Times New Roman"/>
          <w:sz w:val="22"/>
          <w:lang w:val="en-GB"/>
        </w:rPr>
        <w:t xml:space="preserve">Supplemental Figure </w:t>
      </w:r>
      <w:r w:rsidR="00A708C0">
        <w:rPr>
          <w:rFonts w:ascii="Times New Roman" w:hAnsi="Times New Roman" w:cs="Times New Roman"/>
          <w:sz w:val="22"/>
          <w:lang w:val="en-GB"/>
        </w:rPr>
        <w:t xml:space="preserve">1E-F </w:t>
      </w:r>
      <w:r w:rsidR="00730368">
        <w:rPr>
          <w:rFonts w:ascii="Times New Roman" w:hAnsi="Times New Roman" w:cs="Times New Roman"/>
          <w:sz w:val="22"/>
          <w:lang w:val="en-GB"/>
        </w:rPr>
        <w:t>below</w:t>
      </w:r>
      <w:r w:rsidRPr="00730368">
        <w:rPr>
          <w:rFonts w:ascii="Times New Roman" w:hAnsi="Times New Roman" w:cs="Times New Roman"/>
          <w:sz w:val="22"/>
          <w:lang w:val="en-GB"/>
        </w:rPr>
        <w:t>.</w:t>
      </w:r>
      <w:r>
        <w:rPr>
          <w:rFonts w:ascii="Times New Roman" w:hAnsi="Times New Roman" w:cs="Times New Roman"/>
          <w:sz w:val="22"/>
          <w:lang w:val="en-GB"/>
        </w:rPr>
        <w:t xml:space="preserve"> </w:t>
      </w:r>
    </w:p>
    <w:p w14:paraId="4CB4F2CC" w14:textId="2AA81F48" w:rsidR="00730368" w:rsidRDefault="00730368" w:rsidP="00344085">
      <w:pPr>
        <w:rPr>
          <w:rFonts w:ascii="Times New Roman" w:hAnsi="Times New Roman" w:cs="Times New Roman"/>
          <w:sz w:val="22"/>
          <w:lang w:val="en-GB"/>
        </w:rPr>
      </w:pPr>
    </w:p>
    <w:p w14:paraId="0EC4E919" w14:textId="349732D4" w:rsidR="00730368" w:rsidRPr="00344085" w:rsidRDefault="00A708C0" w:rsidP="00344085">
      <w:pPr>
        <w:rPr>
          <w:rFonts w:ascii="Times New Roman" w:hAnsi="Times New Roman" w:cs="Times New Roman"/>
          <w:sz w:val="22"/>
          <w:lang w:val="en-GB"/>
        </w:rPr>
      </w:pPr>
      <w:r>
        <w:rPr>
          <w:rFonts w:ascii="Times New Roman" w:hAnsi="Times New Roman" w:cs="Times New Roman"/>
          <w:noProof/>
          <w:sz w:val="22"/>
          <w:lang w:val="nl-BE" w:eastAsia="nl-BE"/>
        </w:rPr>
        <w:drawing>
          <wp:inline distT="0" distB="0" distL="0" distR="0" wp14:anchorId="2785C483" wp14:editId="5FD80EE7">
            <wp:extent cx="5760720" cy="1529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 Figure 1.tif"/>
                    <pic:cNvPicPr/>
                  </pic:nvPicPr>
                  <pic:blipFill rotWithShape="1">
                    <a:blip r:embed="rId8" cstate="print">
                      <a:extLst>
                        <a:ext uri="{28A0092B-C50C-407E-A947-70E740481C1C}">
                          <a14:useLocalDpi xmlns:a14="http://schemas.microsoft.com/office/drawing/2010/main" val="0"/>
                        </a:ext>
                      </a:extLst>
                    </a:blip>
                    <a:srcRect t="72936"/>
                    <a:stretch/>
                  </pic:blipFill>
                  <pic:spPr bwMode="auto">
                    <a:xfrm>
                      <a:off x="0" y="0"/>
                      <a:ext cx="5760720" cy="1529715"/>
                    </a:xfrm>
                    <a:prstGeom prst="rect">
                      <a:avLst/>
                    </a:prstGeom>
                    <a:ln>
                      <a:noFill/>
                    </a:ln>
                    <a:extLst>
                      <a:ext uri="{53640926-AAD7-44D8-BBD7-CCE9431645EC}">
                        <a14:shadowObscured xmlns:a14="http://schemas.microsoft.com/office/drawing/2010/main"/>
                      </a:ext>
                    </a:extLst>
                  </pic:spPr>
                </pic:pic>
              </a:graphicData>
            </a:graphic>
          </wp:inline>
        </w:drawing>
      </w:r>
    </w:p>
    <w:p w14:paraId="3605508F" w14:textId="77777777" w:rsidR="009C1E88" w:rsidRDefault="009C1E88" w:rsidP="00730368">
      <w:pPr>
        <w:rPr>
          <w:rFonts w:ascii="Times New Roman" w:hAnsi="Times New Roman" w:cs="Times New Roman"/>
          <w:i/>
          <w:sz w:val="22"/>
          <w:lang w:val="en-GB"/>
        </w:rPr>
      </w:pPr>
    </w:p>
    <w:p w14:paraId="4F09D943" w14:textId="77777777" w:rsidR="00A708C0" w:rsidRDefault="00730368" w:rsidP="00730368">
      <w:pPr>
        <w:rPr>
          <w:rFonts w:ascii="Times New Roman" w:hAnsi="Times New Roman" w:cs="Times New Roman"/>
          <w:b/>
          <w:i/>
          <w:sz w:val="22"/>
          <w:lang w:val="en-GB"/>
        </w:rPr>
      </w:pPr>
      <w:r w:rsidRPr="009C1E88">
        <w:rPr>
          <w:rFonts w:ascii="Times New Roman" w:hAnsi="Times New Roman" w:cs="Times New Roman"/>
          <w:b/>
          <w:i/>
          <w:sz w:val="22"/>
          <w:lang w:val="en-GB"/>
        </w:rPr>
        <w:t>Supplemental Figure 1: Motor neuron verification, MAB fusion index, and NPC quality control.</w:t>
      </w:r>
    </w:p>
    <w:p w14:paraId="234166C7" w14:textId="4ABE418B" w:rsidR="00730368" w:rsidRPr="00A708C0" w:rsidRDefault="00A708C0" w:rsidP="00730368">
      <w:pPr>
        <w:rPr>
          <w:rFonts w:ascii="Times New Roman" w:hAnsi="Times New Roman" w:cs="Times New Roman"/>
          <w:b/>
          <w:i/>
          <w:sz w:val="22"/>
          <w:lang w:val="en-GB"/>
        </w:rPr>
      </w:pPr>
      <w:r>
        <w:rPr>
          <w:rFonts w:ascii="Times New Roman" w:hAnsi="Times New Roman" w:cs="Times New Roman"/>
          <w:i/>
          <w:sz w:val="22"/>
          <w:lang w:val="en-GB"/>
        </w:rPr>
        <w:t>E</w:t>
      </w:r>
      <w:r w:rsidR="00730368" w:rsidRPr="00730368">
        <w:rPr>
          <w:rFonts w:ascii="Times New Roman" w:hAnsi="Times New Roman" w:cs="Times New Roman"/>
          <w:i/>
          <w:sz w:val="22"/>
          <w:lang w:val="en-GB"/>
        </w:rPr>
        <w:t xml:space="preserve">. Confocal images of iPSC-derived NPCs at day 11 of motor neuron differentiation, which are labelled with NPC marker Olig2 and pan-neuronal marker βIII-tubulin (Tubulin). Nuclei are stained with DAPI. Scale bars, 50 μm. </w:t>
      </w:r>
    </w:p>
    <w:p w14:paraId="1F10B0FE" w14:textId="3E84B495" w:rsidR="00730368" w:rsidRPr="00730368" w:rsidRDefault="00A708C0" w:rsidP="00730368">
      <w:pPr>
        <w:rPr>
          <w:rFonts w:ascii="Times New Roman" w:hAnsi="Times New Roman" w:cs="Times New Roman"/>
          <w:i/>
          <w:sz w:val="22"/>
          <w:lang w:val="en-GB"/>
        </w:rPr>
      </w:pPr>
      <w:r>
        <w:rPr>
          <w:rFonts w:ascii="Times New Roman" w:hAnsi="Times New Roman" w:cs="Times New Roman"/>
          <w:i/>
          <w:sz w:val="22"/>
          <w:lang w:val="en-GB"/>
        </w:rPr>
        <w:t>F</w:t>
      </w:r>
      <w:r w:rsidR="00730368" w:rsidRPr="00730368">
        <w:rPr>
          <w:rFonts w:ascii="Times New Roman" w:hAnsi="Times New Roman" w:cs="Times New Roman"/>
          <w:i/>
          <w:sz w:val="22"/>
          <w:lang w:val="en-GB"/>
        </w:rPr>
        <w:t>. Quantification of the number of NPCs, which are positive for Olig2 and βIII-tubulin (AB+). Graph depicts mean ± standard error of the mean from three biological replicates.</w:t>
      </w:r>
    </w:p>
    <w:p w14:paraId="3102316F" w14:textId="710774CA" w:rsidR="00344085"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b. Line 115: the origin of the tissues used as the source of MABs should be described.</w:t>
      </w:r>
    </w:p>
    <w:p w14:paraId="7D3080C3" w14:textId="48C8B9DE" w:rsidR="00344085" w:rsidRDefault="00344085" w:rsidP="003670F6">
      <w:pPr>
        <w:pStyle w:val="NoSpacing"/>
        <w:jc w:val="both"/>
        <w:rPr>
          <w:rFonts w:ascii="Times New Roman" w:hAnsi="Times New Roman" w:cs="Times New Roman"/>
          <w:b/>
          <w:lang w:val="en-US"/>
        </w:rPr>
      </w:pPr>
    </w:p>
    <w:p w14:paraId="578F4B65" w14:textId="3CAACF32" w:rsidR="00344085" w:rsidRPr="00344085" w:rsidRDefault="00344085" w:rsidP="003670F6">
      <w:pPr>
        <w:pStyle w:val="NoSpacing"/>
        <w:jc w:val="both"/>
        <w:rPr>
          <w:rFonts w:ascii="Times New Roman" w:hAnsi="Times New Roman" w:cs="Times New Roman"/>
          <w:lang w:val="en-US"/>
        </w:rPr>
      </w:pPr>
      <w:r>
        <w:rPr>
          <w:rFonts w:ascii="Times New Roman" w:hAnsi="Times New Roman" w:cs="Times New Roman"/>
          <w:lang w:val="en-US"/>
        </w:rPr>
        <w:t>We have included the age (58 years</w:t>
      </w:r>
      <w:r w:rsidR="008329D6">
        <w:rPr>
          <w:rFonts w:ascii="Times New Roman" w:hAnsi="Times New Roman" w:cs="Times New Roman"/>
          <w:lang w:val="en-US"/>
        </w:rPr>
        <w:t xml:space="preserve"> old at the time of biopsy</w:t>
      </w:r>
      <w:r>
        <w:rPr>
          <w:rFonts w:ascii="Times New Roman" w:hAnsi="Times New Roman" w:cs="Times New Roman"/>
          <w:lang w:val="en-US"/>
        </w:rPr>
        <w:t xml:space="preserve">) and </w:t>
      </w:r>
      <w:r w:rsidR="008329D6">
        <w:rPr>
          <w:rFonts w:ascii="Times New Roman" w:hAnsi="Times New Roman" w:cs="Times New Roman"/>
          <w:lang w:val="en-US"/>
        </w:rPr>
        <w:t xml:space="preserve">the health status (no described diseases) </w:t>
      </w:r>
      <w:r>
        <w:rPr>
          <w:rFonts w:ascii="Times New Roman" w:hAnsi="Times New Roman" w:cs="Times New Roman"/>
          <w:lang w:val="en-US"/>
        </w:rPr>
        <w:t xml:space="preserve">of the donor, as this unfortunately is the only information we have available. </w:t>
      </w:r>
    </w:p>
    <w:p w14:paraId="4E7AD5BD" w14:textId="77777777" w:rsidR="008329D6"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 xml:space="preserve">c. Line 137: the authors should provide the protocol to facs-sorted the cells for human </w:t>
      </w:r>
      <w:r w:rsidRPr="003670F6">
        <w:rPr>
          <w:rFonts w:ascii="Times New Roman" w:hAnsi="Times New Roman" w:cs="Times New Roman"/>
          <w:b/>
          <w:lang w:val="en-US"/>
        </w:rPr>
        <w:lastRenderedPageBreak/>
        <w:t>alkaline phosphatase. They should also provide some indications regarding the thresholds that should be obtained during this procedure.</w:t>
      </w:r>
    </w:p>
    <w:p w14:paraId="501284DE" w14:textId="71801735" w:rsidR="008329D6" w:rsidRDefault="008329D6" w:rsidP="003670F6">
      <w:pPr>
        <w:pStyle w:val="NoSpacing"/>
        <w:jc w:val="both"/>
        <w:rPr>
          <w:rFonts w:ascii="Times New Roman" w:hAnsi="Times New Roman" w:cs="Times New Roman"/>
          <w:b/>
          <w:lang w:val="en-US"/>
        </w:rPr>
      </w:pPr>
    </w:p>
    <w:p w14:paraId="705B6146" w14:textId="543E0F30" w:rsidR="008329D6" w:rsidRDefault="008329D6" w:rsidP="003670F6">
      <w:pPr>
        <w:pStyle w:val="NoSpacing"/>
        <w:jc w:val="both"/>
        <w:rPr>
          <w:rFonts w:ascii="Times New Roman" w:hAnsi="Times New Roman" w:cs="Times New Roman"/>
          <w:lang w:val="en-US"/>
        </w:rPr>
      </w:pPr>
      <w:r>
        <w:rPr>
          <w:rFonts w:ascii="Times New Roman" w:hAnsi="Times New Roman" w:cs="Times New Roman"/>
          <w:lang w:val="en-US"/>
        </w:rPr>
        <w:t>Thank you for this important comment. In order to keep the length of</w:t>
      </w:r>
      <w:r w:rsidR="0000637D">
        <w:rPr>
          <w:rFonts w:ascii="Times New Roman" w:hAnsi="Times New Roman" w:cs="Times New Roman"/>
          <w:lang w:val="en-US"/>
        </w:rPr>
        <w:t xml:space="preserve"> the protocol within the required</w:t>
      </w:r>
      <w:r>
        <w:rPr>
          <w:rFonts w:ascii="Times New Roman" w:hAnsi="Times New Roman" w:cs="Times New Roman"/>
          <w:lang w:val="en-US"/>
        </w:rPr>
        <w:t xml:space="preserve"> limits, we have included a reference to a recently published protocol</w:t>
      </w:r>
      <w:r>
        <w:rPr>
          <w:rFonts w:ascii="Times New Roman" w:hAnsi="Times New Roman" w:cs="Times New Roman"/>
          <w:lang w:val="en-US"/>
        </w:rPr>
        <w:fldChar w:fldCharType="begin" w:fldLock="1"/>
      </w:r>
      <w:r w:rsidR="006726E6">
        <w:rPr>
          <w:rFonts w:ascii="Times New Roman" w:hAnsi="Times New Roman" w:cs="Times New Roman"/>
          <w:lang w:val="en-US"/>
        </w:rPr>
        <w:instrText>ADDIN CSL_CITATION {"citationItems":[{"id":"ITEM-1","itemData":{"ISBN":"978-1-0716-1056-5","abstract":"Mesoangioblasts (MABs) are vessel-associated stem cells that express pericyte markers and are originally isolated from the embryonic dorsal aorta. From postnatal small vessels of skeletal muscle and heart, it is possible to isolate cells with similar characteristics to embryonic MABs. Adult MABs have the capacity to self-renew and to differentiate into cell types of mesodermal lineages upon proper culture conditions. To date, the origin of MABs and the relationship with other muscle stem cells are still debated. Recently, in a phase I--II clinical trial, intra-arterial HLA-matched MABs were proved to be relatively safe. Novel information on MAB pure populations is desirable, and implementation of their therapeutic potential is mandatory to approach efficacy in MAB-based treatments. This chapter provides an overview of the current techniques for isolation and characterization of rodent, canine, human, and equine adult MABs.","author":[{"dropping-particle":"","family":"Giacomazzi","given":"Giorgia","non-dropping-particle":"","parse-names":false,"suffix":""},{"dropping-particle":"","family":"Giovannelli","given":"Gaia","non-dropping-particle":"","parse-names":false,"suffix":""},{"dropping-particle":"","family":"Rotini","given":"Alessio","non-dropping-particle":"","parse-names":false,"suffix":""},{"dropping-particle":"","family":"Costamagna","given":"Domiziana","non-dropping-particle":"","parse-names":false,"suffix":""},{"dropping-particle":"","family":"Quattrocelli","given":"Mattia","non-dropping-particle":"","parse-names":false,"suffix":""},{"dropping-particle":"","family":"Sampaolesi","given":"Maurilio","non-dropping-particle":"","parse-names":false,"suffix":""}],"container-title":"Pericytes: Methods and Protocols","editor":[{"dropping-particle":"","family":"Péault","given":"Bruno M","non-dropping-particle":"","parse-names":false,"suffix":""}],"id":"ITEM-1","issued":{"date-parts":[["2021"]]},"page":"155-167","publisher":"Springer US","publisher-place":"New York, NY","title":"Isolation of Mammalian Mesoangioblasts: A Subset of Pericytes with Myogenic Potential","type":"chapter"},"uris":["http://www.mendeley.com/documents/?uuid=97b24523-8475-48b2-9eac-5c1e79026902"]}],"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lang w:val="en-US"/>
        </w:rPr>
        <w:fldChar w:fldCharType="separate"/>
      </w:r>
      <w:r w:rsidRPr="008329D6">
        <w:rPr>
          <w:rFonts w:ascii="Times New Roman" w:hAnsi="Times New Roman" w:cs="Times New Roman"/>
          <w:noProof/>
          <w:vertAlign w:val="superscript"/>
          <w:lang w:val="en-US"/>
        </w:rPr>
        <w:t>1</w:t>
      </w:r>
      <w:r>
        <w:rPr>
          <w:rFonts w:ascii="Times New Roman" w:hAnsi="Times New Roman" w:cs="Times New Roman"/>
          <w:lang w:val="en-US"/>
        </w:rPr>
        <w:fldChar w:fldCharType="end"/>
      </w:r>
      <w:r>
        <w:rPr>
          <w:rFonts w:ascii="Times New Roman" w:hAnsi="Times New Roman" w:cs="Times New Roman"/>
          <w:lang w:val="en-US"/>
        </w:rPr>
        <w:t>, which explains the isolation and characterization of MABs in great detail.</w:t>
      </w:r>
    </w:p>
    <w:p w14:paraId="16769C21" w14:textId="5F5068C4" w:rsidR="008329D6" w:rsidRDefault="008329D6" w:rsidP="003670F6">
      <w:pPr>
        <w:pStyle w:val="NoSpacing"/>
        <w:jc w:val="both"/>
        <w:rPr>
          <w:rFonts w:ascii="Times New Roman" w:hAnsi="Times New Roman" w:cs="Times New Roman"/>
          <w:lang w:val="en-US"/>
        </w:rPr>
      </w:pPr>
    </w:p>
    <w:p w14:paraId="2AD00BAF" w14:textId="50E5F375" w:rsidR="008329D6" w:rsidRPr="008329D6" w:rsidRDefault="008329D6" w:rsidP="003670F6">
      <w:pPr>
        <w:pStyle w:val="NoSpacing"/>
        <w:jc w:val="both"/>
        <w:rPr>
          <w:rFonts w:ascii="Times New Roman" w:hAnsi="Times New Roman" w:cs="Times New Roman"/>
          <w:lang w:val="en-US"/>
        </w:rPr>
      </w:pPr>
      <w:r>
        <w:rPr>
          <w:rFonts w:ascii="Times New Roman" w:hAnsi="Times New Roman" w:cs="Times New Roman"/>
          <w:noProof/>
          <w:szCs w:val="24"/>
          <w:vertAlign w:val="superscript"/>
          <w:lang w:val="en-US"/>
        </w:rPr>
        <w:t>1</w:t>
      </w:r>
      <w:r w:rsidRPr="008329D6">
        <w:rPr>
          <w:rFonts w:ascii="Times New Roman" w:hAnsi="Times New Roman" w:cs="Times New Roman"/>
          <w:noProof/>
          <w:szCs w:val="24"/>
          <w:lang w:val="en-US"/>
        </w:rPr>
        <w:t xml:space="preserve">Giacomazzi, G. </w:t>
      </w:r>
      <w:r w:rsidRPr="008329D6">
        <w:rPr>
          <w:rFonts w:ascii="Times New Roman" w:hAnsi="Times New Roman" w:cs="Times New Roman"/>
          <w:i/>
          <w:iCs/>
          <w:noProof/>
          <w:szCs w:val="24"/>
          <w:lang w:val="en-US"/>
        </w:rPr>
        <w:t>et al.</w:t>
      </w:r>
      <w:r w:rsidRPr="008329D6">
        <w:rPr>
          <w:rFonts w:ascii="Times New Roman" w:hAnsi="Times New Roman" w:cs="Times New Roman"/>
          <w:noProof/>
          <w:szCs w:val="24"/>
          <w:lang w:val="en-US"/>
        </w:rPr>
        <w:t xml:space="preserve"> Isolation of Mammalian Mesoangioblasts: A Subset of Pericytes with Myogenic Potential. in </w:t>
      </w:r>
      <w:r w:rsidRPr="008329D6">
        <w:rPr>
          <w:rFonts w:ascii="Times New Roman" w:hAnsi="Times New Roman" w:cs="Times New Roman"/>
          <w:i/>
          <w:iCs/>
          <w:noProof/>
          <w:szCs w:val="24"/>
          <w:lang w:val="en-US"/>
        </w:rPr>
        <w:t>Pericytes: Methods and Protocols</w:t>
      </w:r>
      <w:r w:rsidRPr="008329D6">
        <w:rPr>
          <w:rFonts w:ascii="Times New Roman" w:hAnsi="Times New Roman" w:cs="Times New Roman"/>
          <w:noProof/>
          <w:szCs w:val="24"/>
          <w:lang w:val="en-US"/>
        </w:rPr>
        <w:t xml:space="preserve"> (ed. </w:t>
      </w:r>
      <w:r w:rsidRPr="00593D14">
        <w:rPr>
          <w:rFonts w:ascii="Times New Roman" w:hAnsi="Times New Roman" w:cs="Times New Roman"/>
          <w:noProof/>
          <w:szCs w:val="24"/>
          <w:lang w:val="en-US"/>
        </w:rPr>
        <w:t>Péault, B. M.) 155–167 (Springer US, 2021). doi:10.1007/978-1-0716-1056-5_11.</w:t>
      </w:r>
    </w:p>
    <w:p w14:paraId="38A1AA34" w14:textId="77777777" w:rsidR="008329D6"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d. Line 143: what is the protocol for the cryopreservation of MABs? What is the optimal cell density for the freezing?</w:t>
      </w:r>
    </w:p>
    <w:p w14:paraId="2A9058AD" w14:textId="7EA6A1C3" w:rsidR="008329D6" w:rsidRDefault="008329D6" w:rsidP="003670F6">
      <w:pPr>
        <w:pStyle w:val="NoSpacing"/>
        <w:jc w:val="both"/>
        <w:rPr>
          <w:rFonts w:ascii="Times New Roman" w:hAnsi="Times New Roman" w:cs="Times New Roman"/>
          <w:b/>
          <w:lang w:val="en-US"/>
        </w:rPr>
      </w:pPr>
    </w:p>
    <w:p w14:paraId="15396969" w14:textId="7FDB86F4" w:rsidR="008329D6" w:rsidRPr="0011133A" w:rsidRDefault="008745EB" w:rsidP="008329D6">
      <w:pPr>
        <w:rPr>
          <w:rFonts w:ascii="Times New Roman" w:hAnsi="Times New Roman" w:cs="Times New Roman"/>
          <w:sz w:val="22"/>
          <w:lang w:val="en-GB"/>
        </w:rPr>
      </w:pPr>
      <w:r>
        <w:rPr>
          <w:rFonts w:ascii="Times New Roman" w:hAnsi="Times New Roman" w:cs="Times New Roman"/>
          <w:sz w:val="22"/>
          <w:lang w:val="en-GB"/>
        </w:rPr>
        <w:t>These are indeed good</w:t>
      </w:r>
      <w:r w:rsidR="008329D6">
        <w:rPr>
          <w:rFonts w:ascii="Times New Roman" w:hAnsi="Times New Roman" w:cs="Times New Roman"/>
          <w:sz w:val="22"/>
          <w:lang w:val="en-GB"/>
        </w:rPr>
        <w:t xml:space="preserve"> questions. </w:t>
      </w:r>
      <w:r w:rsidR="003275C6">
        <w:rPr>
          <w:rFonts w:ascii="Times New Roman" w:hAnsi="Times New Roman" w:cs="Times New Roman"/>
          <w:sz w:val="22"/>
          <w:lang w:val="en-GB"/>
        </w:rPr>
        <w:t>For more detail on the steps of MAB cryopreservation, we refer to the protocol above</w:t>
      </w:r>
      <w:r w:rsidR="003275C6">
        <w:rPr>
          <w:rFonts w:ascii="Times New Roman" w:hAnsi="Times New Roman" w:cs="Times New Roman"/>
          <w:sz w:val="22"/>
          <w:lang w:val="en-GB"/>
        </w:rPr>
        <w:fldChar w:fldCharType="begin" w:fldLock="1"/>
      </w:r>
      <w:r w:rsidR="006726E6">
        <w:rPr>
          <w:rFonts w:ascii="Times New Roman" w:hAnsi="Times New Roman" w:cs="Times New Roman"/>
          <w:sz w:val="22"/>
          <w:lang w:val="en-GB"/>
        </w:rPr>
        <w:instrText>ADDIN CSL_CITATION {"citationItems":[{"id":"ITEM-1","itemData":{"ISBN":"978-1-0716-1056-5","abstract":"Mesoangioblasts (MABs) are vessel-associated stem cells that express pericyte markers and are originally isolated from the embryonic dorsal aorta. From postnatal small vessels of skeletal muscle and heart, it is possible to isolate cells with similar characteristics to embryonic MABs. Adult MABs have the capacity to self-renew and to differentiate into cell types of mesodermal lineages upon proper culture conditions. To date, the origin of MABs and the relationship with other muscle stem cells are still debated. Recently, in a phase I--II clinical trial, intra-arterial HLA-matched MABs were proved to be relatively safe. Novel information on MAB pure populations is desirable, and implementation of their therapeutic potential is mandatory to approach efficacy in MAB-based treatments. This chapter provides an overview of the current techniques for isolation and characterization of rodent, canine, human, and equine adult MABs.","author":[{"dropping-particle":"","family":"Giacomazzi","given":"Giorgia","non-dropping-particle":"","parse-names":false,"suffix":""},{"dropping-particle":"","family":"Giovannelli","given":"Gaia","non-dropping-particle":"","parse-names":false,"suffix":""},{"dropping-particle":"","family":"Rotini","given":"Alessio","non-dropping-particle":"","parse-names":false,"suffix":""},{"dropping-particle":"","family":"Costamagna","given":"Domiziana","non-dropping-particle":"","parse-names":false,"suffix":""},{"dropping-particle":"","family":"Quattrocelli","given":"Mattia","non-dropping-particle":"","parse-names":false,"suffix":""},{"dropping-particle":"","family":"Sampaolesi","given":"Maurilio","non-dropping-particle":"","parse-names":false,"suffix":""}],"container-title":"Pericytes: Methods and Protocols","editor":[{"dropping-particle":"","family":"Péault","given":"Bruno M","non-dropping-particle":"","parse-names":false,"suffix":""}],"id":"ITEM-1","issued":{"date-parts":[["2021"]]},"page":"155-167","publisher":"Springer US","publisher-place":"New York, NY","title":"Isolation of Mammalian Mesoangioblasts: A Subset of Pericytes with Myogenic Potential","type":"chapter"},"uris":["http://www.mendeley.com/documents/?uuid=97b24523-8475-48b2-9eac-5c1e79026902"]}],"mendeley":{"formattedCitation":"&lt;sup&gt;1&lt;/sup&gt;","plainTextFormattedCitation":"1","previouslyFormattedCitation":"&lt;sup&gt;1&lt;/sup&gt;"},"properties":{"noteIndex":0},"schema":"https://github.com/citation-style-language/schema/raw/master/csl-citation.json"}</w:instrText>
      </w:r>
      <w:r w:rsidR="003275C6">
        <w:rPr>
          <w:rFonts w:ascii="Times New Roman" w:hAnsi="Times New Roman" w:cs="Times New Roman"/>
          <w:sz w:val="22"/>
          <w:lang w:val="en-GB"/>
        </w:rPr>
        <w:fldChar w:fldCharType="separate"/>
      </w:r>
      <w:r w:rsidR="003275C6" w:rsidRPr="003275C6">
        <w:rPr>
          <w:rFonts w:ascii="Times New Roman" w:hAnsi="Times New Roman" w:cs="Times New Roman"/>
          <w:noProof/>
          <w:sz w:val="22"/>
          <w:vertAlign w:val="superscript"/>
          <w:lang w:val="en-GB"/>
        </w:rPr>
        <w:t>1</w:t>
      </w:r>
      <w:r w:rsidR="003275C6">
        <w:rPr>
          <w:rFonts w:ascii="Times New Roman" w:hAnsi="Times New Roman" w:cs="Times New Roman"/>
          <w:sz w:val="22"/>
          <w:lang w:val="en-GB"/>
        </w:rPr>
        <w:fldChar w:fldCharType="end"/>
      </w:r>
      <w:r w:rsidR="003275C6">
        <w:rPr>
          <w:rFonts w:ascii="Times New Roman" w:hAnsi="Times New Roman" w:cs="Times New Roman"/>
          <w:sz w:val="22"/>
          <w:lang w:val="en-GB"/>
        </w:rPr>
        <w:t>. In addition, w</w:t>
      </w:r>
      <w:r w:rsidR="008329D6" w:rsidRPr="0011133A">
        <w:rPr>
          <w:rFonts w:ascii="Times New Roman" w:hAnsi="Times New Roman" w:cs="Times New Roman"/>
          <w:sz w:val="22"/>
          <w:lang w:val="en-GB"/>
        </w:rPr>
        <w:t xml:space="preserve">e refer to the optimal cryopreservation density in line </w:t>
      </w:r>
      <w:r w:rsidR="0011133A" w:rsidRPr="0011133A">
        <w:rPr>
          <w:rFonts w:ascii="Times New Roman" w:hAnsi="Times New Roman" w:cs="Times New Roman"/>
          <w:sz w:val="22"/>
          <w:lang w:val="en-GB"/>
        </w:rPr>
        <w:t>158-160</w:t>
      </w:r>
      <w:r w:rsidR="008329D6" w:rsidRPr="0011133A">
        <w:rPr>
          <w:rFonts w:ascii="Times New Roman" w:hAnsi="Times New Roman" w:cs="Times New Roman"/>
          <w:sz w:val="22"/>
          <w:lang w:val="en-GB"/>
        </w:rPr>
        <w:t xml:space="preserve">. </w:t>
      </w:r>
    </w:p>
    <w:p w14:paraId="3F813BEC" w14:textId="77777777" w:rsidR="008329D6" w:rsidRPr="0011133A" w:rsidRDefault="008329D6" w:rsidP="008329D6">
      <w:pPr>
        <w:rPr>
          <w:rFonts w:ascii="Times New Roman" w:hAnsi="Times New Roman" w:cs="Times New Roman"/>
          <w:sz w:val="22"/>
          <w:lang w:val="en-GB"/>
        </w:rPr>
      </w:pPr>
    </w:p>
    <w:p w14:paraId="626D4AC9" w14:textId="6FFA718B" w:rsidR="008329D6" w:rsidRPr="008329D6" w:rsidRDefault="0011133A" w:rsidP="008329D6">
      <w:pPr>
        <w:rPr>
          <w:rFonts w:ascii="Times New Roman" w:hAnsi="Times New Roman" w:cs="Times New Roman"/>
          <w:sz w:val="22"/>
          <w:lang w:val="en-GB"/>
        </w:rPr>
      </w:pPr>
      <w:r w:rsidRPr="0011133A">
        <w:rPr>
          <w:rFonts w:ascii="Times New Roman" w:hAnsi="Times New Roman" w:cs="Times New Roman"/>
          <w:sz w:val="22"/>
          <w:lang w:val="en-GB"/>
        </w:rPr>
        <w:t>Line 158-160</w:t>
      </w:r>
      <w:r w:rsidR="003856EB" w:rsidRPr="0011133A">
        <w:rPr>
          <w:rFonts w:ascii="Times New Roman" w:hAnsi="Times New Roman" w:cs="Times New Roman"/>
          <w:sz w:val="22"/>
          <w:lang w:val="en-GB"/>
        </w:rPr>
        <w:t xml:space="preserve">: </w:t>
      </w:r>
      <w:r w:rsidR="008329D6" w:rsidRPr="0011133A">
        <w:rPr>
          <w:rFonts w:ascii="Times New Roman" w:hAnsi="Times New Roman" w:cs="Times New Roman"/>
          <w:sz w:val="22"/>
          <w:lang w:val="en-GB"/>
        </w:rPr>
        <w:t>“One 70 % confluent T75 flask contain approximately 6-800.000 cells, which can be cryopreserved in 100.000 cells per</w:t>
      </w:r>
      <w:r w:rsidR="008329D6" w:rsidRPr="008329D6">
        <w:rPr>
          <w:rFonts w:ascii="Times New Roman" w:hAnsi="Times New Roman" w:cs="Times New Roman"/>
          <w:sz w:val="22"/>
          <w:lang w:val="en-GB"/>
        </w:rPr>
        <w:t xml:space="preserve"> vial. Each vial can later be thawed and seeded </w:t>
      </w:r>
      <w:r w:rsidR="008329D6">
        <w:rPr>
          <w:rFonts w:ascii="Times New Roman" w:hAnsi="Times New Roman" w:cs="Times New Roman"/>
          <w:sz w:val="22"/>
          <w:lang w:val="en-GB"/>
        </w:rPr>
        <w:t>in a T75 flask for expansion.”</w:t>
      </w:r>
    </w:p>
    <w:p w14:paraId="5998A987" w14:textId="77777777" w:rsidR="008329D6" w:rsidRPr="008329D6" w:rsidRDefault="008329D6" w:rsidP="003670F6">
      <w:pPr>
        <w:pStyle w:val="NoSpacing"/>
        <w:jc w:val="both"/>
        <w:rPr>
          <w:rFonts w:ascii="Times New Roman" w:hAnsi="Times New Roman" w:cs="Times New Roman"/>
          <w:b/>
          <w:lang w:val="en-GB"/>
        </w:rPr>
      </w:pPr>
    </w:p>
    <w:p w14:paraId="04B5AF8C" w14:textId="77777777" w:rsidR="003275C6"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e. In a supplementary figure, the authors should include phase contrast images of the hiPSC before differentiation, the NPCs and MABs before co-culture. This supplementary figure should be very useful to help reproducing the protocol.</w:t>
      </w:r>
    </w:p>
    <w:p w14:paraId="2CBB779C" w14:textId="491C3A97" w:rsidR="003275C6"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In the same supplementary figure, a schema of the entire protocol should be included. For people not used to this type of approach, the distinction between the differentiation and co-culture might not be so easy.</w:t>
      </w:r>
    </w:p>
    <w:p w14:paraId="26FC73BF" w14:textId="77777777" w:rsidR="003275C6" w:rsidRDefault="003275C6" w:rsidP="003670F6">
      <w:pPr>
        <w:pStyle w:val="NoSpacing"/>
        <w:jc w:val="both"/>
        <w:rPr>
          <w:rFonts w:ascii="Times New Roman" w:hAnsi="Times New Roman" w:cs="Times New Roman"/>
          <w:b/>
          <w:lang w:val="en-US"/>
        </w:rPr>
      </w:pPr>
    </w:p>
    <w:p w14:paraId="5BFE9B0C" w14:textId="1B039426" w:rsidR="003275C6" w:rsidRDefault="003275C6" w:rsidP="003670F6">
      <w:pPr>
        <w:pStyle w:val="NoSpacing"/>
        <w:jc w:val="both"/>
        <w:rPr>
          <w:rFonts w:ascii="Times New Roman" w:hAnsi="Times New Roman" w:cs="Times New Roman"/>
          <w:lang w:val="en-US"/>
        </w:rPr>
      </w:pPr>
      <w:r>
        <w:rPr>
          <w:rFonts w:ascii="Times New Roman" w:hAnsi="Times New Roman" w:cs="Times New Roman"/>
          <w:lang w:val="en-US"/>
        </w:rPr>
        <w:t>Thank you for this comment. Figure 1 depict a schematic overview of the entire protocol. We have included a bright field image of the hiPSCs at the time of initiation of motor neuron differentiation</w:t>
      </w:r>
      <w:r w:rsidR="00593D14">
        <w:rPr>
          <w:rFonts w:ascii="Times New Roman" w:hAnsi="Times New Roman" w:cs="Times New Roman"/>
          <w:lang w:val="en-US"/>
        </w:rPr>
        <w:t xml:space="preserve"> to display the morphology and approximate density</w:t>
      </w:r>
      <w:r>
        <w:rPr>
          <w:rFonts w:ascii="Times New Roman" w:hAnsi="Times New Roman" w:cs="Times New Roman"/>
          <w:lang w:val="en-US"/>
        </w:rPr>
        <w:t>. For representative bright field images of NPCs and MABs</w:t>
      </w:r>
      <w:r w:rsidR="008745EB">
        <w:rPr>
          <w:rFonts w:ascii="Times New Roman" w:hAnsi="Times New Roman" w:cs="Times New Roman"/>
          <w:lang w:val="en-US"/>
        </w:rPr>
        <w:t>,</w:t>
      </w:r>
      <w:r>
        <w:rPr>
          <w:rFonts w:ascii="Times New Roman" w:hAnsi="Times New Roman" w:cs="Times New Roman"/>
          <w:lang w:val="en-US"/>
        </w:rPr>
        <w:t xml:space="preserve"> we refer to the bright field images at day 11 and day 18, respectively. Although these images have been taken in the microfluidic devices, they are also representative for the morphology of cells cultured in monocultures. </w:t>
      </w:r>
    </w:p>
    <w:p w14:paraId="4A4A8AE6" w14:textId="656A80A3" w:rsidR="006C2338" w:rsidRDefault="006C2338" w:rsidP="003670F6">
      <w:pPr>
        <w:pStyle w:val="NoSpacing"/>
        <w:jc w:val="both"/>
        <w:rPr>
          <w:rFonts w:ascii="Times New Roman" w:hAnsi="Times New Roman" w:cs="Times New Roman"/>
          <w:lang w:val="en-US"/>
        </w:rPr>
      </w:pPr>
      <w:r>
        <w:rPr>
          <w:rFonts w:ascii="Times New Roman" w:hAnsi="Times New Roman" w:cs="Times New Roman"/>
          <w:noProof/>
          <w:lang w:eastAsia="nl-BE"/>
        </w:rPr>
        <w:lastRenderedPageBreak/>
        <w:drawing>
          <wp:anchor distT="0" distB="0" distL="114300" distR="114300" simplePos="0" relativeHeight="251658240" behindDoc="0" locked="0" layoutInCell="1" allowOverlap="1" wp14:anchorId="0C945758" wp14:editId="41D5E912">
            <wp:simplePos x="0" y="0"/>
            <wp:positionH relativeFrom="margin">
              <wp:align>center</wp:align>
            </wp:positionH>
            <wp:positionV relativeFrom="paragraph">
              <wp:posOffset>176530</wp:posOffset>
            </wp:positionV>
            <wp:extent cx="5953125" cy="26289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3125" cy="2628900"/>
                    </a:xfrm>
                    <a:prstGeom prst="rect">
                      <a:avLst/>
                    </a:prstGeom>
                  </pic:spPr>
                </pic:pic>
              </a:graphicData>
            </a:graphic>
            <wp14:sizeRelH relativeFrom="page">
              <wp14:pctWidth>0</wp14:pctWidth>
            </wp14:sizeRelH>
            <wp14:sizeRelV relativeFrom="page">
              <wp14:pctHeight>0</wp14:pctHeight>
            </wp14:sizeRelV>
          </wp:anchor>
        </w:drawing>
      </w:r>
    </w:p>
    <w:p w14:paraId="150C3B5C" w14:textId="0BA6F3B7" w:rsidR="00593D14" w:rsidRPr="009C1E88" w:rsidRDefault="00593D14" w:rsidP="00593D14">
      <w:pPr>
        <w:pStyle w:val="NoSpacing"/>
        <w:jc w:val="both"/>
        <w:rPr>
          <w:rFonts w:ascii="Times New Roman" w:hAnsi="Times New Roman" w:cs="Times New Roman"/>
          <w:b/>
          <w:i/>
          <w:lang w:val="en-US"/>
        </w:rPr>
      </w:pPr>
      <w:r w:rsidRPr="009C1E88">
        <w:rPr>
          <w:rFonts w:ascii="Times New Roman" w:hAnsi="Times New Roman" w:cs="Times New Roman"/>
          <w:b/>
          <w:i/>
          <w:lang w:val="en-US"/>
        </w:rPr>
        <w:t>Figure 1: Schematic overview of motor unit protocol in microfluidic devices.</w:t>
      </w:r>
    </w:p>
    <w:p w14:paraId="0C17D40C" w14:textId="77777777" w:rsidR="00831EB2" w:rsidRDefault="00831EB2" w:rsidP="003670F6">
      <w:pPr>
        <w:pStyle w:val="NoSpacing"/>
        <w:jc w:val="both"/>
        <w:rPr>
          <w:rFonts w:ascii="Times New Roman" w:hAnsi="Times New Roman" w:cs="Times New Roman"/>
          <w:b/>
          <w:lang w:val="en-US"/>
        </w:rPr>
      </w:pPr>
    </w:p>
    <w:p w14:paraId="4DF1E405" w14:textId="77777777" w:rsidR="00831EB2" w:rsidRDefault="00831EB2" w:rsidP="003670F6">
      <w:pPr>
        <w:pStyle w:val="NoSpacing"/>
        <w:jc w:val="both"/>
        <w:rPr>
          <w:rFonts w:ascii="Times New Roman" w:hAnsi="Times New Roman" w:cs="Times New Roman"/>
          <w:b/>
          <w:lang w:val="en-US"/>
        </w:rPr>
      </w:pPr>
    </w:p>
    <w:p w14:paraId="798EF4B0" w14:textId="57E381A8" w:rsidR="00F022DF"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 Different concerns can be raised regarding the results as they are presented:</w:t>
      </w:r>
      <w:r w:rsidR="00F022DF">
        <w:rPr>
          <w:rFonts w:ascii="Times New Roman" w:hAnsi="Times New Roman" w:cs="Times New Roman"/>
          <w:b/>
          <w:lang w:val="en-US"/>
        </w:rPr>
        <w:t xml:space="preserve"> </w:t>
      </w:r>
    </w:p>
    <w:p w14:paraId="7D07C51C" w14:textId="77777777" w:rsidR="00F022DF"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a. The authors alert on the importance to evaluate the functional capacity of MABs to fuse into myotubes. However, the results presented in supplementary Figure 2B are questionable. Only 8% of myotubes are quantified? Can they comment on this? How is exactly quantify the fusion index? For a better clarity, the authors should indicate the exact time of differentiation the quantifications have been performed. in addition to evaluate the functional capacity of MABs to fuse into myotubes, can the number of desmin expressing cells be also evaluated just before the differentiation?</w:t>
      </w:r>
    </w:p>
    <w:p w14:paraId="61C99AC1" w14:textId="77777777" w:rsidR="00F022DF" w:rsidRDefault="00F022DF" w:rsidP="003670F6">
      <w:pPr>
        <w:pStyle w:val="NoSpacing"/>
        <w:jc w:val="both"/>
        <w:rPr>
          <w:rFonts w:ascii="Times New Roman" w:hAnsi="Times New Roman" w:cs="Times New Roman"/>
          <w:b/>
          <w:lang w:val="en-US"/>
        </w:rPr>
      </w:pPr>
    </w:p>
    <w:p w14:paraId="765B0957" w14:textId="46B91790" w:rsidR="00F022DF" w:rsidRDefault="00E546E1" w:rsidP="003670F6">
      <w:pPr>
        <w:pStyle w:val="NoSpacing"/>
        <w:jc w:val="both"/>
        <w:rPr>
          <w:rFonts w:ascii="Times New Roman" w:hAnsi="Times New Roman" w:cs="Times New Roman"/>
          <w:lang w:val="en-US"/>
        </w:rPr>
      </w:pPr>
      <w:r>
        <w:rPr>
          <w:rFonts w:ascii="Times New Roman" w:hAnsi="Times New Roman" w:cs="Times New Roman"/>
          <w:lang w:val="en-US"/>
        </w:rPr>
        <w:t xml:space="preserve">Thank you for allowing us to clarify on this part. </w:t>
      </w:r>
      <w:r w:rsidR="00F022DF">
        <w:rPr>
          <w:rFonts w:ascii="Times New Roman" w:hAnsi="Times New Roman" w:cs="Times New Roman"/>
          <w:lang w:val="en-US"/>
        </w:rPr>
        <w:t xml:space="preserve">We have added the time point in the MAB differentiation, on </w:t>
      </w:r>
      <w:r w:rsidR="00F022DF" w:rsidRPr="0011133A">
        <w:rPr>
          <w:rFonts w:ascii="Times New Roman" w:hAnsi="Times New Roman" w:cs="Times New Roman"/>
          <w:lang w:val="en-US"/>
        </w:rPr>
        <w:t>which the myotube fusion index has been quantified to th</w:t>
      </w:r>
      <w:r w:rsidR="00A708C0" w:rsidRPr="0011133A">
        <w:rPr>
          <w:rFonts w:ascii="Times New Roman" w:hAnsi="Times New Roman" w:cs="Times New Roman"/>
          <w:lang w:val="en-US"/>
        </w:rPr>
        <w:t>e figure legend of Supplemental</w:t>
      </w:r>
      <w:r w:rsidR="00F022DF" w:rsidRPr="0011133A">
        <w:rPr>
          <w:rFonts w:ascii="Times New Roman" w:hAnsi="Times New Roman" w:cs="Times New Roman"/>
          <w:lang w:val="en-US"/>
        </w:rPr>
        <w:t xml:space="preserve"> Figure 1B</w:t>
      </w:r>
      <w:r w:rsidRPr="0011133A">
        <w:rPr>
          <w:rFonts w:ascii="Times New Roman" w:hAnsi="Times New Roman" w:cs="Times New Roman"/>
          <w:lang w:val="en-US"/>
        </w:rPr>
        <w:t xml:space="preserve"> (</w:t>
      </w:r>
      <w:r w:rsidR="0011133A" w:rsidRPr="0011133A">
        <w:rPr>
          <w:rFonts w:ascii="Times New Roman" w:hAnsi="Times New Roman" w:cs="Times New Roman"/>
          <w:lang w:val="en-US"/>
        </w:rPr>
        <w:t>line 753</w:t>
      </w:r>
      <w:r w:rsidRPr="0011133A">
        <w:rPr>
          <w:rFonts w:ascii="Times New Roman" w:hAnsi="Times New Roman" w:cs="Times New Roman"/>
          <w:lang w:val="en-US"/>
        </w:rPr>
        <w:t>)</w:t>
      </w:r>
      <w:r w:rsidR="008745EB">
        <w:rPr>
          <w:rFonts w:ascii="Times New Roman" w:hAnsi="Times New Roman" w:cs="Times New Roman"/>
          <w:lang w:val="en-US"/>
        </w:rPr>
        <w:t>,</w:t>
      </w:r>
      <w:r w:rsidRPr="0011133A">
        <w:rPr>
          <w:rFonts w:ascii="Times New Roman" w:hAnsi="Times New Roman" w:cs="Times New Roman"/>
          <w:lang w:val="en-US"/>
        </w:rPr>
        <w:t xml:space="preserve"> as</w:t>
      </w:r>
      <w:r>
        <w:rPr>
          <w:rFonts w:ascii="Times New Roman" w:hAnsi="Times New Roman" w:cs="Times New Roman"/>
          <w:lang w:val="en-US"/>
        </w:rPr>
        <w:t xml:space="preserve"> well as a description on the quantification of the fusion index to the result section (</w:t>
      </w:r>
      <w:r w:rsidR="0011133A" w:rsidRPr="0011133A">
        <w:rPr>
          <w:rFonts w:ascii="Times New Roman" w:hAnsi="Times New Roman" w:cs="Times New Roman"/>
          <w:lang w:val="en-US"/>
        </w:rPr>
        <w:t>line 597-600</w:t>
      </w:r>
      <w:r w:rsidRPr="0011133A">
        <w:rPr>
          <w:rFonts w:ascii="Times New Roman" w:hAnsi="Times New Roman" w:cs="Times New Roman"/>
          <w:lang w:val="en-US"/>
        </w:rPr>
        <w:t>).</w:t>
      </w:r>
      <w:r>
        <w:rPr>
          <w:rFonts w:ascii="Times New Roman" w:hAnsi="Times New Roman" w:cs="Times New Roman"/>
          <w:lang w:val="en-US"/>
        </w:rPr>
        <w:t xml:space="preserve"> </w:t>
      </w:r>
      <w:r w:rsidR="008745EB">
        <w:rPr>
          <w:rFonts w:ascii="Times New Roman" w:hAnsi="Times New Roman" w:cs="Times New Roman"/>
          <w:lang w:val="en-US"/>
        </w:rPr>
        <w:t>We advise</w:t>
      </w:r>
      <w:r>
        <w:rPr>
          <w:rFonts w:ascii="Times New Roman" w:hAnsi="Times New Roman" w:cs="Times New Roman"/>
          <w:lang w:val="en-US"/>
        </w:rPr>
        <w:t xml:space="preserve"> to use multiple myotube markers to assess the myotube fusion.</w:t>
      </w:r>
    </w:p>
    <w:p w14:paraId="6946FB9A" w14:textId="77777777" w:rsidR="00F022DF" w:rsidRDefault="00F022DF" w:rsidP="003670F6">
      <w:pPr>
        <w:pStyle w:val="NoSpacing"/>
        <w:jc w:val="both"/>
        <w:rPr>
          <w:rFonts w:ascii="Times New Roman" w:hAnsi="Times New Roman" w:cs="Times New Roman"/>
          <w:lang w:val="en-US"/>
        </w:rPr>
      </w:pPr>
    </w:p>
    <w:p w14:paraId="3F78841A" w14:textId="08D48E79" w:rsidR="00F022DF" w:rsidRDefault="00E546E1" w:rsidP="003670F6">
      <w:pPr>
        <w:pStyle w:val="NoSpacing"/>
        <w:jc w:val="both"/>
        <w:rPr>
          <w:rFonts w:ascii="Times New Roman" w:hAnsi="Times New Roman" w:cs="Times New Roman"/>
          <w:lang w:val="en-GB"/>
        </w:rPr>
      </w:pPr>
      <w:r w:rsidRPr="0011133A">
        <w:rPr>
          <w:rFonts w:ascii="Times New Roman" w:hAnsi="Times New Roman" w:cs="Times New Roman"/>
          <w:lang w:val="en-GB"/>
        </w:rPr>
        <w:t xml:space="preserve">Line </w:t>
      </w:r>
      <w:r w:rsidR="0011133A" w:rsidRPr="0011133A">
        <w:rPr>
          <w:rFonts w:ascii="Times New Roman" w:hAnsi="Times New Roman" w:cs="Times New Roman"/>
          <w:lang w:val="en-GB"/>
        </w:rPr>
        <w:t>753</w:t>
      </w:r>
      <w:r w:rsidRPr="0011133A">
        <w:rPr>
          <w:rFonts w:ascii="Times New Roman" w:hAnsi="Times New Roman" w:cs="Times New Roman"/>
          <w:lang w:val="en-GB"/>
        </w:rPr>
        <w:t xml:space="preserve">: </w:t>
      </w:r>
      <w:r w:rsidR="00F022DF" w:rsidRPr="0011133A">
        <w:rPr>
          <w:rFonts w:ascii="Times New Roman" w:hAnsi="Times New Roman" w:cs="Times New Roman"/>
          <w:lang w:val="en-GB"/>
        </w:rPr>
        <w:t>“</w:t>
      </w:r>
      <w:r w:rsidR="00F022DF" w:rsidRPr="00F022DF">
        <w:rPr>
          <w:rFonts w:ascii="Times New Roman" w:hAnsi="Times New Roman" w:cs="Times New Roman"/>
          <w:lang w:val="en-GB"/>
        </w:rPr>
        <w:t>B. Quantification of MAB fusion index 10 days after initiation of differentiation. Upon starvation, MABs fuse into multinucleated myotubes, which were quantified for myotube marker positivity (AB+).</w:t>
      </w:r>
      <w:r w:rsidR="00F022DF">
        <w:rPr>
          <w:rFonts w:ascii="Times New Roman" w:hAnsi="Times New Roman" w:cs="Times New Roman"/>
          <w:lang w:val="en-GB"/>
        </w:rPr>
        <w:t>”</w:t>
      </w:r>
    </w:p>
    <w:p w14:paraId="1F2FC42C" w14:textId="068592DF" w:rsidR="00E546E1" w:rsidRDefault="00E546E1" w:rsidP="003670F6">
      <w:pPr>
        <w:pStyle w:val="NoSpacing"/>
        <w:jc w:val="both"/>
        <w:rPr>
          <w:rFonts w:ascii="Times New Roman" w:hAnsi="Times New Roman" w:cs="Times New Roman"/>
          <w:lang w:val="en-GB"/>
        </w:rPr>
      </w:pPr>
    </w:p>
    <w:p w14:paraId="4D60220B" w14:textId="3F6D3673" w:rsidR="00E546E1" w:rsidRPr="00E546E1" w:rsidRDefault="00E546E1" w:rsidP="003670F6">
      <w:pPr>
        <w:pStyle w:val="NoSpacing"/>
        <w:jc w:val="both"/>
        <w:rPr>
          <w:rFonts w:ascii="Times New Roman" w:hAnsi="Times New Roman" w:cs="Times New Roman"/>
          <w:lang w:val="en-US"/>
        </w:rPr>
      </w:pPr>
      <w:r w:rsidRPr="00E546E1">
        <w:rPr>
          <w:rFonts w:ascii="Times New Roman" w:hAnsi="Times New Roman" w:cs="Times New Roman"/>
          <w:lang w:val="en-GB"/>
        </w:rPr>
        <w:t xml:space="preserve">Line </w:t>
      </w:r>
      <w:r w:rsidR="0011133A">
        <w:rPr>
          <w:rFonts w:ascii="Times New Roman" w:hAnsi="Times New Roman" w:cs="Times New Roman"/>
          <w:lang w:val="en-GB"/>
        </w:rPr>
        <w:t>597-600</w:t>
      </w:r>
      <w:r w:rsidRPr="00E546E1">
        <w:rPr>
          <w:rFonts w:ascii="Times New Roman" w:hAnsi="Times New Roman" w:cs="Times New Roman"/>
          <w:lang w:val="en-GB"/>
        </w:rPr>
        <w:t>: “T</w:t>
      </w:r>
      <w:r w:rsidR="00A708C0">
        <w:rPr>
          <w:rFonts w:ascii="Times New Roman" w:hAnsi="Times New Roman" w:cs="Times New Roman"/>
          <w:lang w:val="en-GB"/>
        </w:rPr>
        <w:t>he fusion index in Supplemental</w:t>
      </w:r>
      <w:r w:rsidRPr="00E546E1">
        <w:rPr>
          <w:rFonts w:ascii="Times New Roman" w:hAnsi="Times New Roman" w:cs="Times New Roman"/>
          <w:lang w:val="en-GB"/>
        </w:rPr>
        <w:t xml:space="preserve"> Figure 1B was determined by calculating the percentage of nuclei within myotubes positive for each myotube marker of the total number of nuclei per image. We found that a fusion index of approximately 8% was sufficient for our co-culture in generating NMJs.”</w:t>
      </w:r>
    </w:p>
    <w:p w14:paraId="7BBE22A9" w14:textId="77777777" w:rsidR="00E546E1"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 xml:space="preserve">b. Similar comments can be raised for supplementary figure 2D. The authors should quantify the purity of progenitors cells not only based on the capacity to differentiate </w:t>
      </w:r>
      <w:r w:rsidRPr="003670F6">
        <w:rPr>
          <w:rFonts w:ascii="Times New Roman" w:hAnsi="Times New Roman" w:cs="Times New Roman"/>
          <w:b/>
          <w:lang w:val="en-US"/>
        </w:rPr>
        <w:lastRenderedPageBreak/>
        <w:t>into mature motoneurons but also by looking at the expression of specific markers such as Olig2 before the differentiation.</w:t>
      </w:r>
    </w:p>
    <w:p w14:paraId="0BF00D56" w14:textId="77777777" w:rsidR="00E546E1" w:rsidRDefault="00E546E1" w:rsidP="003670F6">
      <w:pPr>
        <w:pStyle w:val="NoSpacing"/>
        <w:jc w:val="both"/>
        <w:rPr>
          <w:rFonts w:ascii="Times New Roman" w:hAnsi="Times New Roman" w:cs="Times New Roman"/>
          <w:b/>
          <w:lang w:val="en-US"/>
        </w:rPr>
      </w:pPr>
    </w:p>
    <w:p w14:paraId="0EA8168A" w14:textId="6A30C396" w:rsidR="00E546E1" w:rsidRPr="00E546E1" w:rsidRDefault="00E546E1" w:rsidP="003670F6">
      <w:pPr>
        <w:pStyle w:val="NoSpacing"/>
        <w:jc w:val="both"/>
        <w:rPr>
          <w:rFonts w:ascii="Times New Roman" w:hAnsi="Times New Roman" w:cs="Times New Roman"/>
          <w:lang w:val="en-US"/>
        </w:rPr>
      </w:pPr>
      <w:r w:rsidRPr="00827EB4">
        <w:rPr>
          <w:rFonts w:ascii="Times New Roman" w:hAnsi="Times New Roman" w:cs="Times New Roman"/>
          <w:lang w:val="en-US"/>
        </w:rPr>
        <w:t>We have included a quantification of Olig2</w:t>
      </w:r>
      <w:r w:rsidR="00827EB4">
        <w:rPr>
          <w:rFonts w:ascii="Times New Roman" w:hAnsi="Times New Roman" w:cs="Times New Roman"/>
          <w:lang w:val="en-US"/>
        </w:rPr>
        <w:t xml:space="preserve"> staining</w:t>
      </w:r>
      <w:r w:rsidRPr="00827EB4">
        <w:rPr>
          <w:rFonts w:ascii="Times New Roman" w:hAnsi="Times New Roman" w:cs="Times New Roman"/>
          <w:lang w:val="en-US"/>
        </w:rPr>
        <w:t xml:space="preserve"> in NPCs to </w:t>
      </w:r>
      <w:r w:rsidR="00827EB4" w:rsidRPr="00827EB4">
        <w:rPr>
          <w:rFonts w:ascii="Times New Roman" w:hAnsi="Times New Roman" w:cs="Times New Roman"/>
          <w:lang w:val="en-US"/>
        </w:rPr>
        <w:t>Supplemental Figure 1</w:t>
      </w:r>
      <w:r w:rsidR="00A708C0">
        <w:rPr>
          <w:rFonts w:ascii="Times New Roman" w:hAnsi="Times New Roman" w:cs="Times New Roman"/>
          <w:lang w:val="en-US"/>
        </w:rPr>
        <w:t>E-F</w:t>
      </w:r>
      <w:r w:rsidRPr="00827EB4">
        <w:rPr>
          <w:rFonts w:ascii="Times New Roman" w:hAnsi="Times New Roman" w:cs="Times New Roman"/>
          <w:lang w:val="en-US"/>
        </w:rPr>
        <w:t>.</w:t>
      </w:r>
      <w:r w:rsidR="00E85CF4">
        <w:rPr>
          <w:rFonts w:ascii="Times New Roman" w:hAnsi="Times New Roman" w:cs="Times New Roman"/>
          <w:lang w:val="en-US"/>
        </w:rPr>
        <w:t xml:space="preserve"> Please see ‘Major Concerns’, comment ‘a’ from Reviewer 1.</w:t>
      </w:r>
    </w:p>
    <w:p w14:paraId="7E3FBF26" w14:textId="77777777" w:rsidR="00E546E1"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c. Line 593: "not all myotubes will have NMJs". Could the authors comment? What is the exact proportion of innervated myotubes?</w:t>
      </w:r>
    </w:p>
    <w:p w14:paraId="0CFD0FD4" w14:textId="77777777" w:rsidR="00590527" w:rsidRDefault="00590527" w:rsidP="003670F6">
      <w:pPr>
        <w:pStyle w:val="NoSpacing"/>
        <w:jc w:val="both"/>
        <w:rPr>
          <w:rFonts w:ascii="Times New Roman" w:hAnsi="Times New Roman" w:cs="Times New Roman"/>
          <w:lang w:val="en-US"/>
        </w:rPr>
      </w:pPr>
    </w:p>
    <w:p w14:paraId="69A41044" w14:textId="6BCC43FB" w:rsidR="00E546E1" w:rsidRDefault="00E546E1" w:rsidP="003670F6">
      <w:pPr>
        <w:pStyle w:val="NoSpacing"/>
        <w:jc w:val="both"/>
        <w:rPr>
          <w:rFonts w:ascii="Times New Roman" w:hAnsi="Times New Roman" w:cs="Times New Roman"/>
          <w:lang w:val="en-US"/>
        </w:rPr>
      </w:pPr>
      <w:r>
        <w:rPr>
          <w:rFonts w:ascii="Times New Roman" w:hAnsi="Times New Roman" w:cs="Times New Roman"/>
          <w:lang w:val="en-US"/>
        </w:rPr>
        <w:t>We have included a quantification of the p</w:t>
      </w:r>
      <w:r w:rsidR="00600DDB">
        <w:rPr>
          <w:rFonts w:ascii="Times New Roman" w:hAnsi="Times New Roman" w:cs="Times New Roman"/>
          <w:lang w:val="en-US"/>
        </w:rPr>
        <w:t>ercentage</w:t>
      </w:r>
      <w:r>
        <w:rPr>
          <w:rFonts w:ascii="Times New Roman" w:hAnsi="Times New Roman" w:cs="Times New Roman"/>
          <w:lang w:val="en-US"/>
        </w:rPr>
        <w:t xml:space="preserve"> of innervated myotubes to </w:t>
      </w:r>
      <w:r w:rsidRPr="0051319D">
        <w:rPr>
          <w:rFonts w:ascii="Times New Roman" w:hAnsi="Times New Roman" w:cs="Times New Roman"/>
          <w:lang w:val="en-US"/>
        </w:rPr>
        <w:t>F</w:t>
      </w:r>
      <w:r w:rsidR="0051319D" w:rsidRPr="0051319D">
        <w:rPr>
          <w:rFonts w:ascii="Times New Roman" w:hAnsi="Times New Roman" w:cs="Times New Roman"/>
          <w:lang w:val="en-US"/>
        </w:rPr>
        <w:t>igure 2D</w:t>
      </w:r>
      <w:r w:rsidRPr="0051319D">
        <w:rPr>
          <w:rFonts w:ascii="Times New Roman" w:hAnsi="Times New Roman" w:cs="Times New Roman"/>
          <w:lang w:val="en-US"/>
        </w:rPr>
        <w:t>.</w:t>
      </w:r>
      <w:r>
        <w:rPr>
          <w:rFonts w:ascii="Times New Roman" w:hAnsi="Times New Roman" w:cs="Times New Roman"/>
          <w:lang w:val="en-US"/>
        </w:rPr>
        <w:t xml:space="preserve"> </w:t>
      </w:r>
    </w:p>
    <w:p w14:paraId="083923E4" w14:textId="3E194A08" w:rsidR="0051319D" w:rsidRDefault="0051319D" w:rsidP="003670F6">
      <w:pPr>
        <w:pStyle w:val="NoSpacing"/>
        <w:jc w:val="both"/>
        <w:rPr>
          <w:rFonts w:ascii="Times New Roman" w:hAnsi="Times New Roman" w:cs="Times New Roman"/>
          <w:lang w:val="en-US"/>
        </w:rPr>
      </w:pPr>
    </w:p>
    <w:p w14:paraId="6B39F3D7" w14:textId="50C27EA7" w:rsidR="0051319D" w:rsidRDefault="0051319D" w:rsidP="0051319D">
      <w:pPr>
        <w:pStyle w:val="NoSpacing"/>
        <w:jc w:val="center"/>
        <w:rPr>
          <w:rFonts w:ascii="Times New Roman" w:hAnsi="Times New Roman" w:cs="Times New Roman"/>
          <w:lang w:val="en-US"/>
        </w:rPr>
      </w:pPr>
      <w:r>
        <w:rPr>
          <w:rFonts w:ascii="Times New Roman" w:hAnsi="Times New Roman" w:cs="Times New Roman"/>
          <w:noProof/>
          <w:lang w:eastAsia="nl-BE"/>
        </w:rPr>
        <w:drawing>
          <wp:inline distT="0" distB="0" distL="0" distR="0" wp14:anchorId="046CC911" wp14:editId="7F4D3A4C">
            <wp:extent cx="3063240" cy="16687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rotWithShape="1">
                    <a:blip r:embed="rId10" cstate="print">
                      <a:extLst>
                        <a:ext uri="{28A0092B-C50C-407E-A947-70E740481C1C}">
                          <a14:useLocalDpi xmlns:a14="http://schemas.microsoft.com/office/drawing/2010/main" val="0"/>
                        </a:ext>
                      </a:extLst>
                    </a:blip>
                    <a:srcRect l="46825" t="69120" b="6699"/>
                    <a:stretch/>
                  </pic:blipFill>
                  <pic:spPr bwMode="auto">
                    <a:xfrm>
                      <a:off x="0" y="0"/>
                      <a:ext cx="3063240" cy="1668780"/>
                    </a:xfrm>
                    <a:prstGeom prst="rect">
                      <a:avLst/>
                    </a:prstGeom>
                    <a:ln>
                      <a:noFill/>
                    </a:ln>
                    <a:extLst>
                      <a:ext uri="{53640926-AAD7-44D8-BBD7-CCE9431645EC}">
                        <a14:shadowObscured xmlns:a14="http://schemas.microsoft.com/office/drawing/2010/main"/>
                      </a:ext>
                    </a:extLst>
                  </pic:spPr>
                </pic:pic>
              </a:graphicData>
            </a:graphic>
          </wp:inline>
        </w:drawing>
      </w:r>
    </w:p>
    <w:p w14:paraId="540C0EA1" w14:textId="58375420" w:rsidR="009C1E88" w:rsidRPr="009C1E88" w:rsidRDefault="0051319D" w:rsidP="0051319D">
      <w:pPr>
        <w:pStyle w:val="NoSpacing"/>
        <w:jc w:val="both"/>
        <w:rPr>
          <w:rFonts w:ascii="Times New Roman" w:hAnsi="Times New Roman" w:cs="Times New Roman"/>
          <w:b/>
          <w:i/>
          <w:lang w:val="en-US"/>
        </w:rPr>
      </w:pPr>
      <w:r w:rsidRPr="009C1E88">
        <w:rPr>
          <w:rFonts w:ascii="Times New Roman" w:hAnsi="Times New Roman" w:cs="Times New Roman"/>
          <w:b/>
          <w:i/>
          <w:lang w:val="en-US"/>
        </w:rPr>
        <w:t>Figure 2</w:t>
      </w:r>
      <w:r w:rsidR="009C1E88" w:rsidRPr="009C1E88">
        <w:rPr>
          <w:rFonts w:ascii="Times New Roman" w:hAnsi="Times New Roman" w:cs="Times New Roman"/>
          <w:b/>
          <w:i/>
          <w:lang w:val="en-US"/>
        </w:rPr>
        <w:t>:</w:t>
      </w:r>
      <w:r w:rsidR="009C1E88" w:rsidRPr="009C1E88">
        <w:rPr>
          <w:rFonts w:ascii="Times New Roman" w:hAnsi="Times New Roman" w:cs="Times New Roman"/>
          <w:b/>
          <w:i/>
          <w:lang w:val="en-GB"/>
        </w:rPr>
        <w:t xml:space="preserve"> NMJ formation in microfluidic devices</w:t>
      </w:r>
    </w:p>
    <w:p w14:paraId="5081AF0C" w14:textId="6D9A1605" w:rsidR="0051319D" w:rsidRPr="00E546E1" w:rsidRDefault="009C1E88" w:rsidP="0051319D">
      <w:pPr>
        <w:pStyle w:val="NoSpacing"/>
        <w:jc w:val="both"/>
        <w:rPr>
          <w:rFonts w:ascii="Times New Roman" w:hAnsi="Times New Roman" w:cs="Times New Roman"/>
          <w:lang w:val="en-US"/>
        </w:rPr>
      </w:pPr>
      <w:r>
        <w:rPr>
          <w:rFonts w:ascii="Times New Roman" w:hAnsi="Times New Roman" w:cs="Times New Roman"/>
          <w:i/>
          <w:lang w:val="en-US"/>
        </w:rPr>
        <w:t>D</w:t>
      </w:r>
      <w:r w:rsidR="0051319D">
        <w:rPr>
          <w:rFonts w:ascii="Times New Roman" w:hAnsi="Times New Roman" w:cs="Times New Roman"/>
          <w:i/>
          <w:lang w:val="en-US"/>
        </w:rPr>
        <w:t>. Quantification of the percentage of innervated myotub</w:t>
      </w:r>
      <w:r w:rsidR="0051319D" w:rsidRPr="009C1E88">
        <w:rPr>
          <w:rFonts w:ascii="Times New Roman" w:hAnsi="Times New Roman" w:cs="Times New Roman"/>
          <w:i/>
          <w:lang w:val="en-US"/>
        </w:rPr>
        <w:t xml:space="preserve">es. </w:t>
      </w:r>
      <w:r w:rsidRPr="009C1E88">
        <w:rPr>
          <w:rFonts w:ascii="Times New Roman" w:hAnsi="Times New Roman" w:cs="Times New Roman"/>
          <w:i/>
          <w:lang w:val="en-GB"/>
        </w:rPr>
        <w:t>Graph is shown as mean ± standard error of the mean from four biological replicates.</w:t>
      </w:r>
    </w:p>
    <w:p w14:paraId="58E9EDBE" w14:textId="77777777" w:rsidR="00831EB2"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r>
    </w:p>
    <w:p w14:paraId="761FBF7E" w14:textId="77777777" w:rsidR="00831EB2" w:rsidRDefault="00831EB2" w:rsidP="003670F6">
      <w:pPr>
        <w:pStyle w:val="NoSpacing"/>
        <w:jc w:val="both"/>
        <w:rPr>
          <w:rFonts w:ascii="Times New Roman" w:hAnsi="Times New Roman" w:cs="Times New Roman"/>
          <w:b/>
          <w:lang w:val="en-US"/>
        </w:rPr>
      </w:pPr>
    </w:p>
    <w:p w14:paraId="5E9BF955" w14:textId="77777777" w:rsidR="00831EB2" w:rsidRDefault="00831EB2" w:rsidP="003670F6">
      <w:pPr>
        <w:pStyle w:val="NoSpacing"/>
        <w:jc w:val="both"/>
        <w:rPr>
          <w:rFonts w:ascii="Times New Roman" w:hAnsi="Times New Roman" w:cs="Times New Roman"/>
          <w:b/>
          <w:lang w:val="en-US"/>
        </w:rPr>
      </w:pPr>
    </w:p>
    <w:p w14:paraId="262D3A2C" w14:textId="3B023444" w:rsidR="00E546E1"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d. Figure 2C: the quantification of NMJ quantification is normalized per myotube. Did the authors try to normalize by the area of myotube?</w:t>
      </w:r>
    </w:p>
    <w:p w14:paraId="7282FEEE" w14:textId="77777777" w:rsidR="00E546E1" w:rsidRDefault="00E546E1" w:rsidP="003670F6">
      <w:pPr>
        <w:pStyle w:val="NoSpacing"/>
        <w:jc w:val="both"/>
        <w:rPr>
          <w:rFonts w:ascii="Times New Roman" w:hAnsi="Times New Roman" w:cs="Times New Roman"/>
          <w:b/>
          <w:lang w:val="en-US"/>
        </w:rPr>
      </w:pPr>
    </w:p>
    <w:p w14:paraId="5677EF9B" w14:textId="1658E301" w:rsidR="00E546E1" w:rsidRPr="00E546E1" w:rsidRDefault="00E546E1" w:rsidP="003670F6">
      <w:pPr>
        <w:pStyle w:val="NoSpacing"/>
        <w:jc w:val="both"/>
        <w:rPr>
          <w:rFonts w:ascii="Times New Roman" w:hAnsi="Times New Roman" w:cs="Times New Roman"/>
          <w:lang w:val="en-US"/>
        </w:rPr>
      </w:pPr>
      <w:r>
        <w:rPr>
          <w:rFonts w:ascii="Times New Roman" w:hAnsi="Times New Roman" w:cs="Times New Roman"/>
          <w:lang w:val="en-US"/>
        </w:rPr>
        <w:t xml:space="preserve">It is indeed possible to normalize according to the area of myotube, however we have chosen to normalize to the amount of myotubes. </w:t>
      </w:r>
      <w:r w:rsidR="00A65E7A">
        <w:rPr>
          <w:rFonts w:ascii="Times New Roman" w:hAnsi="Times New Roman" w:cs="Times New Roman"/>
          <w:lang w:val="en-US"/>
        </w:rPr>
        <w:t xml:space="preserve">Future users of the protocol can make their choice of normalization depending on their research question. </w:t>
      </w:r>
    </w:p>
    <w:p w14:paraId="55F7448D" w14:textId="77777777" w:rsidR="00E546E1"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 xml:space="preserve">e. Interesting results with scanning electron microscopy are presented in Figure 2B. Nonetheless, it should be more interesting to present results from electronic microscopy. Are these devices compatible with such analysis? Electronic microscopy should help at better defining the level of maturity of the system both at the pre and post-synaptic level. In particular, it should help ate defining the presence of presynaptic vesicles as well as the structural modifications that are expected at the post-synaptic level. In the same vein, did the authors evaluate the presence of other markers of NMJs </w:t>
      </w:r>
      <w:r w:rsidRPr="003670F6">
        <w:rPr>
          <w:rFonts w:ascii="Times New Roman" w:hAnsi="Times New Roman" w:cs="Times New Roman"/>
          <w:b/>
          <w:lang w:val="en-US"/>
        </w:rPr>
        <w:lastRenderedPageBreak/>
        <w:t>such as Bassoon or synapsin for the pre synaptic compartment and markers of sarcomeric organization for the post-synaptic one.</w:t>
      </w:r>
    </w:p>
    <w:p w14:paraId="4BD37588" w14:textId="77777777" w:rsidR="00E546E1" w:rsidRDefault="00E546E1" w:rsidP="003670F6">
      <w:pPr>
        <w:pStyle w:val="NoSpacing"/>
        <w:jc w:val="both"/>
        <w:rPr>
          <w:rFonts w:ascii="Times New Roman" w:hAnsi="Times New Roman" w:cs="Times New Roman"/>
          <w:b/>
          <w:lang w:val="en-US"/>
        </w:rPr>
      </w:pPr>
    </w:p>
    <w:p w14:paraId="69924B50" w14:textId="40B31564" w:rsidR="00585AE7" w:rsidRDefault="00585AE7" w:rsidP="003670F6">
      <w:pPr>
        <w:pStyle w:val="NoSpacing"/>
        <w:jc w:val="both"/>
        <w:rPr>
          <w:rFonts w:ascii="Times New Roman" w:hAnsi="Times New Roman" w:cs="Times New Roman"/>
          <w:lang w:val="en-US"/>
        </w:rPr>
      </w:pPr>
      <w:r>
        <w:rPr>
          <w:rFonts w:ascii="Times New Roman" w:hAnsi="Times New Roman" w:cs="Times New Roman"/>
          <w:lang w:val="en-US"/>
        </w:rPr>
        <w:t>The reviewer raises</w:t>
      </w:r>
      <w:r w:rsidR="00E546E1">
        <w:rPr>
          <w:rFonts w:ascii="Times New Roman" w:hAnsi="Times New Roman" w:cs="Times New Roman"/>
          <w:lang w:val="en-US"/>
        </w:rPr>
        <w:t xml:space="preserve"> some interesting points, and we agree that </w:t>
      </w:r>
      <w:r>
        <w:rPr>
          <w:rFonts w:ascii="Times New Roman" w:hAnsi="Times New Roman" w:cs="Times New Roman"/>
          <w:lang w:val="en-US"/>
        </w:rPr>
        <w:t>a</w:t>
      </w:r>
      <w:r w:rsidR="006C2338">
        <w:rPr>
          <w:rFonts w:ascii="Times New Roman" w:hAnsi="Times New Roman" w:cs="Times New Roman"/>
          <w:lang w:val="en-US"/>
        </w:rPr>
        <w:t xml:space="preserve"> transmission electron microscopy</w:t>
      </w:r>
      <w:r w:rsidR="00E546E1">
        <w:rPr>
          <w:rFonts w:ascii="Times New Roman" w:hAnsi="Times New Roman" w:cs="Times New Roman"/>
          <w:lang w:val="en-US"/>
        </w:rPr>
        <w:t xml:space="preserve"> </w:t>
      </w:r>
      <w:r w:rsidR="006C2338">
        <w:rPr>
          <w:rFonts w:ascii="Times New Roman" w:hAnsi="Times New Roman" w:cs="Times New Roman"/>
          <w:lang w:val="en-US"/>
        </w:rPr>
        <w:t xml:space="preserve">(TEM) </w:t>
      </w:r>
      <w:r w:rsidR="00E546E1">
        <w:rPr>
          <w:rFonts w:ascii="Times New Roman" w:hAnsi="Times New Roman" w:cs="Times New Roman"/>
          <w:lang w:val="en-US"/>
        </w:rPr>
        <w:t xml:space="preserve">of the NMJ morphology </w:t>
      </w:r>
      <w:r w:rsidR="008745EB">
        <w:rPr>
          <w:rFonts w:ascii="Times New Roman" w:hAnsi="Times New Roman" w:cs="Times New Roman"/>
          <w:lang w:val="en-US"/>
        </w:rPr>
        <w:t xml:space="preserve">could </w:t>
      </w:r>
      <w:r w:rsidR="00E546E1">
        <w:rPr>
          <w:rFonts w:ascii="Times New Roman" w:hAnsi="Times New Roman" w:cs="Times New Roman"/>
          <w:lang w:val="en-US"/>
        </w:rPr>
        <w:t xml:space="preserve">be interesting. </w:t>
      </w:r>
      <w:r>
        <w:rPr>
          <w:rFonts w:ascii="Times New Roman" w:hAnsi="Times New Roman" w:cs="Times New Roman"/>
          <w:lang w:val="en-US"/>
        </w:rPr>
        <w:t xml:space="preserve">However, this requires some optimization. Since the NMJs are cultured onto an Aclar sheet for SEM, it is important not to ruin the culture in order to visualize the intrasynaptic morphology of the NMJs. </w:t>
      </w:r>
      <w:r w:rsidR="006C2338">
        <w:rPr>
          <w:rFonts w:ascii="Times New Roman" w:hAnsi="Times New Roman" w:cs="Times New Roman"/>
          <w:lang w:val="en-US"/>
        </w:rPr>
        <w:t xml:space="preserve">It might be possible to process the Aclar sheet for TEM and use fluorescent markers as guidelines to select regions for transverse sectioning. </w:t>
      </w:r>
      <w:r>
        <w:rPr>
          <w:rFonts w:ascii="Times New Roman" w:hAnsi="Times New Roman" w:cs="Times New Roman"/>
          <w:lang w:val="en-US"/>
        </w:rPr>
        <w:t xml:space="preserve">Unfortunately, </w:t>
      </w:r>
      <w:r w:rsidR="008745EB">
        <w:rPr>
          <w:rFonts w:ascii="Times New Roman" w:hAnsi="Times New Roman" w:cs="Times New Roman"/>
          <w:lang w:val="en-US"/>
        </w:rPr>
        <w:t xml:space="preserve">it was </w:t>
      </w:r>
      <w:r>
        <w:rPr>
          <w:rFonts w:ascii="Times New Roman" w:hAnsi="Times New Roman" w:cs="Times New Roman"/>
          <w:lang w:val="en-US"/>
        </w:rPr>
        <w:t xml:space="preserve">not possible to perform </w:t>
      </w:r>
      <w:r w:rsidR="008745EB">
        <w:rPr>
          <w:rFonts w:ascii="Times New Roman" w:hAnsi="Times New Roman" w:cs="Times New Roman"/>
          <w:lang w:val="en-US"/>
        </w:rPr>
        <w:t xml:space="preserve">this </w:t>
      </w:r>
      <w:r>
        <w:rPr>
          <w:rFonts w:ascii="Times New Roman" w:hAnsi="Times New Roman" w:cs="Times New Roman"/>
          <w:lang w:val="en-US"/>
        </w:rPr>
        <w:t xml:space="preserve">within the allocated </w:t>
      </w:r>
      <w:r w:rsidR="00C66B0D">
        <w:rPr>
          <w:rFonts w:ascii="Times New Roman" w:hAnsi="Times New Roman" w:cs="Times New Roman"/>
          <w:lang w:val="en-US"/>
        </w:rPr>
        <w:t>2-week</w:t>
      </w:r>
      <w:r>
        <w:rPr>
          <w:rFonts w:ascii="Times New Roman" w:hAnsi="Times New Roman" w:cs="Times New Roman"/>
          <w:lang w:val="en-US"/>
        </w:rPr>
        <w:t xml:space="preserve"> revision period.</w:t>
      </w:r>
    </w:p>
    <w:p w14:paraId="02FBFA06" w14:textId="31487F43" w:rsidR="008A60D0" w:rsidRDefault="008A60D0" w:rsidP="003670F6">
      <w:pPr>
        <w:pStyle w:val="NoSpacing"/>
        <w:jc w:val="both"/>
        <w:rPr>
          <w:rFonts w:ascii="Times New Roman" w:hAnsi="Times New Roman" w:cs="Times New Roman"/>
          <w:lang w:val="en-US"/>
        </w:rPr>
      </w:pPr>
      <w:r>
        <w:rPr>
          <w:rFonts w:ascii="Times New Roman" w:hAnsi="Times New Roman" w:cs="Times New Roman"/>
          <w:lang w:val="en-US"/>
        </w:rPr>
        <w:t xml:space="preserve">The NMJ markers used in </w:t>
      </w:r>
      <w:r w:rsidR="008745EB">
        <w:rPr>
          <w:rFonts w:ascii="Times New Roman" w:hAnsi="Times New Roman" w:cs="Times New Roman"/>
          <w:lang w:val="en-US"/>
        </w:rPr>
        <w:t xml:space="preserve">our </w:t>
      </w:r>
      <w:r>
        <w:rPr>
          <w:rFonts w:ascii="Times New Roman" w:hAnsi="Times New Roman" w:cs="Times New Roman"/>
          <w:lang w:val="en-US"/>
        </w:rPr>
        <w:t xml:space="preserve">study are representative and broadly used in the literature. Other markers such as the suggested by the reviewer can be used as well depending on the user’s research question. </w:t>
      </w:r>
    </w:p>
    <w:p w14:paraId="17ACAFF6" w14:textId="77777777"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f. For the functional analysis presented in Figure 3, only results after KCL stimulation are indicated. Can calcium waves be observed without stimulation or without motoneurons?</w:t>
      </w:r>
    </w:p>
    <w:p w14:paraId="7DD5F73E" w14:textId="77777777" w:rsidR="005816A8" w:rsidRDefault="005816A8" w:rsidP="003670F6">
      <w:pPr>
        <w:pStyle w:val="NoSpacing"/>
        <w:jc w:val="both"/>
        <w:rPr>
          <w:rFonts w:ascii="Times New Roman" w:hAnsi="Times New Roman" w:cs="Times New Roman"/>
          <w:b/>
          <w:lang w:val="en-US"/>
        </w:rPr>
      </w:pPr>
    </w:p>
    <w:p w14:paraId="390DBA9A" w14:textId="4546F053" w:rsidR="005816A8" w:rsidRDefault="008745EB" w:rsidP="003670F6">
      <w:pPr>
        <w:pStyle w:val="NoSpacing"/>
        <w:jc w:val="both"/>
        <w:rPr>
          <w:rFonts w:ascii="Times New Roman" w:hAnsi="Times New Roman" w:cs="Times New Roman"/>
          <w:lang w:val="en-US"/>
        </w:rPr>
      </w:pPr>
      <w:r>
        <w:rPr>
          <w:rFonts w:ascii="Times New Roman" w:hAnsi="Times New Roman" w:cs="Times New Roman"/>
          <w:lang w:val="en-US"/>
        </w:rPr>
        <w:t>T</w:t>
      </w:r>
      <w:r w:rsidR="00A32B62">
        <w:rPr>
          <w:rFonts w:ascii="Times New Roman" w:hAnsi="Times New Roman" w:cs="Times New Roman"/>
          <w:lang w:val="en-US"/>
        </w:rPr>
        <w:t xml:space="preserve">his </w:t>
      </w:r>
      <w:r>
        <w:rPr>
          <w:rFonts w:ascii="Times New Roman" w:hAnsi="Times New Roman" w:cs="Times New Roman"/>
          <w:lang w:val="en-US"/>
        </w:rPr>
        <w:t xml:space="preserve">is indeed an </w:t>
      </w:r>
      <w:r w:rsidR="00A32B62">
        <w:rPr>
          <w:rFonts w:ascii="Times New Roman" w:hAnsi="Times New Roman" w:cs="Times New Roman"/>
          <w:lang w:val="en-US"/>
        </w:rPr>
        <w:t xml:space="preserve">interesting question. We do not observe any spontaneous calcium waves, nor spontaneous contractions of the myotubes during the recordings. However, the myotubes do contract, when we stimulate them directly </w:t>
      </w:r>
      <w:r w:rsidR="00A07F75">
        <w:rPr>
          <w:rFonts w:ascii="Times New Roman" w:hAnsi="Times New Roman" w:cs="Times New Roman"/>
          <w:lang w:val="en-US"/>
        </w:rPr>
        <w:t>with KCl. This is the case both with and without the presence of motor neurons. In previous studies, we show that spontaneous action potentials are only recorded in monocultured motor neurons after day 35 of motor neuron maturation</w:t>
      </w:r>
      <w:r w:rsidR="00A07F75">
        <w:rPr>
          <w:rFonts w:ascii="Times New Roman" w:hAnsi="Times New Roman" w:cs="Times New Roman"/>
          <w:lang w:val="en-US"/>
        </w:rPr>
        <w:fldChar w:fldCharType="begin" w:fldLock="1"/>
      </w:r>
      <w:r w:rsidR="00A07F75">
        <w:rPr>
          <w:rFonts w:ascii="Times New Roman" w:hAnsi="Times New Roman" w:cs="Times New Roman"/>
          <w:lang w:val="en-US"/>
        </w:rPr>
        <w:instrText>ADDIN CSL_CITATION {"citationItems":[{"id":"ITEM-1","itemData":{"DOI":"10.1038/s41467-017-00911-y","ISSN":"20411723","PMID":"29021520","abstract":"Amyotrophic lateral sclerosis (ALS) is a rapidly progressive neurodegenerative disorder due to selective loss of motor neurons (MNs). Mutations in the fused in sarcoma (FUS) gene can cause both juvenile and late onset ALS. We generated and characterized induced pluripotent stem cells (iPSCs) from ALS patients with different FUS mutations, as well as from healthy controls. Patient-derived MNs show typical cytoplasmic FUS pathology, hypoexcitability, as well as progressive axonal transport defects. Axonal transport defects are rescued by CRISPR/Cas9-mediated genetic correction of the FUS mutation in patient-derived iPSCs. Moreover, these defects are reproduced by expressing mutant FUS in human embryonic stem cells (hESCs), whereas knockdown of endogenous FUS has no effect, confirming that these pathological changes are mutant FUS dependent. Pharmacological inhibition as well as genetic silencing of histone deacetylase 6 (HDAC6) increase α-tubulin acetylation, endoplasmic reticulum (ER)-mitochondrial overlay, and restore the axonal transport defects in patient-derived MNs.","author":[{"dropping-particle":"","family":"Guo","given":"Wenting","non-dropping-particle":"","parse-names":false,"suffix":""},{"dropping-particle":"","family":"Naujock","given":"Maximilian","non-dropping-particle":"","parse-names":false,"suffix":""},{"dropping-particle":"","family":"Fumagalli","given":"Laura","non-dropping-particle":"","parse-names":false,"suffix":""},{"dropping-particle":"","family":"Vandoorne","given":"Tijs","non-dropping-particle":"","parse-names":false,"suffix":""},{"dropping-particle":"","family":"Baatsen","given":"Pieter","non-dropping-particle":"","parse-names":false,"suffix":""},{"dropping-particle":"","family":"Boon","given":"Ruben","non-dropping-particle":"","parse-names":false,"suffix":""},{"dropping-particle":"","family":"Ordovás","given":"Laura","non-dropping-particle":"","parse-names":false,"suffix":""},{"dropping-particle":"","family":"Patel","given":"Abdulsamie","non-dropping-particle":"","parse-names":false,"suffix":""},{"dropping-particle":"","family":"Welters","given":"Marc","non-dropping-particle":"","parse-names":false,"suffix":""},{"dropping-particle":"","family":"Vanwelden","given":"Thomas","non-dropping-particle":"","parse-names":false,"suffix":""},{"dropping-particle":"","family":"Geens","given":"Natasja","non-dropping-particle":"","parse-names":false,"suffix":""},{"dropping-particle":"","family":"Tricot","given":"Tine","non-dropping-particle":"","parse-names":false,"suffix":""},{"dropping-particle":"","family":"Benoy","given":"Veronick","non-dropping-particle":"","parse-names":false,"suffix":""},{"dropping-particle":"","family":"Steyaert","given":"Jolien","non-dropping-particle":"","parse-names":false,"suffix":""},{"dropping-particle":"","family":"Lefebvre-Omar","given":"Cynthia","non-dropping-particle":"","parse-names":false,"suffix":""},{"dropping-particle":"","family":"Boesmans","given":"Werend","non-dropping-particle":"","parse-names":false,"suffix":""},{"dropping-particle":"","family":"Jarpe","given":"Matthew","non-dropping-particle":"","parse-names":false,"suffix":""},{"dropping-particle":"","family":"Sterneckert","given":"Jared","non-dropping-particle":"","parse-names":false,"suffix":""},{"dropping-particle":"","family":"Wegner","given":"Florian","non-dropping-particle":"","parse-names":false,"suffix":""},{"dropping-particle":"","family":"Petri","given":"Susanne","non-dropping-particle":"","parse-names":false,"suffix":""},{"dropping-particle":"","family":"Bohl","given":"Delphine","non-dropping-particle":"","parse-names":false,"suffix":""},{"dropping-particle":"","family":"Berghe","given":"Pieter","non-dropping-particle":"Vanden","parse-names":false,"suffix":""},{"dropping-particle":"","family":"Robberecht","given":"Wim","non-dropping-particle":"","parse-names":false,"suffix":""},{"dropping-particle":"","family":"Damme","given":"Philip","non-dropping-particle":"Van","parse-names":false,"suffix":""},{"dropping-particle":"","family":"Verfaillie","given":"Catherine","non-dropping-particle":"","parse-names":false,"suffix":""},{"dropping-particle":"","family":"Bosch","given":"Ludo","non-dropping-particle":"Van Den","parse-names":false,"suffix":""}],"container-title":"Nature Communications","id":"ITEM-1","issue":"1","issued":{"date-parts":[["2017"]]},"page":"861","title":"HDAC6 inhibition reverses axonal transport defects in motor neurons derived from FUS-ALS patients","type":"article-journal","volume":"8"},"uris":["http://www.mendeley.com/documents/?uuid=11f3b474-8148-4592-a1fd-915e6d99ac5f"]},{"id":"ITEM-2","itemData":{"author":[{"dropping-particle":"","family":"Fazal","given":"Raheem","non-dropping-particle":"","parse-names":false,"suffix":""},{"dropping-particle":"","family":"Boeynaems","given":"Steven","non-dropping-particle":"","parse-names":false,"suffix":""},{"dropping-particle":"","family":"Swijsen","given":"Ann","non-dropping-particle":"","parse-names":false,"suffix":""},{"dropping-particle":"","family":"Decker","given":"Mathias","non-dropping-particle":"De","parse-names":false,"suffix":""},{"dropping-particle":"","family":"Fumagalli","given":"Laura","non-dropping-particle":"","parse-names":false,"suffix":""},{"dropping-particle":"","family":"Moisse","given":"Matthieu","non-dropping-particle":"","parse-names":false,"suffix":""},{"dropping-particle":"","family":"Vanneste","given":"Joni","non-dropping-particle":"","parse-names":false,"suffix":""},{"dropping-particle":"","family":"Guo","given":"Wenting","non-dropping-particle":"","parse-names":false,"suffix":""},{"dropping-particle":"","family":"Boon","given":"Ruben","non-dropping-particle":"","parse-names":false,"suffix":""},{"dropping-particle":"","family":"Vercruysse","given":"Thomas","non-dropping-particle":"","parse-names":false,"suffix":""},{"dropping-particle":"","family":"Eggermont","given":"Kristel","non-dropping-particle":"","parse-names":false,"suffix":""},{"dropping-particle":"","family":"Swinnen","given":"Bart","non-dropping-particle":"","parse-names":false,"suffix":""},{"dropping-particle":"","family":"Beckers","given":"Jimmy","non-dropping-particle":"","parse-names":false,"suffix":""},{"dropping-particle":"","family":"Pakravan","given":"Donya","non-dropping-particle":"","parse-names":false,"suffix":""},{"dropping-particle":"","family":"Vandoorne","given":"Tijs","non-dropping-particle":"","parse-names":false,"suffix":""},{"dropping-particle":"","family":"Berghe","given":"Pieter","non-dropping-particle":"Vanden","parse-names":false,"suffix":""},{"dropping-particle":"","family":"Verfaillie","given":"Catherine","non-dropping-particle":"","parse-names":false,"suffix":""},{"dropping-particle":"","family":"Bosch","given":"Ludo","non-dropping-particle":"Van Den","parse-names":false,"suffix":""},{"dropping-particle":"","family":"Damme","given":"Philip","non-dropping-particle":"Van","parse-names":false,"suffix":""}],"container-title":"EMBO Journal","id":"ITEM-2","issued":{"date-parts":[["2021"]]},"page":"e106177","title":"HDAC6 inhibition restores TDP-43 pathology and axonal transport defects in human motor neurons with TARDBP mutations","type":"article-journal","volume":"10"},"uris":["http://www.mendeley.com/documents/?uuid=b6684e78-3cdb-47c4-8551-22cfd184c2ce"]}],"mendeley":{"formattedCitation":"&lt;sup&gt;2,3&lt;/sup&gt;","plainTextFormattedCitation":"2,3","previouslyFormattedCitation":"&lt;sup&gt;2,3&lt;/sup&gt;"},"properties":{"noteIndex":0},"schema":"https://github.com/citation-style-language/schema/raw/master/csl-citation.json"}</w:instrText>
      </w:r>
      <w:r w:rsidR="00A07F75">
        <w:rPr>
          <w:rFonts w:ascii="Times New Roman" w:hAnsi="Times New Roman" w:cs="Times New Roman"/>
          <w:lang w:val="en-US"/>
        </w:rPr>
        <w:fldChar w:fldCharType="separate"/>
      </w:r>
      <w:r w:rsidR="00A07F75" w:rsidRPr="00A07F75">
        <w:rPr>
          <w:rFonts w:ascii="Times New Roman" w:hAnsi="Times New Roman" w:cs="Times New Roman"/>
          <w:noProof/>
          <w:vertAlign w:val="superscript"/>
          <w:lang w:val="en-US"/>
        </w:rPr>
        <w:t>2,3</w:t>
      </w:r>
      <w:r w:rsidR="00A07F75">
        <w:rPr>
          <w:rFonts w:ascii="Times New Roman" w:hAnsi="Times New Roman" w:cs="Times New Roman"/>
          <w:lang w:val="en-US"/>
        </w:rPr>
        <w:fldChar w:fldCharType="end"/>
      </w:r>
      <w:r w:rsidR="00A07F75">
        <w:rPr>
          <w:rFonts w:ascii="Times New Roman" w:hAnsi="Times New Roman" w:cs="Times New Roman"/>
          <w:lang w:val="en-US"/>
        </w:rPr>
        <w:t xml:space="preserve">. </w:t>
      </w:r>
      <w:r w:rsidR="00287247">
        <w:rPr>
          <w:rFonts w:ascii="Times New Roman" w:hAnsi="Times New Roman" w:cs="Times New Roman"/>
          <w:lang w:val="en-US"/>
        </w:rPr>
        <w:t xml:space="preserve">Since we perform the NMJ functionality assessment at day 28 of motor neuron maturation, the maturation state might explain the lack of spontaneous activity. </w:t>
      </w:r>
    </w:p>
    <w:p w14:paraId="6B4ADBAF" w14:textId="77777777" w:rsidR="00287247" w:rsidRDefault="00287247" w:rsidP="003670F6">
      <w:pPr>
        <w:pStyle w:val="NoSpacing"/>
        <w:jc w:val="both"/>
        <w:rPr>
          <w:rFonts w:ascii="Times New Roman" w:hAnsi="Times New Roman" w:cs="Times New Roman"/>
          <w:lang w:val="en-US"/>
        </w:rPr>
      </w:pPr>
    </w:p>
    <w:p w14:paraId="050E26E3" w14:textId="69375A09" w:rsidR="00287247" w:rsidRDefault="00287247" w:rsidP="003670F6">
      <w:pPr>
        <w:pStyle w:val="NoSpacing"/>
        <w:jc w:val="both"/>
        <w:rPr>
          <w:rFonts w:ascii="Times New Roman" w:hAnsi="Times New Roman" w:cs="Times New Roman"/>
          <w:lang w:val="en-US"/>
        </w:rPr>
      </w:pPr>
      <w:r>
        <w:rPr>
          <w:rFonts w:ascii="Times New Roman" w:hAnsi="Times New Roman" w:cs="Times New Roman"/>
          <w:lang w:val="en-US"/>
        </w:rPr>
        <w:t xml:space="preserve">We have included a statement in the results section, which includes this information. </w:t>
      </w:r>
    </w:p>
    <w:p w14:paraId="0656D099" w14:textId="45D84160" w:rsidR="00287247" w:rsidRDefault="00287247" w:rsidP="003670F6">
      <w:pPr>
        <w:pStyle w:val="NoSpacing"/>
        <w:jc w:val="both"/>
        <w:rPr>
          <w:rFonts w:ascii="Times New Roman" w:hAnsi="Times New Roman" w:cs="Times New Roman"/>
          <w:lang w:val="en-US"/>
        </w:rPr>
      </w:pPr>
    </w:p>
    <w:p w14:paraId="1450CCAE" w14:textId="0E548BE2" w:rsidR="00287247" w:rsidRPr="00287247" w:rsidRDefault="008A60D0" w:rsidP="003670F6">
      <w:pPr>
        <w:pStyle w:val="NoSpacing"/>
        <w:jc w:val="both"/>
        <w:rPr>
          <w:rFonts w:ascii="Times New Roman" w:hAnsi="Times New Roman" w:cs="Times New Roman"/>
          <w:lang w:val="en-GB"/>
        </w:rPr>
      </w:pPr>
      <w:r w:rsidRPr="008A60D0">
        <w:rPr>
          <w:rFonts w:ascii="Times New Roman" w:hAnsi="Times New Roman" w:cs="Times New Roman"/>
          <w:lang w:val="en-US"/>
        </w:rPr>
        <w:t>Line 667-669</w:t>
      </w:r>
      <w:r w:rsidR="00287247" w:rsidRPr="008A60D0">
        <w:rPr>
          <w:rFonts w:ascii="Times New Roman" w:hAnsi="Times New Roman" w:cs="Times New Roman"/>
          <w:lang w:val="en-US"/>
        </w:rPr>
        <w:t>: “</w:t>
      </w:r>
      <w:r w:rsidR="00287247" w:rsidRPr="00287247">
        <w:rPr>
          <w:rFonts w:ascii="Times New Roman" w:hAnsi="Times New Roman" w:cs="Times New Roman"/>
          <w:lang w:val="en-GB"/>
        </w:rPr>
        <w:t xml:space="preserve">No spontaneous calcium waves, nor spontaneous myotubes contractions were observed, although we did observe myotube contraction upon </w:t>
      </w:r>
      <w:r w:rsidR="008E7B59">
        <w:rPr>
          <w:rFonts w:ascii="Times New Roman" w:hAnsi="Times New Roman" w:cs="Times New Roman"/>
          <w:lang w:val="en-GB"/>
        </w:rPr>
        <w:t xml:space="preserve">direct </w:t>
      </w:r>
      <w:r w:rsidR="00287247" w:rsidRPr="00287247">
        <w:rPr>
          <w:rFonts w:ascii="Times New Roman" w:hAnsi="Times New Roman" w:cs="Times New Roman"/>
          <w:lang w:val="en-GB"/>
        </w:rPr>
        <w:t>stimulation with potassium chloride.</w:t>
      </w:r>
      <w:r w:rsidR="00287247">
        <w:rPr>
          <w:rFonts w:ascii="Times New Roman" w:hAnsi="Times New Roman" w:cs="Times New Roman"/>
          <w:lang w:val="en-GB"/>
        </w:rPr>
        <w:t>”</w:t>
      </w:r>
    </w:p>
    <w:p w14:paraId="5033F4E0" w14:textId="77777777" w:rsidR="00287247" w:rsidRPr="00287247" w:rsidRDefault="00287247" w:rsidP="003670F6">
      <w:pPr>
        <w:pStyle w:val="NoSpacing"/>
        <w:jc w:val="both"/>
        <w:rPr>
          <w:rFonts w:ascii="Times New Roman" w:hAnsi="Times New Roman" w:cs="Times New Roman"/>
          <w:b/>
          <w:lang w:val="en-US"/>
        </w:rPr>
      </w:pPr>
    </w:p>
    <w:p w14:paraId="3035D289" w14:textId="2639F001" w:rsidR="00287247" w:rsidRPr="00287247" w:rsidRDefault="008A60D0" w:rsidP="003670F6">
      <w:pPr>
        <w:pStyle w:val="NoSpacing"/>
        <w:jc w:val="both"/>
        <w:rPr>
          <w:rFonts w:ascii="Times New Roman" w:hAnsi="Times New Roman" w:cs="Times New Roman"/>
          <w:lang w:val="en-US"/>
        </w:rPr>
      </w:pPr>
      <w:r w:rsidRPr="008A60D0">
        <w:rPr>
          <w:rFonts w:ascii="Times New Roman" w:hAnsi="Times New Roman" w:cs="Times New Roman"/>
          <w:lang w:val="en-US"/>
        </w:rPr>
        <w:t>Line 619-621</w:t>
      </w:r>
      <w:r w:rsidR="00C66B0D">
        <w:rPr>
          <w:rFonts w:ascii="Times New Roman" w:hAnsi="Times New Roman" w:cs="Times New Roman"/>
          <w:lang w:val="en-US"/>
        </w:rPr>
        <w:t xml:space="preserve"> highlights</w:t>
      </w:r>
      <w:r w:rsidR="00287247" w:rsidRPr="00287247">
        <w:rPr>
          <w:rFonts w:ascii="Times New Roman" w:hAnsi="Times New Roman" w:cs="Times New Roman"/>
          <w:lang w:val="en-US"/>
        </w:rPr>
        <w:t xml:space="preserve"> the </w:t>
      </w:r>
      <w:r w:rsidR="00287247">
        <w:rPr>
          <w:rFonts w:ascii="Times New Roman" w:hAnsi="Times New Roman" w:cs="Times New Roman"/>
          <w:lang w:val="en-US"/>
        </w:rPr>
        <w:t xml:space="preserve">importance of the motor neuron maturation time point, when assessing electrophysiological activity. </w:t>
      </w:r>
    </w:p>
    <w:p w14:paraId="5B5C99AC" w14:textId="77777777" w:rsidR="00287247" w:rsidRDefault="00287247" w:rsidP="003670F6">
      <w:pPr>
        <w:pStyle w:val="NoSpacing"/>
        <w:jc w:val="both"/>
        <w:rPr>
          <w:rFonts w:ascii="Times New Roman" w:hAnsi="Times New Roman" w:cs="Times New Roman"/>
          <w:lang w:val="en-US"/>
        </w:rPr>
      </w:pPr>
    </w:p>
    <w:p w14:paraId="7F7AD087" w14:textId="2F500FCC" w:rsidR="00287247" w:rsidRPr="00287247" w:rsidRDefault="00287247" w:rsidP="003670F6">
      <w:pPr>
        <w:pStyle w:val="NoSpacing"/>
        <w:jc w:val="both"/>
        <w:rPr>
          <w:rFonts w:ascii="Times New Roman" w:hAnsi="Times New Roman" w:cs="Times New Roman"/>
          <w:lang w:val="en-US"/>
        </w:rPr>
      </w:pPr>
      <w:r w:rsidRPr="008A60D0">
        <w:rPr>
          <w:rFonts w:ascii="Times New Roman" w:hAnsi="Times New Roman" w:cs="Times New Roman"/>
          <w:lang w:val="en-GB"/>
        </w:rPr>
        <w:t xml:space="preserve">Line </w:t>
      </w:r>
      <w:r w:rsidR="008A60D0" w:rsidRPr="008A60D0">
        <w:rPr>
          <w:rFonts w:ascii="Times New Roman" w:hAnsi="Times New Roman" w:cs="Times New Roman"/>
          <w:lang w:val="en-GB"/>
        </w:rPr>
        <w:t>619-621</w:t>
      </w:r>
      <w:r w:rsidRPr="008A60D0">
        <w:rPr>
          <w:rFonts w:ascii="Times New Roman" w:hAnsi="Times New Roman" w:cs="Times New Roman"/>
          <w:lang w:val="en-GB"/>
        </w:rPr>
        <w:t>: “</w:t>
      </w:r>
      <w:r w:rsidRPr="00287247">
        <w:rPr>
          <w:rFonts w:ascii="Times New Roman" w:hAnsi="Times New Roman" w:cs="Times New Roman"/>
          <w:lang w:val="en-GB"/>
        </w:rPr>
        <w:t>This is in line with our previous observations that spontaneous action potentials in motor neurons, recorded through patch clamp electrophysiological analysis, only occur at day 35 of motor neuron differentiation</w:t>
      </w:r>
      <w:r w:rsidR="008A60D0">
        <w:rPr>
          <w:rFonts w:ascii="Times New Roman" w:hAnsi="Times New Roman" w:cs="Times New Roman"/>
          <w:lang w:val="en-GB"/>
        </w:rPr>
        <w:fldChar w:fldCharType="begin" w:fldLock="1"/>
      </w:r>
      <w:r w:rsidR="009F5E41">
        <w:rPr>
          <w:rFonts w:ascii="Times New Roman" w:hAnsi="Times New Roman" w:cs="Times New Roman"/>
          <w:lang w:val="en-GB"/>
        </w:rPr>
        <w:instrText>ADDIN CSL_CITATION {"citationItems":[{"id":"ITEM-1","itemData":{"DOI":"10.1038/s41467-017-00911-y","ISSN":"20411723","PMID":"29021520","abstract":"Amyotrophic lateral sclerosis (ALS) is a rapidly progressive neurodegenerative disorder due to selective loss of motor neurons (MNs). Mutations in the fused in sarcoma (FUS) gene can cause both juvenile and late onset ALS. We generated and characterized induced pluripotent stem cells (iPSCs) from ALS patients with different FUS mutations, as well as from healthy controls. Patient-derived MNs show typical cytoplasmic FUS pathology, hypoexcitability, as well as progressive axonal transport defects. Axonal transport defects are rescued by CRISPR/Cas9-mediated genetic correction of the FUS mutation in patient-derived iPSCs. Moreover, these defects are reproduced by expressing mutant FUS in human embryonic stem cells (hESCs), whereas knockdown of endogenous FUS has no effect, confirming that these pathological changes are mutant FUS dependent. Pharmacological inhibition as well as genetic silencing of histone deacetylase 6 (HDAC6) increase α-tubulin acetylation, endoplasmic reticulum (ER)-mitochondrial overlay, and restore the axonal transport defects in patient-derived MNs.","author":[{"dropping-particle":"","family":"Guo","given":"Wenting","non-dropping-particle":"","parse-names":false,"suffix":""},{"dropping-particle":"","family":"Naujock","given":"Maximilian","non-dropping-particle":"","parse-names":false,"suffix":""},{"dropping-particle":"","family":"Fumagalli","given":"Laura","non-dropping-particle":"","parse-names":false,"suffix":""},{"dropping-particle":"","family":"Vandoorne","given":"Tijs","non-dropping-particle":"","parse-names":false,"suffix":""},{"dropping-particle":"","family":"Baatsen","given":"Pieter","non-dropping-particle":"","parse-names":false,"suffix":""},{"dropping-particle":"","family":"Boon","given":"Ruben","non-dropping-particle":"","parse-names":false,"suffix":""},{"dropping-particle":"","family":"Ordovás","given":"Laura","non-dropping-particle":"","parse-names":false,"suffix":""},{"dropping-particle":"","family":"Patel","given":"Abdulsamie","non-dropping-particle":"","parse-names":false,"suffix":""},{"dropping-particle":"","family":"Welters","given":"Marc","non-dropping-particle":"","parse-names":false,"suffix":""},{"dropping-particle":"","family":"Vanwelden","given":"Thomas","non-dropping-particle":"","parse-names":false,"suffix":""},{"dropping-particle":"","family":"Geens","given":"Natasja","non-dropping-particle":"","parse-names":false,"suffix":""},{"dropping-particle":"","family":"Tricot","given":"Tine","non-dropping-particle":"","parse-names":false,"suffix":""},{"dropping-particle":"","family":"Benoy","given":"Veronick","non-dropping-particle":"","parse-names":false,"suffix":""},{"dropping-particle":"","family":"Steyaert","given":"Jolien","non-dropping-particle":"","parse-names":false,"suffix":""},{"dropping-particle":"","family":"Lefebvre-Omar","given":"Cynthia","non-dropping-particle":"","parse-names":false,"suffix":""},{"dropping-particle":"","family":"Boesmans","given":"Werend","non-dropping-particle":"","parse-names":false,"suffix":""},{"dropping-particle":"","family":"Jarpe","given":"Matthew","non-dropping-particle":"","parse-names":false,"suffix":""},{"dropping-particle":"","family":"Sterneckert","given":"Jared","non-dropping-particle":"","parse-names":false,"suffix":""},{"dropping-particle":"","family":"Wegner","given":"Florian","non-dropping-particle":"","parse-names":false,"suffix":""},{"dropping-particle":"","family":"Petri","given":"Susanne","non-dropping-particle":"","parse-names":false,"suffix":""},{"dropping-particle":"","family":"Bohl","given":"Delphine","non-dropping-particle":"","parse-names":false,"suffix":""},{"dropping-particle":"","family":"Berghe","given":"Pieter","non-dropping-particle":"Vanden","parse-names":false,"suffix":""},{"dropping-particle":"","family":"Robberecht","given":"Wim","non-dropping-particle":"","parse-names":false,"suffix":""},{"dropping-particle":"","family":"Damme","given":"Philip","non-dropping-particle":"Van","parse-names":false,"suffix":""},{"dropping-particle":"","family":"Verfaillie","given":"Catherine","non-dropping-particle":"","parse-names":false,"suffix":""},{"dropping-particle":"","family":"Bosch","given":"Ludo","non-dropping-particle":"Van Den","parse-names":false,"suffix":""}],"container-title":"Nature Communications","id":"ITEM-1","issue":"1","issued":{"date-parts":[["2017"]]},"page":"861","title":"HDAC6 inhibition reverses axonal transport defects in motor neurons derived from FUS-ALS patients","type":"article-journal","volume":"8"},"uris":["http://www.mendeley.com/documents/?uuid=11f3b474-8148-4592-a1fd-915e6d99ac5f"]}],"mendeley":{"formattedCitation":"&lt;sup&gt;2&lt;/sup&gt;","plainTextFormattedCitation":"2","previouslyFormattedCitation":"&lt;sup&gt;2&lt;/sup&gt;"},"properties":{"noteIndex":0},"schema":"https://github.com/citation-style-language/schema/raw/master/csl-citation.json"}</w:instrText>
      </w:r>
      <w:r w:rsidR="008A60D0">
        <w:rPr>
          <w:rFonts w:ascii="Times New Roman" w:hAnsi="Times New Roman" w:cs="Times New Roman"/>
          <w:lang w:val="en-GB"/>
        </w:rPr>
        <w:fldChar w:fldCharType="separate"/>
      </w:r>
      <w:r w:rsidR="008A60D0" w:rsidRPr="008A60D0">
        <w:rPr>
          <w:rFonts w:ascii="Times New Roman" w:hAnsi="Times New Roman" w:cs="Times New Roman"/>
          <w:noProof/>
          <w:vertAlign w:val="superscript"/>
          <w:lang w:val="en-GB"/>
        </w:rPr>
        <w:t>2</w:t>
      </w:r>
      <w:r w:rsidR="008A60D0">
        <w:rPr>
          <w:rFonts w:ascii="Times New Roman" w:hAnsi="Times New Roman" w:cs="Times New Roman"/>
          <w:lang w:val="en-GB"/>
        </w:rPr>
        <w:fldChar w:fldCharType="end"/>
      </w:r>
      <w:r w:rsidRPr="00287247">
        <w:rPr>
          <w:rFonts w:ascii="Times New Roman" w:hAnsi="Times New Roman" w:cs="Times New Roman"/>
          <w:lang w:val="en-GB"/>
        </w:rPr>
        <w:t>.</w:t>
      </w:r>
      <w:r>
        <w:rPr>
          <w:rFonts w:ascii="Times New Roman" w:hAnsi="Times New Roman" w:cs="Times New Roman"/>
          <w:lang w:val="en-GB"/>
        </w:rPr>
        <w:t>”</w:t>
      </w:r>
    </w:p>
    <w:p w14:paraId="7C7F2554" w14:textId="2D874278"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lastRenderedPageBreak/>
        <w:br/>
        <w:t>g. The authors did not mention whether they observed or not the presence of muscle contractions?</w:t>
      </w:r>
    </w:p>
    <w:p w14:paraId="01869CDA" w14:textId="77777777" w:rsidR="006727AC" w:rsidRDefault="006727AC" w:rsidP="003670F6">
      <w:pPr>
        <w:pStyle w:val="NoSpacing"/>
        <w:jc w:val="both"/>
        <w:rPr>
          <w:rFonts w:ascii="Times New Roman" w:hAnsi="Times New Roman" w:cs="Times New Roman"/>
          <w:b/>
          <w:lang w:val="en-US"/>
        </w:rPr>
      </w:pPr>
    </w:p>
    <w:p w14:paraId="2C40C247" w14:textId="4D7E88D4" w:rsidR="006727AC" w:rsidRDefault="006727AC" w:rsidP="003670F6">
      <w:pPr>
        <w:pStyle w:val="NoSpacing"/>
        <w:jc w:val="both"/>
        <w:rPr>
          <w:rFonts w:ascii="Times New Roman" w:hAnsi="Times New Roman" w:cs="Times New Roman"/>
          <w:lang w:val="en-US"/>
        </w:rPr>
      </w:pPr>
      <w:r>
        <w:rPr>
          <w:rFonts w:ascii="Times New Roman" w:hAnsi="Times New Roman" w:cs="Times New Roman"/>
          <w:lang w:val="en-US"/>
        </w:rPr>
        <w:t>We refer to the answer to comment ‘f’</w:t>
      </w:r>
      <w:r w:rsidR="00D95919">
        <w:rPr>
          <w:rFonts w:ascii="Times New Roman" w:hAnsi="Times New Roman" w:cs="Times New Roman"/>
          <w:lang w:val="en-US"/>
        </w:rPr>
        <w:t xml:space="preserve"> from reviewer </w:t>
      </w:r>
      <w:r w:rsidR="00507FAB">
        <w:rPr>
          <w:rFonts w:ascii="Times New Roman" w:hAnsi="Times New Roman" w:cs="Times New Roman"/>
          <w:lang w:val="en-US"/>
        </w:rPr>
        <w:t xml:space="preserve">1 </w:t>
      </w:r>
      <w:r w:rsidR="00D95919">
        <w:rPr>
          <w:rFonts w:ascii="Times New Roman" w:hAnsi="Times New Roman" w:cs="Times New Roman"/>
          <w:lang w:val="en-US"/>
        </w:rPr>
        <w:t xml:space="preserve">above. </w:t>
      </w:r>
    </w:p>
    <w:p w14:paraId="08C43A03" w14:textId="77777777" w:rsidR="001273F4"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r>
    </w:p>
    <w:p w14:paraId="68880ED2" w14:textId="77777777" w:rsidR="001273F4" w:rsidRDefault="001273F4" w:rsidP="003670F6">
      <w:pPr>
        <w:pStyle w:val="NoSpacing"/>
        <w:jc w:val="both"/>
        <w:rPr>
          <w:rFonts w:ascii="Times New Roman" w:hAnsi="Times New Roman" w:cs="Times New Roman"/>
          <w:b/>
          <w:lang w:val="en-US"/>
        </w:rPr>
      </w:pPr>
    </w:p>
    <w:p w14:paraId="097A1DE2" w14:textId="77777777" w:rsidR="001273F4" w:rsidRDefault="001273F4" w:rsidP="003670F6">
      <w:pPr>
        <w:pStyle w:val="NoSpacing"/>
        <w:jc w:val="both"/>
        <w:rPr>
          <w:rFonts w:ascii="Times New Roman" w:hAnsi="Times New Roman" w:cs="Times New Roman"/>
          <w:b/>
          <w:lang w:val="en-US"/>
        </w:rPr>
      </w:pPr>
    </w:p>
    <w:p w14:paraId="75E611BB" w14:textId="46AD82A7"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 General comments/questions:</w:t>
      </w:r>
    </w:p>
    <w:p w14:paraId="73319A71" w14:textId="77777777"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a. What is the reproducibility of the system? The authors claim they developed "a standardized system" but can some differences be observed in function of the donor for MABs (as it is well described for primary myoblasts)?</w:t>
      </w:r>
    </w:p>
    <w:p w14:paraId="1AD4AB67" w14:textId="77777777" w:rsidR="005816A8" w:rsidRDefault="005816A8" w:rsidP="003670F6">
      <w:pPr>
        <w:pStyle w:val="NoSpacing"/>
        <w:jc w:val="both"/>
        <w:rPr>
          <w:rFonts w:ascii="Times New Roman" w:hAnsi="Times New Roman" w:cs="Times New Roman"/>
          <w:b/>
          <w:lang w:val="en-US"/>
        </w:rPr>
      </w:pPr>
    </w:p>
    <w:p w14:paraId="576B7DEB" w14:textId="2FCD81F2" w:rsidR="005816A8" w:rsidRDefault="00D95919" w:rsidP="003670F6">
      <w:pPr>
        <w:pStyle w:val="NoSpacing"/>
        <w:jc w:val="both"/>
        <w:rPr>
          <w:rFonts w:ascii="Times New Roman" w:hAnsi="Times New Roman" w:cs="Times New Roman"/>
          <w:lang w:val="en-US"/>
        </w:rPr>
      </w:pPr>
      <w:r>
        <w:rPr>
          <w:rFonts w:ascii="Times New Roman" w:hAnsi="Times New Roman" w:cs="Times New Roman"/>
          <w:lang w:val="en-US"/>
        </w:rPr>
        <w:t xml:space="preserve">Thank you for allowing us to clarify on this point. As stated in line </w:t>
      </w:r>
      <w:r w:rsidR="008A60D0" w:rsidRPr="008A60D0">
        <w:rPr>
          <w:rFonts w:ascii="Times New Roman" w:hAnsi="Times New Roman" w:cs="Times New Roman"/>
          <w:lang w:val="en-US"/>
        </w:rPr>
        <w:t>593-596</w:t>
      </w:r>
      <w:r w:rsidRPr="008A60D0">
        <w:rPr>
          <w:rFonts w:ascii="Times New Roman" w:hAnsi="Times New Roman" w:cs="Times New Roman"/>
          <w:lang w:val="en-US"/>
        </w:rPr>
        <w:t>,</w:t>
      </w:r>
      <w:r>
        <w:rPr>
          <w:rFonts w:ascii="Times New Roman" w:hAnsi="Times New Roman" w:cs="Times New Roman"/>
          <w:lang w:val="en-US"/>
        </w:rPr>
        <w:t xml:space="preserve"> we highlight the importance of assessing the MAB quality before applying the cells to the microfluidic system. Each batch of cells derived from a biopsy might vary in quality and fusion capacity, resulting in a significant impact on the successful output of the culture. </w:t>
      </w:r>
    </w:p>
    <w:p w14:paraId="3AC65E68" w14:textId="1B5A001D" w:rsidR="00D95919" w:rsidRDefault="00D95919" w:rsidP="003670F6">
      <w:pPr>
        <w:pStyle w:val="NoSpacing"/>
        <w:jc w:val="both"/>
        <w:rPr>
          <w:rFonts w:ascii="Times New Roman" w:hAnsi="Times New Roman" w:cs="Times New Roman"/>
          <w:lang w:val="en-US"/>
        </w:rPr>
      </w:pPr>
    </w:p>
    <w:p w14:paraId="66C31D64" w14:textId="6F5F35FE" w:rsidR="00D95919" w:rsidRDefault="00D95919" w:rsidP="003670F6">
      <w:pPr>
        <w:pStyle w:val="NoSpacing"/>
        <w:jc w:val="both"/>
        <w:rPr>
          <w:rFonts w:ascii="Times New Roman" w:hAnsi="Times New Roman" w:cs="Times New Roman"/>
          <w:lang w:val="en-GB"/>
        </w:rPr>
      </w:pPr>
      <w:r w:rsidRPr="008A60D0">
        <w:rPr>
          <w:rFonts w:ascii="Times New Roman" w:hAnsi="Times New Roman" w:cs="Times New Roman"/>
          <w:lang w:val="en-GB"/>
        </w:rPr>
        <w:t xml:space="preserve">Line </w:t>
      </w:r>
      <w:r w:rsidR="008A60D0" w:rsidRPr="008A60D0">
        <w:rPr>
          <w:rFonts w:ascii="Times New Roman" w:hAnsi="Times New Roman" w:cs="Times New Roman"/>
          <w:lang w:val="en-GB"/>
        </w:rPr>
        <w:t>593-596</w:t>
      </w:r>
      <w:r>
        <w:rPr>
          <w:rFonts w:ascii="Times New Roman" w:hAnsi="Times New Roman" w:cs="Times New Roman"/>
          <w:lang w:val="en-GB"/>
        </w:rPr>
        <w:t>: “</w:t>
      </w:r>
      <w:r w:rsidRPr="00D95919">
        <w:rPr>
          <w:rFonts w:ascii="Times New Roman" w:hAnsi="Times New Roman" w:cs="Times New Roman"/>
          <w:lang w:val="en-GB"/>
        </w:rPr>
        <w:t>The quality of the starting cell material is important, and especially the fusion capability of the MABs into myotubes is crucial for a successful outcome of this protocol. MABs are easy to keep in culture. However, it is important to assess the fusion capability of each batch before applying them in the microfluidic devices (</w:t>
      </w:r>
      <w:r w:rsidRPr="00D95919">
        <w:rPr>
          <w:rFonts w:ascii="Times New Roman" w:hAnsi="Times New Roman" w:cs="Times New Roman"/>
          <w:b/>
          <w:lang w:val="en-GB"/>
        </w:rPr>
        <w:t>Suppl</w:t>
      </w:r>
      <w:r w:rsidR="00A708C0">
        <w:rPr>
          <w:rFonts w:ascii="Times New Roman" w:hAnsi="Times New Roman" w:cs="Times New Roman"/>
          <w:b/>
          <w:lang w:val="en-GB"/>
        </w:rPr>
        <w:t>emental</w:t>
      </w:r>
      <w:r w:rsidRPr="00D95919">
        <w:rPr>
          <w:rFonts w:ascii="Times New Roman" w:hAnsi="Times New Roman" w:cs="Times New Roman"/>
          <w:b/>
          <w:lang w:val="en-GB"/>
        </w:rPr>
        <w:t xml:space="preserve"> Figure 1A-B</w:t>
      </w:r>
      <w:r w:rsidRPr="00D95919">
        <w:rPr>
          <w:rFonts w:ascii="Times New Roman" w:hAnsi="Times New Roman" w:cs="Times New Roman"/>
          <w:lang w:val="en-GB"/>
        </w:rPr>
        <w:t>)</w:t>
      </w:r>
      <w:r w:rsidRPr="00D95919">
        <w:rPr>
          <w:rFonts w:ascii="Times New Roman" w:hAnsi="Times New Roman" w:cs="Times New Roman"/>
          <w:lang w:val="en-GB"/>
        </w:rPr>
        <w:fldChar w:fldCharType="begin" w:fldLock="1"/>
      </w:r>
      <w:r w:rsidR="009F5E41">
        <w:rPr>
          <w:rFonts w:ascii="Times New Roman" w:hAnsi="Times New Roman" w:cs="Times New Roman"/>
          <w:lang w:val="en-GB"/>
        </w:rPr>
        <w:instrText>ADDIN CSL_CITATION {"citationItems":[{"id":"ITEM-1","itemData":{"ISSN":"22136711","author":[{"dropping-particle":"","family":"Stoklund Dittlau","given":"Katarina","non-dropping-particle":"","parse-names":false,"suffix":""},{"dropping-particle":"","family":"Krasnow","given":"Emily N.","non-dropping-particle":"","parse-names":false,"suffix":""},{"dropping-particle":"","family":"Fumagalli","given":"Laura","non-dropping-particle":"","parse-names":false,"suffix":""},{"dropping-particle":"","family":"Vandoorne","given":"Tijs","non-dropping-particle":"","parse-names":false,"suffix":""},{"dropping-particle":"","family":"Baatsen","given":"Pieter","non-dropping-particle":"","parse-names":false,"suffix":""},{"dropping-particle":"","family":"Kerstens","given":"Axelle","non-dropping-particle":"","parse-names":false,"suffix":""},{"dropping-particle":"","family":"Giacomazzi","given":"Giorgia","non-dropping-particle":"","parse-names":false,"suffix":""},{"dropping-particle":"","family":"Pavie","given":"Benjamin","non-dropping-particle":"","parse-names":false,"suffix":""},{"dropping-particle":"","family":"Rossaert","given":"Elisabeth","non-dropping-particle":"","parse-names":false,"suffix":""},{"dropping-particle":"","family":"Beckers","given":"Jimmy","non-dropping-particle":"","parse-names":false,"suffix":""},{"dropping-particle":"","family":"Sampaolesi","given":"Maurilio","non-dropping-particle":"","parse-names":false,"suffix":""},{"dropping-particle":"","family":"Damme","given":"Philip","non-dropping-particle":"Van","parse-names":false,"suffix":""},{"dropping-particle":"","family":"Bosch","given":"Ludo","non-dropping-particle":"Van Den","parse-names":false,"suffix":""}],"container-title":"Stem Cell Reports","id":"ITEM-1","issued":{"date-parts":[["2021","4"]]},"page":"doi: 10.1016/j.stemcr.2021.03.029","publisher":"Stem Cell Reports","title":"Human motor units in microfluidic devices are impaired by FUS mutations and improved by HDAC6 inhibition","type":"article-journal"},"uris":["http://www.mendeley.com/documents/?uuid=36f23229-9d6e-381f-9e0e-6d9567dd0e66"]}],"mendeley":{"formattedCitation":"&lt;sup&gt;4&lt;/sup&gt;","plainTextFormattedCitation":"4","previouslyFormattedCitation":"&lt;sup&gt;4&lt;/sup&gt;"},"properties":{"noteIndex":0},"schema":"https://github.com/citation-style-language/schema/raw/master/csl-citation.json"}</w:instrText>
      </w:r>
      <w:r w:rsidRPr="00D95919">
        <w:rPr>
          <w:rFonts w:ascii="Times New Roman" w:hAnsi="Times New Roman" w:cs="Times New Roman"/>
          <w:vertAlign w:val="superscript"/>
          <w:lang w:val="en-GB"/>
        </w:rPr>
        <w:fldChar w:fldCharType="separate"/>
      </w:r>
      <w:r w:rsidR="008A60D0" w:rsidRPr="008A60D0">
        <w:rPr>
          <w:rFonts w:ascii="Times New Roman" w:hAnsi="Times New Roman" w:cs="Times New Roman"/>
          <w:noProof/>
          <w:vertAlign w:val="superscript"/>
          <w:lang w:val="en-GB"/>
        </w:rPr>
        <w:t>4</w:t>
      </w:r>
      <w:r w:rsidRPr="00D95919">
        <w:rPr>
          <w:rFonts w:ascii="Times New Roman" w:hAnsi="Times New Roman" w:cs="Times New Roman"/>
          <w:lang w:val="en-GB"/>
        </w:rPr>
        <w:fldChar w:fldCharType="end"/>
      </w:r>
      <w:r w:rsidRPr="00D95919">
        <w:rPr>
          <w:rFonts w:ascii="Times New Roman" w:hAnsi="Times New Roman" w:cs="Times New Roman"/>
          <w:lang w:val="en-GB"/>
        </w:rPr>
        <w:t>.</w:t>
      </w:r>
      <w:r>
        <w:rPr>
          <w:rFonts w:ascii="Times New Roman" w:hAnsi="Times New Roman" w:cs="Times New Roman"/>
          <w:lang w:val="en-GB"/>
        </w:rPr>
        <w:t>”</w:t>
      </w:r>
    </w:p>
    <w:p w14:paraId="433E32A0" w14:textId="61812AE3" w:rsidR="00D95919" w:rsidRDefault="00D95919" w:rsidP="003670F6">
      <w:pPr>
        <w:pStyle w:val="NoSpacing"/>
        <w:jc w:val="both"/>
        <w:rPr>
          <w:rFonts w:ascii="Times New Roman" w:hAnsi="Times New Roman" w:cs="Times New Roman"/>
          <w:lang w:val="en-GB"/>
        </w:rPr>
      </w:pPr>
    </w:p>
    <w:p w14:paraId="33573057" w14:textId="0A53FD58" w:rsidR="00D95919" w:rsidRPr="00D95919" w:rsidRDefault="00D95919" w:rsidP="003670F6">
      <w:pPr>
        <w:pStyle w:val="NoSpacing"/>
        <w:jc w:val="both"/>
        <w:rPr>
          <w:rFonts w:ascii="Times New Roman" w:hAnsi="Times New Roman" w:cs="Times New Roman"/>
          <w:lang w:val="en-US"/>
        </w:rPr>
      </w:pPr>
      <w:r>
        <w:rPr>
          <w:rFonts w:ascii="Times New Roman" w:hAnsi="Times New Roman" w:cs="Times New Roman"/>
          <w:lang w:val="en-GB"/>
        </w:rPr>
        <w:t>Regarding the reproducibility of this protocol, we refer to our recent paper, where we use two different ALS-patient iPSC lines as well as two different isogenic controls iPSC lines to generate NMJs using this protocol</w:t>
      </w:r>
      <w:r>
        <w:rPr>
          <w:rFonts w:ascii="Times New Roman" w:hAnsi="Times New Roman" w:cs="Times New Roman"/>
          <w:lang w:val="en-GB"/>
        </w:rPr>
        <w:fldChar w:fldCharType="begin" w:fldLock="1"/>
      </w:r>
      <w:r w:rsidR="009F5E41">
        <w:rPr>
          <w:rFonts w:ascii="Times New Roman" w:hAnsi="Times New Roman" w:cs="Times New Roman"/>
          <w:lang w:val="en-GB"/>
        </w:rPr>
        <w:instrText>ADDIN CSL_CITATION {"citationItems":[{"id":"ITEM-1","itemData":{"ISSN":"22136711","author":[{"dropping-particle":"","family":"Stoklund Dittlau","given":"Katarina","non-dropping-particle":"","parse-names":false,"suffix":""},{"dropping-particle":"","family":"Krasnow","given":"Emily N.","non-dropping-particle":"","parse-names":false,"suffix":""},{"dropping-particle":"","family":"Fumagalli","given":"Laura","non-dropping-particle":"","parse-names":false,"suffix":""},{"dropping-particle":"","family":"Vandoorne","given":"Tijs","non-dropping-particle":"","parse-names":false,"suffix":""},{"dropping-particle":"","family":"Baatsen","given":"Pieter","non-dropping-particle":"","parse-names":false,"suffix":""},{"dropping-particle":"","family":"Kerstens","given":"Axelle","non-dropping-particle":"","parse-names":false,"suffix":""},{"dropping-particle":"","family":"Giacomazzi","given":"Giorgia","non-dropping-particle":"","parse-names":false,"suffix":""},{"dropping-particle":"","family":"Pavie","given":"Benjamin","non-dropping-particle":"","parse-names":false,"suffix":""},{"dropping-particle":"","family":"Rossaert","given":"Elisabeth","non-dropping-particle":"","parse-names":false,"suffix":""},{"dropping-particle":"","family":"Beckers","given":"Jimmy","non-dropping-particle":"","parse-names":false,"suffix":""},{"dropping-particle":"","family":"Sampaolesi","given":"Maurilio","non-dropping-particle":"","parse-names":false,"suffix":""},{"dropping-particle":"","family":"Damme","given":"Philip","non-dropping-particle":"Van","parse-names":false,"suffix":""},{"dropping-particle":"","family":"Bosch","given":"Ludo","non-dropping-particle":"Van Den","parse-names":false,"suffix":""}],"container-title":"Stem Cell Reports","id":"ITEM-1","issued":{"date-parts":[["2021","4"]]},"page":"doi: 10.1016/j.stemcr.2021.03.029","publisher":"Stem Cell Reports","title":"Human motor units in microfluidic devices are impaired by FUS mutations and improved by HDAC6 inhibition","type":"article-journal"},"uris":["http://www.mendeley.com/documents/?uuid=36f23229-9d6e-381f-9e0e-6d9567dd0e66"]}],"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vertAlign w:val="superscript"/>
          <w:lang w:val="en-GB"/>
        </w:rPr>
        <w:fldChar w:fldCharType="separate"/>
      </w:r>
      <w:r w:rsidR="008A60D0" w:rsidRPr="008A60D0">
        <w:rPr>
          <w:rFonts w:ascii="Times New Roman" w:hAnsi="Times New Roman" w:cs="Times New Roman"/>
          <w:noProof/>
          <w:vertAlign w:val="superscript"/>
          <w:lang w:val="en-GB"/>
        </w:rPr>
        <w:t>4</w:t>
      </w:r>
      <w:r>
        <w:rPr>
          <w:rFonts w:ascii="Times New Roman" w:hAnsi="Times New Roman" w:cs="Times New Roman"/>
          <w:lang w:val="en-GB"/>
        </w:rPr>
        <w:fldChar w:fldCharType="end"/>
      </w:r>
      <w:r>
        <w:rPr>
          <w:rFonts w:ascii="Times New Roman" w:hAnsi="Times New Roman" w:cs="Times New Roman"/>
          <w:lang w:val="en-GB"/>
        </w:rPr>
        <w:t xml:space="preserve">. We observed no differences in the </w:t>
      </w:r>
      <w:r w:rsidR="00062DD2">
        <w:rPr>
          <w:rFonts w:ascii="Times New Roman" w:hAnsi="Times New Roman" w:cs="Times New Roman"/>
          <w:lang w:val="en-GB"/>
        </w:rPr>
        <w:t xml:space="preserve">reproducibility </w:t>
      </w:r>
      <w:r>
        <w:rPr>
          <w:rFonts w:ascii="Times New Roman" w:hAnsi="Times New Roman" w:cs="Times New Roman"/>
          <w:lang w:val="en-GB"/>
        </w:rPr>
        <w:t xml:space="preserve">between lines. </w:t>
      </w:r>
    </w:p>
    <w:p w14:paraId="5DD203D3" w14:textId="5E1A73F2"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b. Did the authors evaluate the possibility of using other sources than primary MABs? One of the main question is off course the possibility of using hiPSC-derived myotubes? Can the authors comment?</w:t>
      </w:r>
    </w:p>
    <w:p w14:paraId="37DEE2A8" w14:textId="45F89031" w:rsidR="00EC166C" w:rsidRDefault="00EC166C" w:rsidP="003670F6">
      <w:pPr>
        <w:pStyle w:val="NoSpacing"/>
        <w:jc w:val="both"/>
        <w:rPr>
          <w:rFonts w:ascii="Times New Roman" w:hAnsi="Times New Roman" w:cs="Times New Roman"/>
          <w:b/>
          <w:lang w:val="en-US"/>
        </w:rPr>
      </w:pPr>
    </w:p>
    <w:p w14:paraId="6BC07AF8" w14:textId="76D1AC20" w:rsidR="00EC166C" w:rsidRDefault="00EC166C" w:rsidP="003670F6">
      <w:pPr>
        <w:pStyle w:val="NoSpacing"/>
        <w:jc w:val="both"/>
        <w:rPr>
          <w:rFonts w:ascii="Times New Roman" w:hAnsi="Times New Roman" w:cs="Times New Roman"/>
          <w:b/>
          <w:lang w:val="en-US"/>
        </w:rPr>
      </w:pPr>
      <w:r>
        <w:rPr>
          <w:rFonts w:ascii="Times New Roman" w:hAnsi="Times New Roman" w:cs="Times New Roman"/>
          <w:lang w:val="en-US"/>
        </w:rPr>
        <w:t xml:space="preserve">Thank you very much for this important question. It </w:t>
      </w:r>
      <w:r w:rsidR="00581044">
        <w:rPr>
          <w:rFonts w:ascii="Times New Roman" w:hAnsi="Times New Roman" w:cs="Times New Roman"/>
          <w:lang w:val="en-US"/>
        </w:rPr>
        <w:t>might indeed be a</w:t>
      </w:r>
      <w:r>
        <w:rPr>
          <w:rFonts w:ascii="Times New Roman" w:hAnsi="Times New Roman" w:cs="Times New Roman"/>
          <w:lang w:val="en-US"/>
        </w:rPr>
        <w:t xml:space="preserve"> possibility</w:t>
      </w:r>
      <w:r w:rsidR="00581044">
        <w:rPr>
          <w:rFonts w:ascii="Times New Roman" w:hAnsi="Times New Roman" w:cs="Times New Roman"/>
          <w:lang w:val="en-US"/>
        </w:rPr>
        <w:t xml:space="preserve"> to use other types of primary muscle precursor cells such as myoblast to generate myotubes in this system. Ideally, we would use hiPSC-derived myotubes as stated by the reviewer</w:t>
      </w:r>
      <w:r w:rsidR="00062DD2">
        <w:rPr>
          <w:rFonts w:ascii="Times New Roman" w:hAnsi="Times New Roman" w:cs="Times New Roman"/>
          <w:lang w:val="en-US"/>
        </w:rPr>
        <w:t xml:space="preserve">. However, </w:t>
      </w:r>
      <w:r w:rsidR="00581044">
        <w:rPr>
          <w:rFonts w:ascii="Times New Roman" w:hAnsi="Times New Roman" w:cs="Times New Roman"/>
          <w:lang w:val="en-US"/>
        </w:rPr>
        <w:t>we have not succeeded in replicating other available protocols</w:t>
      </w:r>
      <w:r w:rsidR="00062DD2">
        <w:rPr>
          <w:rFonts w:ascii="Times New Roman" w:hAnsi="Times New Roman" w:cs="Times New Roman"/>
          <w:lang w:val="en-US"/>
        </w:rPr>
        <w:t xml:space="preserve"> with a high enough yield to replace the MABs-derived myotubes in our system (despite many attempts)</w:t>
      </w:r>
      <w:r w:rsidR="00581044">
        <w:rPr>
          <w:rFonts w:ascii="Times New Roman" w:hAnsi="Times New Roman" w:cs="Times New Roman"/>
          <w:lang w:val="en-US"/>
        </w:rPr>
        <w:t xml:space="preserve">. </w:t>
      </w:r>
    </w:p>
    <w:p w14:paraId="6D23258F" w14:textId="64C52CA0" w:rsidR="00581044" w:rsidRPr="00581044" w:rsidRDefault="0098309F" w:rsidP="003670F6">
      <w:pPr>
        <w:pStyle w:val="NoSpacing"/>
        <w:jc w:val="both"/>
        <w:rPr>
          <w:rFonts w:ascii="Times New Roman" w:hAnsi="Times New Roman" w:cs="Times New Roman"/>
          <w:lang w:val="en-US"/>
        </w:rPr>
      </w:pPr>
      <w:r w:rsidRPr="003670F6">
        <w:rPr>
          <w:rFonts w:ascii="Times New Roman" w:hAnsi="Times New Roman" w:cs="Times New Roman"/>
          <w:b/>
          <w:lang w:val="en-US"/>
        </w:rPr>
        <w:br/>
        <w:t>c. In the introduction or in the discussion, the authors should at least integrate their results in regard of the studies recently published that also described humanized co-</w:t>
      </w:r>
      <w:r w:rsidRPr="003670F6">
        <w:rPr>
          <w:rFonts w:ascii="Times New Roman" w:hAnsi="Times New Roman" w:cs="Times New Roman"/>
          <w:b/>
          <w:lang w:val="en-US"/>
        </w:rPr>
        <w:lastRenderedPageBreak/>
        <w:t>cultures systems with microfluidic devices (Bellmann et al., 2019; Vila et al., 2019; Santhanam et al., 2018).</w:t>
      </w:r>
      <w:r w:rsidRPr="003670F6">
        <w:rPr>
          <w:rFonts w:ascii="Times New Roman" w:hAnsi="Times New Roman" w:cs="Times New Roman"/>
          <w:b/>
          <w:lang w:val="en-US"/>
        </w:rPr>
        <w:br/>
      </w:r>
      <w:r w:rsidRPr="003670F6">
        <w:rPr>
          <w:rFonts w:ascii="Times New Roman" w:hAnsi="Times New Roman" w:cs="Times New Roman"/>
          <w:b/>
          <w:lang w:val="en-US"/>
        </w:rPr>
        <w:br/>
      </w:r>
      <w:r w:rsidR="00581044">
        <w:rPr>
          <w:rFonts w:ascii="Times New Roman" w:hAnsi="Times New Roman" w:cs="Times New Roman"/>
          <w:lang w:val="en-US"/>
        </w:rPr>
        <w:t xml:space="preserve">We have included a reference for each study mentioned above in the discussion. </w:t>
      </w:r>
    </w:p>
    <w:p w14:paraId="2B0FD54A" w14:textId="7A2A40C6" w:rsidR="00C66B0D" w:rsidRDefault="00C66B0D" w:rsidP="003670F6">
      <w:pPr>
        <w:pStyle w:val="NoSpacing"/>
        <w:jc w:val="both"/>
        <w:rPr>
          <w:rFonts w:ascii="Times New Roman" w:hAnsi="Times New Roman" w:cs="Times New Roman"/>
          <w:b/>
          <w:lang w:val="en-US"/>
        </w:rPr>
      </w:pPr>
    </w:p>
    <w:p w14:paraId="4203E9CF" w14:textId="1D1412EF" w:rsidR="00C66B0D" w:rsidRPr="00C66B0D" w:rsidRDefault="00C66B0D" w:rsidP="003670F6">
      <w:pPr>
        <w:pStyle w:val="NoSpacing"/>
        <w:jc w:val="both"/>
        <w:rPr>
          <w:rFonts w:ascii="Times New Roman" w:hAnsi="Times New Roman" w:cs="Times New Roman"/>
          <w:b/>
          <w:lang w:val="en-US"/>
        </w:rPr>
      </w:pPr>
      <w:r>
        <w:rPr>
          <w:rFonts w:ascii="Times New Roman" w:hAnsi="Times New Roman" w:cs="Times New Roman"/>
          <w:lang w:val="en-GB"/>
        </w:rPr>
        <w:t xml:space="preserve">Line </w:t>
      </w:r>
      <w:r w:rsidR="008A60D0">
        <w:rPr>
          <w:rFonts w:ascii="Times New Roman" w:hAnsi="Times New Roman" w:cs="Times New Roman"/>
          <w:lang w:val="en-GB"/>
        </w:rPr>
        <w:t>820-824</w:t>
      </w:r>
      <w:r>
        <w:rPr>
          <w:rFonts w:ascii="Times New Roman" w:hAnsi="Times New Roman" w:cs="Times New Roman"/>
          <w:lang w:val="en-GB"/>
        </w:rPr>
        <w:t>: “</w:t>
      </w:r>
      <w:r w:rsidRPr="00C66B0D">
        <w:rPr>
          <w:rFonts w:ascii="Times New Roman" w:hAnsi="Times New Roman" w:cs="Times New Roman"/>
          <w:lang w:val="en-GB"/>
        </w:rPr>
        <w:t>By using commercially available microfluidic devices, we generated a standardized system, which is fully accessible. Other NMJ models exist</w:t>
      </w:r>
      <w:r w:rsidRPr="00C66B0D">
        <w:rPr>
          <w:rFonts w:ascii="Times New Roman" w:hAnsi="Times New Roman" w:cs="Times New Roman"/>
          <w:lang w:val="en-GB"/>
        </w:rPr>
        <w:fldChar w:fldCharType="begin" w:fldLock="1"/>
      </w:r>
      <w:r w:rsidR="009F5E41">
        <w:rPr>
          <w:rFonts w:ascii="Times New Roman" w:hAnsi="Times New Roman" w:cs="Times New Roman"/>
          <w:lang w:val="en-GB"/>
        </w:rPr>
        <w:instrText>ADDIN CSL_CITATION {"citationItems":[{"id":"ITEM-1","itemData":{"DOI":"10.1016/j.scr.2015.07.005","ISBN":"1876-7753 (Electronic)","ISSN":"18767753","PMID":"26255853","abstract":"Striated skeletal muscle cells from humans represent a valuable source for in vitro studies of the motoric system as well as for pathophysiological investigations in the clinical settings. Myoblasts can readily be grown from human muscle tissue. However, if muscle tissue is unavailable, myogenic cells can be generated from human induced pluripotent stem cells (hiPSCs) preferably without genetic engineering. Our study aimed to optimize the generation of hiPSCs derived myogenic cells by employing selection of CD34 positive cells and followed by distinct, stepwise culture conditions. Following the expansion of CD34 positive single cells under myogenic cell culture conditions, serum deprived myoblast-like cells finally fused and formed multinucleated striated myotubes that expressed a set of key markers for muscle differentiation. In addition, these myotubes contracted upon electrical stimulation, responded to acetylcholine (Ach) and were able to generate action potentials. Finally, we co-cultured motoneurons and myotubes generated from identical hiPSCs cell lines. We could observe the early aggregation of acetylcholine receptors in muscle cells of immature co-cultures. At later stages, we identified and characterised mature neuromuscular junctions (NMJs). In summary, we describe here the successful generation of an iPS cell derived functional cellular system consisting of two distinct communicating cells types. This in vitro co-culture system could therefore contribute to research on diseases in which the motoneurons and the NMJ are predominantly affected, such as in amyotrophic lateral sclerosis or spinal muscular atrophy.","author":[{"dropping-particle":"","family":"Demestre","given":"M.","non-dropping-particle":"","parse-names":false,"suffix":""},{"dropping-particle":"","family":"Orth","given":"M.","non-dropping-particle":"","parse-names":false,"suffix":""},{"dropping-particle":"","family":"Föhr","given":"K. J.","non-dropping-particle":"","parse-names":false,"suffix":""},{"dropping-particle":"","family":"Achberger","given":"K.","non-dropping-particle":"","parse-names":false,"suffix":""},{"dropping-particle":"","family":"Ludolph","given":"A. C.","non-dropping-particle":"","parse-names":false,"suffix":""},{"dropping-particle":"","family":"Liebau","given":"S.","non-dropping-particle":"","parse-names":false,"suffix":""},{"dropping-particle":"","family":"Boeckers","given":"T. M.","non-dropping-particle":"","parse-names":false,"suffix":""}],"container-title":"Stem Cell Research","id":"ITEM-1","issue":"2","issued":{"date-parts":[["2015"]]},"page":"328-336","publisher":"The Authors","title":"Formation and characterisation of neuromuscular junctions between hiPSC derived motoneurons and myotubes","type":"article-journal","volume":"15"},"uris":["http://www.mendeley.com/documents/?uuid=4c0a0136-9750-4f27-aa9c-182b4bef8f3f"]},{"id":"ITEM-2","itemData":{"DOI":"10.1016/j.biomaterials.2011.09.014","ISBN":"4078822819","ISSN":"01429612","PMID":"21944471","abstract":"Functional in vitro models composed of human cells will constitute an important platform in the next generation of system biology and drug discovery. This study reports a novel human-based in vitro Neuromuscular Junction (NMJ) system developed in a defined serum-free medium and on a patternable non-biological surface. The motoneurons and skeletal muscles were derived from fetal spinal stem cells and skeletal muscle stem cells. The motoneurons and skeletal myotubes were completely differentiated in the co-culture based on morphological analysis and electrophysiology. NMJ formation was demonstrated by phase contrast microscopy, immunocytochemistry and the observation of motoneuron-induced muscle contractions utilizing time-lapse recordings and their subsequent quenching by d-Tubocurarine. Generally, functional human based systems would eliminate the issue of species variability during the drug development process and its derivation from stem cells bypasses the restrictions inherent with utilization of primary human tissue. This defined human-based NMJ system is one of the first steps in creating functional in vitro systems and will play an important role in understanding NMJ development, in developing high information content drug screens and as test beds in preclinical studies for spinal or muscular diseases/injuries such as muscular dystrophy, Amyotrophic lateral sclerosis and spinal cord repair. ?? 2011 Elsevier Ltd.","author":[{"dropping-particle":"","family":"Guo","given":"Xiufang","non-dropping-particle":"","parse-names":false,"suffix":""},{"dropping-particle":"","family":"Gonzalez","given":"Mercedes","non-dropping-particle":"","parse-names":false,"suffix":""},{"dropping-particle":"","family":"Stancescu","given":"Maria","non-dropping-particle":"","parse-names":false,"suffix":""},{"dropping-particle":"","family":"Vandenburgh","given":"Herman H.","non-dropping-particle":"","parse-names":false,"suffix":""},{"dropping-particle":"","family":"Hickman","given":"James J.","non-dropping-particle":"","parse-names":false,"suffix":""}],"container-title":"Biomaterials","id":"ITEM-2","issue":"36","issued":{"date-parts":[["2011"]]},"page":"9602-9611","publisher":"Elsevier Ltd","title":"Neuromuscular junction formation between human stem cell-derived motoneurons and human skeletal muscle in a defined system","type":"article-journal","volume":"32"},"uris":["http://www.mendeley.com/documents/?uuid=c7005c5c-c1e4-4602-a661-c085208863aa"]},{"id":"ITEM-3","itemData":{"DOI":"10.1172/jci.insight.124299","ISSN":"23793708","PMID":"31534050","abstract":"The control of voluntary skeletal muscle contraction relies on action potentials, which send signals from the motor neuron through the neuromuscular junction (NMJ). Although dysfunction of the NMJ causes various neuromuscular diseases, a reliable in vitro system for disease modeling is currently unavailable. Here, we present a potentially novel 2-step, self-organizing approach for generating in vitro human NMJs from human induced pluripotent stem cells. Our simple and robust approach results in a complex NMJ structure that includes functional connectivity, recapitulating in vivo synapse formation. We used these in vitro NMJs to model the pathological features of spinal muscular atrophy, revealing the developmental and functional defects of NMJ formation and NMJ-dependent muscular contraction. Our differentiation system is therefore useful for investigating and understanding the physiology and pathology of human NMJs.","author":[{"dropping-particle":"","family":"Lin","given":"Chuang Yu","non-dropping-particle":"","parse-names":false,"suffix":""},{"dropping-particle":"","family":"Yoshida","given":"Michiko","non-dropping-particle":"","parse-names":false,"suffix":""},{"dropping-particle":"","family":"Li","given":"Li Tzu","non-dropping-particle":"","parse-names":false,"suffix":""},{"dropping-particle":"","family":"Ikenaka","given":"Akihiro","non-dropping-particle":"","parse-names":false,"suffix":""},{"dropping-particle":"","family":"Oshima","given":"Shiori","non-dropping-particle":"","parse-names":false,"suffix":""},{"dropping-particle":"","family":"Nakagawa","given":"Kazuhiro","non-dropping-particle":"","parse-names":false,"suffix":""},{"dropping-particle":"","family":"Sakurai","given":"Hidetoshi","non-dropping-particle":"","parse-names":false,"suffix":""},{"dropping-particle":"","family":"Matsui","given":"Eriko","non-dropping-particle":"","parse-names":false,"suffix":""},{"dropping-particle":"","family":"Nakahata","given":"Tatsutoshi","non-dropping-particle":"","parse-names":false,"suffix":""},{"dropping-particle":"","family":"Saito","given":"Megumu K.","non-dropping-particle":"","parse-names":false,"suffix":""}],"container-title":"JCI Insight","id":"ITEM-3","issue":"18","issued":{"date-parts":[["2019"]]},"page":"e124299","title":"IPSC-derived functional human neuromuscular junctions model the pathophysiology of neuromuscular diseases","type":"article-journal","volume":"4"},"uris":["http://www.mendeley.com/documents/?uuid=2177f89f-1c9d-4076-abd4-821c55b88c42"]},{"id":"ITEM-4","itemData":{"DOI":"10.3389/fncel.2015.00473","ISSN":"1662-5102","PMID":"26696831","abstract":"Several neuromuscular diseases involve dysfunction of neuromuscular junctions (NMJs), yet there are no patient-specific human models for electrophysiological characterization of NMJ. We seeded cells of neurally-induced embryoid body-like spheres derived from induced pluripotent stem cell (iPSC) or embryonic stem cell (ESC) lines as monolayers without basic fibroblast factor (bFGF) and observed differentiation of neuronal as well as spontaneously contracting, multinucleated skeletal myotubes. The myotubes showed striation, immunoreactivity for myosin heavy chain, actin bundles typical for myo-oriented cells, and generated spontaneous and evoked action potentials (APs). The myogenic differentiation was associated with expression of MyoD1, myogenin and type I ryanodine receptor. Neurons formed end plate like structures with strong binding of α-bungarotoxin, a marker of nicotinic acetylcholine receptors highly expressed in the postsynaptic membrane of NMJs, and expressed SMI-32, a motoneuron marker, as well as SV2, a marker for synapses. Pharmacological stimulation of cholinergic receptors resulted in strong depolarization of myotube membrane and raised Ca(2+) concentration in sarcoplasm, while electrical stimulation evoked Ca(2+) transients in myotubes. Stimulation of motoneurons with N-Methyl-D-aspartate resulted in reproducible APs in myotubes and end plates displayed typical mEPPs and tonic activity depolarizing myotubes of about 10 mV. We conclude that simultaneous differentiation of neurons and myotubes from patient-specific iPSCs or ESCs results also in the development of functional NMJs. Our human model of NMJ may serve as an important tool to investigate normal development, mechanisms of diseases and novel drug targets involving NMJ dysfunction and degeneration.","author":[{"dropping-particle":"","family":"Puttonen","given":"Katja A.","non-dropping-particle":"","parse-names":false,"suffix":""},{"dropping-particle":"","family":"Ruponen","given":"Marika","non-dropping-particle":"","parse-names":false,"suffix":""},{"dropping-particle":"","family":"Naumenko","given":"Nikolay","non-dropping-particle":"","parse-names":false,"suffix":""},{"dropping-particle":"","family":"Hovatta","given":"Outi H.","non-dropping-particle":"","parse-names":false,"suffix":""},{"dropping-particle":"","family":"Tavi","given":"Pasi","non-dropping-particle":"","parse-names":false,"suffix":""},{"dropping-particle":"","family":"Koistinaho","given":"Jari","non-dropping-particle":"","parse-names":false,"suffix":""}],"container-title":"Frontiers in Cellular Neuroscience","id":"ITEM-4","issued":{"date-parts":[["2015"]]},"page":"473","title":"Generation of Functional Neuromuscular Junctions from Human Pluripotent Stem Cell Lines","type":"article-journal","volume":"9"},"uris":["http://www.mendeley.com/documents/?uuid=83c5c711-4915-4a9d-9599-f83d7b29d94b"]},{"id":"ITEM-5","itemData":{"DOI":"10.1371/journal.pone.0036049","ISBN":"1932-6203 (Electronic)\\r1932-6203 (Linking)","ISSN":"19326203","PMID":"22574134","abstract":"A key objective of stem cell biology is to create physiologically relevant cells suitable for modeling disease pathologies in vitro. Much progress towards this goal has been made in the area of motor neuron (MN) disease through the development of methods to direct spinal MN formation from both embryonic and induced pluripotent stem cells. Previous studies have characterized these neurons with respect to their molecular and intrinsic functional properties. However, the synaptic activity of stem cell-derived MNs remains less well defined. In this study, we report the development of low-density co-culture conditions that encourage the formation of active neuromuscular synapses between stem cell-derived MNs and muscle cells in vitro. Fluorescence microscopy reveals the expression of numerous synaptic proteins at these contacts, while dual patch clamp recording detects both spontaneous and multi-quantal evoked synaptic responses similar to those observed in vivo. Together, these findings demonstrate that stem cell-derived MNs innervate muscle cells in a functionally relevant manner. This dual recording approach further offers a sensitive and quantitative assay platform to probe disorders of synaptic dysfunction associated with MN disease.","author":[{"dropping-particle":"","family":"Umbach","given":"Joy A.","non-dropping-particle":"","parse-names":false,"suffix":""},{"dropping-particle":"","family":"Adams","given":"Katrina L.","non-dropping-particle":"","parse-names":false,"suffix":""},{"dropping-particle":"","family":"Gundersen","given":"Cameron B.","non-dropping-particle":"","parse-names":false,"suffix":""},{"dropping-particle":"","family":"Novitch","given":"Bennett G.","non-dropping-particle":"","parse-names":false,"suffix":""}],"container-title":"PLoS ONE","id":"ITEM-5","issued":{"date-parts":[["2012"]]},"page":"e36049","title":"Functional neuromuscular junctions formed by embryonic stem cell-derived motor neurons","type":"article-journal","volume":"7"},"uris":["http://www.mendeley.com/documents/?uuid=2f744b56-68e8-4ee6-87af-f9ba89c515cc"]},{"id":"ITEM-6","itemData":{"DOI":"10.1016/j.biomaterials.2019.119537","ISSN":"18785905","PMID":"31614290","abstract":"Neuromuscular circuits (NMCs) are vital for voluntary movement, and effective models of NMCs are needed to understand the pathogenesis of, as well as to identify effective treatments for, multiple diseases, including Duchenne's muscular dystrophy and amyotrophic lateral sclerosis. Microfluidics are ideal for recapitulating the central and peripheral compartments of NMCs, but myotubes often detach before functional NMCs are formed. In addition, microfluidic systems are often limited to a single experimental unit, which significantly limits their application in disease modeling and drug discovery. Here, we developed a microfluidic platform (MFP) containing over 100 experimental units, making it suitable for medium-throughput applications. To overcome detachment, we incorporated a reactive polymer surface allowing customization of the environment to culture different cell types. Using this approach, we identified conditions that enable long-term co-culture of human motor neurons and myotubes differentiated from human induced pluripotent stem cells inside our MFP. Optogenetics demonstrated the formation of functional NMCs. Furthermore, we developed a novel application of the rabies tracing assay to efficiently identify NMCs in our MFP. Therefore, our MFP enables large-scale generation and quantification of functional NMCs for disease modeling and pharmacological drug targeting.","author":[{"dropping-particle":"","family":"Bellmann","given":"Jessica","non-dropping-particle":"","parse-names":false,"suffix":""},{"dropping-particle":"","family":"Goswami","given":"Ruchi Y.","non-dropping-particle":"","parse-names":false,"suffix":""},{"dropping-particle":"","family":"Girardo","given":"Salvatore","non-dropping-particle":"","parse-names":false,"suffix":""},{"dropping-particle":"","family":"Rein","given":"Nelly","non-dropping-particle":"","parse-names":false,"suffix":""},{"dropping-particle":"","family":"Hosseinzadeh","given":"Zohreh","non-dropping-particle":"","parse-names":false,"suffix":""},{"dropping-particle":"","family":"Hicks","given":"Michael R.","non-dropping-particle":"","parse-names":false,"suffix":""},{"dropping-particle":"","family":"Busskamp","given":"Volker","non-dropping-particle":"","parse-names":false,"suffix":""},{"dropping-particle":"","family":"Pyle","given":"April D.","non-dropping-particle":"","parse-names":false,"suffix":""},{"dropping-particle":"","family":"Werner","given":"Carsten","non-dropping-particle":"","parse-names":false,"suffix":""},{"dropping-particle":"","family":"Sterneckert","given":"Jared","non-dropping-particle":"","parse-names":false,"suffix":""}],"container-title":"Biomaterials","id":"ITEM-6","issued":{"date-parts":[["2019"]]},"page":"119537","title":"A customizable microfluidic platform for medium-throughput modeling of neuromuscular circuits","type":"article-journal","volume":"225"},"uris":["http://www.mendeley.com/documents/?uuid=e396078e-394b-41a6-8c79-9b679e451570"]},{"id":"ITEM-7","itemData":{"DOI":"10.1016/j.molmet.2017.11.001","ISSN":"22128778","PMID":"29157948","abstract":"Objective We examined whether skeletal muscle overexpression of PGC-1α1 or PGC-1α4 affected myokine secretion and neuromuscular junction (NMJ) formation. Methods A microfluidic device was used to model endocrine signaling and NMJ formation between primary mouse myoblast-derived myotubes and embryonic stem cell-derived motor neurons. Differences in hydrostatic pressure allowed for fluidic isolation of either cell type or unidirectional signaling in the fluid phase. Myotubes were transduced to overexpress PGC-1α1 or PGC-1α4, and myokine secretion was quantified using a proximity extension assay. Morphological and functional changes in NMJs were measured by fluorescent microscopy and by monitoring muscle contraction upon motor neuron stimulation. Results Skeletal muscle transduction with PGC-1α1, but not PGC-1α4, increased NMJ formation and size. PGC-1α1 increased muscle secretion of neurturin, which was sufficient and necessary for the effects of muscle PGC-1α1 on NMJ formation. Conclusions Our findings indicate that neurturin is a mediator of PGC-1α1-dependent retrograde signaling from muscle to motor neurons.","author":[{"dropping-particle":"","family":"Mills","given":"Richard","non-dropping-particle":"","parse-names":false,"suffix":""},{"dropping-particle":"","family":"Taylor-Weiner","given":"Hermes","non-dropping-particle":"","parse-names":false,"suffix":""},{"dropping-particle":"","family":"Correia","given":"Jorge C.","non-dropping-particle":"","parse-names":false,"suffix":""},{"dropping-particle":"","family":"Agudelo","given":"Leandro Z.","non-dropping-particle":"","parse-names":false,"suffix":""},{"dropping-particle":"","family":"Allodi","given":"Ilary","non-dropping-particle":"","parse-names":false,"suffix":""},{"dropping-particle":"","family":"Kolonelou","given":"Christina","non-dropping-particle":"","parse-names":false,"suffix":""},{"dropping-particle":"","family":"Martinez-Redondo","given":"Vicente","non-dropping-particle":"","parse-names":false,"suffix":""},{"dropping-particle":"","family":"Ferreira","given":"Duarte M.S.","non-dropping-particle":"","parse-names":false,"suffix":""},{"dropping-particle":"","family":"Nichterwitz","given":"Susanne","non-dropping-particle":"","parse-names":false,"suffix":""},{"dropping-particle":"","family":"Comley","given":"Laura H.","non-dropping-particle":"","parse-names":false,"suffix":""},{"dropping-particle":"","family":"Lundin","given":"Vanessa","non-dropping-particle":"","parse-names":false,"suffix":""},{"dropping-particle":"","family":"Hedlund","given":"Eva","non-dropping-particle":"","parse-names":false,"suffix":""},{"dropping-particle":"","family":"Ruas","given":"Jorge L.","non-dropping-particle":"","parse-names":false,"suffix":""},{"dropping-particle":"","family":"Teixeira","given":"Ana I.","non-dropping-particle":"","parse-names":false,"suffix":""}],"container-title":"Molecular Metabolism","id":"ITEM-7","issued":{"date-parts":[["2018"]]},"page":"12-22","publisher":"Elsevier GmbH","title":"Neurturin is a PGC-1α1-controlled myokine that promotes motor neuron recruitment and neuromuscular junction formation","type":"article-journal","volume":"7"},"uris":["http://www.mendeley.com/documents/?uuid=a01e05b1-276d-4833-a879-803410658a03"]},{"id":"ITEM-8","itemData":{"DOI":"10.1126/sciadv.aat5847","abstract":"Amyotrophic lateral sclerosis (ALS), a progressive neurodegenerative disease involving loss of motor neurons (MNs) and muscle atrophy, still has no effective treatment, despite much research effort. To provide a platform for testing drug candidates and investigating the pathogenesis of ALS, we developed an ALS-on-a-chip technology (i.e., an ALS motor unit) using three-dimensional skeletal muscle bundles along with induced pluripotent stem cell (iPSC)–derived and light-sensitive channelrhodopsin-2–induced MN spheroids from a patient with sporadic ALS. Each tissue was cultured in a different compartment of a microfluidic device. Axon outgrowth formed neuromuscular junctions on the muscle fiber bundles. Light was used to activate muscle contraction, which was measured on the basis of pillar deflections. Compared to a non-ALS motor unit, the ALS motor unit generated fewer muscle contractions, there was MN degradation, and apoptosis increased in the muscle. Furthermore, the muscle contractions were recovered by single treatments and cotreatment with rapamycin (a mechanistic target of rapamycin inhibitor) and bosutinib (an Src/c-Abl inhibitor). This recovery was associated with up-regulation of autophagy and degradation of TAR DNA binding protein–43 in the MNs. Moreover, administering the drugs via an endothelial cell barrier decreased the expression of P-glycoprotein (an efflux pump that transports bosutinib) in the endothelial cells, indicating that rapamycin and bosutinib cotreatment has considerable potential for ALS treatment. This ALS-on-a-chip and optogenetics technology could help to elucidate the pathogenesis of ALS and to screen for drug candidates.","author":[{"dropping-particle":"","family":"Osaki","given":"Tatsuya","non-dropping-particle":"","parse-names":false,"suffix":""},{"dropping-particle":"","family":"Uzel","given":"Sebastien G. M.","non-dropping-particle":"","parse-names":false,"suffix":""},{"dropping-particle":"","family":"Kamm","given":"Roger D.","non-dropping-particle":"","parse-names":false,"suffix":""}],"container-title":"Science Advances","id":"ITEM-8","issue":"10","issued":{"date-parts":[["2018"]]},"page":"eaat5847","title":"Microphysiological 3D model of amyotrophic lateral sclerosis (ALS) from human iPS-derived muscle cells and optogenetic motor neurons","type":"article-journal","volume":"4"},"uris":["http://www.mendeley.com/documents/?uuid=1cbd4892-37f7-407a-b2bc-a7ce7e8be56e"]},{"id":"ITEM-9","itemData":{"DOI":"10.1016/j.biomaterials.2018.02.047","ISSN":"18785905","abstract":"There are currently no functional neuromuscular junction (hNMJ) systems composed of human cells that could be used for drug evaluations or toxicity testing in vitro. These systems are needed to evaluate NMJs for diseases such as amyotrophic lateral sclerosis, spinal muscular atrophy or other neurodegenerative diseases or injury states. There are certainly no model systems, animal or human, that allows for isolated treatment of motoneurons or muscle capable of generating dose response curves to evaluate pharmacological activity of these highly specialized functional units. A system was developed in which human myotubes and motoneurons derived from stem cells were cultured in a serum-free medium in a BioMEMS construct. The system is composed of two chambers linked by microtunnels to enable axonal outgrowth to the muscle chamber that allows separate stimulation of each component and physiological NMJ function and MN stimulated tetanus. The muscle's contractions, induced by motoneuron activation or direct electrical stimulation, were monitored by image subtraction video recording for both frequency and amplitude. Bungarotoxin, BOTOX®and curare dose response curves were generated to demonstrate pharmacological relevance of the phenotypic screening device. This quantifiable functional hNMJ system establishes a platform for generating patient-specific NMJ models by including patient-derived iPSCs.","author":[{"dropping-particle":"","family":"Santhanam","given":"Navaneetha","non-dropping-particle":"","parse-names":false,"suffix":""},{"dropping-particle":"","family":"Kumanchik","given":"Lee","non-dropping-particle":"","parse-names":false,"suffix":""},{"dropping-particle":"","family":"Guo","given":"Xiufang","non-dropping-particle":"","parse-names":false,"suffix":""},{"dropping-particle":"","family":"Sommerhage","given":"Frank","non-dropping-particle":"","parse-names":false,"suffix":""},{"dropping-particle":"","family":"Cai","given":"Yunqing","non-dropping-particle":"","parse-names":false,"suffix":""},{"dropping-particle":"","family":"Jackson","given":"Max","non-dropping-particle":"","parse-names":false,"suffix":""},{"dropping-particle":"","family":"Martin","given":"Candace","non-dropping-particle":"","parse-names":false,"suffix":""},{"dropping-particle":"","family":"Saad","given":"George","non-dropping-particle":"","parse-names":false,"suffix":""},{"dropping-particle":"","family":"McAleer","given":"Christopher W.","non-dropping-particle":"","parse-names":false,"suffix":""},{"dropping-particle":"","family":"Wang","given":"Ying","non-dropping-particle":"","parse-names":false,"suffix":""},{"dropping-particle":"","family":"Lavado","given":"Andrea","non-dropping-particle":"","parse-names":false,"suffix":""},{"dropping-particle":"","family":"Long","given":"Christopher J.","non-dropping-particle":"","parse-names":false,"suffix":""},{"dropping-particle":"","family":"Hickman","given":"James J.","non-dropping-particle":"","parse-names":false,"suffix":""}],"container-title":"Biomaterials","id":"ITEM-9","issued":{"date-parts":[["2018"]]},"page":"64-78","publisher":"Elsevier Ltd","title":"Stem cell derived phenotypic human neuromuscular junction model for dose response evaluation of therapeutics","type":"article-journal","volume":"166"},"uris":["http://www.mendeley.com/documents/?uuid=dd9a7ae5-e2a4-4d4b-beb9-bafcbdfb9c9d"]},{"id":"ITEM-10","itemData":{"DOI":"10.1016/j.jneumeth.2013.06.002","ISBN":"1872-678X (Electronic)\\r0165-0270 (Linking)","ISSN":"01650270","PMID":"23774648","abstract":"Modelling the complex process of neuromuscular signalling is key to understanding not only normal circuit function but also importantly the mechanisms underpinning a range of degenerative diseases. We describe a novel in vitro model of the lower motor neuron-neuromuscular junction circuit, incorporating primary spinal motor neurons, supporting glia and skeletal muscle. This culture model is designed to spatially mimic the unique anatomical and cellular interactions of this circuit in compartmented microfluidic devices, such that the glial cells are located with motor neuron cell bodies in the cell body chamber and motor neuron axons extend to a distal chamber containing skeletal muscle cells whilst simultaneously allowing targeted intervention. This model is suitable for use in conjunction with a range of downstream experimental approaches and could also be modified to utilise other cellular sources including appropriate immortal cell lines, cells derived from transgenic models of disease and also patient derived stem cells. © 2013 Elsevier B.V.","author":[{"dropping-particle":"","family":"Southam","given":"Katherine A.","non-dropping-particle":"","parse-names":false,"suffix":""},{"dropping-particle":"","family":"King","given":"Anna E.","non-dropping-particle":"","parse-names":false,"suffix":""},{"dropping-particle":"","family":"Blizzard","given":"Catherine A.","non-dropping-particle":"","parse-names":false,"suffix":""},{"dropping-particle":"","family":"McCormack","given":"Graeme H.","non-dropping-particle":"","parse-names":false,"suffix":""},{"dropping-particle":"","family":"Dickson","given":"Tracey C.","non-dropping-particle":"","parse-names":false,"suffix":""}],"container-title":"Journal of Neuroscience Methods","id":"ITEM-10","issue":"2","issued":{"date-parts":[["2013"]]},"page":"164-169","publisher":"Elsevier B.V.","title":"Microfluidic primary culture model of the lower motor neuron-neuromuscular junction circuit","type":"article-journal","volume":"218"},"uris":["http://www.mendeley.com/documents/?uuid=094d403b-da8f-47fc-963c-93e11ca4fbb5"]},{"id":"ITEM-11","itemData":{"DOI":"10.1242/jcs.167544","ISBN":"0142-9612","ISSN":"0021-9533","PMID":"25632161","abstract":"Bidirectional molecular communication between the motoneuron and the muscle is vital for neuromuscular junction (NMJ) formation and maintenance. The molecular mechanisms underlying such communication are of keen interest and could provide new targets for intervention in motoneuron disease. Here, we developed a microfluidic platform with motoneuron cell bodies on one side and muscle cells on the other, connected by motor axons extending through microgrooves to form functional NMJs. Using this system, we were able to differentiate between the proximal and distal effects of oxidative stress and glial-derived neurotrophic factor (GDNF), demonstrating a dying-back degeneration and retrograde transmission of pro-survival signaling, respectively. Furthermore, we show that GDNF acts differently on motoneuron axons versus soma, promoting axonal growth and innervation only when applied locally to axons. Finally, we track for the first time the retrograde transport of secreted GDNF from muscle to neuron. Thus, our data suggests spatially distinct effects of GDNF--facilitating growth and muscle innervation at axon terminals and survival pathways in the soma.","author":[{"dropping-particle":"","family":"Zahavi","given":"E. E.","non-dropping-particle":"","parse-names":false,"suffix":""},{"dropping-particle":"","family":"Ionescu","given":"A.","non-dropping-particle":"","parse-names":false,"suffix":""},{"dropping-particle":"","family":"Gluska","given":"S.","non-dropping-particle":"","parse-names":false,"suffix":""},{"dropping-particle":"","family":"Gradus","given":"T.","non-dropping-particle":"","parse-names":false,"suffix":""},{"dropping-particle":"","family":"Ben-Yaakov","given":"K.","non-dropping-particle":"","parse-names":false,"suffix":""},{"dropping-particle":"","family":"Perlson","given":"E.","non-dropping-particle":"","parse-names":false,"suffix":""}],"container-title":"Journal of Cell Science","id":"ITEM-11","issue":"6","issued":{"date-parts":[["2015"]]},"page":"1241-1252","title":"A compartmentalized microfluidic neuromuscular co-culture system reveals spatial aspects of GDNF functions","type":"article-journal","volume":"128"},"uris":["http://www.mendeley.com/documents/?uuid=d47d8cd1-1aa9-49f8-baf7-354e2be63df8"]},{"id":"ITEM-12","itemData":{"DOI":"10.7150/thno.25735","ISSN":"18387640","PMID":"30867827","abstract":"The study of human neuromuscular diseases has traditionally been performed in animal models, due to the difficulty of performing studies in human subjects. Despite the unquestioned value of animal models, inter-species differences hamper the translation of these findings to clinical trials. Tissue-engineered models of the neuromuscular junction (NMJ) allow for the recapitulation of the human physiology in tightly controlled in vitro settings. Methods: Here we report the first human patient-specific tissue-engineered model of the neuromuscular junction (NMJ) that combines stem cell technology with tissue engineering, optogenetics, microfabrication and image processing. The combination of custom-made hardware and software allows for repeated, quantitative measurements of NMJ function in a user-independent manner. Results: We demonstrate the utility of this model for basic and translational research by characterizing in real time the functional changes during physiological and pathological processes. Principal Conclusions: This system holds great potential for the study of neuromuscular diseases and drug screening, allowing for the extraction of quantitative functional data from a human, patient-specific system.","author":[{"dropping-particle":"","family":"Vila","given":"Olaia F.","non-dropping-particle":"","parse-names":false,"suffix":""},{"dropping-particle":"","family":"Uzel","given":"Sebastien G.M.","non-dropping-particle":"","parse-names":false,"suffix":""},{"dropping-particle":"","family":"Ma","given":"Stephen P.","non-dropping-particle":"","parse-names":false,"suffix":""},{"dropping-particle":"","family":"Williams","given":"Damian","non-dropping-particle":"","parse-names":false,"suffix":""},{"dropping-particle":"","family":"Pak","given":"Joseph","non-dropping-particle":"","parse-names":false,"suffix":""},{"dropping-particle":"","family":"Kamm","given":"Roger D.","non-dropping-particle":"","parse-names":false,"suffix":""},{"dropping-particle":"","family":"Vunjak-Novakovic","given":"Gordana","non-dropping-particle":"","parse-names":false,"suffix":""}],"container-title":"Theranostics","id":"ITEM-12","issue":"5","issued":{"date-parts":[["2019"]]},"page":"1232-1246","title":"Quantification of human neuromuscular function through optogenetics","type":"article-journal","volume":"9"},"uris":["http://www.mendeley.com/documents/?uuid=8e5e3fa3-a808-4bab-b957-b05fed72df62"]}],"mendeley":{"formattedCitation":"&lt;sup&gt;5–16&lt;/sup&gt;","plainTextFormattedCitation":"5–16","previouslyFormattedCitation":"&lt;sup&gt;5–16&lt;/sup&gt;"},"properties":{"noteIndex":0},"schema":"https://github.com/citation-style-language/schema/raw/master/csl-c"}</w:instrText>
      </w:r>
      <w:r w:rsidRPr="00C66B0D">
        <w:rPr>
          <w:rFonts w:ascii="Times New Roman" w:hAnsi="Times New Roman" w:cs="Times New Roman"/>
          <w:vertAlign w:val="superscript"/>
          <w:lang w:val="en-GB"/>
        </w:rPr>
        <w:fldChar w:fldCharType="separate"/>
      </w:r>
      <w:r w:rsidR="008A60D0" w:rsidRPr="008A60D0">
        <w:rPr>
          <w:rFonts w:ascii="Times New Roman" w:hAnsi="Times New Roman" w:cs="Times New Roman"/>
          <w:noProof/>
          <w:vertAlign w:val="superscript"/>
          <w:lang w:val="en-GB"/>
        </w:rPr>
        <w:t>5–16</w:t>
      </w:r>
      <w:r w:rsidRPr="00C66B0D">
        <w:rPr>
          <w:rFonts w:ascii="Times New Roman" w:hAnsi="Times New Roman" w:cs="Times New Roman"/>
          <w:lang w:val="en-GB"/>
        </w:rPr>
        <w:fldChar w:fldCharType="end"/>
      </w:r>
      <w:r w:rsidRPr="00C66B0D">
        <w:rPr>
          <w:rFonts w:ascii="Times New Roman" w:hAnsi="Times New Roman" w:cs="Times New Roman"/>
          <w:lang w:val="en-GB"/>
        </w:rPr>
        <w:t>. However, they typically rely on single compartments, which lacks the compartmentalisation and fluidic isolation between cell types, or on custom-made culture vessels, which lowers the availability and potentially also the reproducibility.</w:t>
      </w:r>
      <w:r>
        <w:rPr>
          <w:rFonts w:ascii="Times New Roman" w:hAnsi="Times New Roman" w:cs="Times New Roman"/>
          <w:lang w:val="en-GB"/>
        </w:rPr>
        <w:t>”</w:t>
      </w:r>
    </w:p>
    <w:p w14:paraId="1FA3F407" w14:textId="77777777" w:rsidR="001273F4" w:rsidRDefault="0098309F" w:rsidP="003670F6">
      <w:pPr>
        <w:pStyle w:val="NoSpacing"/>
        <w:jc w:val="both"/>
        <w:rPr>
          <w:rFonts w:ascii="Times New Roman" w:hAnsi="Times New Roman" w:cs="Times New Roman"/>
          <w:b/>
          <w:lang w:val="en-US"/>
        </w:rPr>
        <w:sectPr w:rsidR="001273F4">
          <w:pgSz w:w="11906" w:h="16838"/>
          <w:pgMar w:top="1417" w:right="1417" w:bottom="1417" w:left="1417" w:header="708" w:footer="708" w:gutter="0"/>
          <w:cols w:space="708"/>
          <w:docGrid w:linePitch="360"/>
        </w:sectPr>
      </w:pPr>
      <w:r w:rsidRPr="003670F6">
        <w:rPr>
          <w:rFonts w:ascii="Times New Roman" w:hAnsi="Times New Roman" w:cs="Times New Roman"/>
          <w:b/>
          <w:lang w:val="en-US"/>
        </w:rPr>
        <w:br/>
      </w:r>
    </w:p>
    <w:p w14:paraId="07A88126" w14:textId="2CD91915"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Reviewer #2:</w:t>
      </w:r>
    </w:p>
    <w:p w14:paraId="2E0131E3" w14:textId="77777777"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Major Concerns:</w:t>
      </w:r>
    </w:p>
    <w:p w14:paraId="7F227FE8" w14:textId="77777777"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None.</w:t>
      </w:r>
      <w:r w:rsidRPr="003670F6">
        <w:rPr>
          <w:rFonts w:ascii="Times New Roman" w:hAnsi="Times New Roman" w:cs="Times New Roman"/>
          <w:b/>
          <w:lang w:val="en-US"/>
        </w:rPr>
        <w:br/>
      </w:r>
      <w:r w:rsidRPr="003670F6">
        <w:rPr>
          <w:rFonts w:ascii="Times New Roman" w:hAnsi="Times New Roman" w:cs="Times New Roman"/>
          <w:b/>
          <w:lang w:val="en-US"/>
        </w:rPr>
        <w:br/>
        <w:t>Minor Concerns:</w:t>
      </w:r>
    </w:p>
    <w:p w14:paraId="6B8FC4C1" w14:textId="77777777"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A minor drawback to all of this is that the iPS cell starting material is not available (I think?) and muscle + motor neuron differentiations depend (as the authors state) largely on the quality of the starting cell line. Many labs in this area have their own iPS lines and protocols that could be used in place of the authors, but for those who do not this limits the methods scope. This is not a necessarily a concern for the authors, but maybe they could (if they were willing) add a sentence to say that their starting material could be made available upon reasonable request? (acknowledging need for all regulatory MTAs TTAs). This really would maximise impact of the methods presented.</w:t>
      </w:r>
    </w:p>
    <w:p w14:paraId="31BE49FD" w14:textId="77777777" w:rsidR="005816A8" w:rsidRDefault="005816A8" w:rsidP="003670F6">
      <w:pPr>
        <w:pStyle w:val="NoSpacing"/>
        <w:jc w:val="both"/>
        <w:rPr>
          <w:rFonts w:ascii="Times New Roman" w:hAnsi="Times New Roman" w:cs="Times New Roman"/>
          <w:b/>
          <w:lang w:val="en-US"/>
        </w:rPr>
      </w:pPr>
    </w:p>
    <w:p w14:paraId="21142643" w14:textId="7E9D49A6" w:rsidR="006726E6" w:rsidRDefault="006726E6" w:rsidP="003670F6">
      <w:pPr>
        <w:pStyle w:val="NoSpacing"/>
        <w:jc w:val="both"/>
        <w:rPr>
          <w:rFonts w:ascii="Times New Roman" w:hAnsi="Times New Roman" w:cs="Times New Roman"/>
          <w:lang w:val="en-US"/>
        </w:rPr>
      </w:pPr>
      <w:r>
        <w:rPr>
          <w:rFonts w:ascii="Times New Roman" w:hAnsi="Times New Roman" w:cs="Times New Roman"/>
          <w:lang w:val="en-US"/>
        </w:rPr>
        <w:t>Thank you very much for this comment. We indeed specify that the best outcome can be expected from a pure population of iPSCs as well as the MABs ability to fuse into multinucleated myotubes. Despite this statement, we believe that there is very little variability between different lines. We successfully used this protocol to generate NMJs from four different iPSC lines (two different ALS-patient iPSC lines and two corresponding isogenic control iPSC lines)</w:t>
      </w:r>
      <w:r>
        <w:rPr>
          <w:rFonts w:ascii="Times New Roman" w:hAnsi="Times New Roman" w:cs="Times New Roman"/>
          <w:lang w:val="en-US"/>
        </w:rPr>
        <w:fldChar w:fldCharType="begin" w:fldLock="1"/>
      </w:r>
      <w:r w:rsidR="009F5E41">
        <w:rPr>
          <w:rFonts w:ascii="Times New Roman" w:hAnsi="Times New Roman" w:cs="Times New Roman"/>
          <w:lang w:val="en-US"/>
        </w:rPr>
        <w:instrText>ADDIN CSL_CITATION {"citationItems":[{"id":"ITEM-1","itemData":{"ISSN":"22136711","author":[{"dropping-particle":"","family":"Stoklund Dittlau","given":"Katarina","non-dropping-particle":"","parse-names":false,"suffix":""},{"dropping-particle":"","family":"Krasnow","given":"Emily N.","non-dropping-particle":"","parse-names":false,"suffix":""},{"dropping-particle":"","family":"Fumagalli","given":"Laura","non-dropping-particle":"","parse-names":false,"suffix":""},{"dropping-particle":"","family":"Vandoorne","given":"Tijs","non-dropping-particle":"","parse-names":false,"suffix":""},{"dropping-particle":"","family":"Baatsen","given":"Pieter","non-dropping-particle":"","parse-names":false,"suffix":""},{"dropping-particle":"","family":"Kerstens","given":"Axelle","non-dropping-particle":"","parse-names":false,"suffix":""},{"dropping-particle":"","family":"Giacomazzi","given":"Giorgia","non-dropping-particle":"","parse-names":false,"suffix":""},{"dropping-particle":"","family":"Pavie","given":"Benjamin","non-dropping-particle":"","parse-names":false,"suffix":""},{"dropping-particle":"","family":"Rossaert","given":"Elisabeth","non-dropping-particle":"","parse-names":false,"suffix":""},{"dropping-particle":"","family":"Beckers","given":"Jimmy","non-dropping-particle":"","parse-names":false,"suffix":""},{"dropping-particle":"","family":"Sampaolesi","given":"Maurilio","non-dropping-particle":"","parse-names":false,"suffix":""},{"dropping-particle":"","family":"Damme","given":"Philip","non-dropping-particle":"Van","parse-names":false,"suffix":""},{"dropping-particle":"","family":"Bosch","given":"Ludo","non-dropping-particle":"Van Den","parse-names":false,"suffix":""}],"container-title":"Stem Cell Reports","id":"ITEM-1","issued":{"date-parts":[["2021","4"]]},"page":"doi: 10.1016/j.stemcr.2021.03.029","publisher":"Stem Cell Reports","title":"Human motor units in microfluidic devices are impaired by FUS mutations and improved by HDAC6 inhibition","type":"article-journal"},"uris":["http://www.mendeley.com/documents/?uuid=36f23229-9d6e-381f-9e0e-6d9567dd0e66"]}],"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vertAlign w:val="superscript"/>
          <w:lang w:val="en-US"/>
        </w:rPr>
        <w:fldChar w:fldCharType="separate"/>
      </w:r>
      <w:r w:rsidR="008A60D0" w:rsidRPr="008A60D0">
        <w:rPr>
          <w:rFonts w:ascii="Times New Roman" w:hAnsi="Times New Roman" w:cs="Times New Roman"/>
          <w:noProof/>
          <w:vertAlign w:val="superscript"/>
          <w:lang w:val="en-US"/>
        </w:rPr>
        <w:t>4</w:t>
      </w:r>
      <w:r>
        <w:rPr>
          <w:rFonts w:ascii="Times New Roman" w:hAnsi="Times New Roman" w:cs="Times New Roman"/>
          <w:lang w:val="en-US"/>
        </w:rPr>
        <w:fldChar w:fldCharType="end"/>
      </w:r>
      <w:r>
        <w:rPr>
          <w:rFonts w:ascii="Times New Roman" w:hAnsi="Times New Roman" w:cs="Times New Roman"/>
          <w:lang w:val="en-US"/>
        </w:rPr>
        <w:t xml:space="preserve">. This </w:t>
      </w:r>
      <w:r w:rsidR="00024E5E">
        <w:rPr>
          <w:rFonts w:ascii="Times New Roman" w:hAnsi="Times New Roman" w:cs="Times New Roman"/>
          <w:lang w:val="en-US"/>
        </w:rPr>
        <w:t xml:space="preserve">suggests that all iPSC lines can be used in this model, and that the donor is less important. </w:t>
      </w:r>
      <w:r w:rsidR="00062DD2">
        <w:rPr>
          <w:rFonts w:ascii="Times New Roman" w:hAnsi="Times New Roman" w:cs="Times New Roman"/>
          <w:lang w:val="en-US"/>
        </w:rPr>
        <w:t xml:space="preserve">We are willing to share our material although we are convinced that the successful replication of this method does not depend on the availability of these specific lines. </w:t>
      </w:r>
    </w:p>
    <w:p w14:paraId="08D1FAC5" w14:textId="77777777" w:rsidR="006726E6" w:rsidRDefault="006726E6" w:rsidP="003670F6">
      <w:pPr>
        <w:pStyle w:val="NoSpacing"/>
        <w:jc w:val="both"/>
        <w:rPr>
          <w:rFonts w:ascii="Times New Roman" w:hAnsi="Times New Roman" w:cs="Times New Roman"/>
          <w:lang w:val="en-US"/>
        </w:rPr>
      </w:pPr>
    </w:p>
    <w:p w14:paraId="29938557" w14:textId="4C21FFD2"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 xml:space="preserve">Reviewer #3: </w:t>
      </w:r>
    </w:p>
    <w:p w14:paraId="612D05FE" w14:textId="77777777" w:rsidR="00585AE7"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lastRenderedPageBreak/>
        <w:t>I have a few general remarks/questions.</w:t>
      </w:r>
    </w:p>
    <w:p w14:paraId="01B4AF9E" w14:textId="77777777" w:rsidR="008736FD"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First, the authors describe the formation of a volumetric/chemotactic gradient. As they provide no evidence that true gradients are formed (or if so what these look like) I was wondering whether there is previous work to suggest that the devices used allow formation of proteins gradients?</w:t>
      </w:r>
      <w:r w:rsidRPr="003670F6">
        <w:rPr>
          <w:rFonts w:ascii="Times New Roman" w:hAnsi="Times New Roman" w:cs="Times New Roman"/>
          <w:b/>
          <w:lang w:val="en-US"/>
        </w:rPr>
        <w:br/>
      </w:r>
    </w:p>
    <w:p w14:paraId="63DBBCF4" w14:textId="7F408BC5" w:rsidR="0032359A" w:rsidRDefault="0034671E" w:rsidP="003670F6">
      <w:pPr>
        <w:pStyle w:val="NoSpacing"/>
        <w:jc w:val="both"/>
        <w:rPr>
          <w:rFonts w:ascii="Times New Roman" w:hAnsi="Times New Roman" w:cs="Times New Roman"/>
          <w:lang w:val="en-US"/>
        </w:rPr>
      </w:pPr>
      <w:r>
        <w:rPr>
          <w:rFonts w:ascii="Times New Roman" w:hAnsi="Times New Roman" w:cs="Times New Roman"/>
          <w:lang w:val="en-US"/>
        </w:rPr>
        <w:t>Thank you very much for this question</w:t>
      </w:r>
      <w:r w:rsidR="0032359A">
        <w:rPr>
          <w:rFonts w:ascii="Times New Roman" w:hAnsi="Times New Roman" w:cs="Times New Roman"/>
          <w:lang w:val="en-US"/>
        </w:rPr>
        <w:t xml:space="preserve"> and for allowing us to clarify</w:t>
      </w:r>
      <w:r w:rsidR="00180588">
        <w:rPr>
          <w:rFonts w:ascii="Times New Roman" w:hAnsi="Times New Roman" w:cs="Times New Roman"/>
          <w:lang w:val="en-US"/>
        </w:rPr>
        <w:t xml:space="preserve"> this</w:t>
      </w:r>
      <w:r>
        <w:rPr>
          <w:rFonts w:ascii="Times New Roman" w:hAnsi="Times New Roman" w:cs="Times New Roman"/>
          <w:lang w:val="en-US"/>
        </w:rPr>
        <w:t xml:space="preserve">. When implementing a volume gradient, we establish a small but steady flow of fluid from the compartment containing the largest volume towards the compartment with the lowest volume. This flow is due to the hydrostatic pressure </w:t>
      </w:r>
      <w:r w:rsidR="003A0E37">
        <w:rPr>
          <w:rFonts w:ascii="Times New Roman" w:hAnsi="Times New Roman" w:cs="Times New Roman"/>
          <w:lang w:val="en-US"/>
        </w:rPr>
        <w:t xml:space="preserve">implemented from the size of the microgrooves and </w:t>
      </w:r>
      <w:r w:rsidR="0032359A">
        <w:rPr>
          <w:rFonts w:ascii="Times New Roman" w:hAnsi="Times New Roman" w:cs="Times New Roman"/>
          <w:lang w:val="en-US"/>
        </w:rPr>
        <w:t>acts against leakage and</w:t>
      </w:r>
      <w:r w:rsidR="003A0E37">
        <w:rPr>
          <w:rFonts w:ascii="Times New Roman" w:hAnsi="Times New Roman" w:cs="Times New Roman"/>
          <w:lang w:val="en-US"/>
        </w:rPr>
        <w:t xml:space="preserve"> diffusion</w:t>
      </w:r>
      <w:r w:rsidR="0032359A">
        <w:rPr>
          <w:rFonts w:ascii="Times New Roman" w:hAnsi="Times New Roman" w:cs="Times New Roman"/>
          <w:lang w:val="en-US"/>
        </w:rPr>
        <w:fldChar w:fldCharType="begin" w:fldLock="1"/>
      </w:r>
      <w:r w:rsidR="009F5E41">
        <w:rPr>
          <w:rFonts w:ascii="Times New Roman" w:hAnsi="Times New Roman" w:cs="Times New Roman"/>
          <w:lang w:val="en-US"/>
        </w:rPr>
        <w:instrText>ADDIN CSL_CITATION {"citationItems":[{"id":"ITEM-1","itemData":{"DOI":"10.1038/nmeth777","ISBN":"1548-7091 (Print)\\r1548-7091 (Linking)","ISSN":"15487091","PMID":"16094385","abstract":"Investigation of axonal biology in the central nervous system (CNS) is hindered by a lack of an appropriate in vitro method to probe axons independently from cell bodies. Here we describe a microfluidic culture platform that polarizes the growth of CNS axons into a fluidically isolated environment without the use of targeting neurotrophins. In addition to its compatibility with live cell imaging, the platform can be used to (i) isolate CNS axons without somata or dendrites, facilitating biochemical analyses of pure axonal fractions and (ii) localize physical and chemical treatments to axons or somata. We report the first evidence that presynaptic (Syp) but not postsynaptic (Camk2a) mRNA is localized to developing rat cortical and hippocampal axons. The platform also serves as a straightforward, reproducible method to model CNS axonal injury and regeneration. The results presented here demonstrate several experimental paradigms using the microfluidic platform, which can greatly facilitate future studies in axonal biology.","author":[{"dropping-particle":"","family":"Taylor","given":"Anne M.","non-dropping-particle":"","parse-names":false,"suffix":""},{"dropping-particle":"","family":"Blurton-Jones","given":"Mathew","non-dropping-particle":"","parse-names":false,"suffix":""},{"dropping-particle":"","family":"Rhee","given":"Seog Woo","non-dropping-particle":"","parse-names":false,"suffix":""},{"dropping-particle":"","family":"Cribbs","given":"David H.","non-dropping-particle":"","parse-names":false,"suffix":""},{"dropping-particle":"","family":"Cotman","given":"Carl W.","non-dropping-particle":"","parse-names":false,"suffix":""},{"dropping-particle":"","family":"Jeon","given":"Neon Li","non-dropping-particle":"","parse-names":false,"suffix":""}],"container-title":"Nature Methods","id":"ITEM-1","issue":"8","issued":{"date-parts":[["2005"]]},"page":"599-605","title":"A microfluidic culture platform for CNS axonal injury, regeneration and transport","type":"article-journal","volume":"2"},"uris":["http://www.mendeley.com/documents/?uuid=41bf2675-da45-4af5-b606-049ee20bf22c"]},{"id":"ITEM-2","itemData":{"DOI":"10.1385/1-59259-997-4:167","ISBN":"9498249032","ISSN":"10643745","PMID":"16508072","abstract":"This chapter describes the fabrication and use microfluidic chambers for cell migration and neuroscience research. Both microfluidic chambers are made using soft lithography and replica molding. The main advantages of using soft lithography to create microfluidic chambers are reproducibility, ease of use, and straightforward fabrication procedures. The devices can be fabricated in biology and chemistry laboratories with minimal access to clean-room facilities. First, a microfluidic chemotaxis chamber, which has been used in investigating chemotaxis of neutrophils, human breast cancer cells, and other cell types, is described. Precise and stable gradients of chemoattractants with arbitrary shapes can be generated for different applications. Second, a multicompartment culture chamber that can fluidically isolate neuronal processes from cell bodies is described. The design of this chamber is such that only neurites grow through a series of microgrooves embedded in a physical barrier. Both devices are compatible with phase, differential interference contrast, and fluorescence microscopy.","author":[{"dropping-particle":"","family":"Taylor","given":"Anne M.","non-dropping-particle":"","parse-names":false,"suffix":""},{"dropping-particle":"","family":"Rhee","given":"Seog Woo","non-dropping-particle":"","parse-names":false,"suffix":""},{"dropping-particle":"","family":"Tu","given":"Christine H.","non-dropping-particle":"","parse-names":false,"suffix":""},{"dropping-particle":"","family":"Cribbs","given":"David H.","non-dropping-particle":"","parse-names":false,"suffix":""},{"dropping-particle":"","family":"Cotman","given":"Carl W.","non-dropping-particle":"","parse-names":false,"suffix":""},{"dropping-particle":"","family":"Jeon","given":"Noo Li","non-dropping-particle":"","parse-names":false,"suffix":""}],"container-title":"Langmuir","id":"ITEM-2","issue":"5","issued":{"date-parts":[["2003"]]},"page":"1551-1556","title":"Microfluidic Multicompartment Device for Neuroscience Research.","type":"article-journal","volume":"19"},"uris":["http://www.mendeley.com/documents/?uuid=62f229c9-8ef5-41b1-8c9c-77ce0b0cef12"]}],"mendeley":{"formattedCitation":"&lt;sup&gt;17,18&lt;/sup&gt;","plainTextFormattedCitation":"17,18","previouslyFormattedCitation":"&lt;sup&gt;17,18&lt;/sup&gt;"},"properties":{"noteIndex":0},"schema":"https://github.com/citation-style-language/schema/raw/master/csl-citation.json"}</w:instrText>
      </w:r>
      <w:r w:rsidR="0032359A">
        <w:rPr>
          <w:rFonts w:ascii="Times New Roman" w:hAnsi="Times New Roman" w:cs="Times New Roman"/>
          <w:vertAlign w:val="superscript"/>
          <w:lang w:val="en-US"/>
        </w:rPr>
        <w:fldChar w:fldCharType="separate"/>
      </w:r>
      <w:r w:rsidR="008A60D0" w:rsidRPr="008A60D0">
        <w:rPr>
          <w:rFonts w:ascii="Times New Roman" w:hAnsi="Times New Roman" w:cs="Times New Roman"/>
          <w:noProof/>
          <w:vertAlign w:val="superscript"/>
          <w:lang w:val="en-US"/>
        </w:rPr>
        <w:t>17,18</w:t>
      </w:r>
      <w:r w:rsidR="0032359A">
        <w:rPr>
          <w:rFonts w:ascii="Times New Roman" w:hAnsi="Times New Roman" w:cs="Times New Roman"/>
          <w:lang w:val="en-US"/>
        </w:rPr>
        <w:fldChar w:fldCharType="end"/>
      </w:r>
      <w:r w:rsidR="003A0E37">
        <w:rPr>
          <w:rFonts w:ascii="Times New Roman" w:hAnsi="Times New Roman" w:cs="Times New Roman"/>
          <w:lang w:val="en-US"/>
        </w:rPr>
        <w:t>.</w:t>
      </w:r>
      <w:r w:rsidR="0032359A">
        <w:rPr>
          <w:rFonts w:ascii="Times New Roman" w:hAnsi="Times New Roman" w:cs="Times New Roman"/>
          <w:lang w:val="en-US"/>
        </w:rPr>
        <w:t xml:space="preserve"> If we add growth factors to the media in the compartment with the largest volume, we facilitate a steady flow of growth factors towards the compartment with no growth factors, which overall promotes the polarization of the neurites. This technique of using nerve growth factors was first described together with the introduction of the ‘Campenot’ chambers</w:t>
      </w:r>
      <w:r w:rsidR="0032359A">
        <w:rPr>
          <w:rFonts w:ascii="Times New Roman" w:hAnsi="Times New Roman" w:cs="Times New Roman"/>
          <w:lang w:val="en-US"/>
        </w:rPr>
        <w:fldChar w:fldCharType="begin" w:fldLock="1"/>
      </w:r>
      <w:r w:rsidR="009F5E41">
        <w:rPr>
          <w:rFonts w:ascii="Times New Roman" w:hAnsi="Times New Roman" w:cs="Times New Roman"/>
          <w:lang w:val="en-US"/>
        </w:rPr>
        <w:instrText>ADDIN CSL_CITATION {"citationItems":[{"id":"ITEM-1","itemData":{"DOI":"10.1073/pnas.74.10.4516","ISBN":"0027-8424 (Print)\\r0027-8424 (Linking)","ISSN":"0027-8424","PMID":"270699","abstract":"A three-chamber culture system was devised in which neurites growing from small clusters of somas of sympathetic neurons penetrated a virtually fluid-impermeable barrier; thus the local fluid environment of the distal portions of the neurites could be controlled independently of the local fluid environment of the somas and proximal portions of the neurites. Neurites regularly penetrated the barriers if a high concentration of nerve growth factor was present on both sides, but never penetrated into chambers to which no nerve growth factor had been added. After neurites crossed the barrier, local removal of nerve growth factor from the distal portions of the neurites caused the growth of these portions to stop, and they eventually appeared to degenerate even though nerve growth factor was continuously present in the chamber that contained their somas and proximal portions. In contrast, local nerve growth factor was not required at the somas and proximal portions of the neurites; many neurons survived its withdrawal provided their somas were associated with neurite bundles that crossed into a chamber containing nerve growth factor. These results show that the growth, and probably the survival, of neurites depends upon nerve growth factor in their local environment, regardless of the nerve growth factor concentrations to which other portions of the neuron are exposed. This is entirely consistent with the notion that nerve growth factor released by sympathetic target tissues promotes the establishment and maintenance of appropriate neuron-target connections during development.","author":[{"dropping-particle":"","family":"Campenot","given":"Robert B","non-dropping-particle":"","parse-names":false,"suffix":""}],"container-title":"Proceedings of the National Academy of Sciences of the United States of America","id":"ITEM-1","issue":"10","issued":{"date-parts":[["1977"]]},"page":"4516-9","title":"Local control of neurite development by nerve growth factor.","type":"article-journal","volume":"74"},"uris":["http://www.mendeley.com/documents/?uuid=c05816c4-aced-46bd-9d66-84868cd59739"]}],"mendeley":{"formattedCitation":"&lt;sup&gt;19&lt;/sup&gt;","plainTextFormattedCitation":"19","previouslyFormattedCitation":"&lt;sup&gt;19&lt;/sup&gt;"},"properties":{"noteIndex":0},"schema":"https://github.com/citation-style-language/schema/raw/master/csl-citation.json"}</w:instrText>
      </w:r>
      <w:r w:rsidR="0032359A">
        <w:rPr>
          <w:rFonts w:ascii="Times New Roman" w:hAnsi="Times New Roman" w:cs="Times New Roman"/>
          <w:lang w:val="en-US"/>
        </w:rPr>
        <w:fldChar w:fldCharType="separate"/>
      </w:r>
      <w:r w:rsidR="008A60D0" w:rsidRPr="008A60D0">
        <w:rPr>
          <w:rFonts w:ascii="Times New Roman" w:hAnsi="Times New Roman" w:cs="Times New Roman"/>
          <w:noProof/>
          <w:vertAlign w:val="superscript"/>
          <w:lang w:val="en-US"/>
        </w:rPr>
        <w:t>19</w:t>
      </w:r>
      <w:r w:rsidR="0032359A">
        <w:rPr>
          <w:rFonts w:ascii="Times New Roman" w:hAnsi="Times New Roman" w:cs="Times New Roman"/>
          <w:lang w:val="en-US"/>
        </w:rPr>
        <w:fldChar w:fldCharType="end"/>
      </w:r>
      <w:r w:rsidR="0032359A">
        <w:rPr>
          <w:rFonts w:ascii="Times New Roman" w:hAnsi="Times New Roman" w:cs="Times New Roman"/>
          <w:lang w:val="en-US"/>
        </w:rPr>
        <w:t xml:space="preserve">. </w:t>
      </w:r>
    </w:p>
    <w:p w14:paraId="64B14855" w14:textId="6CB97B5B" w:rsidR="0032359A" w:rsidRPr="008736FD" w:rsidRDefault="0032359A" w:rsidP="003670F6">
      <w:pPr>
        <w:pStyle w:val="NoSpacing"/>
        <w:jc w:val="both"/>
        <w:rPr>
          <w:rFonts w:ascii="Times New Roman" w:hAnsi="Times New Roman" w:cs="Times New Roman"/>
          <w:lang w:val="en-US"/>
        </w:rPr>
      </w:pPr>
      <w:r>
        <w:rPr>
          <w:rFonts w:ascii="Times New Roman" w:hAnsi="Times New Roman" w:cs="Times New Roman"/>
          <w:lang w:val="en-US"/>
        </w:rPr>
        <w:t>It is possible to sustain from using the volumetric and chemotactic gradient during the cultures, as the neurites will grow through the microgrooves regardless</w:t>
      </w:r>
      <w:r>
        <w:rPr>
          <w:rFonts w:ascii="Times New Roman" w:hAnsi="Times New Roman" w:cs="Times New Roman"/>
          <w:lang w:val="en-US"/>
        </w:rPr>
        <w:fldChar w:fldCharType="begin" w:fldLock="1"/>
      </w:r>
      <w:r w:rsidR="009F5E41">
        <w:rPr>
          <w:rFonts w:ascii="Times New Roman" w:hAnsi="Times New Roman" w:cs="Times New Roman"/>
          <w:lang w:val="en-US"/>
        </w:rPr>
        <w:instrText>ADDIN CSL_CITATION {"citationItems":[{"id":"ITEM-1","itemData":{"DOI":"10.1038/nmeth777","ISBN":"1548-7091 (Print)\\r1548-7091 (Linking)","ISSN":"15487091","PMID":"16094385","abstract":"Investigation of axonal biology in the central nervous system (CNS) is hindered by a lack of an appropriate in vitro method to probe axons independently from cell bodies. Here we describe a microfluidic culture platform that polarizes the growth of CNS axons into a fluidically isolated environment without the use of targeting neurotrophins. In addition to its compatibility with live cell imaging, the platform can be used to (i) isolate CNS axons without somata or dendrites, facilitating biochemical analyses of pure axonal fractions and (ii) localize physical and chemical treatments to axons or somata. We report the first evidence that presynaptic (Syp) but not postsynaptic (Camk2a) mRNA is localized to developing rat cortical and hippocampal axons. The platform also serves as a straightforward, reproducible method to model CNS axonal injury and regeneration. The results presented here demonstrate several experimental paradigms using the microfluidic platform, which can greatly facilitate future studies in axonal biology.","author":[{"dropping-particle":"","family":"Taylor","given":"Anne M.","non-dropping-particle":"","parse-names":false,"suffix":""},{"dropping-particle":"","family":"Blurton-Jones","given":"Mathew","non-dropping-particle":"","parse-names":false,"suffix":""},{"dropping-particle":"","family":"Rhee","given":"Seog Woo","non-dropping-particle":"","parse-names":false,"suffix":""},{"dropping-particle":"","family":"Cribbs","given":"David H.","non-dropping-particle":"","parse-names":false,"suffix":""},{"dropping-particle":"","family":"Cotman","given":"Carl W.","non-dropping-particle":"","parse-names":false,"suffix":""},{"dropping-particle":"","family":"Jeon","given":"Neon Li","non-dropping-particle":"","parse-names":false,"suffix":""}],"container-title":"Nature Methods","id":"ITEM-1","issue":"8","issued":{"date-parts":[["2005"]]},"page":"599-605","title":"A microfluidic culture platform for CNS axonal injury, regeneration and transport","type":"article-journal","volume":"2"},"uris":["http://www.mendeley.com/documents/?uuid=41bf2675-da45-4af5-b606-049ee20bf22c"]}],"mendeley":{"formattedCitation":"&lt;sup&gt;17&lt;/sup&gt;","plainTextFormattedCitation":"17","previouslyFormattedCitation":"&lt;sup&gt;17&lt;/sup&gt;"},"properties":{"noteIndex":0},"schema":"https://github.com/citation-style-language/schema/raw/master/csl-citation.json"}</w:instrText>
      </w:r>
      <w:r>
        <w:rPr>
          <w:rFonts w:ascii="Times New Roman" w:hAnsi="Times New Roman" w:cs="Times New Roman"/>
          <w:vertAlign w:val="superscript"/>
          <w:lang w:val="en-US"/>
        </w:rPr>
        <w:fldChar w:fldCharType="separate"/>
      </w:r>
      <w:r w:rsidR="008A60D0" w:rsidRPr="008A60D0">
        <w:rPr>
          <w:rFonts w:ascii="Times New Roman" w:hAnsi="Times New Roman" w:cs="Times New Roman"/>
          <w:noProof/>
          <w:vertAlign w:val="superscript"/>
          <w:lang w:val="en-US"/>
        </w:rPr>
        <w:t>17</w:t>
      </w:r>
      <w:r>
        <w:rPr>
          <w:rFonts w:ascii="Times New Roman" w:hAnsi="Times New Roman" w:cs="Times New Roman"/>
          <w:lang w:val="en-US"/>
        </w:rPr>
        <w:fldChar w:fldCharType="end"/>
      </w:r>
      <w:r>
        <w:rPr>
          <w:rFonts w:ascii="Times New Roman" w:hAnsi="Times New Roman" w:cs="Times New Roman"/>
          <w:lang w:val="en-US"/>
        </w:rPr>
        <w:t xml:space="preserve">. However, we found that the gradient ‘speeds up’ the neurite polarization and overall time line of the protocol.  </w:t>
      </w:r>
    </w:p>
    <w:p w14:paraId="759D98FC" w14:textId="0BC1F7EC" w:rsidR="008736FD"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Second, did the authors examine whether the neuritis in the microgrooves are axons (or also dendrites)?</w:t>
      </w:r>
      <w:r w:rsidRPr="003670F6">
        <w:rPr>
          <w:rFonts w:ascii="Times New Roman" w:hAnsi="Times New Roman" w:cs="Times New Roman"/>
          <w:b/>
          <w:lang w:val="en-US"/>
        </w:rPr>
        <w:br/>
      </w:r>
    </w:p>
    <w:p w14:paraId="01131AA6" w14:textId="0523651B" w:rsidR="00217C63" w:rsidRDefault="00594355" w:rsidP="003670F6">
      <w:pPr>
        <w:pStyle w:val="NoSpacing"/>
        <w:jc w:val="both"/>
        <w:rPr>
          <w:rFonts w:ascii="Times New Roman" w:hAnsi="Times New Roman" w:cs="Times New Roman"/>
          <w:lang w:val="en-US"/>
        </w:rPr>
      </w:pPr>
      <w:r>
        <w:rPr>
          <w:rFonts w:ascii="Times New Roman" w:hAnsi="Times New Roman" w:cs="Times New Roman"/>
          <w:lang w:val="en-US"/>
        </w:rPr>
        <w:t>In the first description of the use of these devices, it is shown how only axons extend into the microgrooves after 7 days of culture. Only after 14 days, could the authors demonstrate a small amount of dendrites crossing</w:t>
      </w:r>
      <w:r>
        <w:rPr>
          <w:rFonts w:ascii="Times New Roman" w:hAnsi="Times New Roman" w:cs="Times New Roman"/>
          <w:lang w:val="en-US"/>
        </w:rPr>
        <w:fldChar w:fldCharType="begin" w:fldLock="1"/>
      </w:r>
      <w:r w:rsidR="009F5E41">
        <w:rPr>
          <w:rFonts w:ascii="Times New Roman" w:hAnsi="Times New Roman" w:cs="Times New Roman"/>
          <w:lang w:val="en-US"/>
        </w:rPr>
        <w:instrText>ADDIN CSL_CITATION {"citationItems":[{"id":"ITEM-1","itemData":{"DOI":"10.1038/nmeth777","ISBN":"1548-7091 (Print)\\r1548-7091 (Linking)","ISSN":"15487091","PMID":"16094385","abstract":"Investigation of axonal biology in the central nervous system (CNS) is hindered by a lack of an appropriate in vitro method to probe axons independently from cell bodies. Here we describe a microfluidic culture platform that polarizes the growth of CNS axons into a fluidically isolated environment without the use of targeting neurotrophins. In addition to its compatibility with live cell imaging, the platform can be used to (i) isolate CNS axons without somata or dendrites, facilitating biochemical analyses of pure axonal fractions and (ii) localize physical and chemical treatments to axons or somata. We report the first evidence that presynaptic (Syp) but not postsynaptic (Camk2a) mRNA is localized to developing rat cortical and hippocampal axons. The platform also serves as a straightforward, reproducible method to model CNS axonal injury and regeneration. The results presented here demonstrate several experimental paradigms using the microfluidic platform, which can greatly facilitate future studies in axonal biology.","author":[{"dropping-particle":"","family":"Taylor","given":"Anne M.","non-dropping-particle":"","parse-names":false,"suffix":""},{"dropping-particle":"","family":"Blurton-Jones","given":"Mathew","non-dropping-particle":"","parse-names":false,"suffix":""},{"dropping-particle":"","family":"Rhee","given":"Seog Woo","non-dropping-particle":"","parse-names":false,"suffix":""},{"dropping-particle":"","family":"Cribbs","given":"David H.","non-dropping-particle":"","parse-names":false,"suffix":""},{"dropping-particle":"","family":"Cotman","given":"Carl W.","non-dropping-particle":"","parse-names":false,"suffix":""},{"dropping-particle":"","family":"Jeon","given":"Neon Li","non-dropping-particle":"","parse-names":false,"suffix":""}],"container-title":"Nature Methods","id":"ITEM-1","issue":"8","issued":{"date-parts":[["2005"]]},"page":"599-605","title":"A microfluidic culture platform for CNS axonal injury, regeneration and transport","type":"article-journal","volume":"2"},"uris":["http://www.mendeley.com/documents/?uuid=41bf2675-da45-4af5-b606-049ee20bf22c"]}],"mendeley":{"formattedCitation":"&lt;sup&gt;17&lt;/sup&gt;","plainTextFormattedCitation":"17","previouslyFormattedCitation":"&lt;sup&gt;17&lt;/sup&gt;"},"properties":{"noteIndex":0},"schema":"https://github.com/citation-style-language/schema/raw/master/csl-citation.json"}</w:instrText>
      </w:r>
      <w:r>
        <w:rPr>
          <w:rFonts w:ascii="Times New Roman" w:hAnsi="Times New Roman" w:cs="Times New Roman"/>
          <w:vertAlign w:val="superscript"/>
          <w:lang w:val="en-US"/>
        </w:rPr>
        <w:fldChar w:fldCharType="separate"/>
      </w:r>
      <w:r w:rsidR="008A60D0" w:rsidRPr="008A60D0">
        <w:rPr>
          <w:rFonts w:ascii="Times New Roman" w:hAnsi="Times New Roman" w:cs="Times New Roman"/>
          <w:noProof/>
          <w:vertAlign w:val="superscript"/>
          <w:lang w:val="en-US"/>
        </w:rPr>
        <w:t>17</w:t>
      </w:r>
      <w:r>
        <w:rPr>
          <w:rFonts w:ascii="Times New Roman" w:hAnsi="Times New Roman" w:cs="Times New Roman"/>
          <w:lang w:val="en-US"/>
        </w:rPr>
        <w:fldChar w:fldCharType="end"/>
      </w:r>
      <w:r>
        <w:rPr>
          <w:rFonts w:ascii="Times New Roman" w:hAnsi="Times New Roman" w:cs="Times New Roman"/>
          <w:lang w:val="en-US"/>
        </w:rPr>
        <w:t>.</w:t>
      </w:r>
      <w:r w:rsidR="00217C63">
        <w:rPr>
          <w:rFonts w:ascii="Times New Roman" w:hAnsi="Times New Roman" w:cs="Times New Roman"/>
          <w:lang w:val="en-US"/>
        </w:rPr>
        <w:t xml:space="preserve"> Since we are evaluating NMJ morphology at what can be considered an early maturity state, we do not expect that the motor neuron neurites have developed</w:t>
      </w:r>
      <w:r w:rsidR="009F5E41">
        <w:rPr>
          <w:rFonts w:ascii="Times New Roman" w:hAnsi="Times New Roman" w:cs="Times New Roman"/>
          <w:lang w:val="en-US"/>
        </w:rPr>
        <w:t xml:space="preserve"> fully into axons at this point</w:t>
      </w:r>
      <w:r w:rsidR="00180588">
        <w:rPr>
          <w:rFonts w:ascii="Times New Roman" w:hAnsi="Times New Roman" w:cs="Times New Roman"/>
          <w:lang w:val="en-US"/>
        </w:rPr>
        <w:t>. However</w:t>
      </w:r>
      <w:r w:rsidR="009F5E41">
        <w:rPr>
          <w:rFonts w:ascii="Times New Roman" w:hAnsi="Times New Roman" w:cs="Times New Roman"/>
          <w:lang w:val="en-US"/>
        </w:rPr>
        <w:t>, w</w:t>
      </w:r>
      <w:r w:rsidR="00217C63">
        <w:rPr>
          <w:rFonts w:ascii="Times New Roman" w:hAnsi="Times New Roman" w:cs="Times New Roman"/>
          <w:lang w:val="en-US"/>
        </w:rPr>
        <w:t xml:space="preserve">e generally observe a single large neurite from each motor neuron soma, which later in maturation likely can be characterized as an axon. </w:t>
      </w:r>
    </w:p>
    <w:p w14:paraId="50A4E042" w14:textId="77777777" w:rsidR="004C0D62" w:rsidRDefault="004C0D62" w:rsidP="003670F6">
      <w:pPr>
        <w:pStyle w:val="NoSpacing"/>
        <w:jc w:val="both"/>
        <w:rPr>
          <w:rFonts w:ascii="Times New Roman" w:hAnsi="Times New Roman" w:cs="Times New Roman"/>
          <w:lang w:val="en-US"/>
        </w:rPr>
      </w:pPr>
    </w:p>
    <w:p w14:paraId="69341C6F" w14:textId="77777777" w:rsidR="001273F4" w:rsidRDefault="001273F4" w:rsidP="003670F6">
      <w:pPr>
        <w:pStyle w:val="NoSpacing"/>
        <w:jc w:val="both"/>
        <w:rPr>
          <w:rFonts w:ascii="Times New Roman" w:hAnsi="Times New Roman" w:cs="Times New Roman"/>
          <w:b/>
          <w:lang w:val="en-US"/>
        </w:rPr>
      </w:pPr>
    </w:p>
    <w:p w14:paraId="0F75FDE1" w14:textId="6FD56943" w:rsidR="008736FD"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t>Third, It is well known that great differences exist between individual iPSC lines (e.g. with respect to differentiation potential). Did the authors examine different iPSC lines? This could be valuable information for future users of the system.</w:t>
      </w:r>
    </w:p>
    <w:p w14:paraId="62A7E37C" w14:textId="77777777" w:rsidR="008736FD" w:rsidRDefault="008736FD" w:rsidP="003670F6">
      <w:pPr>
        <w:pStyle w:val="NoSpacing"/>
        <w:jc w:val="both"/>
        <w:rPr>
          <w:rFonts w:ascii="Times New Roman" w:hAnsi="Times New Roman" w:cs="Times New Roman"/>
          <w:b/>
          <w:lang w:val="en-US"/>
        </w:rPr>
      </w:pPr>
    </w:p>
    <w:p w14:paraId="005F9D7E" w14:textId="366C8ADB" w:rsidR="00025773" w:rsidRPr="00D95919" w:rsidRDefault="00025773" w:rsidP="00025773">
      <w:pPr>
        <w:pStyle w:val="NoSpacing"/>
        <w:jc w:val="both"/>
        <w:rPr>
          <w:rFonts w:ascii="Times New Roman" w:hAnsi="Times New Roman" w:cs="Times New Roman"/>
          <w:lang w:val="en-US"/>
        </w:rPr>
      </w:pPr>
      <w:r>
        <w:rPr>
          <w:rFonts w:ascii="Times New Roman" w:hAnsi="Times New Roman" w:cs="Times New Roman"/>
          <w:lang w:val="en-GB"/>
        </w:rPr>
        <w:t>In our recent paper, we use</w:t>
      </w:r>
      <w:r w:rsidR="00180588">
        <w:rPr>
          <w:rFonts w:ascii="Times New Roman" w:hAnsi="Times New Roman" w:cs="Times New Roman"/>
          <w:lang w:val="en-GB"/>
        </w:rPr>
        <w:t>d</w:t>
      </w:r>
      <w:r>
        <w:rPr>
          <w:rFonts w:ascii="Times New Roman" w:hAnsi="Times New Roman" w:cs="Times New Roman"/>
          <w:lang w:val="en-GB"/>
        </w:rPr>
        <w:t xml:space="preserve"> two different ALS-patient iPSC lines as well as two different isogenic controls iPSC lines to generate NMJs using this protocol</w:t>
      </w:r>
      <w:r>
        <w:rPr>
          <w:rFonts w:ascii="Times New Roman" w:hAnsi="Times New Roman" w:cs="Times New Roman"/>
          <w:lang w:val="en-GB"/>
        </w:rPr>
        <w:fldChar w:fldCharType="begin" w:fldLock="1"/>
      </w:r>
      <w:r w:rsidR="009F5E41">
        <w:rPr>
          <w:rFonts w:ascii="Times New Roman" w:hAnsi="Times New Roman" w:cs="Times New Roman"/>
          <w:lang w:val="en-GB"/>
        </w:rPr>
        <w:instrText>ADDIN CSL_CITATION {"citationItems":[{"id":"ITEM-1","itemData":{"ISSN":"22136711","author":[{"dropping-particle":"","family":"Stoklund Dittlau","given":"Katarina","non-dropping-particle":"","parse-names":false,"suffix":""},{"dropping-particle":"","family":"Krasnow","given":"Emily N.","non-dropping-particle":"","parse-names":false,"suffix":""},{"dropping-particle":"","family":"Fumagalli","given":"Laura","non-dropping-particle":"","parse-names":false,"suffix":""},{"dropping-particle":"","family":"Vandoorne","given":"Tijs","non-dropping-particle":"","parse-names":false,"suffix":""},{"dropping-particle":"","family":"Baatsen","given":"Pieter","non-dropping-particle":"","parse-names":false,"suffix":""},{"dropping-particle":"","family":"Kerstens","given":"Axelle","non-dropping-particle":"","parse-names":false,"suffix":""},{"dropping-particle":"","family":"Giacomazzi","given":"Giorgia","non-dropping-particle":"","parse-names":false,"suffix":""},{"dropping-particle":"","family":"Pavie","given":"Benjamin","non-dropping-particle":"","parse-names":false,"suffix":""},{"dropping-particle":"","family":"Rossaert","given":"Elisabeth","non-dropping-particle":"","parse-names":false,"suffix":""},{"dropping-particle":"","family":"Beckers","given":"Jimmy","non-dropping-particle":"","parse-names":false,"suffix":""},{"dropping-particle":"","family":"Sampaolesi","given":"Maurilio","non-dropping-particle":"","parse-names":false,"suffix":""},{"dropping-particle":"","family":"Damme","given":"Philip","non-dropping-particle":"Van","parse-names":false,"suffix":""},{"dropping-particle":"","family":"Bosch","given":"Ludo","non-dropping-particle":"Van Den","parse-names":false,"suffix":""}],"container-title":"Stem Cell Reports","id":"ITEM-1","issued":{"date-parts":[["2021","4"]]},"page":"doi: 10.1016/j.stemcr.2021.03.029","publisher":"Stem Cell Reports","title":"Human motor units in microfluidic devices are impaired by FUS mutations and improved by HDAC6 inhibition","type":"article-journal"},"uris":["http://www.mendeley.com/documents/?uuid=36f23229-9d6e-381f-9e0e-6d9567dd0e66"]}],"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vertAlign w:val="superscript"/>
          <w:lang w:val="en-GB"/>
        </w:rPr>
        <w:fldChar w:fldCharType="separate"/>
      </w:r>
      <w:r w:rsidR="008A60D0" w:rsidRPr="008A60D0">
        <w:rPr>
          <w:rFonts w:ascii="Times New Roman" w:hAnsi="Times New Roman" w:cs="Times New Roman"/>
          <w:noProof/>
          <w:vertAlign w:val="superscript"/>
          <w:lang w:val="en-GB"/>
        </w:rPr>
        <w:t>4</w:t>
      </w:r>
      <w:r>
        <w:rPr>
          <w:rFonts w:ascii="Times New Roman" w:hAnsi="Times New Roman" w:cs="Times New Roman"/>
          <w:lang w:val="en-GB"/>
        </w:rPr>
        <w:fldChar w:fldCharType="end"/>
      </w:r>
      <w:r>
        <w:rPr>
          <w:rFonts w:ascii="Times New Roman" w:hAnsi="Times New Roman" w:cs="Times New Roman"/>
          <w:lang w:val="en-GB"/>
        </w:rPr>
        <w:t xml:space="preserve">. We observed no differences in the </w:t>
      </w:r>
      <w:r w:rsidR="00180588">
        <w:rPr>
          <w:rFonts w:ascii="Times New Roman" w:hAnsi="Times New Roman" w:cs="Times New Roman"/>
          <w:lang w:val="en-GB"/>
        </w:rPr>
        <w:t xml:space="preserve">reproducibility </w:t>
      </w:r>
      <w:r>
        <w:rPr>
          <w:rFonts w:ascii="Times New Roman" w:hAnsi="Times New Roman" w:cs="Times New Roman"/>
          <w:lang w:val="en-GB"/>
        </w:rPr>
        <w:t>between lines.</w:t>
      </w:r>
      <w:r w:rsidR="00180588">
        <w:rPr>
          <w:rFonts w:ascii="Times New Roman" w:hAnsi="Times New Roman" w:cs="Times New Roman"/>
          <w:lang w:val="en-GB"/>
        </w:rPr>
        <w:t xml:space="preserve"> Since then, this technique is routinely used in the lab also starting from other iPSC lines and the outcome is always very similar.</w:t>
      </w:r>
    </w:p>
    <w:p w14:paraId="63355B80" w14:textId="77777777" w:rsidR="008736FD"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lastRenderedPageBreak/>
        <w:br/>
        <w:t>Fourth, it is stated that single contact point NMJs are less mature. However, during development motor axons first make multiple contacts followed by pruning to a single NMJ. So why are single contact point NMJs in vitro more immature?</w:t>
      </w:r>
    </w:p>
    <w:p w14:paraId="68A38C60" w14:textId="77777777" w:rsidR="008736FD" w:rsidRDefault="008736FD" w:rsidP="003670F6">
      <w:pPr>
        <w:pStyle w:val="NoSpacing"/>
        <w:jc w:val="both"/>
        <w:rPr>
          <w:rFonts w:ascii="Times New Roman" w:hAnsi="Times New Roman" w:cs="Times New Roman"/>
          <w:b/>
          <w:lang w:val="en-US"/>
        </w:rPr>
      </w:pPr>
    </w:p>
    <w:p w14:paraId="2E86C3B0" w14:textId="1266B3CD" w:rsidR="004178CA" w:rsidRDefault="001A0F56" w:rsidP="003670F6">
      <w:pPr>
        <w:pStyle w:val="NoSpacing"/>
        <w:jc w:val="both"/>
        <w:rPr>
          <w:rFonts w:ascii="Times New Roman" w:hAnsi="Times New Roman" w:cs="Times New Roman"/>
          <w:lang w:val="en-US"/>
        </w:rPr>
      </w:pPr>
      <w:r>
        <w:rPr>
          <w:rFonts w:ascii="Times New Roman" w:hAnsi="Times New Roman" w:cs="Times New Roman"/>
          <w:lang w:val="en-US"/>
        </w:rPr>
        <w:t>We agree with the reviewer’s statement above. However, we believe that the single contact point NMJs are a representation of the very first contact between motor neuron neurite and myotube. In this case, a large engagement through multiple contact point NMJs follows, and would therefore be considered more mature. If we could sustain the culture longer, we might be able to observe the synaptic pruning into fully matured NMJs.</w:t>
      </w:r>
    </w:p>
    <w:p w14:paraId="05E68418" w14:textId="18D5347E" w:rsidR="0098309F" w:rsidRDefault="0098309F" w:rsidP="003670F6">
      <w:pPr>
        <w:pStyle w:val="NoSpacing"/>
        <w:jc w:val="both"/>
        <w:rPr>
          <w:rFonts w:ascii="Times New Roman" w:hAnsi="Times New Roman" w:cs="Times New Roman"/>
          <w:b/>
          <w:lang w:val="en-US"/>
        </w:rPr>
      </w:pPr>
      <w:r w:rsidRPr="003670F6">
        <w:rPr>
          <w:rFonts w:ascii="Times New Roman" w:hAnsi="Times New Roman" w:cs="Times New Roman"/>
          <w:b/>
          <w:lang w:val="en-US"/>
        </w:rPr>
        <w:br/>
        <w:t>Fifth, it is stated that generation of myotubes from iPSCs is difficult and a 2018 paper is listed. By now there are more papers on iPSC-derived muscle cells</w:t>
      </w:r>
      <w:r w:rsidR="008736FD">
        <w:rPr>
          <w:rFonts w:ascii="Times New Roman" w:hAnsi="Times New Roman" w:cs="Times New Roman"/>
          <w:b/>
          <w:lang w:val="en-US"/>
        </w:rPr>
        <w:t>,</w:t>
      </w:r>
      <w:r w:rsidRPr="003670F6">
        <w:rPr>
          <w:rFonts w:ascii="Times New Roman" w:hAnsi="Times New Roman" w:cs="Times New Roman"/>
          <w:b/>
          <w:lang w:val="en-US"/>
        </w:rPr>
        <w:t xml:space="preserve"> which could be mentioned.</w:t>
      </w:r>
    </w:p>
    <w:p w14:paraId="464B720E" w14:textId="2D6A4887" w:rsidR="008736FD" w:rsidRDefault="008736FD" w:rsidP="003670F6">
      <w:pPr>
        <w:pStyle w:val="NoSpacing"/>
        <w:jc w:val="both"/>
        <w:rPr>
          <w:rFonts w:ascii="Times New Roman" w:hAnsi="Times New Roman" w:cs="Times New Roman"/>
          <w:b/>
          <w:lang w:val="en-US"/>
        </w:rPr>
      </w:pPr>
    </w:p>
    <w:p w14:paraId="616D1E3C" w14:textId="13E3DD9D" w:rsidR="008736FD" w:rsidRDefault="008F5DFE" w:rsidP="003670F6">
      <w:pPr>
        <w:pStyle w:val="NoSpacing"/>
        <w:jc w:val="both"/>
        <w:rPr>
          <w:rFonts w:ascii="Times New Roman" w:hAnsi="Times New Roman" w:cs="Times New Roman"/>
          <w:lang w:val="en-US"/>
        </w:rPr>
      </w:pPr>
      <w:r>
        <w:rPr>
          <w:rFonts w:ascii="Times New Roman" w:hAnsi="Times New Roman" w:cs="Times New Roman"/>
          <w:lang w:val="en-US"/>
        </w:rPr>
        <w:t xml:space="preserve">We have included references to </w:t>
      </w:r>
      <w:r w:rsidR="001273F4">
        <w:rPr>
          <w:rFonts w:ascii="Times New Roman" w:hAnsi="Times New Roman" w:cs="Times New Roman"/>
          <w:lang w:val="en-US"/>
        </w:rPr>
        <w:t xml:space="preserve">several available protocols and </w:t>
      </w:r>
      <w:bookmarkStart w:id="0" w:name="_GoBack"/>
      <w:bookmarkEnd w:id="0"/>
      <w:r>
        <w:rPr>
          <w:rFonts w:ascii="Times New Roman" w:hAnsi="Times New Roman" w:cs="Times New Roman"/>
          <w:lang w:val="en-US"/>
        </w:rPr>
        <w:t xml:space="preserve">also highlighted the lack of reproducibility due to variability in fusion index. </w:t>
      </w:r>
    </w:p>
    <w:p w14:paraId="14705338" w14:textId="6DD9A3A7" w:rsidR="008F5DFE" w:rsidRDefault="008F5DFE" w:rsidP="003670F6">
      <w:pPr>
        <w:pStyle w:val="NoSpacing"/>
        <w:jc w:val="both"/>
        <w:rPr>
          <w:rFonts w:ascii="Times New Roman" w:hAnsi="Times New Roman" w:cs="Times New Roman"/>
          <w:lang w:val="en-US"/>
        </w:rPr>
      </w:pPr>
    </w:p>
    <w:p w14:paraId="5168364D" w14:textId="73D0364D" w:rsidR="008F5DFE" w:rsidRPr="009F5E41" w:rsidRDefault="008F5DFE" w:rsidP="003670F6">
      <w:pPr>
        <w:pStyle w:val="NoSpacing"/>
        <w:jc w:val="both"/>
        <w:rPr>
          <w:rFonts w:ascii="Times New Roman" w:hAnsi="Times New Roman" w:cs="Times New Roman"/>
          <w:lang w:val="en-US"/>
        </w:rPr>
      </w:pPr>
      <w:r>
        <w:rPr>
          <w:rFonts w:ascii="Times New Roman" w:hAnsi="Times New Roman" w:cs="Times New Roman"/>
          <w:lang w:val="en-GB"/>
        </w:rPr>
        <w:t xml:space="preserve">Line </w:t>
      </w:r>
      <w:r w:rsidR="009F5E41">
        <w:rPr>
          <w:rFonts w:ascii="Times New Roman" w:hAnsi="Times New Roman" w:cs="Times New Roman"/>
          <w:lang w:val="en-GB"/>
        </w:rPr>
        <w:t>818-819</w:t>
      </w:r>
      <w:r>
        <w:rPr>
          <w:rFonts w:ascii="Times New Roman" w:hAnsi="Times New Roman" w:cs="Times New Roman"/>
          <w:lang w:val="en-GB"/>
        </w:rPr>
        <w:t xml:space="preserve">: </w:t>
      </w:r>
      <w:r w:rsidRPr="009F5E41">
        <w:rPr>
          <w:rFonts w:ascii="Times New Roman" w:hAnsi="Times New Roman" w:cs="Times New Roman"/>
          <w:lang w:val="en-GB"/>
        </w:rPr>
        <w:t>“</w:t>
      </w:r>
      <w:r w:rsidR="009F5E41" w:rsidRPr="009F5E41">
        <w:rPr>
          <w:rFonts w:ascii="Times New Roman" w:hAnsi="Times New Roman" w:cs="Times New Roman"/>
          <w:lang w:val="en-GB"/>
        </w:rPr>
        <w:t>However, current protocols have proven difficult to reproduce</w:t>
      </w:r>
      <w:r w:rsidR="009F5E41" w:rsidRPr="009F5E41">
        <w:rPr>
          <w:rFonts w:ascii="Times New Roman" w:hAnsi="Times New Roman" w:cs="Times New Roman"/>
          <w:lang w:val="en-GB"/>
        </w:rPr>
        <w:fldChar w:fldCharType="begin" w:fldLock="1"/>
      </w:r>
      <w:r w:rsidR="009F5E41">
        <w:rPr>
          <w:rFonts w:ascii="Times New Roman" w:hAnsi="Times New Roman" w:cs="Times New Roman"/>
          <w:lang w:val="en-GB"/>
        </w:rPr>
        <w:instrText>ADDIN CSL_CITATION {"citationItems":[{"id":"ITEM-1","itemData":{"ISSN":"16879678","abstract":"Neuromuscular diseases are caused by functional defects of skeletal muscles, directly via muscle pathology or indirectly via disruption of the nervous system. Extensive studies have been performed to improve the outcomes of therapies; however, effective treatment strategies have not been fully established for any major neuromuscular disease. Human pluripotent stem cells have a great capacity to differentiate into myogenic progenitors and skeletal myocytes for use in treating and modeling neuromuscular diseases. Recent advances have allowed the creation of patient-derived stem cells, which can be used as a unique platform for comprehensive study of disease mechanisms, in vitro drug screening, and potential new cell-based therapies. In the last decade, a number of methods have been developed to derive skeletal muscle cells from human pluripotent stem cells. By controlling the process of myogenesis using transcription factors and signaling molecules, human pluripotent stem cells can be directed to differentiate into cell types observed during muscle development. In this review, we highlight signaling pathways relevant to the formation of muscle tissue during embryonic development. We then summarize current methods to differentiate human pluripotent stem cells toward the myogenic lineage, specifically focusing on transgene-free approaches. Lastly, we discuss existing challenges for deriving skeletal myocytes and myogenic progenitors from human pluripotent stem cells.","author":[{"dropping-particle":"","family":"Jiwlawat","given":"Nunnapas","non-dropping-particle":"","parse-names":false,"suffix":""},{"dropping-particle":"","family":"Lynch","given":"Eileen","non-dropping-particle":"","parse-names":false,"suffix":""},{"dropping-particle":"","family":"Jeffrey","given":"Jeremy","non-dropping-particle":"","parse-names":false,"suffix":""},{"dropping-particle":"","family":"Dyke","given":"Jonathan M.","non-dropping-particle":"Van","parse-names":false,"suffix":""},{"dropping-particle":"","family":"Suzuki","given":"Masatoshi","non-dropping-particle":"","parse-names":false,"suffix":""}],"container-title":"Stem Cells International","id":"ITEM-1","issued":{"date-parts":[["2018"]]},"page":"6241681","title":"Current progress and challenges for skeletal muscle differentiation from human pluripotent stem cells using transgene-free approaches","type":"article-journal"},"uris":["http://www.mendeley.com/documents/?uuid=91b5e6f0-69df-410b-b977-b02599a78c19"]}],"mendeley":{"formattedCitation":"&lt;sup&gt;20&lt;/sup&gt;","plainTextFormattedCitation":"20","previouslyFormattedCitation":"&lt;sup&gt;25&lt;/sup&gt;"},"properties":{"noteIndex":0},"schema":"https://github.com/citation-style-language/schema/raw/master/csl-citation.json"}</w:instrText>
      </w:r>
      <w:r w:rsidR="009F5E41" w:rsidRPr="009F5E41">
        <w:rPr>
          <w:rFonts w:ascii="Times New Roman" w:hAnsi="Times New Roman" w:cs="Times New Roman"/>
          <w:vertAlign w:val="superscript"/>
          <w:lang w:val="en-GB"/>
        </w:rPr>
        <w:fldChar w:fldCharType="separate"/>
      </w:r>
      <w:r w:rsidR="009F5E41" w:rsidRPr="009F5E41">
        <w:rPr>
          <w:rFonts w:ascii="Times New Roman" w:hAnsi="Times New Roman" w:cs="Times New Roman"/>
          <w:noProof/>
          <w:vertAlign w:val="superscript"/>
          <w:lang w:val="en-GB"/>
        </w:rPr>
        <w:t>20</w:t>
      </w:r>
      <w:r w:rsidR="009F5E41" w:rsidRPr="009F5E41">
        <w:rPr>
          <w:rFonts w:ascii="Times New Roman" w:hAnsi="Times New Roman" w:cs="Times New Roman"/>
          <w:lang w:val="en-GB"/>
        </w:rPr>
        <w:fldChar w:fldCharType="end"/>
      </w:r>
      <w:r w:rsidR="009F5E41" w:rsidRPr="009F5E41">
        <w:rPr>
          <w:rFonts w:ascii="Times New Roman" w:hAnsi="Times New Roman" w:cs="Times New Roman"/>
          <w:lang w:val="en-GB"/>
        </w:rPr>
        <w:t xml:space="preserve"> due to variability in fusion index</w:t>
      </w:r>
      <w:r w:rsidR="009F5E41" w:rsidRPr="009F5E41">
        <w:rPr>
          <w:rFonts w:ascii="Times New Roman" w:hAnsi="Times New Roman" w:cs="Times New Roman"/>
          <w:lang w:val="en-GB"/>
        </w:rPr>
        <w:fldChar w:fldCharType="begin" w:fldLock="1"/>
      </w:r>
      <w:r w:rsidR="009F5E41">
        <w:rPr>
          <w:rFonts w:ascii="Times New Roman" w:hAnsi="Times New Roman" w:cs="Times New Roman"/>
          <w:lang w:val="en-GB"/>
        </w:rPr>
        <w:instrText>ADDIN CSL_CITATION {"citationItems":[{"id":"ITEM-1","itemData":{"DOI":"10.1038/nprot.2016-110","ISSN":"1754-2189","PMID":"27583644","author":[{"dropping-particle":"","family":"Chal","given":"Jérome","non-dropping-particle":"","parse-names":false,"suffix":""},{"dropping-particle":"Al","family":"Tanoury","given":"Ziad","non-dropping-particle":"","parse-names":false,"suffix":""},{"dropping-particle":"","family":"Hestin","given":"Marie","non-dropping-particle":"","parse-names":false,"suffix":""},{"dropping-particle":"","family":"Gobert","given":"Bénédicte","non-dropping-particle":"","parse-names":false,"suffix":""},{"dropping-particle":"","family":"Aivio","given":"Suvi","non-dropping-particle":"","parse-names":false,"suffix":""},{"dropping-particle":"","family":"Hick","given":"Aurore","non-dropping-particle":"","parse-names":false,"suffix":""},{"dropping-particle":"","family":"Cherrier","given":"Thomas","non-dropping-particle":"","parse-names":false,"suffix":""},{"dropping-particle":"","family":"Nesmith","given":"Alexander P","non-dropping-particle":"","parse-names":false,"suffix":""},{"dropping-particle":"","family":"Parker","given":"Kevin K","non-dropping-particle":"","parse-names":false,"suffix":""},{"dropping-particle":"","family":"Pourquié","given":"Olivier","non-dropping-particle":"","parse-names":false,"suffix":""}],"container-title":"Nature Protocols","id":"ITEM-1","issue":"10","issued":{"date-parts":[["2016"]]},"page":"1833-1850","title":"Generation of human muscle fibers and satellite-like cells from human pluripotent stem cells in vitro","type":"article-journal","volume":"11"},"uris":["http://www.mendeley.com/documents/?uuid=c8408d05-6159-49c6-8351-cedd677bbcbd"]},{"id":"ITEM-2","itemData":{"DOI":"10.1016/j.stemcr.2018.04.002","ISSN":"22136711","PMID":"29731431","abstract":"Although skeletal muscle cells can be generated from human induced pluripotent stem cells (iPSCs), transgene-free protocols include only limited options for their purification and expansion. In this study, we found that fluorescence-activated cell sorting-purified myogenic progenitors generated from healthy controls and Pompe disease iPSCs can be robustly expanded as much as 5 × 1011-fold. At all steps during expansion, cells could be cryopreserved or differentiated into myotubes with a high fusion index. In vitro, cells were amenable to maturation into striated and contractile myofibers. Insertion of acid α-glucosidase cDNA into the AAVS1 locus in iPSCs using CRISPR/Cas9 prevented glycogen accumulation in myotubes generated from a patient with classic infantile Pompe disease. In vivo, the expression of human-specific nuclear and sarcolemmar antigens indicated that myogenic progenitors engraft into murine muscle to form human myofibers. This protocol is useful for modeling of skeletal muscle disorders and for using patient-derived, gene-corrected cells to develop cell-based strategies. Van der Wal et al. present a robust protocol for the transgene-free generation and purification of myogenic progenitors from human iPSCs and for their expansion up to 5 × 1011-fold. After gene editing in vitro, these myogenic progenitors matured into contractile skeletal muscle cells, reversing Pompe disease pathology. In vivo, myogenic progenitors contributed to muscle regeneration.","author":[{"dropping-particle":"","family":"Wal","given":"Erik","non-dropping-particle":"van der","parse-names":false,"suffix":""},{"dropping-particle":"","family":"Herrero-Hernandez","given":"Pablo","non-dropping-particle":"","parse-names":false,"suffix":""},{"dropping-particle":"","family":"Wan","given":"Raymond","non-dropping-particle":"","parse-names":false,"suffix":""},{"dropping-particle":"","family":"Broeders","given":"Mike","non-dropping-particle":"","parse-names":false,"suffix":""},{"dropping-particle":"","family":"Groen","given":"Stijn L.M.","non-dropping-particle":"in 't","parse-names":false,"suffix":""},{"dropping-particle":"","family":"Gestel","given":"Tom J.M.","non-dropping-particle":"van","parse-names":false,"suffix":""},{"dropping-particle":"","family":"IJcken","given":"Wilfred F.J.","non-dropping-particle":"van","parse-names":false,"suffix":""},{"dropping-particle":"","family":"Cheung","given":"Tom H.","non-dropping-particle":"","parse-names":false,"suffix":""},{"dropping-particle":"","family":"Ploeg","given":"Ans T.","non-dropping-particle":"van der","parse-names":false,"suffix":""},{"dropping-particle":"","family":"Schaaf","given":"Gerben J.","non-dropping-particle":"","parse-names":false,"suffix":""},{"dropping-particle":"","family":"Pijnappel","given":"W. W.M.Pim","non-dropping-particle":"","parse-names":false,"suffix":""}],"container-title":"Stem Cell Reports","id":"ITEM-2","issue":"6","issued":{"date-parts":[["2018"]]},"page":"1975-1990","publisher":"ElsevierCompany.","title":"Large-Scale Expansion of Human iPSC-Derived Skeletal Muscle Cells for Disease Modeling and Cell-Based Therapeutic Strategies","type":"article-journal","volume":"10"},"uris":["http://www.mendeley.com/documents/?uuid=2512b716-b7c1-44f3-95d2-e4f12786355a"]},{"id":"ITEM-3","itemData":{"DOI":"10.1016/j.celrep.2016.05.016","ISSN":"22111247","PMID":"27239027","abstract":"Duchenne muscular dystrophy (DMD) remains an intractable genetic disease. Althogh there are several animal models of DMD, there is no human cell model that carries patient-specific DYSTROPHIN mutations. Here, we present a human DMD model using human induced pluripotent stem cells (hiPSCs). Our model reveals concordant disease-related phenotypes with patient-dependent variation, which are partially reversed by genetic and pharmacological approaches. Our \"chemical-compound-based\" strategy successfully directs hiPSCs into expandable myoblasts, which exhibit a myogenic transcriptional program, forming striated contractile myofibers and participating in muscle regeneration in vivo. DMD-hiPSC-derived myoblasts show disease-related phenotypes with patient-to-patient variability, including aberrant expression of inflammation or immune-response genes and collagens, increased BMP/TGFβ signaling, and reduced fusion competence. Furthermore, by genetic correction and pharmacological \"dual-SMAD\" inhibition, the DMD-hiPSC-derived myoblasts and genetically corrected isogenic myoblasts form \"rescued\" multi-nucleated myotubes. In conclusion, our findings demonstrate the feasibility of establishing a human \"DMD-in-a-dish\" model using hiPSC-based disease modeling.","author":[{"dropping-particle":"","family":"Choi","given":"In Young","non-dropping-particle":"","parse-names":false,"suffix":""},{"dropping-particle":"","family":"Lim","given":"Ho Tae","non-dropping-particle":"","parse-names":false,"suffix":""},{"dropping-particle":"","family":"Estrellas","given":"Kenneth","non-dropping-particle":"","parse-names":false,"suffix":""},{"dropping-particle":"","family":"Mula","given":"Jyothi","non-dropping-particle":"","parse-names":false,"suffix":""},{"dropping-particle":"V.","family":"Cohen","given":"Tatiana","non-dropping-particle":"","parse-names":false,"suffix":""},{"dropping-particle":"","family":"Zhang","given":"Yuanfan","non-dropping-particle":"","parse-names":false,"suffix":""},{"dropping-particle":"","family":"Donnelly","given":"Christopher J.","non-dropping-particle":"","parse-names":false,"suffix":""},{"dropping-particle":"","family":"Richard","given":"Jean Philippe","non-dropping-particle":"","parse-names":false,"suffix":""},{"dropping-particle":"","family":"Kim","given":"Yong Jun","non-dropping-particle":"","parse-names":false,"suffix":""},{"dropping-particle":"","family":"Kim","given":"Hyesoo","non-dropping-particle":"","parse-names":false,"suffix":""},{"dropping-particle":"","family":"Kazuki","given":"Yasuhiro","non-dropping-particle":"","parse-names":false,"suffix":""},{"dropping-particle":"","family":"Oshimura","given":"Mitsuo","non-dropping-particle":"","parse-names":false,"suffix":""},{"dropping-particle":"","family":"Li","given":"Hongmei Lisa","non-dropping-particle":"","parse-names":false,"suffix":""},{"dropping-particle":"","family":"Hotta","given":"Akitsu","non-dropping-particle":"","parse-names":false,"suffix":""},{"dropping-particle":"","family":"Rothstein","given":"Jeffrey","non-dropping-particle":"","parse-names":false,"suffix":""},{"dropping-particle":"","family":"Maragakis","given":"Nicholas","non-dropping-particle":"","parse-names":false,"suffix":""},{"dropping-particle":"","family":"Wagner","given":"Kathryn R.","non-dropping-particle":"","parse-names":false,"suffix":""},{"dropping-particle":"","family":"Lee","given":"Gabsang","non-dropping-particle":"","parse-names":false,"suffix":""}],"container-title":"Cell Reports","id":"ITEM-3","issue":"10","issued":{"date-parts":[["2016"]]},"page":"2301-2312","publisher":"The Author(s)","title":"Concordant but Varied Phenotypes among Duchenne Muscular Dystrophy Patient-Specific Myoblasts Derived using a Human iPSC-Based Model","type":"article-journal","volume":"15"},"uris":["http://www.mendeley.com/documents/?uuid=b433f4a7-6191-4aeb-9ea5-3bcaddf74bce"]},{"id":"ITEM-4","itemData":{"author":[{"dropping-particle":"","family":"Choi","given":"In Young","non-dropping-particle":"","parse-names":false,"suffix":""},{"dropping-particle":"","family":"Lim","given":"Ho Tae","non-dropping-particle":"","parse-names":false,"suffix":""},{"dropping-particle":"","family":"Che","given":"Young Hyun","non-dropping-particle":"","parse-names":false,"suffix":""},{"dropping-particle":"","family":"Lee","given":"Gabsang","non-dropping-particle":"","parse-names":false,"suffix":""},{"dropping-particle":"","family":"Kim","given":"Yong Jun","non-dropping-particle":"","parse-names":false,"suffix":""}],"container-title":"Cells","id":"ITEM-4","issue":"7","issued":{"date-parts":[["2021"]]},"page":"1649","title":"Inhibition of the Combinatorial Signaling of Transforming Growth Factor-Beta and NOTCH Promotes Myotube Formation Progenitor Cells","type":"article-journal","volume":"10"},"uris":["http://www.mendeley.com/documents/?uuid=ba9e45be-147d-4af1-afd5-70e0fe662669"]}],"mendeley":{"formattedCitation":"&lt;sup&gt;21–24&lt;/sup&gt;","plainTextFormattedCitation":"21–24","previouslyFormattedCitation":"&lt;sup&gt;26–29&lt;/sup&gt;"},"properties":{"noteIndex":0},"schema":"https://github.com/citation-style-language/schema/raw/master/csl-citation.json"}</w:instrText>
      </w:r>
      <w:r w:rsidR="009F5E41" w:rsidRPr="009F5E41">
        <w:rPr>
          <w:rFonts w:ascii="Times New Roman" w:hAnsi="Times New Roman" w:cs="Times New Roman"/>
          <w:lang w:val="en-GB"/>
        </w:rPr>
        <w:fldChar w:fldCharType="separate"/>
      </w:r>
      <w:r w:rsidR="009F5E41" w:rsidRPr="009F5E41">
        <w:rPr>
          <w:rFonts w:ascii="Times New Roman" w:hAnsi="Times New Roman" w:cs="Times New Roman"/>
          <w:noProof/>
          <w:vertAlign w:val="superscript"/>
          <w:lang w:val="en-GB"/>
        </w:rPr>
        <w:t>21–24</w:t>
      </w:r>
      <w:r w:rsidR="009F5E41" w:rsidRPr="009F5E41">
        <w:rPr>
          <w:rFonts w:ascii="Times New Roman" w:hAnsi="Times New Roman" w:cs="Times New Roman"/>
          <w:lang w:val="en-GB"/>
        </w:rPr>
        <w:fldChar w:fldCharType="end"/>
      </w:r>
      <w:r w:rsidR="009F5E41" w:rsidRPr="009F5E41">
        <w:rPr>
          <w:rFonts w:ascii="Times New Roman" w:hAnsi="Times New Roman" w:cs="Times New Roman"/>
          <w:lang w:val="en-GB"/>
        </w:rPr>
        <w:t>.”</w:t>
      </w:r>
    </w:p>
    <w:p w14:paraId="77665146" w14:textId="0A5D024F" w:rsidR="00F90060" w:rsidRDefault="00F90060" w:rsidP="003670F6">
      <w:pPr>
        <w:pStyle w:val="NoSpacing"/>
        <w:jc w:val="both"/>
        <w:rPr>
          <w:rFonts w:ascii="Times New Roman" w:hAnsi="Times New Roman" w:cs="Times New Roman"/>
          <w:b/>
          <w:lang w:val="en-US"/>
        </w:rPr>
      </w:pPr>
    </w:p>
    <w:p w14:paraId="2D2E39FC" w14:textId="69E41CE7" w:rsidR="008329D6" w:rsidRDefault="008329D6" w:rsidP="003670F6">
      <w:pPr>
        <w:pStyle w:val="NoSpacing"/>
        <w:jc w:val="both"/>
        <w:rPr>
          <w:rFonts w:ascii="Times New Roman" w:hAnsi="Times New Roman" w:cs="Times New Roman"/>
          <w:b/>
          <w:lang w:val="en-US"/>
        </w:rPr>
      </w:pPr>
    </w:p>
    <w:p w14:paraId="6F35A840" w14:textId="4D6AA566" w:rsidR="008329D6" w:rsidRPr="00831EB2" w:rsidRDefault="00A07F75" w:rsidP="003670F6">
      <w:pPr>
        <w:pStyle w:val="NoSpacing"/>
        <w:jc w:val="both"/>
        <w:rPr>
          <w:rFonts w:ascii="Times New Roman" w:hAnsi="Times New Roman" w:cs="Times New Roman"/>
          <w:b/>
          <w:sz w:val="24"/>
          <w:szCs w:val="24"/>
          <w:lang w:val="en-US"/>
        </w:rPr>
      </w:pPr>
      <w:r w:rsidRPr="00831EB2">
        <w:rPr>
          <w:rFonts w:ascii="Times New Roman" w:hAnsi="Times New Roman" w:cs="Times New Roman"/>
          <w:b/>
          <w:sz w:val="24"/>
          <w:szCs w:val="24"/>
          <w:lang w:val="en-US"/>
        </w:rPr>
        <w:t xml:space="preserve">References: </w:t>
      </w:r>
    </w:p>
    <w:p w14:paraId="29B56F59" w14:textId="62A0B3CA" w:rsidR="009F5E41" w:rsidRPr="009F5E41" w:rsidRDefault="00A07F75" w:rsidP="00831EB2">
      <w:pPr>
        <w:autoSpaceDE w:val="0"/>
        <w:autoSpaceDN w:val="0"/>
        <w:adjustRightInd w:val="0"/>
        <w:spacing w:before="120"/>
        <w:ind w:left="641" w:hanging="641"/>
        <w:rPr>
          <w:rFonts w:ascii="Times New Roman" w:hAnsi="Times New Roman" w:cs="Times New Roman"/>
          <w:noProof/>
          <w:sz w:val="22"/>
        </w:rPr>
      </w:pPr>
      <w:r>
        <w:rPr>
          <w:rFonts w:ascii="Times New Roman" w:hAnsi="Times New Roman" w:cs="Times New Roman"/>
          <w:b/>
        </w:rPr>
        <w:fldChar w:fldCharType="begin" w:fldLock="1"/>
      </w:r>
      <w:r>
        <w:rPr>
          <w:rFonts w:ascii="Times New Roman" w:hAnsi="Times New Roman" w:cs="Times New Roman"/>
          <w:b/>
        </w:rPr>
        <w:instrText xml:space="preserve">ADDIN Mendeley Bibliography CSL_BIBLIOGRAPHY </w:instrText>
      </w:r>
      <w:r>
        <w:rPr>
          <w:rFonts w:ascii="Times New Roman" w:hAnsi="Times New Roman" w:cs="Times New Roman"/>
          <w:b/>
        </w:rPr>
        <w:fldChar w:fldCharType="separate"/>
      </w:r>
      <w:r w:rsidR="009F5E41" w:rsidRPr="009F5E41">
        <w:rPr>
          <w:rFonts w:ascii="Times New Roman" w:hAnsi="Times New Roman" w:cs="Times New Roman"/>
          <w:noProof/>
          <w:sz w:val="22"/>
        </w:rPr>
        <w:t>1.</w:t>
      </w:r>
      <w:r w:rsidR="009F5E41" w:rsidRPr="009F5E41">
        <w:rPr>
          <w:rFonts w:ascii="Times New Roman" w:hAnsi="Times New Roman" w:cs="Times New Roman"/>
          <w:noProof/>
          <w:sz w:val="22"/>
        </w:rPr>
        <w:tab/>
        <w:t xml:space="preserve">Giacomazzi, G. </w:t>
      </w:r>
      <w:r w:rsidR="009F5E41" w:rsidRPr="009F5E41">
        <w:rPr>
          <w:rFonts w:ascii="Times New Roman" w:hAnsi="Times New Roman" w:cs="Times New Roman"/>
          <w:i/>
          <w:iCs/>
          <w:noProof/>
          <w:sz w:val="22"/>
        </w:rPr>
        <w:t>et al.</w:t>
      </w:r>
      <w:r w:rsidR="009F5E41" w:rsidRPr="009F5E41">
        <w:rPr>
          <w:rFonts w:ascii="Times New Roman" w:hAnsi="Times New Roman" w:cs="Times New Roman"/>
          <w:noProof/>
          <w:sz w:val="22"/>
        </w:rPr>
        <w:t xml:space="preserve"> Isolation of Mammalian Mesoangioblasts: A Subset of Pericytes with Myogenic Potential. in </w:t>
      </w:r>
      <w:r w:rsidR="009F5E41" w:rsidRPr="009F5E41">
        <w:rPr>
          <w:rFonts w:ascii="Times New Roman" w:hAnsi="Times New Roman" w:cs="Times New Roman"/>
          <w:i/>
          <w:iCs/>
          <w:noProof/>
          <w:sz w:val="22"/>
        </w:rPr>
        <w:t>Pericytes: Methods and Protocols</w:t>
      </w:r>
      <w:r w:rsidR="009F5E41" w:rsidRPr="009F5E41">
        <w:rPr>
          <w:rFonts w:ascii="Times New Roman" w:hAnsi="Times New Roman" w:cs="Times New Roman"/>
          <w:noProof/>
          <w:sz w:val="22"/>
        </w:rPr>
        <w:t xml:space="preserve"> (ed. Péault, B. M.) 155–167 (Springer US, 2021).</w:t>
      </w:r>
    </w:p>
    <w:p w14:paraId="307D60A1"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2.</w:t>
      </w:r>
      <w:r w:rsidRPr="009F5E41">
        <w:rPr>
          <w:rFonts w:ascii="Times New Roman" w:hAnsi="Times New Roman" w:cs="Times New Roman"/>
          <w:noProof/>
          <w:sz w:val="22"/>
        </w:rPr>
        <w:tab/>
        <w:t xml:space="preserve">Guo, W.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HDAC6 inhibition reverses axonal transport defects in motor neurons derived from FUS-ALS patients. </w:t>
      </w:r>
      <w:r w:rsidRPr="009F5E41">
        <w:rPr>
          <w:rFonts w:ascii="Times New Roman" w:hAnsi="Times New Roman" w:cs="Times New Roman"/>
          <w:i/>
          <w:iCs/>
          <w:noProof/>
          <w:sz w:val="22"/>
        </w:rPr>
        <w:t>Nature Communications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8</w:t>
      </w:r>
      <w:r w:rsidRPr="009F5E41">
        <w:rPr>
          <w:rFonts w:ascii="Times New Roman" w:hAnsi="Times New Roman" w:cs="Times New Roman"/>
          <w:noProof/>
          <w:sz w:val="22"/>
        </w:rPr>
        <w:t xml:space="preserve"> (1), 861 (2017).</w:t>
      </w:r>
    </w:p>
    <w:p w14:paraId="54F0DC46"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3.</w:t>
      </w:r>
      <w:r w:rsidRPr="009F5E41">
        <w:rPr>
          <w:rFonts w:ascii="Times New Roman" w:hAnsi="Times New Roman" w:cs="Times New Roman"/>
          <w:noProof/>
          <w:sz w:val="22"/>
        </w:rPr>
        <w:tab/>
        <w:t xml:space="preserve">Fazal, R.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HDAC6 inhibition restores TDP-43 pathology and axonal transport defects in human motor neurons with TARDBP mutations. </w:t>
      </w:r>
      <w:r w:rsidRPr="009F5E41">
        <w:rPr>
          <w:rFonts w:ascii="Times New Roman" w:hAnsi="Times New Roman" w:cs="Times New Roman"/>
          <w:i/>
          <w:iCs/>
          <w:noProof/>
          <w:sz w:val="22"/>
        </w:rPr>
        <w:t>EMBO Journal</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10</w:t>
      </w:r>
      <w:r w:rsidRPr="009F5E41">
        <w:rPr>
          <w:rFonts w:ascii="Times New Roman" w:hAnsi="Times New Roman" w:cs="Times New Roman"/>
          <w:noProof/>
          <w:sz w:val="22"/>
        </w:rPr>
        <w:t xml:space="preserve"> e106177 (2021).</w:t>
      </w:r>
    </w:p>
    <w:p w14:paraId="373F56D3"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4.</w:t>
      </w:r>
      <w:r w:rsidRPr="009F5E41">
        <w:rPr>
          <w:rFonts w:ascii="Times New Roman" w:hAnsi="Times New Roman" w:cs="Times New Roman"/>
          <w:noProof/>
          <w:sz w:val="22"/>
        </w:rPr>
        <w:tab/>
        <w:t xml:space="preserve">Stoklund Dittlau, K.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Human motor units in microfluidic devices are impaired by FUS mutations and improved by HDAC6 inhibition. </w:t>
      </w:r>
      <w:r w:rsidRPr="009F5E41">
        <w:rPr>
          <w:rFonts w:ascii="Times New Roman" w:hAnsi="Times New Roman" w:cs="Times New Roman"/>
          <w:i/>
          <w:iCs/>
          <w:noProof/>
          <w:sz w:val="22"/>
        </w:rPr>
        <w:t>Stem Cell Reports</w:t>
      </w:r>
      <w:r w:rsidRPr="009F5E41">
        <w:rPr>
          <w:rFonts w:ascii="Times New Roman" w:hAnsi="Times New Roman" w:cs="Times New Roman"/>
          <w:noProof/>
          <w:sz w:val="22"/>
        </w:rPr>
        <w:t>. doi: 10.1016/j.stemcr.2021.03.029 (2021).</w:t>
      </w:r>
    </w:p>
    <w:p w14:paraId="13F2BDFD"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5.</w:t>
      </w:r>
      <w:r w:rsidRPr="009F5E41">
        <w:rPr>
          <w:rFonts w:ascii="Times New Roman" w:hAnsi="Times New Roman" w:cs="Times New Roman"/>
          <w:noProof/>
          <w:sz w:val="22"/>
        </w:rPr>
        <w:tab/>
        <w:t xml:space="preserve">Demestre, M.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Formation and characterisation of neuromuscular junctions between hiPSC derived motoneurons and myotubes. </w:t>
      </w:r>
      <w:r w:rsidRPr="009F5E41">
        <w:rPr>
          <w:rFonts w:ascii="Times New Roman" w:hAnsi="Times New Roman" w:cs="Times New Roman"/>
          <w:i/>
          <w:iCs/>
          <w:noProof/>
          <w:sz w:val="22"/>
        </w:rPr>
        <w:t>Stem Cell Research</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15</w:t>
      </w:r>
      <w:r w:rsidRPr="009F5E41">
        <w:rPr>
          <w:rFonts w:ascii="Times New Roman" w:hAnsi="Times New Roman" w:cs="Times New Roman"/>
          <w:noProof/>
          <w:sz w:val="22"/>
        </w:rPr>
        <w:t xml:space="preserve"> (2), 328–336 (2015).</w:t>
      </w:r>
    </w:p>
    <w:p w14:paraId="626F4483"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6.</w:t>
      </w:r>
      <w:r w:rsidRPr="009F5E41">
        <w:rPr>
          <w:rFonts w:ascii="Times New Roman" w:hAnsi="Times New Roman" w:cs="Times New Roman"/>
          <w:noProof/>
          <w:sz w:val="22"/>
        </w:rPr>
        <w:tab/>
        <w:t xml:space="preserve">Guo, X., Gonzalez, M., Stancescu, M., Vandenburgh, H. H. &amp; Hickman, J. J. Neuromuscular junction formation between human stem cell-derived motoneurons </w:t>
      </w:r>
      <w:r w:rsidRPr="009F5E41">
        <w:rPr>
          <w:rFonts w:ascii="Times New Roman" w:hAnsi="Times New Roman" w:cs="Times New Roman"/>
          <w:noProof/>
          <w:sz w:val="22"/>
        </w:rPr>
        <w:lastRenderedPageBreak/>
        <w:t xml:space="preserve">and human skeletal muscle in a defined system. </w:t>
      </w:r>
      <w:r w:rsidRPr="009F5E41">
        <w:rPr>
          <w:rFonts w:ascii="Times New Roman" w:hAnsi="Times New Roman" w:cs="Times New Roman"/>
          <w:i/>
          <w:iCs/>
          <w:noProof/>
          <w:sz w:val="22"/>
        </w:rPr>
        <w:t>Biomaterials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32</w:t>
      </w:r>
      <w:r w:rsidRPr="009F5E41">
        <w:rPr>
          <w:rFonts w:ascii="Times New Roman" w:hAnsi="Times New Roman" w:cs="Times New Roman"/>
          <w:noProof/>
          <w:sz w:val="22"/>
        </w:rPr>
        <w:t xml:space="preserve"> (36), 9602–9611 (2011).</w:t>
      </w:r>
    </w:p>
    <w:p w14:paraId="61A438DE"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7.</w:t>
      </w:r>
      <w:r w:rsidRPr="009F5E41">
        <w:rPr>
          <w:rFonts w:ascii="Times New Roman" w:hAnsi="Times New Roman" w:cs="Times New Roman"/>
          <w:noProof/>
          <w:sz w:val="22"/>
        </w:rPr>
        <w:tab/>
        <w:t xml:space="preserve">Zahavi, E. E.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A compartmentalized microfluidic neuromuscular co-culture system reveals spatial aspects of GDNF functions. </w:t>
      </w:r>
      <w:r w:rsidRPr="009F5E41">
        <w:rPr>
          <w:rFonts w:ascii="Times New Roman" w:hAnsi="Times New Roman" w:cs="Times New Roman"/>
          <w:i/>
          <w:iCs/>
          <w:noProof/>
          <w:sz w:val="22"/>
        </w:rPr>
        <w:t>Journal of Cell Science</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128</w:t>
      </w:r>
      <w:r w:rsidRPr="009F5E41">
        <w:rPr>
          <w:rFonts w:ascii="Times New Roman" w:hAnsi="Times New Roman" w:cs="Times New Roman"/>
          <w:noProof/>
          <w:sz w:val="22"/>
        </w:rPr>
        <w:t xml:space="preserve"> (6), 1241–1252 (2015).</w:t>
      </w:r>
    </w:p>
    <w:p w14:paraId="74269056"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8.</w:t>
      </w:r>
      <w:r w:rsidRPr="009F5E41">
        <w:rPr>
          <w:rFonts w:ascii="Times New Roman" w:hAnsi="Times New Roman" w:cs="Times New Roman"/>
          <w:noProof/>
          <w:sz w:val="22"/>
        </w:rPr>
        <w:tab/>
        <w:t xml:space="preserve">Vila, O. F.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Quantification of human neuromuscular function through optogenetics. </w:t>
      </w:r>
      <w:r w:rsidRPr="009F5E41">
        <w:rPr>
          <w:rFonts w:ascii="Times New Roman" w:hAnsi="Times New Roman" w:cs="Times New Roman"/>
          <w:i/>
          <w:iCs/>
          <w:noProof/>
          <w:sz w:val="22"/>
        </w:rPr>
        <w:t>Theranostics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9</w:t>
      </w:r>
      <w:r w:rsidRPr="009F5E41">
        <w:rPr>
          <w:rFonts w:ascii="Times New Roman" w:hAnsi="Times New Roman" w:cs="Times New Roman"/>
          <w:noProof/>
          <w:sz w:val="22"/>
        </w:rPr>
        <w:t xml:space="preserve"> (5), 1232–1246 (2019).</w:t>
      </w:r>
    </w:p>
    <w:p w14:paraId="067C1E78"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9.</w:t>
      </w:r>
      <w:r w:rsidRPr="009F5E41">
        <w:rPr>
          <w:rFonts w:ascii="Times New Roman" w:hAnsi="Times New Roman" w:cs="Times New Roman"/>
          <w:noProof/>
          <w:sz w:val="22"/>
        </w:rPr>
        <w:tab/>
        <w:t xml:space="preserve">Lin, C. Y.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IPSC-derived functional human neuromuscular junctions model the pathophysiology of neuromuscular diseases. </w:t>
      </w:r>
      <w:r w:rsidRPr="009F5E41">
        <w:rPr>
          <w:rFonts w:ascii="Times New Roman" w:hAnsi="Times New Roman" w:cs="Times New Roman"/>
          <w:i/>
          <w:iCs/>
          <w:noProof/>
          <w:sz w:val="22"/>
        </w:rPr>
        <w:t>JCI Insight</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4</w:t>
      </w:r>
      <w:r w:rsidRPr="009F5E41">
        <w:rPr>
          <w:rFonts w:ascii="Times New Roman" w:hAnsi="Times New Roman" w:cs="Times New Roman"/>
          <w:noProof/>
          <w:sz w:val="22"/>
        </w:rPr>
        <w:t xml:space="preserve"> (18), e124299 (2019).</w:t>
      </w:r>
    </w:p>
    <w:p w14:paraId="62A9925F"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10.</w:t>
      </w:r>
      <w:r w:rsidRPr="009F5E41">
        <w:rPr>
          <w:rFonts w:ascii="Times New Roman" w:hAnsi="Times New Roman" w:cs="Times New Roman"/>
          <w:noProof/>
          <w:sz w:val="22"/>
        </w:rPr>
        <w:tab/>
        <w:t xml:space="preserve">Puttonen, K. A.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Generation of Functional Neuromuscular Junctions from Human Pluripotent Stem Cell Lines. </w:t>
      </w:r>
      <w:r w:rsidRPr="009F5E41">
        <w:rPr>
          <w:rFonts w:ascii="Times New Roman" w:hAnsi="Times New Roman" w:cs="Times New Roman"/>
          <w:i/>
          <w:iCs/>
          <w:noProof/>
          <w:sz w:val="22"/>
        </w:rPr>
        <w:t>Frontiers in Cellular Neuroscience</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9</w:t>
      </w:r>
      <w:r w:rsidRPr="009F5E41">
        <w:rPr>
          <w:rFonts w:ascii="Times New Roman" w:hAnsi="Times New Roman" w:cs="Times New Roman"/>
          <w:noProof/>
          <w:sz w:val="22"/>
        </w:rPr>
        <w:t xml:space="preserve"> 473 (2015).</w:t>
      </w:r>
    </w:p>
    <w:p w14:paraId="1E6129DE"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11.</w:t>
      </w:r>
      <w:r w:rsidRPr="009F5E41">
        <w:rPr>
          <w:rFonts w:ascii="Times New Roman" w:hAnsi="Times New Roman" w:cs="Times New Roman"/>
          <w:noProof/>
          <w:sz w:val="22"/>
        </w:rPr>
        <w:tab/>
        <w:t xml:space="preserve">Umbach, J. A., Adams, K. L., Gundersen, C. B. &amp; Novitch, B. G. Functional neuromuscular junctions formed by embryonic stem cell-derived motor neurons. </w:t>
      </w:r>
      <w:r w:rsidRPr="009F5E41">
        <w:rPr>
          <w:rFonts w:ascii="Times New Roman" w:hAnsi="Times New Roman" w:cs="Times New Roman"/>
          <w:i/>
          <w:iCs/>
          <w:noProof/>
          <w:sz w:val="22"/>
        </w:rPr>
        <w:t>PLoS ONE</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7</w:t>
      </w:r>
      <w:r w:rsidRPr="009F5E41">
        <w:rPr>
          <w:rFonts w:ascii="Times New Roman" w:hAnsi="Times New Roman" w:cs="Times New Roman"/>
          <w:noProof/>
          <w:sz w:val="22"/>
        </w:rPr>
        <w:t xml:space="preserve"> e36049 (2012).</w:t>
      </w:r>
    </w:p>
    <w:p w14:paraId="108FFDF2"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12.</w:t>
      </w:r>
      <w:r w:rsidRPr="009F5E41">
        <w:rPr>
          <w:rFonts w:ascii="Times New Roman" w:hAnsi="Times New Roman" w:cs="Times New Roman"/>
          <w:noProof/>
          <w:sz w:val="22"/>
        </w:rPr>
        <w:tab/>
        <w:t xml:space="preserve">Bellmann, J.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A customizable microfluidic platform for medium-throughput modeling of neuromuscular circuits. </w:t>
      </w:r>
      <w:r w:rsidRPr="009F5E41">
        <w:rPr>
          <w:rFonts w:ascii="Times New Roman" w:hAnsi="Times New Roman" w:cs="Times New Roman"/>
          <w:i/>
          <w:iCs/>
          <w:noProof/>
          <w:sz w:val="22"/>
        </w:rPr>
        <w:t>Biomaterials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225</w:t>
      </w:r>
      <w:r w:rsidRPr="009F5E41">
        <w:rPr>
          <w:rFonts w:ascii="Times New Roman" w:hAnsi="Times New Roman" w:cs="Times New Roman"/>
          <w:noProof/>
          <w:sz w:val="22"/>
        </w:rPr>
        <w:t xml:space="preserve"> 119537 (2019).</w:t>
      </w:r>
    </w:p>
    <w:p w14:paraId="7F0DEDA6"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13.</w:t>
      </w:r>
      <w:r w:rsidRPr="009F5E41">
        <w:rPr>
          <w:rFonts w:ascii="Times New Roman" w:hAnsi="Times New Roman" w:cs="Times New Roman"/>
          <w:noProof/>
          <w:sz w:val="22"/>
        </w:rPr>
        <w:tab/>
        <w:t xml:space="preserve">Mills, R.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Neurturin is a PGC-1α1-controlled myokine that promotes motor neuron recruitment and neuromuscular junction formation. </w:t>
      </w:r>
      <w:r w:rsidRPr="009F5E41">
        <w:rPr>
          <w:rFonts w:ascii="Times New Roman" w:hAnsi="Times New Roman" w:cs="Times New Roman"/>
          <w:i/>
          <w:iCs/>
          <w:noProof/>
          <w:sz w:val="22"/>
        </w:rPr>
        <w:t>Molecular Metabolism</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7</w:t>
      </w:r>
      <w:r w:rsidRPr="009F5E41">
        <w:rPr>
          <w:rFonts w:ascii="Times New Roman" w:hAnsi="Times New Roman" w:cs="Times New Roman"/>
          <w:noProof/>
          <w:sz w:val="22"/>
        </w:rPr>
        <w:t xml:space="preserve"> 12–22 (2018).</w:t>
      </w:r>
    </w:p>
    <w:p w14:paraId="5462F71C"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14.</w:t>
      </w:r>
      <w:r w:rsidRPr="009F5E41">
        <w:rPr>
          <w:rFonts w:ascii="Times New Roman" w:hAnsi="Times New Roman" w:cs="Times New Roman"/>
          <w:noProof/>
          <w:sz w:val="22"/>
        </w:rPr>
        <w:tab/>
        <w:t xml:space="preserve">Osaki, T., Uzel, S. G. M. &amp; Kamm, R. D. Microphysiological 3D model of amyotrophic lateral sclerosis (ALS) from human iPS-derived muscle cells and optogenetic motor neurons. </w:t>
      </w:r>
      <w:r w:rsidRPr="009F5E41">
        <w:rPr>
          <w:rFonts w:ascii="Times New Roman" w:hAnsi="Times New Roman" w:cs="Times New Roman"/>
          <w:i/>
          <w:iCs/>
          <w:noProof/>
          <w:sz w:val="22"/>
        </w:rPr>
        <w:t>Science Advances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4</w:t>
      </w:r>
      <w:r w:rsidRPr="009F5E41">
        <w:rPr>
          <w:rFonts w:ascii="Times New Roman" w:hAnsi="Times New Roman" w:cs="Times New Roman"/>
          <w:noProof/>
          <w:sz w:val="22"/>
        </w:rPr>
        <w:t xml:space="preserve"> (10), eaat5847 (2018).</w:t>
      </w:r>
    </w:p>
    <w:p w14:paraId="73AEC61C"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15.</w:t>
      </w:r>
      <w:r w:rsidRPr="009F5E41">
        <w:rPr>
          <w:rFonts w:ascii="Times New Roman" w:hAnsi="Times New Roman" w:cs="Times New Roman"/>
          <w:noProof/>
          <w:sz w:val="22"/>
        </w:rPr>
        <w:tab/>
        <w:t xml:space="preserve">Santhanam, N.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Stem cell derived phenotypic human neuromuscular junction model for dose response evaluation of therapeutics. </w:t>
      </w:r>
      <w:r w:rsidRPr="009F5E41">
        <w:rPr>
          <w:rFonts w:ascii="Times New Roman" w:hAnsi="Times New Roman" w:cs="Times New Roman"/>
          <w:i/>
          <w:iCs/>
          <w:noProof/>
          <w:sz w:val="22"/>
        </w:rPr>
        <w:t>Biomaterials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166</w:t>
      </w:r>
      <w:r w:rsidRPr="009F5E41">
        <w:rPr>
          <w:rFonts w:ascii="Times New Roman" w:hAnsi="Times New Roman" w:cs="Times New Roman"/>
          <w:noProof/>
          <w:sz w:val="22"/>
        </w:rPr>
        <w:t xml:space="preserve"> 64–78 (2018).</w:t>
      </w:r>
    </w:p>
    <w:p w14:paraId="12F31151"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16.</w:t>
      </w:r>
      <w:r w:rsidRPr="009F5E41">
        <w:rPr>
          <w:rFonts w:ascii="Times New Roman" w:hAnsi="Times New Roman" w:cs="Times New Roman"/>
          <w:noProof/>
          <w:sz w:val="22"/>
        </w:rPr>
        <w:tab/>
        <w:t xml:space="preserve">Southam, K. A., King, A. E., Blizzard, C. A., McCormack, G. H. &amp; Dickson, T. C. Microfluidic primary culture model of the lower motor neuron-neuromuscular junction circuit. </w:t>
      </w:r>
      <w:r w:rsidRPr="009F5E41">
        <w:rPr>
          <w:rFonts w:ascii="Times New Roman" w:hAnsi="Times New Roman" w:cs="Times New Roman"/>
          <w:i/>
          <w:iCs/>
          <w:noProof/>
          <w:sz w:val="22"/>
        </w:rPr>
        <w:t>Journal of Neuroscience Methods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218</w:t>
      </w:r>
      <w:r w:rsidRPr="009F5E41">
        <w:rPr>
          <w:rFonts w:ascii="Times New Roman" w:hAnsi="Times New Roman" w:cs="Times New Roman"/>
          <w:noProof/>
          <w:sz w:val="22"/>
        </w:rPr>
        <w:t xml:space="preserve"> (2), 164–169 (2013).</w:t>
      </w:r>
    </w:p>
    <w:p w14:paraId="11EC0EB2"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17.</w:t>
      </w:r>
      <w:r w:rsidRPr="009F5E41">
        <w:rPr>
          <w:rFonts w:ascii="Times New Roman" w:hAnsi="Times New Roman" w:cs="Times New Roman"/>
          <w:noProof/>
          <w:sz w:val="22"/>
        </w:rPr>
        <w:tab/>
        <w:t xml:space="preserve">Taylor, A. M.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A microfluidic culture platform for CNS axonal injury, regeneration and transport. </w:t>
      </w:r>
      <w:r w:rsidRPr="009F5E41">
        <w:rPr>
          <w:rFonts w:ascii="Times New Roman" w:hAnsi="Times New Roman" w:cs="Times New Roman"/>
          <w:i/>
          <w:iCs/>
          <w:noProof/>
          <w:sz w:val="22"/>
        </w:rPr>
        <w:t>Nature Methods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2</w:t>
      </w:r>
      <w:r w:rsidRPr="009F5E41">
        <w:rPr>
          <w:rFonts w:ascii="Times New Roman" w:hAnsi="Times New Roman" w:cs="Times New Roman"/>
          <w:noProof/>
          <w:sz w:val="22"/>
        </w:rPr>
        <w:t xml:space="preserve"> (8), 599–605 (2005).</w:t>
      </w:r>
    </w:p>
    <w:p w14:paraId="27FC73F8"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18.</w:t>
      </w:r>
      <w:r w:rsidRPr="009F5E41">
        <w:rPr>
          <w:rFonts w:ascii="Times New Roman" w:hAnsi="Times New Roman" w:cs="Times New Roman"/>
          <w:noProof/>
          <w:sz w:val="22"/>
        </w:rPr>
        <w:tab/>
        <w:t xml:space="preserve">Taylor, A. M.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Microfluidic Multicompartment Device for Neuroscience Research. </w:t>
      </w:r>
      <w:r w:rsidRPr="009F5E41">
        <w:rPr>
          <w:rFonts w:ascii="Times New Roman" w:hAnsi="Times New Roman" w:cs="Times New Roman"/>
          <w:i/>
          <w:iCs/>
          <w:noProof/>
          <w:sz w:val="22"/>
        </w:rPr>
        <w:t>Langmuir</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19</w:t>
      </w:r>
      <w:r w:rsidRPr="009F5E41">
        <w:rPr>
          <w:rFonts w:ascii="Times New Roman" w:hAnsi="Times New Roman" w:cs="Times New Roman"/>
          <w:noProof/>
          <w:sz w:val="22"/>
        </w:rPr>
        <w:t xml:space="preserve"> (5), 1551–1556 (2003).</w:t>
      </w:r>
    </w:p>
    <w:p w14:paraId="1AF9B881"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19.</w:t>
      </w:r>
      <w:r w:rsidRPr="009F5E41">
        <w:rPr>
          <w:rFonts w:ascii="Times New Roman" w:hAnsi="Times New Roman" w:cs="Times New Roman"/>
          <w:noProof/>
          <w:sz w:val="22"/>
        </w:rPr>
        <w:tab/>
        <w:t xml:space="preserve">Campenot, R. B. Local control of neurite development by nerve growth factor. </w:t>
      </w:r>
      <w:r w:rsidRPr="009F5E41">
        <w:rPr>
          <w:rFonts w:ascii="Times New Roman" w:hAnsi="Times New Roman" w:cs="Times New Roman"/>
          <w:i/>
          <w:iCs/>
          <w:noProof/>
          <w:sz w:val="22"/>
        </w:rPr>
        <w:t>Proceedings of the National Academy of Sciences of the United States of America</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74</w:t>
      </w:r>
      <w:r w:rsidRPr="009F5E41">
        <w:rPr>
          <w:rFonts w:ascii="Times New Roman" w:hAnsi="Times New Roman" w:cs="Times New Roman"/>
          <w:noProof/>
          <w:sz w:val="22"/>
        </w:rPr>
        <w:t xml:space="preserve"> (10), 4516–9 (1977).</w:t>
      </w:r>
    </w:p>
    <w:p w14:paraId="7927E44F"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20.</w:t>
      </w:r>
      <w:r w:rsidRPr="009F5E41">
        <w:rPr>
          <w:rFonts w:ascii="Times New Roman" w:hAnsi="Times New Roman" w:cs="Times New Roman"/>
          <w:noProof/>
          <w:sz w:val="22"/>
        </w:rPr>
        <w:tab/>
        <w:t xml:space="preserve">Jiwlawat, N., Lynch, E., Jeffrey, J., Van Dyke, J. M. &amp; Suzuki, M. Current progress and challenges for skeletal muscle differentiation from human pluripotent stem cells using transgene-free approaches. </w:t>
      </w:r>
      <w:r w:rsidRPr="009F5E41">
        <w:rPr>
          <w:rFonts w:ascii="Times New Roman" w:hAnsi="Times New Roman" w:cs="Times New Roman"/>
          <w:i/>
          <w:iCs/>
          <w:noProof/>
          <w:sz w:val="22"/>
        </w:rPr>
        <w:t>Stem Cells International</w:t>
      </w:r>
      <w:r w:rsidRPr="009F5E41">
        <w:rPr>
          <w:rFonts w:ascii="Times New Roman" w:hAnsi="Times New Roman" w:cs="Times New Roman"/>
          <w:noProof/>
          <w:sz w:val="22"/>
        </w:rPr>
        <w:t>. 6241681 (2018).</w:t>
      </w:r>
    </w:p>
    <w:p w14:paraId="0A6E946D"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21.</w:t>
      </w:r>
      <w:r w:rsidRPr="009F5E41">
        <w:rPr>
          <w:rFonts w:ascii="Times New Roman" w:hAnsi="Times New Roman" w:cs="Times New Roman"/>
          <w:noProof/>
          <w:sz w:val="22"/>
        </w:rPr>
        <w:tab/>
        <w:t xml:space="preserve">Chal, J.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Generation of human muscle fibers and satellite-like cells from human </w:t>
      </w:r>
      <w:r w:rsidRPr="009F5E41">
        <w:rPr>
          <w:rFonts w:ascii="Times New Roman" w:hAnsi="Times New Roman" w:cs="Times New Roman"/>
          <w:noProof/>
          <w:sz w:val="22"/>
        </w:rPr>
        <w:lastRenderedPageBreak/>
        <w:t xml:space="preserve">pluripotent stem cells in vitro. </w:t>
      </w:r>
      <w:r w:rsidRPr="009F5E41">
        <w:rPr>
          <w:rFonts w:ascii="Times New Roman" w:hAnsi="Times New Roman" w:cs="Times New Roman"/>
          <w:i/>
          <w:iCs/>
          <w:noProof/>
          <w:sz w:val="22"/>
        </w:rPr>
        <w:t>Nature Protocols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11</w:t>
      </w:r>
      <w:r w:rsidRPr="009F5E41">
        <w:rPr>
          <w:rFonts w:ascii="Times New Roman" w:hAnsi="Times New Roman" w:cs="Times New Roman"/>
          <w:noProof/>
          <w:sz w:val="22"/>
        </w:rPr>
        <w:t xml:space="preserve"> (10), 1833–1850 (2016).</w:t>
      </w:r>
    </w:p>
    <w:p w14:paraId="4F40D876"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22.</w:t>
      </w:r>
      <w:r w:rsidRPr="009F5E41">
        <w:rPr>
          <w:rFonts w:ascii="Times New Roman" w:hAnsi="Times New Roman" w:cs="Times New Roman"/>
          <w:noProof/>
          <w:sz w:val="22"/>
        </w:rPr>
        <w:tab/>
        <w:t xml:space="preserve">van der Wal, E.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Large-Scale Expansion of Human iPSC-Derived Skeletal Muscle Cells for Disease Modeling and Cell-Based Therapeutic Strategies. </w:t>
      </w:r>
      <w:r w:rsidRPr="009F5E41">
        <w:rPr>
          <w:rFonts w:ascii="Times New Roman" w:hAnsi="Times New Roman" w:cs="Times New Roman"/>
          <w:i/>
          <w:iCs/>
          <w:noProof/>
          <w:sz w:val="22"/>
        </w:rPr>
        <w:t>Stem Cell Reports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10</w:t>
      </w:r>
      <w:r w:rsidRPr="009F5E41">
        <w:rPr>
          <w:rFonts w:ascii="Times New Roman" w:hAnsi="Times New Roman" w:cs="Times New Roman"/>
          <w:noProof/>
          <w:sz w:val="22"/>
        </w:rPr>
        <w:t xml:space="preserve"> (6), 1975–1990 (2018).</w:t>
      </w:r>
    </w:p>
    <w:p w14:paraId="05BD0FEC"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23.</w:t>
      </w:r>
      <w:r w:rsidRPr="009F5E41">
        <w:rPr>
          <w:rFonts w:ascii="Times New Roman" w:hAnsi="Times New Roman" w:cs="Times New Roman"/>
          <w:noProof/>
          <w:sz w:val="22"/>
        </w:rPr>
        <w:tab/>
        <w:t xml:space="preserve">Choi, I. Y. </w:t>
      </w:r>
      <w:r w:rsidRPr="009F5E41">
        <w:rPr>
          <w:rFonts w:ascii="Times New Roman" w:hAnsi="Times New Roman" w:cs="Times New Roman"/>
          <w:i/>
          <w:iCs/>
          <w:noProof/>
          <w:sz w:val="22"/>
        </w:rPr>
        <w:t>et al.</w:t>
      </w:r>
      <w:r w:rsidRPr="009F5E41">
        <w:rPr>
          <w:rFonts w:ascii="Times New Roman" w:hAnsi="Times New Roman" w:cs="Times New Roman"/>
          <w:noProof/>
          <w:sz w:val="22"/>
        </w:rPr>
        <w:t xml:space="preserve"> Concordant but Varied Phenotypes among Duchenne Muscular Dystrophy Patient-Specific Myoblasts Derived using a Human iPSC-Based Model. </w:t>
      </w:r>
      <w:r w:rsidRPr="009F5E41">
        <w:rPr>
          <w:rFonts w:ascii="Times New Roman" w:hAnsi="Times New Roman" w:cs="Times New Roman"/>
          <w:i/>
          <w:iCs/>
          <w:noProof/>
          <w:sz w:val="22"/>
        </w:rPr>
        <w:t>Cell Reports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15</w:t>
      </w:r>
      <w:r w:rsidRPr="009F5E41">
        <w:rPr>
          <w:rFonts w:ascii="Times New Roman" w:hAnsi="Times New Roman" w:cs="Times New Roman"/>
          <w:noProof/>
          <w:sz w:val="22"/>
        </w:rPr>
        <w:t xml:space="preserve"> (10), 2301–2312 (2016).</w:t>
      </w:r>
    </w:p>
    <w:p w14:paraId="4118772C" w14:textId="77777777" w:rsidR="009F5E41" w:rsidRPr="009F5E41" w:rsidRDefault="009F5E41" w:rsidP="009F5E41">
      <w:pPr>
        <w:autoSpaceDE w:val="0"/>
        <w:autoSpaceDN w:val="0"/>
        <w:adjustRightInd w:val="0"/>
        <w:ind w:left="640" w:hanging="640"/>
        <w:rPr>
          <w:rFonts w:ascii="Times New Roman" w:hAnsi="Times New Roman" w:cs="Times New Roman"/>
          <w:noProof/>
          <w:sz w:val="22"/>
        </w:rPr>
      </w:pPr>
      <w:r w:rsidRPr="009F5E41">
        <w:rPr>
          <w:rFonts w:ascii="Times New Roman" w:hAnsi="Times New Roman" w:cs="Times New Roman"/>
          <w:noProof/>
          <w:sz w:val="22"/>
        </w:rPr>
        <w:t>24.</w:t>
      </w:r>
      <w:r w:rsidRPr="009F5E41">
        <w:rPr>
          <w:rFonts w:ascii="Times New Roman" w:hAnsi="Times New Roman" w:cs="Times New Roman"/>
          <w:noProof/>
          <w:sz w:val="22"/>
        </w:rPr>
        <w:tab/>
        <w:t xml:space="preserve">Choi, I. Y., Lim, H. T., Che, Y. H., Lee, G. &amp; Kim, Y. J. Inhibition of the Combinatorial Signaling of Transforming Growth Factor-Beta and NOTCH Promotes Myotube Formation Progenitor Cells. </w:t>
      </w:r>
      <w:r w:rsidRPr="009F5E41">
        <w:rPr>
          <w:rFonts w:ascii="Times New Roman" w:hAnsi="Times New Roman" w:cs="Times New Roman"/>
          <w:i/>
          <w:iCs/>
          <w:noProof/>
          <w:sz w:val="22"/>
        </w:rPr>
        <w:t>Cells</w:t>
      </w:r>
      <w:r w:rsidRPr="009F5E41">
        <w:rPr>
          <w:rFonts w:ascii="Times New Roman" w:hAnsi="Times New Roman" w:cs="Times New Roman"/>
          <w:noProof/>
          <w:sz w:val="22"/>
        </w:rPr>
        <w:t xml:space="preserve">. </w:t>
      </w:r>
      <w:r w:rsidRPr="009F5E41">
        <w:rPr>
          <w:rFonts w:ascii="Times New Roman" w:hAnsi="Times New Roman" w:cs="Times New Roman"/>
          <w:b/>
          <w:bCs/>
          <w:noProof/>
          <w:sz w:val="22"/>
        </w:rPr>
        <w:t>10</w:t>
      </w:r>
      <w:r w:rsidRPr="009F5E41">
        <w:rPr>
          <w:rFonts w:ascii="Times New Roman" w:hAnsi="Times New Roman" w:cs="Times New Roman"/>
          <w:noProof/>
          <w:sz w:val="22"/>
        </w:rPr>
        <w:t xml:space="preserve"> (7), 1649 (2021).</w:t>
      </w:r>
    </w:p>
    <w:p w14:paraId="0F5808A8" w14:textId="280D837E" w:rsidR="00A07F75" w:rsidRPr="003670F6" w:rsidRDefault="00A07F75" w:rsidP="003670F6">
      <w:pPr>
        <w:pStyle w:val="NoSpacing"/>
        <w:jc w:val="both"/>
        <w:rPr>
          <w:rFonts w:ascii="Times New Roman" w:hAnsi="Times New Roman" w:cs="Times New Roman"/>
          <w:b/>
          <w:lang w:val="en-US"/>
        </w:rPr>
      </w:pPr>
      <w:r>
        <w:rPr>
          <w:rFonts w:ascii="Times New Roman" w:hAnsi="Times New Roman" w:cs="Times New Roman"/>
          <w:b/>
          <w:lang w:val="en-US"/>
        </w:rPr>
        <w:fldChar w:fldCharType="end"/>
      </w:r>
    </w:p>
    <w:sectPr w:rsidR="00A07F75" w:rsidRPr="003670F6">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85CAA9" w16cid:durableId="249A80D3"/>
  <w16cid:commentId w16cid:paraId="343A08C1" w16cid:durableId="249A8532"/>
  <w16cid:commentId w16cid:paraId="13085B1A" w16cid:durableId="249A850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09F"/>
    <w:rsid w:val="0000637D"/>
    <w:rsid w:val="00024E5E"/>
    <w:rsid w:val="00025773"/>
    <w:rsid w:val="00045A83"/>
    <w:rsid w:val="00062DD2"/>
    <w:rsid w:val="00064507"/>
    <w:rsid w:val="00091100"/>
    <w:rsid w:val="001045BE"/>
    <w:rsid w:val="0011133A"/>
    <w:rsid w:val="001273F4"/>
    <w:rsid w:val="00180588"/>
    <w:rsid w:val="001A0F56"/>
    <w:rsid w:val="001D7E2C"/>
    <w:rsid w:val="00217C63"/>
    <w:rsid w:val="002523A2"/>
    <w:rsid w:val="00287247"/>
    <w:rsid w:val="002D7836"/>
    <w:rsid w:val="002E692C"/>
    <w:rsid w:val="002F28BF"/>
    <w:rsid w:val="00304EA1"/>
    <w:rsid w:val="0032359A"/>
    <w:rsid w:val="003275C6"/>
    <w:rsid w:val="00344085"/>
    <w:rsid w:val="0034671E"/>
    <w:rsid w:val="003670F6"/>
    <w:rsid w:val="003856EB"/>
    <w:rsid w:val="003A0E37"/>
    <w:rsid w:val="004178CA"/>
    <w:rsid w:val="00470284"/>
    <w:rsid w:val="004C0D62"/>
    <w:rsid w:val="004E5B80"/>
    <w:rsid w:val="00507FAB"/>
    <w:rsid w:val="0051319D"/>
    <w:rsid w:val="00544D78"/>
    <w:rsid w:val="00581044"/>
    <w:rsid w:val="005816A8"/>
    <w:rsid w:val="00585AE7"/>
    <w:rsid w:val="00590527"/>
    <w:rsid w:val="00593D14"/>
    <w:rsid w:val="00594355"/>
    <w:rsid w:val="00600DDB"/>
    <w:rsid w:val="006048B6"/>
    <w:rsid w:val="006726E6"/>
    <w:rsid w:val="006727AC"/>
    <w:rsid w:val="006C2338"/>
    <w:rsid w:val="00730368"/>
    <w:rsid w:val="00737412"/>
    <w:rsid w:val="0078109B"/>
    <w:rsid w:val="00827EB4"/>
    <w:rsid w:val="00831EB2"/>
    <w:rsid w:val="008329D6"/>
    <w:rsid w:val="008736FD"/>
    <w:rsid w:val="008745EB"/>
    <w:rsid w:val="008A60D0"/>
    <w:rsid w:val="008B0CAE"/>
    <w:rsid w:val="008E7B59"/>
    <w:rsid w:val="008F5DFE"/>
    <w:rsid w:val="0098309F"/>
    <w:rsid w:val="009C1E88"/>
    <w:rsid w:val="009F5E41"/>
    <w:rsid w:val="00A07F75"/>
    <w:rsid w:val="00A32B62"/>
    <w:rsid w:val="00A65E7A"/>
    <w:rsid w:val="00A708C0"/>
    <w:rsid w:val="00B12B9F"/>
    <w:rsid w:val="00B22120"/>
    <w:rsid w:val="00BA404F"/>
    <w:rsid w:val="00C66B0D"/>
    <w:rsid w:val="00D95919"/>
    <w:rsid w:val="00E53113"/>
    <w:rsid w:val="00E546E1"/>
    <w:rsid w:val="00E67572"/>
    <w:rsid w:val="00E84BB5"/>
    <w:rsid w:val="00E85CF4"/>
    <w:rsid w:val="00EC166C"/>
    <w:rsid w:val="00EE5DB1"/>
    <w:rsid w:val="00F022DF"/>
    <w:rsid w:val="00F849C9"/>
    <w:rsid w:val="00F9006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01EBD"/>
  <w15:chartTrackingRefBased/>
  <w15:docId w15:val="{56BC1F0B-A3C6-4EF6-A803-CC350BD4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CAE"/>
    <w:pPr>
      <w:widowControl w:val="0"/>
      <w:spacing w:after="0" w:line="240" w:lineRule="auto"/>
      <w:jc w:val="both"/>
    </w:pPr>
    <w:rPr>
      <w:rFonts w:ascii="Calibri" w:eastAsia="Calibri" w:hAnsi="Calibri" w:cs="Calibr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309F"/>
    <w:pPr>
      <w:spacing w:before="100" w:beforeAutospacing="1" w:after="100" w:afterAutospacing="1"/>
    </w:pPr>
    <w:rPr>
      <w:rFonts w:ascii="Times New Roman" w:hAnsi="Times New Roman" w:cs="Times New Roman"/>
      <w:lang w:eastAsia="nl-BE"/>
    </w:rPr>
  </w:style>
  <w:style w:type="character" w:styleId="Strong">
    <w:name w:val="Strong"/>
    <w:basedOn w:val="DefaultParagraphFont"/>
    <w:uiPriority w:val="22"/>
    <w:qFormat/>
    <w:rsid w:val="0098309F"/>
    <w:rPr>
      <w:b/>
      <w:bCs/>
    </w:rPr>
  </w:style>
  <w:style w:type="paragraph" w:styleId="NoSpacing">
    <w:name w:val="No Spacing"/>
    <w:uiPriority w:val="1"/>
    <w:qFormat/>
    <w:rsid w:val="003670F6"/>
    <w:pPr>
      <w:spacing w:after="0" w:line="240" w:lineRule="auto"/>
    </w:pPr>
  </w:style>
  <w:style w:type="character" w:styleId="CommentReference">
    <w:name w:val="annotation reference"/>
    <w:basedOn w:val="DefaultParagraphFont"/>
    <w:uiPriority w:val="99"/>
    <w:semiHidden/>
    <w:unhideWhenUsed/>
    <w:rsid w:val="009F5E41"/>
    <w:rPr>
      <w:sz w:val="16"/>
      <w:szCs w:val="16"/>
    </w:rPr>
  </w:style>
  <w:style w:type="paragraph" w:styleId="CommentText">
    <w:name w:val="annotation text"/>
    <w:basedOn w:val="Normal"/>
    <w:link w:val="CommentTextChar"/>
    <w:uiPriority w:val="99"/>
    <w:semiHidden/>
    <w:unhideWhenUsed/>
    <w:rsid w:val="009F5E41"/>
    <w:rPr>
      <w:sz w:val="20"/>
      <w:szCs w:val="20"/>
    </w:rPr>
  </w:style>
  <w:style w:type="character" w:customStyle="1" w:styleId="CommentTextChar">
    <w:name w:val="Comment Text Char"/>
    <w:basedOn w:val="DefaultParagraphFont"/>
    <w:link w:val="CommentText"/>
    <w:uiPriority w:val="99"/>
    <w:semiHidden/>
    <w:rsid w:val="009F5E41"/>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9F5E41"/>
    <w:rPr>
      <w:b/>
      <w:bCs/>
    </w:rPr>
  </w:style>
  <w:style w:type="character" w:customStyle="1" w:styleId="CommentSubjectChar">
    <w:name w:val="Comment Subject Char"/>
    <w:basedOn w:val="CommentTextChar"/>
    <w:link w:val="CommentSubject"/>
    <w:uiPriority w:val="99"/>
    <w:semiHidden/>
    <w:rsid w:val="009F5E41"/>
    <w:rPr>
      <w:rFonts w:ascii="Calibri" w:eastAsia="Calibri" w:hAnsi="Calibri" w:cs="Calibri"/>
      <w:b/>
      <w:bCs/>
      <w:sz w:val="20"/>
      <w:szCs w:val="20"/>
      <w:lang w:val="en-US"/>
    </w:rPr>
  </w:style>
  <w:style w:type="paragraph" w:styleId="BalloonText">
    <w:name w:val="Balloon Text"/>
    <w:basedOn w:val="Normal"/>
    <w:link w:val="BalloonTextChar"/>
    <w:uiPriority w:val="99"/>
    <w:semiHidden/>
    <w:unhideWhenUsed/>
    <w:rsid w:val="009F5E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E41"/>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41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89B70DD9C08446A8443DF534F7285E" ma:contentTypeVersion="10" ma:contentTypeDescription="Create a new document." ma:contentTypeScope="" ma:versionID="50e74b179293f20ec6f83909ec064faa">
  <xsd:schema xmlns:xsd="http://www.w3.org/2001/XMLSchema" xmlns:xs="http://www.w3.org/2001/XMLSchema" xmlns:p="http://schemas.microsoft.com/office/2006/metadata/properties" xmlns:ns3="fd689c1b-2561-4a46-ae04-6449f963ff76" targetNamespace="http://schemas.microsoft.com/office/2006/metadata/properties" ma:root="true" ma:fieldsID="6ef0c3a631d458870a3d1dc163f5cd03" ns3:_="">
    <xsd:import namespace="fd689c1b-2561-4a46-ae04-6449f963ff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89c1b-2561-4a46-ae04-6449f963f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8F66EDD-002D-4A13-A5CB-F85144468D57}">
  <ds:schemaRefs>
    <ds:schemaRef ds:uri="http://schemas.microsoft.com/sharepoint/v3/contenttype/forms"/>
  </ds:schemaRefs>
</ds:datastoreItem>
</file>

<file path=customXml/itemProps2.xml><?xml version="1.0" encoding="utf-8"?>
<ds:datastoreItem xmlns:ds="http://schemas.openxmlformats.org/officeDocument/2006/customXml" ds:itemID="{06049F81-B3B4-4DA1-B510-DA0091ACD9F2}">
  <ds:schemaRefs>
    <ds:schemaRef ds:uri="http://purl.org/dc/elements/1.1/"/>
    <ds:schemaRef ds:uri="http://purl.org/dc/dcmitype/"/>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fd689c1b-2561-4a46-ae04-6449f963ff76"/>
  </ds:schemaRefs>
</ds:datastoreItem>
</file>

<file path=customXml/itemProps3.xml><?xml version="1.0" encoding="utf-8"?>
<ds:datastoreItem xmlns:ds="http://schemas.openxmlformats.org/officeDocument/2006/customXml" ds:itemID="{9334538A-6E6E-4FC0-BEDD-C6BDB6A92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89c1b-2561-4a46-ae04-6449f963f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9D421E-9907-4C33-8D12-0FC9835E1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17196</Words>
  <Characters>94578</Characters>
  <Application>Microsoft Office Word</Application>
  <DocSecurity>4</DocSecurity>
  <Lines>788</Lines>
  <Paragraphs>223</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111551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Dittlau</dc:creator>
  <cp:keywords/>
  <dc:description/>
  <cp:lastModifiedBy>Katarina Dittlau</cp:lastModifiedBy>
  <cp:revision>2</cp:revision>
  <dcterms:created xsi:type="dcterms:W3CDTF">2021-07-15T10:09:00Z</dcterms:created>
  <dcterms:modified xsi:type="dcterms:W3CDTF">2021-07-15T10:09:00Z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0x010100AF89B70DD9C08446A8443DF534F7285E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http://www.zotero.org/styles/modern-humanities-research-association</vt:lpwstr>
  </property>
  <property fmtid="{D5CDD505-2E9C-101B-9397-08002B2CF9AE}" pid="12" name="Mendeley Recent Style Name 4_1">
    <vt:lpwstr>Modern Humanities Research Association 3rd edition (note with bibliography)</vt:lpwstr>
  </property>
  <property fmtid="{D5CDD505-2E9C-101B-9397-08002B2CF9AE}" pid="13" name="Mendeley Recent Style Id 5_1">
    <vt:lpwstr>http://www.zotero.org/styles/modern-language-association</vt:lpwstr>
  </property>
  <property fmtid="{D5CDD505-2E9C-101B-9397-08002B2CF9AE}" pid="14" name="Mendeley Recent Style Name 5_1">
    <vt:lpwstr>Modern Language Association 8th edition</vt:lpwstr>
  </property>
  <property fmtid="{D5CDD505-2E9C-101B-9397-08002B2CF9AE}" pid="15" name="Mendeley Recent Style Id 6_1">
    <vt:lpwstr>http://www.zotero.org/styles/nature</vt:lpwstr>
  </property>
  <property fmtid="{D5CDD505-2E9C-101B-9397-08002B2CF9AE}" pid="16" name="Mendeley Recent Style Name 6_1">
    <vt:lpwstr>Nature</vt:lpwstr>
  </property>
  <property fmtid="{D5CDD505-2E9C-101B-9397-08002B2CF9AE}" pid="17" name="Mendeley Recent Style Id 7_1">
    <vt:lpwstr>http://csl.mendeley.com/styles/513283901/nature-2</vt:lpwstr>
  </property>
  <property fmtid="{D5CDD505-2E9C-101B-9397-08002B2CF9AE}" pid="18" name="Mendeley Recent Style Name 7_1">
    <vt:lpwstr>Nature - Katarina Stoklund Dittlau</vt:lpwstr>
  </property>
  <property fmtid="{D5CDD505-2E9C-101B-9397-08002B2CF9AE}" pid="19" name="Mendeley Recent Style Id 8_1">
    <vt:lpwstr>http://csl.mendeley.com/styles/513283901/nature-3</vt:lpwstr>
  </property>
  <property fmtid="{D5CDD505-2E9C-101B-9397-08002B2CF9AE}" pid="20" name="Mendeley Recent Style Name 8_1">
    <vt:lpwstr>Nature - Katarina Stoklund Dittlau</vt:lpwstr>
  </property>
  <property fmtid="{D5CDD505-2E9C-101B-9397-08002B2CF9AE}" pid="21" name="Mendeley Recent Style Id 9_1">
    <vt:lpwstr>http://csl.mendeley.com/styles/513283901/vancouver-4</vt:lpwstr>
  </property>
  <property fmtid="{D5CDD505-2E9C-101B-9397-08002B2CF9AE}" pid="22" name="Mendeley Recent Style Name 9_1">
    <vt:lpwstr>Vancouver - Katarina Stoklund Dittlau</vt:lpwstr>
  </property>
  <property fmtid="{D5CDD505-2E9C-101B-9397-08002B2CF9AE}" pid="23" name="Mendeley Document_1">
    <vt:lpwstr>True</vt:lpwstr>
  </property>
  <property fmtid="{D5CDD505-2E9C-101B-9397-08002B2CF9AE}" pid="24" name="Mendeley Unique User Id_1">
    <vt:lpwstr>fa7dd6a8-bf15-31be-9c25-a2aa96ea13db</vt:lpwstr>
  </property>
  <property fmtid="{D5CDD505-2E9C-101B-9397-08002B2CF9AE}" pid="25" name="Mendeley Citation Style_1">
    <vt:lpwstr>http://csl.mendeley.com/styles/513283901/nature-3</vt:lpwstr>
  </property>
</Properties>
</file>