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Multiplexed Fluorescent Immunohistochemical Staining of Four Endometrial Immune Cell Types in Recurrent Miscarriage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Yiwei Zhao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Gene Chi Wai Man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Loucia Kit Ying Chan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Xi Guo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Yingyu Liu</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Tao Zhang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Joseph Kwong</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Chi Chiu Wang</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Xiaoyan Chen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Tin Chiu Li</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Obstetrics and Gynaecology, The Chinese University of Hong Kong, Prince of Wales Hospital, Shatin, New Territories, Hong Kong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Orthopaedics and Traumatology, The Chinese University of Hong Kong, Prince of Wales Hospital, Shatin, New Territories, Hong Kong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Obstetrics and Gynaecology, Shenzhen Baoan Women’s and Children’s Hospital, Shenzhen University, Shenzhen,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School of Medicine, Faculty of Medicine and Health Sciences, Keele University, Staffordshire, United Kingdom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Li Ka Shing Institute of Health Sciences; School of Biomedical Sciences, The Chinese University of Hong Kong, Hong Kong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Yiwei Zhao </w:t>
        <w:tab/>
        <w:tab/>
        <w:tab/>
        <w:t xml:space="preserve">(zhaoyiwei@link.cuhk.edu.hk)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 Chi Wai Man </w:t>
        <w:tab/>
        <w:tab/>
        <w:t xml:space="preserve">(geneman@cuhk.edu.hk)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Loucia Kit Ying Chan </w:t>
        <w:tab/>
        <w:tab/>
        <w:t xml:space="preserve">(loucia@cuhk.edu.hk)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 Guo</w:t>
        <w:tab/>
        <w:tab/>
        <w:tab/>
        <w:tab/>
        <w:t xml:space="preserve">(guoxi@link.cuhk.edu.hk)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Yingyu Liu </w:t>
        <w:tab/>
        <w:tab/>
        <w:tab/>
        <w:t xml:space="preserve">(liuyingyu0817@gmail.com)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Tao Zhang </w:t>
        <w:tab/>
        <w:tab/>
        <w:tab/>
        <w:t xml:space="preserve">(taozhang@cuhk.edu.hk)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Joseph Kwong</w:t>
        <w:tab/>
        <w:tab/>
        <w:tab/>
        <w:t xml:space="preserve">(j.kwong@keele.ac.uk)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Chi Chiu Wang</w:t>
        <w:tab/>
        <w:tab/>
        <w:tab/>
        <w:t xml:space="preserve">(ccwang@cuhk.edu.hk)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Tin Chiu Li</w:t>
        <w:tab/>
        <w:tab/>
        <w:tab/>
        <w:t xml:space="preserve">(tinchiu.li@cuhk.edu.hk)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tab/>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Xiaoyan Chen</w:t>
        <w:tab/>
        <w:tab/>
        <w:tab/>
        <w:t xml:space="preserve">(chenxiaoyan@cuhk.edu.hk)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Multiplex, Fluorescence, Immune cells, Methods, Staining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 advancements in multiplex immunohistochemistry and multispectral imaging, characterizing the density and clustering of major immune cells simultaneously in the endometrium remains a challenge. This paper describes a detailed multiplex staining protocol and imaging for the simultaneous localization of four immune cell types in the endometrium.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Immunohistochemistry is the most commonly used method for the identification and visualization of tissue antigens in biological research and clinical diagnostics. It can be used to characterize various biological processes or pathologies, such as wound-healing, immune response, tissue rejection, and tissue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biomaterial interactions. However, the visualization and quantification of multiple antigens (especially for immune cells) in a single tissue section using conventional immunohistochemical (IHC) staining remains unsatisfactory. Hence, multiplexed technologies were introduced in recent years to identify multiple biological markers in a single tissue sample or an ensemble of different tissue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technologies can be especially useful in differentiating the changes in immune cell-to-cell interactions within the endometrium between fertile women and women with recurrent miscarriages during implantation. This paper describes a detailed protocol for multiplexed fluorescence IHC staining to investigate the density and clustering of four major immune cell types simultaneously in precisely timed endometrial specimens during embryo implantation. The method includes sample preparation, multiplex optimization with markers for immune cell subtypes, and the scanning of the slides, followed by data analysis, with specific reference to detecting endometrial immune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this method, the density and clustering of four major immune cell types in the endometrium can be simultaneously analyzed in a single tissue section. In addition, this paper will discuss the critical factors and troubleshooting to overcome possible fluorophore interference between the fluorescent probes being applied. Importantly, the results from this multiplex staining technique can help provide an in-depth understanding of the immunologic interaction and regulation during embryo implantation.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Recurrent miscarriage (RM) can be defined as the loss of two or more pregnancies before 24 weeks of gestation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This frequent reproductive condition affects up to 1% of couples worldwide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pathophysiology is multifactorial and can be divided into embryologically driven causes (mainly due to an abnormal embryonic karyotype) and maternally driven causes that affect the endometrium and/or placental development. This manifestation can result from parental genetic abnormalities, uterine anomalies, prothrombotic conditions, endocrinology factors, and immunological disorders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recent years, immune effector cell dysfunction has been implicated in the pathogenesis of early pregnancy loss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This has inspired many investigations into elucidating the specific populations of immune cells in the endometrium during the menstrual cycle, implantation, and early pregnancy, with specific roles in early pregnancy. Among these immune cells, uterine natural killer (uNK) cells play a critical role during embryo implantation and pregnancy, particularly in the processes of trophoblastic invasion and angiogenesis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Studies have shown an increased uNK cell density in the endometrium of women with RM</w:t>
      </w:r>
      <w:r>
        <w:rPr>
          <w:rFonts w:ascii="Calibri" w:hAnsi="Calibri" w:cs="Calibri" w:eastAsia="Calibri"/>
          <w:color w:val="auto"/>
          <w:spacing w:val="0"/>
          <w:position w:val="0"/>
          <w:sz w:val="24"/>
          <w:shd w:fill="auto" w:val="clear"/>
          <w:vertAlign w:val="superscript"/>
        </w:rPr>
        <w:t xml:space="preserve">7, 8</w:t>
      </w:r>
      <w:r>
        <w:rPr>
          <w:rFonts w:ascii="Calibri" w:hAnsi="Calibri" w:cs="Calibri" w:eastAsia="Calibri"/>
          <w:color w:val="auto"/>
          <w:spacing w:val="0"/>
          <w:position w:val="0"/>
          <w:sz w:val="24"/>
          <w:shd w:fill="auto" w:val="clear"/>
        </w:rPr>
        <w:t xml:space="preserve">, although this finding was not associated with an increased risk of miscarriage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However, this stimulated research evaluating the density of other immune cell types (such as macrophages, uterine dendritic cells) in the endometrium in women with RM</w:t>
      </w:r>
      <w:r>
        <w:rPr>
          <w:rFonts w:ascii="Calibri" w:hAnsi="Calibri" w:cs="Calibri" w:eastAsia="Calibri"/>
          <w:color w:val="auto"/>
          <w:spacing w:val="0"/>
          <w:position w:val="0"/>
          <w:sz w:val="24"/>
          <w:shd w:fill="auto" w:val="clear"/>
          <w:vertAlign w:val="superscript"/>
        </w:rPr>
        <w:t xml:space="preserve">10, 11</w:t>
      </w:r>
      <w:r>
        <w:rPr>
          <w:rFonts w:ascii="Calibri" w:hAnsi="Calibri" w:cs="Calibri" w:eastAsia="Calibri"/>
          <w:color w:val="auto"/>
          <w:spacing w:val="0"/>
          <w:position w:val="0"/>
          <w:sz w:val="24"/>
          <w:shd w:fill="auto" w:val="clear"/>
        </w:rPr>
        <w:t xml:space="preserve">. Nevertheless, it remains uncertain whether there is a significant alteration in the immune cell density in the peri-implantation endometrium in women with 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possible explanation for the uncertainty is that evaluation of the endometrial immune cell density might be difficult due to the rapid changes in the endometrium during the window of implantation. During the 24 h timeframe, significant changes in the endometrium alter immune cell density and cytokine secretion, introducing a source of variation in these results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addition, most reports mainly rely on the use of single-cell staining (e.g., traditional IHC methods) that could not examine multiple markers on the same tissue section. Although flow cytometry can be used for detecting multiple cell populations in a single sample, the large amounts of cells required and the time-consuming optimization hinder the popularity and efficiency of this method. Hence, the recent advancement in multiplex IHC staining could solve this problem by immunostaining multiple markers on the same slide to evaluate multiple parameters, including cell lineage and histological localization of individual immune subpopulations. Further, this technology can maximize the information obtained in case of limited tissue availability. Ultimately, this technique can help elucidate the differences in immune cell interactions in the endometrium between fertile women and women with 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Two groups of women were recruited from the Prince of Wales Hospital, including fertile control women (FC) and women with unexplained recurrent miscarriage (RM). Fertile control was defined as women who had at least one live birth without any history of spontaneous miscarriage, and RM women were defined as those who had a history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consecutive miscarriages before 20 weeks gestation. The subjects from the two groups met the following inclusion criteria: (a) age between 20 to 42 years old, (b) non-smoker, (c) regular menstrual cycle (25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 days) and normal uterine structure, (d) no use of any hormonal regimen for at least 3 months before the endometrial biopsy, (e) no hydrosalpinx by hystero-salpingogram. In addition, all the subjects recruited had normal karyotyping, normal 3-dimensional ultrasonography hysterosalpingogram, day 2 follicle-stimulating hormone &amp;lt; 10 IU/L, mid-luteal progesterone &amp;gt; 30 nmol/L, normal thyroid function, and tested negative for lupus anticoagulant and anticardiolipin IgG and IgM antibodies.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better understand the immunological basis of RM, it would be most desirable to simultaneously quantify and localize the major immune cell types present in the endometrium at the time of implantation. This paper describes the entire protocol from sample preparation, the multiplex optimization with markers for immune cell subtypes, and the scanning of the slides, followed by data analysis with specific reference to detecting endometrial immune cells. Moreover, this paper describes how to determine the density and clustering of the immune cell types simultaneously in the endometrium.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study was approved by the Joint Chinese University of Hong Kong-New Territories East Cluster Clinical Research Ethics Committee. Informed consent was obtained from the participants before collecting the endometrial biopsies. Refer to the introduction section for inclusion criteria of the control and RM groups.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Sample preparation</w:t>
      </w:r>
    </w:p>
    <w:p>
      <w:pPr>
        <w:spacing w:before="0" w:after="0" w:line="240"/>
        <w:ind w:right="0" w:left="0" w:firstLine="0"/>
        <w:jc w:val="both"/>
        <w:rPr>
          <w:rFonts w:ascii="Calibri" w:hAnsi="Calibri" w:cs="Calibri" w:eastAsia="Calibri"/>
          <w:strike w:val="true"/>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Ensure that all the women in this study undergo a daily urine dipstick test from day 9 of the menstrual cycle onwards to identify the luteinizing hormone (LH) surge to detect ovulation, and time the endometrial biopsies precisely on the 7</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day after the LH surge (LH+7).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Obtain a 0.5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fragment of endometrial biopsy using a Pipelle sampler or Pipet Curet from fertile women and women with unexplained RM. Label the container and place the specimen immediately in 10% neutral-buffered formalin (pH 7) for overnight fixation at room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volume of the fixative should be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times that of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Place the tissue in a cartridge for dehydration in a tissue-processing machine before embedding it in molten paraffin wax. Embed the tissues in paraffin at 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Allow the paraffin block to cool overnight at room temperature. Use a microtome to trim the paraffin blocks to a thickness of 3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use of distilled water aids in proper tissue mounting and adherence throughout multiplex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Place the paraffin ribbon in a water bath at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&amp;#176;C for 30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Mount the sections onto poly-L-lysine (0.1% w/v)-coated microscope glass slides. Place the slides with the tissue facing upward and allow to dry at 37 &amp;#176;C overnight. Store the slides in a slide box away from extreme temperatures until further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Determine the ideal concentration of antibodies for multiplex IHC using conventional IHC.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is important for identifying the expression level and pattern of each immune marker in the endometrium sample, and determine the staining sequence of each marker as well as their associated tyramide signal amplification (TSA) fluorophore pairings.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Test the antibodies for their suitability for multiplex IHC by using manual conventional IHC</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Use endometrium tissues for single-antibody testing.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Include a positive control (e.g., spleen) and negative control (isotype control) for optimizing the staining condition of each antibody.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Perform the staining using the dilution recommended by the antibody’s datasheet.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Perform additional staining using concentrations above and below the recommended dilution used in step 2.3.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clinical pathologist should assess the stained slides blindly to confirm the localization of the antibody probing and cellular integrity.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Multiplex staining method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Slide preparation and fixation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r>
      <w:r>
        <w:rPr>
          <w:rFonts w:ascii="Calibri" w:hAnsi="Calibri" w:cs="Calibri" w:eastAsia="Calibri"/>
          <w:color w:val="auto"/>
          <w:spacing w:val="0"/>
          <w:position w:val="0"/>
          <w:sz w:val="24"/>
          <w:shd w:fill="FFFF00" w:val="clear"/>
        </w:rPr>
        <w:t xml:space="preserve">Lay the slides (from step 1.6) flat with the tissue facing upwards in an oven and bake at 60 &amp;#176;C</w:t>
      </w:r>
      <w:r>
        <w:rPr>
          <w:rFonts w:ascii="Calibri" w:hAnsi="Calibri" w:cs="Calibri" w:eastAsia="Calibri"/>
          <w:color w:val="auto"/>
          <w:spacing w:val="0"/>
          <w:position w:val="0"/>
          <w:sz w:val="24"/>
          <w:shd w:fill="auto" w:val="clear"/>
        </w:rPr>
        <w:t xml:space="preserve"> for at least 1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Remove the slides from the oven and allow them to cool for at least 20 min at room temperature before placing them in a vertical slide rack.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r>
      <w:r>
        <w:rPr>
          <w:rFonts w:ascii="Calibri" w:hAnsi="Calibri" w:cs="Calibri" w:eastAsia="Calibri"/>
          <w:color w:val="auto"/>
          <w:spacing w:val="0"/>
          <w:position w:val="0"/>
          <w:sz w:val="24"/>
          <w:shd w:fill="FFFF00" w:val="clear"/>
        </w:rPr>
        <w:t xml:space="preserve">Dewax and rehydrate the formalin-fixed, paraffin-embedded slides with 10 min allotted to each of the following steps</w:t>
      </w:r>
      <w:r>
        <w:rPr>
          <w:rFonts w:ascii="Calibri" w:hAnsi="Calibri" w:cs="Calibri" w:eastAsia="Calibri"/>
          <w:color w:val="auto"/>
          <w:spacing w:val="0"/>
          <w:position w:val="0"/>
          <w:sz w:val="24"/>
          <w:shd w:fill="auto" w:val="clear"/>
        </w:rPr>
        <w:t xml:space="preserve">: xylene (2x), 100% ethanol (2x), 95% ethanol (1x), 70% ethanol (2x), and distilled water (2x).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t xml:space="preserve">Place the rack of slides in a plastic slide box and </w:t>
      </w:r>
      <w:r>
        <w:rPr>
          <w:rFonts w:ascii="Calibri" w:hAnsi="Calibri" w:cs="Calibri" w:eastAsia="Calibri"/>
          <w:color w:val="auto"/>
          <w:spacing w:val="0"/>
          <w:position w:val="0"/>
          <w:sz w:val="24"/>
          <w:shd w:fill="FFFF00" w:val="clear"/>
        </w:rPr>
        <w:t xml:space="preserve">submerge them in Tris-buffered saline</w:t>
      </w:r>
      <w:r>
        <w:rPr>
          <w:rFonts w:ascii="Calibri" w:hAnsi="Calibri" w:cs="Calibri" w:eastAsia="Calibri"/>
          <w:color w:val="auto"/>
          <w:spacing w:val="0"/>
          <w:position w:val="0"/>
          <w:sz w:val="24"/>
          <w:shd w:fill="auto" w:val="clear"/>
        </w:rPr>
        <w:t xml:space="preserve"> (TBS, pH 7.6).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slides must remain moist starting from this rehydration step until mounting in the final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r>
      <w:r>
        <w:rPr>
          <w:rFonts w:ascii="Calibri" w:hAnsi="Calibri" w:cs="Calibri" w:eastAsia="Calibri"/>
          <w:color w:val="auto"/>
          <w:spacing w:val="0"/>
          <w:position w:val="0"/>
          <w:sz w:val="24"/>
          <w:shd w:fill="FFFF00" w:val="clear"/>
        </w:rPr>
        <w:t xml:space="preserve">Fix the samples by submerging the slides in a plastic slide box filled with a mixture of formaldehyde diluted in methanol</w:t>
      </w:r>
      <w:r>
        <w:rPr>
          <w:rFonts w:ascii="Calibri" w:hAnsi="Calibri" w:cs="Calibri" w:eastAsia="Calibri"/>
          <w:color w:val="auto"/>
          <w:spacing w:val="0"/>
          <w:position w:val="0"/>
          <w:sz w:val="24"/>
          <w:shd w:fill="auto" w:val="clear"/>
        </w:rPr>
        <w:t xml:space="preserve"> (1:9) for 30 min in the dark.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w:t>
        <w:tab/>
      </w:r>
      <w:r>
        <w:rPr>
          <w:rFonts w:ascii="Calibri" w:hAnsi="Calibri" w:cs="Calibri" w:eastAsia="Calibri"/>
          <w:color w:val="auto"/>
          <w:spacing w:val="0"/>
          <w:position w:val="0"/>
          <w:sz w:val="24"/>
          <w:shd w:fill="FFFF00" w:val="clear"/>
        </w:rPr>
        <w:t xml:space="preserve">Wash the slides</w:t>
      </w:r>
      <w:r>
        <w:rPr>
          <w:rFonts w:ascii="Calibri" w:hAnsi="Calibri" w:cs="Calibri" w:eastAsia="Calibri"/>
          <w:color w:val="auto"/>
          <w:spacing w:val="0"/>
          <w:position w:val="0"/>
          <w:sz w:val="24"/>
          <w:shd w:fill="auto" w:val="clear"/>
        </w:rPr>
        <w:t xml:space="preserve"> twice in deionized water for 2 min and then proceed to antigen retrieval.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Epitope retrieval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Place the rack of slides in a heat-resistant box and fill it with citric acid buffer (pH 6.0) to cover the slides.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r>
      <w:r>
        <w:rPr>
          <w:rFonts w:ascii="Calibri" w:hAnsi="Calibri" w:cs="Calibri" w:eastAsia="Calibri"/>
          <w:color w:val="auto"/>
          <w:spacing w:val="0"/>
          <w:position w:val="0"/>
          <w:sz w:val="24"/>
          <w:shd w:fill="FFFF00" w:val="clear"/>
        </w:rPr>
        <w:t xml:space="preserve">Place the box in the microwave, and heat the slides for 50 s at 100% power followed by 20 min at 20% power to maintain the same temperature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t xml:space="preserve">Allow the slides to cool for approximately 15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r>
      <w:r>
        <w:rPr>
          <w:rFonts w:ascii="Calibri" w:hAnsi="Calibri" w:cs="Calibri" w:eastAsia="Calibri"/>
          <w:color w:val="auto"/>
          <w:spacing w:val="0"/>
          <w:position w:val="0"/>
          <w:sz w:val="24"/>
          <w:shd w:fill="FFFF00" w:val="clear"/>
        </w:rPr>
        <w:t xml:space="preserve">Rinse the slides</w:t>
      </w:r>
      <w:r>
        <w:rPr>
          <w:rFonts w:ascii="Calibri" w:hAnsi="Calibri" w:cs="Calibri" w:eastAsia="Calibri"/>
          <w:color w:val="auto"/>
          <w:spacing w:val="0"/>
          <w:position w:val="0"/>
          <w:sz w:val="24"/>
          <w:shd w:fill="auto" w:val="clear"/>
        </w:rPr>
        <w:t xml:space="preserve"> in water for 2 min followed by TBS-Tween 20 (TBST) for 2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TBST is composed of 25 mM Tris-HCl (pH 7.5), 150 mM NaCl, and 0.05% Tween 20 (v/v).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Blocking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tab/>
      </w:r>
      <w:r>
        <w:rPr>
          <w:rFonts w:ascii="Calibri" w:hAnsi="Calibri" w:cs="Calibri" w:eastAsia="Calibri"/>
          <w:color w:val="auto"/>
          <w:spacing w:val="0"/>
          <w:position w:val="0"/>
          <w:sz w:val="24"/>
          <w:shd w:fill="FFFF00" w:val="clear"/>
        </w:rPr>
        <w:t xml:space="preserve">Block endogenous peroxidase activity in the tissue by immersing the slide onto a jar containing peroxidase blocking solution</w:t>
      </w:r>
      <w:r>
        <w:rPr>
          <w:rFonts w:ascii="Calibri" w:hAnsi="Calibri" w:cs="Calibri" w:eastAsia="Calibri"/>
          <w:color w:val="auto"/>
          <w:spacing w:val="0"/>
          <w:position w:val="0"/>
          <w:sz w:val="24"/>
          <w:shd w:fill="auto" w:val="clear"/>
        </w:rPr>
        <w:t xml:space="preserv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for 10 min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w:t>
        <w:tab/>
        <w:t xml:space="preserve">Wash the slides with TBST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w:t>
        <w:tab/>
      </w:r>
      <w:r>
        <w:rPr>
          <w:rFonts w:ascii="Calibri" w:hAnsi="Calibri" w:cs="Calibri" w:eastAsia="Calibri"/>
          <w:color w:val="auto"/>
          <w:spacing w:val="0"/>
          <w:position w:val="0"/>
          <w:sz w:val="24"/>
          <w:shd w:fill="FFFF00" w:val="clear"/>
        </w:rPr>
        <w:t xml:space="preserve">Use a hydrophobic barrier pen to mark a boundary around the tissue section on the slide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3.3.4.</w:t>
        <w:tab/>
        <w:t xml:space="preserve">Cover the tissue sections with a blocking buffer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FFFF00" w:val="clear"/>
        </w:rPr>
        <w:t xml:space="preserve">) or bovine serum albumin (5%, w/v), and incubate the slides in a humidified chamber for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Antibody and signal application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w:t>
        <w:tab/>
        <w:t xml:space="preserve">Remove the blocking reagents.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w:t>
        <w:tab/>
      </w:r>
      <w:r>
        <w:rPr>
          <w:rFonts w:ascii="Calibri" w:hAnsi="Calibri" w:cs="Calibri" w:eastAsia="Calibri"/>
          <w:color w:val="auto"/>
          <w:spacing w:val="0"/>
          <w:position w:val="0"/>
          <w:sz w:val="24"/>
          <w:shd w:fill="FFFF00" w:val="clear"/>
        </w:rPr>
        <w:t xml:space="preserve">Incubate with the primary antibody of interest</w:t>
      </w:r>
      <w:r>
        <w:rPr>
          <w:rFonts w:ascii="Calibri" w:hAnsi="Calibri" w:cs="Calibri" w:eastAsia="Calibri"/>
          <w:color w:val="auto"/>
          <w:spacing w:val="0"/>
          <w:position w:val="0"/>
          <w:sz w:val="24"/>
          <w:shd w:fill="auto" w:val="clear"/>
        </w:rPr>
        <w:t xml:space="preserve"> (e.g., CD3, 1:100 dilution in antibody diluent,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in a humidified chamber at room temperature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3.4.3.</w:t>
        <w:tab/>
      </w:r>
      <w:r>
        <w:rPr>
          <w:rFonts w:ascii="Calibri" w:hAnsi="Calibri" w:cs="Calibri" w:eastAsia="Calibri"/>
          <w:color w:val="auto"/>
          <w:spacing w:val="0"/>
          <w:position w:val="0"/>
          <w:sz w:val="24"/>
          <w:shd w:fill="FFFF00" w:val="clear"/>
        </w:rPr>
        <w:t xml:space="preserve">Remove the primary antibody. Wash 3x with TBST</w:t>
      </w:r>
      <w:r>
        <w:rPr>
          <w:rFonts w:ascii="Calibri" w:hAnsi="Calibri" w:cs="Calibri" w:eastAsia="Calibri"/>
          <w:color w:val="auto"/>
          <w:spacing w:val="0"/>
          <w:position w:val="0"/>
          <w:sz w:val="24"/>
          <w:shd w:fill="auto" w:val="clear"/>
        </w:rPr>
        <w:t xml:space="preserve"> for 5 min each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3.4.4.</w:t>
        <w:tab/>
      </w:r>
      <w:r>
        <w:rPr>
          <w:rFonts w:ascii="Calibri" w:hAnsi="Calibri" w:cs="Calibri" w:eastAsia="Calibri"/>
          <w:color w:val="auto"/>
          <w:spacing w:val="0"/>
          <w:position w:val="0"/>
          <w:sz w:val="24"/>
          <w:shd w:fill="FFFF00" w:val="clear"/>
        </w:rPr>
        <w:t xml:space="preserve">Incubate with the polymer horseradish peroxidase (HRP)-labeled secondary antibody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15 min in a humidified chamber at room temperature. Wash 3x with TBST for 5 min each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3.4.5.</w:t>
        <w:tab/>
      </w:r>
      <w:r>
        <w:rPr>
          <w:rFonts w:ascii="Calibri" w:hAnsi="Calibri" w:cs="Calibri" w:eastAsia="Calibri"/>
          <w:color w:val="auto"/>
          <w:spacing w:val="0"/>
          <w:position w:val="0"/>
          <w:sz w:val="24"/>
          <w:shd w:fill="FFFF00" w:val="clear"/>
        </w:rPr>
        <w:t xml:space="preserve">Apply the Opal fluorophore TSA working solution</w:t>
      </w:r>
      <w:r>
        <w:rPr>
          <w:rFonts w:ascii="Calibri" w:hAnsi="Calibri" w:cs="Calibri" w:eastAsia="Calibri"/>
          <w:color w:val="auto"/>
          <w:spacing w:val="0"/>
          <w:position w:val="0"/>
          <w:sz w:val="24"/>
          <w:shd w:fill="auto" w:val="clear"/>
        </w:rPr>
        <w:t xml:space="preserve"> (1:100 in amplification diluent) and incubate at room temperature for 10 min to allow fluorophore conjugation to the tissue sample at primary antibody binding sites. Wash with TBST in triplicate for 5 min each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Microwave-based stripping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3.5.1.</w:t>
        <w:tab/>
        <w:t xml:space="preserve">Rinse with the antigen retrieval buffer (citrate buffer solution, pH 6.0).</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3.5.2.</w:t>
        <w:tab/>
        <w:t xml:space="preserve">Perform microwave-based stripping to remove the primary-secondary-HRP complex to introduce the next primary antibody (e.g., CD20).</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3.5.3.</w:t>
        <w:tab/>
        <w:t xml:space="preserve">Place the slides in antigen retrieval buffer, microwave them at 100% power for 50 s followed by 20% power for 20 min in microwave-safe containers, and cool them at room temperature for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3.5.4.</w:t>
        <w:tab/>
        <w:t xml:space="preserve">Repeat steps 3.2.4 to 3.5.2 until the tissue samples have been probed with all the primary antibodies.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Counterstain and mounting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3.6.1.</w:t>
        <w:tab/>
        <w:t xml:space="preserve">After microwave-based stripping and cooling of the antigen retrieval buffer, rinse the slides in distilled water and TBST.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3.6.2.</w:t>
        <w:tab/>
      </w:r>
      <w:r>
        <w:rPr>
          <w:rFonts w:ascii="Calibri" w:hAnsi="Calibri" w:cs="Calibri" w:eastAsia="Calibri"/>
          <w:color w:val="auto"/>
          <w:spacing w:val="0"/>
          <w:position w:val="0"/>
          <w:sz w:val="24"/>
          <w:shd w:fill="FFFF00" w:val="clear"/>
        </w:rPr>
        <w:t xml:space="preserve">Incubate with </w:t>
      </w:r>
      <w:r>
        <w:rPr>
          <w:rFonts w:ascii="Calibri" w:hAnsi="Calibri" w:cs="Calibri" w:eastAsia="Calibri"/>
          <w:color w:val="auto"/>
          <w:spacing w:val="0"/>
          <w:position w:val="0"/>
          <w:sz w:val="24"/>
          <w:shd w:fill="FFFFFF" w:val="clear"/>
        </w:rPr>
        <w:t xml:space="preserve">4’, 6-diamidino-2-phenylindole</w:t>
      </w:r>
      <w:r>
        <w:rPr>
          <w:rFonts w:ascii="Calibri" w:hAnsi="Calibri" w:cs="Calibri" w:eastAsia="Calibri"/>
          <w:color w:val="auto"/>
          <w:spacing w:val="0"/>
          <w:position w:val="0"/>
          <w:sz w:val="24"/>
          <w:shd w:fill="FFFF00" w:val="clear"/>
        </w:rPr>
        <w:t xml:space="preserve"> (DAPI) solution</w:t>
      </w:r>
      <w:r>
        <w:rPr>
          <w:rFonts w:ascii="Calibri" w:hAnsi="Calibri" w:cs="Calibri" w:eastAsia="Calibri"/>
          <w:color w:val="auto"/>
          <w:spacing w:val="0"/>
          <w:position w:val="0"/>
          <w:sz w:val="24"/>
          <w:shd w:fill="auto" w:val="clear"/>
        </w:rPr>
        <w:t xml:space="preserve"> (1.0 &amp;#181;g/mL) for 5 min in a humidified chamber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3.6.3.</w:t>
        <w:tab/>
        <w:t xml:space="preserve">Wash 3x with TBST for 5 min each time. Wash with water once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3.6.4.</w:t>
        <w:tab/>
      </w:r>
      <w:r>
        <w:rPr>
          <w:rFonts w:ascii="Calibri" w:hAnsi="Calibri" w:cs="Calibri" w:eastAsia="Calibri"/>
          <w:color w:val="auto"/>
          <w:spacing w:val="0"/>
          <w:position w:val="0"/>
          <w:sz w:val="24"/>
          <w:shd w:fill="FFFF00" w:val="clear"/>
        </w:rPr>
        <w:t xml:space="preserve">Air-dry the slide and mount with the appropriate mounting medium</w:t>
      </w:r>
      <w:r>
        <w:rPr>
          <w:rFonts w:ascii="Calibri" w:hAnsi="Calibri" w:cs="Calibri" w:eastAsia="Calibri"/>
          <w:color w:val="auto"/>
          <w:spacing w:val="0"/>
          <w:position w:val="0"/>
          <w:sz w:val="24"/>
          <w:shd w:fill="auto" w:val="clear"/>
        </w:rPr>
        <w:t xml:space="preserv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Counterstaining will not be required for monoplex slides to be used for spectral library development.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Image and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Preparation of Spectral library slides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Create library slides (single-stain reference images) for each fluorophore, DAPI, and auto-fluorescence with the same control tissue for multispectral image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Using the slides of the endometrial biopsy samples from women with RM and fertile women, perform steps 1.1 to 3.6.4 for single-antibody detection for each slide (without further antibody or fluorophore addition).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t xml:space="preserve">For each antibody detection, stain one of the slides with DAPI (as in step 3.6.2) and leave one slide unstained for the detection of any possible tissue auto-fluorescence in the spectrum.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w:t>
        <w:tab/>
        <w:t xml:space="preserve">Use the appropriate filters in the workstation to obtain the image for this set of slides for each antibody and upload them into the image analysis library (as described in step 4.2).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w:t>
        <w:tab/>
        <w:t xml:space="preserve">Once the image is captured, select inForm as the </w:t>
      </w:r>
      <w:r>
        <w:rPr>
          <w:rFonts w:ascii="Calibri" w:hAnsi="Calibri" w:cs="Calibri" w:eastAsia="Calibri"/>
          <w:b/>
          <w:color w:val="auto"/>
          <w:spacing w:val="0"/>
          <w:position w:val="0"/>
          <w:sz w:val="24"/>
          <w:shd w:fill="auto" w:val="clear"/>
        </w:rPr>
        <w:t xml:space="preserve">Spectral Library Source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build the spectral library.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w:t>
        <w:tab/>
        <w:t xml:space="preserve">As fluorophores are used, select </w:t>
      </w:r>
      <w:r>
        <w:rPr>
          <w:rFonts w:ascii="Calibri" w:hAnsi="Calibri" w:cs="Calibri" w:eastAsia="Calibri"/>
          <w:b/>
          <w:color w:val="auto"/>
          <w:spacing w:val="0"/>
          <w:position w:val="0"/>
          <w:sz w:val="24"/>
          <w:shd w:fill="auto" w:val="clear"/>
        </w:rPr>
        <w:t xml:space="preserve">Stains/Fluors...</w:t>
      </w:r>
      <w:r>
        <w:rPr>
          <w:rFonts w:ascii="Calibri" w:hAnsi="Calibri" w:cs="Calibri" w:eastAsia="Calibri"/>
          <w:color w:val="auto"/>
          <w:spacing w:val="0"/>
          <w:position w:val="0"/>
          <w:sz w:val="24"/>
          <w:shd w:fill="auto" w:val="clear"/>
        </w:rPr>
        <w:t xml:space="preserve"> from the menu.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4.1.7.</w:t>
        <w:tab/>
        <w:t xml:space="preserve">While choosing the stains or fluorophores, narrow the choices by selecting one or more Groups. Select </w:t>
      </w:r>
      <w:r>
        <w:rPr>
          <w:rFonts w:ascii="Calibri" w:hAnsi="Calibri" w:cs="Calibri" w:eastAsia="Calibri"/>
          <w:b/>
          <w:color w:val="auto"/>
          <w:spacing w:val="0"/>
          <w:position w:val="0"/>
          <w:sz w:val="24"/>
          <w:shd w:fill="auto" w:val="clear"/>
        </w:rPr>
        <w:t xml:space="preserve">All</w:t>
      </w:r>
      <w:r>
        <w:rPr>
          <w:rFonts w:ascii="Calibri" w:hAnsi="Calibri" w:cs="Calibri" w:eastAsia="Calibri"/>
          <w:color w:val="auto"/>
          <w:spacing w:val="0"/>
          <w:position w:val="0"/>
          <w:sz w:val="24"/>
          <w:shd w:fill="auto" w:val="clear"/>
        </w:rPr>
        <w:t xml:space="preserve"> to show all spectra compatible with the images.</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Spectral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Images were captured using the Mantra Workstation with the spectral library established using the inForm Image Analysis software.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Capture the image of the single-antibody-stained slides with the appropriate epi-fluorescence filters as proposed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(e.g., DAPI, fluorescein isothiocyanate [FITC], CY3, Texas Red, and CY5) using the workstation.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Recommended filters for the specific fluorophores used in this protocol are shown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t xml:space="preserve">Identify a suitable exposure time for an optimal signal by examining each marker in its corresponding fluorescence channel.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optimal signal is determined according to the reference on the positivity and localization obtained in the single antibody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w:t>
        <w:tab/>
        <w:t xml:space="preserve">Determine a fixed exposure time for each analyte (antibody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fluorophore combination) to standardize a cross-sample comparison.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determination of the fixed exposure is dependent on the intensity in the sample of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w:t>
        <w:tab/>
        <w:t xml:space="preserve">Scan the multiplex stained slides in the appropriate scanning mode with the embedded autofocus algorithm.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established spectral library would be used to differentiate the multispectral image cube into single individual components (spectral unmixing). This would allow the color-based identification for all markers of interest to be processed using the following two main steps: training session and image analysis session.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Image analysis</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w:t>
        <w:tab/>
        <w:t xml:space="preserve">Cell counting of selected immune cell types in the endometrium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w:t>
        <w:tab/>
      </w:r>
      <w:r>
        <w:rPr>
          <w:rFonts w:ascii="Calibri" w:hAnsi="Calibri" w:cs="Calibri" w:eastAsia="Calibri"/>
          <w:color w:val="auto"/>
          <w:spacing w:val="0"/>
          <w:position w:val="0"/>
          <w:sz w:val="24"/>
          <w:shd w:fill="FFFF00" w:val="clear"/>
        </w:rPr>
        <w:t xml:space="preserve">Capture a minimum of 10 fields for analysis under 200x magnification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fields were captured by scanning the whole section without any selection. This can ensure the simultaneous capture of all cell components of the endometrium, e.g., the luminal epithelial border, stroma, and glands.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4.3.3.</w:t>
        <w:tab/>
        <w:t xml:space="preserve">To count the cells, click on the </w:t>
      </w:r>
      <w:r>
        <w:rPr>
          <w:rFonts w:ascii="Calibri" w:hAnsi="Calibri" w:cs="Calibri" w:eastAsia="Calibri"/>
          <w:b/>
          <w:color w:val="auto"/>
          <w:spacing w:val="0"/>
          <w:position w:val="0"/>
          <w:sz w:val="24"/>
          <w:shd w:fill="FFFF00" w:val="clear"/>
        </w:rPr>
        <w:t xml:space="preserve">Count Objects</w:t>
      </w:r>
      <w:r>
        <w:rPr>
          <w:rFonts w:ascii="Calibri" w:hAnsi="Calibri" w:cs="Calibri" w:eastAsia="Calibri"/>
          <w:color w:val="auto"/>
          <w:spacing w:val="0"/>
          <w:position w:val="0"/>
          <w:sz w:val="24"/>
          <w:shd w:fill="FFFF00" w:val="clear"/>
        </w:rPr>
        <w:t xml:space="preserve"> button in the step bar to display the </w:t>
      </w:r>
      <w:r>
        <w:rPr>
          <w:rFonts w:ascii="Calibri" w:hAnsi="Calibri" w:cs="Calibri" w:eastAsia="Calibri"/>
          <w:b/>
          <w:color w:val="auto"/>
          <w:spacing w:val="0"/>
          <w:position w:val="0"/>
          <w:sz w:val="24"/>
          <w:shd w:fill="FFFF00" w:val="clear"/>
        </w:rPr>
        <w:t xml:space="preserve">Object Counting Settings</w:t>
      </w:r>
      <w:r>
        <w:rPr>
          <w:rFonts w:ascii="Calibri" w:hAnsi="Calibri" w:cs="Calibri" w:eastAsia="Calibri"/>
          <w:color w:val="auto"/>
          <w:spacing w:val="0"/>
          <w:position w:val="0"/>
          <w:sz w:val="24"/>
          <w:shd w:fill="FFFF00" w:val="clear"/>
        </w:rPr>
        <w:t xml:space="preserve"> panel.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4.3.4.</w:t>
        <w:tab/>
        <w:t xml:space="preserve">Check the </w:t>
      </w:r>
      <w:r>
        <w:rPr>
          <w:rFonts w:ascii="Calibri" w:hAnsi="Calibri" w:cs="Calibri" w:eastAsia="Calibri"/>
          <w:b/>
          <w:color w:val="auto"/>
          <w:spacing w:val="0"/>
          <w:position w:val="0"/>
          <w:sz w:val="24"/>
          <w:shd w:fill="auto" w:val="clear"/>
        </w:rPr>
        <w:t xml:space="preserve">Discard Object if Touching an Edge</w:t>
      </w:r>
      <w:r>
        <w:rPr>
          <w:rFonts w:ascii="Calibri" w:hAnsi="Calibri" w:cs="Calibri" w:eastAsia="Calibri"/>
          <w:color w:val="auto"/>
          <w:spacing w:val="0"/>
          <w:position w:val="0"/>
          <w:sz w:val="24"/>
          <w:shd w:fill="auto" w:val="clear"/>
        </w:rPr>
        <w:t xml:space="preserve"> box for the exclusion of any objects touching the edge of the image, process region, or tissue region.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4.3.5.</w:t>
        <w:tab/>
      </w:r>
      <w:r>
        <w:rPr>
          <w:rFonts w:ascii="Calibri" w:hAnsi="Calibri" w:cs="Calibri" w:eastAsia="Calibri"/>
          <w:color w:val="auto"/>
          <w:spacing w:val="0"/>
          <w:position w:val="0"/>
          <w:sz w:val="24"/>
          <w:shd w:fill="FFFF00" w:val="clear"/>
        </w:rPr>
        <w:t xml:space="preserve">If the tissue has been segmented, select the </w:t>
      </w:r>
      <w:r>
        <w:rPr>
          <w:rFonts w:ascii="Calibri" w:hAnsi="Calibri" w:cs="Calibri" w:eastAsia="Calibri"/>
          <w:b/>
          <w:color w:val="auto"/>
          <w:spacing w:val="0"/>
          <w:position w:val="0"/>
          <w:sz w:val="24"/>
          <w:shd w:fill="FFFF00" w:val="clear"/>
        </w:rPr>
        <w:t xml:space="preserve">Tissue Category</w:t>
      </w:r>
      <w:r>
        <w:rPr>
          <w:rFonts w:ascii="Calibri" w:hAnsi="Calibri" w:cs="Calibri" w:eastAsia="Calibri"/>
          <w:color w:val="auto"/>
          <w:spacing w:val="0"/>
          <w:position w:val="0"/>
          <w:sz w:val="24"/>
          <w:shd w:fill="FFFF00" w:val="clear"/>
        </w:rPr>
        <w:t xml:space="preserve"> in which the objects are to be found.</w:t>
      </w:r>
      <w:r>
        <w:rPr>
          <w:rFonts w:ascii="Calibri" w:hAnsi="Calibri" w:cs="Calibri" w:eastAsia="Calibri"/>
          <w:color w:val="auto"/>
          <w:spacing w:val="0"/>
          <w:position w:val="0"/>
          <w:sz w:val="24"/>
          <w:shd w:fill="auto" w:val="clear"/>
        </w:rPr>
        <w:t xml:space="preserve"> Do not count objects outside of the selected tissue category.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4.3.6.</w:t>
        <w:tab/>
        <w:t xml:space="preserve">Select the desired </w:t>
      </w:r>
      <w:r>
        <w:rPr>
          <w:rFonts w:ascii="Calibri" w:hAnsi="Calibri" w:cs="Calibri" w:eastAsia="Calibri"/>
          <w:b/>
          <w:color w:val="auto"/>
          <w:spacing w:val="0"/>
          <w:position w:val="0"/>
          <w:sz w:val="24"/>
          <w:shd w:fill="auto" w:val="clear"/>
        </w:rPr>
        <w:t xml:space="preserve">Approach</w:t>
      </w:r>
      <w:r>
        <w:rPr>
          <w:rFonts w:ascii="Calibri" w:hAnsi="Calibri" w:cs="Calibri" w:eastAsia="Calibri"/>
          <w:color w:val="auto"/>
          <w:spacing w:val="0"/>
          <w:position w:val="0"/>
          <w:sz w:val="24"/>
          <w:shd w:fill="auto" w:val="clear"/>
        </w:rPr>
        <w:t xml:space="preserve"> to identify objects: </w:t>
      </w:r>
      <w:r>
        <w:rPr>
          <w:rFonts w:ascii="Calibri" w:hAnsi="Calibri" w:cs="Calibri" w:eastAsia="Calibri"/>
          <w:b/>
          <w:color w:val="auto"/>
          <w:spacing w:val="0"/>
          <w:position w:val="0"/>
          <w:sz w:val="24"/>
          <w:shd w:fill="auto" w:val="clear"/>
        </w:rPr>
        <w:t xml:space="preserve">Object-Based</w:t>
      </w:r>
      <w:r>
        <w:rPr>
          <w:rFonts w:ascii="Calibri" w:hAnsi="Calibri" w:cs="Calibri" w:eastAsia="Calibri"/>
          <w:color w:val="auto"/>
          <w:spacing w:val="0"/>
          <w:position w:val="0"/>
          <w:sz w:val="24"/>
          <w:shd w:fill="auto" w:val="clear"/>
        </w:rPr>
        <w:t xml:space="preserve"> or </w:t>
      </w:r>
      <w:r>
        <w:rPr>
          <w:rFonts w:ascii="Calibri" w:hAnsi="Calibri" w:cs="Calibri" w:eastAsia="Calibri"/>
          <w:b/>
          <w:color w:val="auto"/>
          <w:spacing w:val="0"/>
          <w:position w:val="0"/>
          <w:sz w:val="24"/>
          <w:shd w:fill="auto" w:val="clear"/>
        </w:rPr>
        <w:t xml:space="preserve">Pixel-Based (Threshold)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t>
      </w:r>
      <w:r>
        <w:rPr>
          <w:rFonts w:ascii="Calibri" w:hAnsi="Calibri" w:cs="Calibri" w:eastAsia="Calibri"/>
          <w:b/>
          <w:color w:val="auto"/>
          <w:spacing w:val="0"/>
          <w:position w:val="0"/>
          <w:sz w:val="24"/>
          <w:shd w:fill="auto" w:val="clear"/>
        </w:rPr>
        <w:t xml:space="preserve">Pixel-Based (Threshold) approach</w:t>
      </w:r>
      <w:r>
        <w:rPr>
          <w:rFonts w:ascii="Calibri" w:hAnsi="Calibri" w:cs="Calibri" w:eastAsia="Calibri"/>
          <w:color w:val="auto"/>
          <w:spacing w:val="0"/>
          <w:position w:val="0"/>
          <w:sz w:val="24"/>
          <w:shd w:fill="auto" w:val="clear"/>
        </w:rPr>
        <w:t xml:space="preserve"> should be selected in case of a reliable or consistent stain for which the application of a simple threshold will yield the object pixels. The </w:t>
      </w:r>
      <w:r>
        <w:rPr>
          <w:rFonts w:ascii="Calibri" w:hAnsi="Calibri" w:cs="Calibri" w:eastAsia="Calibri"/>
          <w:b/>
          <w:color w:val="auto"/>
          <w:spacing w:val="0"/>
          <w:position w:val="0"/>
          <w:sz w:val="24"/>
          <w:shd w:fill="auto" w:val="clear"/>
        </w:rPr>
        <w:t xml:space="preserve">Object-Based approach</w:t>
      </w:r>
      <w:r>
        <w:rPr>
          <w:rFonts w:ascii="Calibri" w:hAnsi="Calibri" w:cs="Calibri" w:eastAsia="Calibri"/>
          <w:color w:val="auto"/>
          <w:spacing w:val="0"/>
          <w:position w:val="0"/>
          <w:sz w:val="24"/>
          <w:shd w:fill="auto" w:val="clear"/>
        </w:rPr>
        <w:t xml:space="preserve"> is recommended when more advanced morphometry-based approaches are required in case of lack of consistency and specificity of staining of objects.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4.3.7.</w:t>
        <w:tab/>
        <w:t xml:space="preserve">Select the desired </w:t>
      </w:r>
      <w:r>
        <w:rPr>
          <w:rFonts w:ascii="Calibri" w:hAnsi="Calibri" w:cs="Calibri" w:eastAsia="Calibri"/>
          <w:b/>
          <w:color w:val="auto"/>
          <w:spacing w:val="0"/>
          <w:position w:val="0"/>
          <w:sz w:val="24"/>
          <w:shd w:fill="FFFF00" w:val="clear"/>
        </w:rPr>
        <w:t xml:space="preserve">Signal Scaling</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Auto Scale</w:t>
      </w:r>
      <w:r>
        <w:rPr>
          <w:rFonts w:ascii="Calibri" w:hAnsi="Calibri" w:cs="Calibri" w:eastAsia="Calibri"/>
          <w:color w:val="auto"/>
          <w:spacing w:val="0"/>
          <w:position w:val="0"/>
          <w:sz w:val="24"/>
          <w:shd w:fill="FFFF00" w:val="clear"/>
        </w:rPr>
        <w:t xml:space="preserve"> or </w:t>
      </w:r>
      <w:r>
        <w:rPr>
          <w:rFonts w:ascii="Calibri" w:hAnsi="Calibri" w:cs="Calibri" w:eastAsia="Calibri"/>
          <w:b/>
          <w:color w:val="auto"/>
          <w:spacing w:val="0"/>
          <w:position w:val="0"/>
          <w:sz w:val="24"/>
          <w:shd w:fill="FFFF00" w:val="clear"/>
        </w:rPr>
        <w:t xml:space="preserve">Fixed Scale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Choosing </w:t>
      </w:r>
      <w:r>
        <w:rPr>
          <w:rFonts w:ascii="Calibri" w:hAnsi="Calibri" w:cs="Calibri" w:eastAsia="Calibri"/>
          <w:b/>
          <w:color w:val="auto"/>
          <w:spacing w:val="0"/>
          <w:position w:val="0"/>
          <w:sz w:val="24"/>
          <w:shd w:fill="auto" w:val="clear"/>
        </w:rPr>
        <w:t xml:space="preserve">Auto Scale</w:t>
      </w:r>
      <w:r>
        <w:rPr>
          <w:rFonts w:ascii="Calibri" w:hAnsi="Calibri" w:cs="Calibri" w:eastAsia="Calibri"/>
          <w:color w:val="auto"/>
          <w:spacing w:val="0"/>
          <w:position w:val="0"/>
          <w:sz w:val="24"/>
          <w:shd w:fill="auto" w:val="clear"/>
        </w:rPr>
        <w:t xml:space="preserve"> will result in automatic scaling of each component plane before performing object segmentation. The </w:t>
      </w:r>
      <w:r>
        <w:rPr>
          <w:rFonts w:ascii="Calibri" w:hAnsi="Calibri" w:cs="Calibri" w:eastAsia="Calibri"/>
          <w:b/>
          <w:color w:val="auto"/>
          <w:spacing w:val="0"/>
          <w:position w:val="0"/>
          <w:sz w:val="24"/>
          <w:shd w:fill="auto" w:val="clear"/>
        </w:rPr>
        <w:t xml:space="preserve">Fixed Scale </w:t>
      </w:r>
      <w:r>
        <w:rPr>
          <w:rFonts w:ascii="Calibri" w:hAnsi="Calibri" w:cs="Calibri" w:eastAsia="Calibri"/>
          <w:color w:val="auto"/>
          <w:spacing w:val="0"/>
          <w:position w:val="0"/>
          <w:sz w:val="24"/>
          <w:shd w:fill="auto" w:val="clear"/>
        </w:rPr>
        <w:t xml:space="preserve">option is recommended when better segmentation performance is required, and stain signals are consistent and reliable.</w:t>
        <w:b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4.3.8.</w:t>
        <w:tab/>
        <w:t xml:space="preserve">Select the </w:t>
      </w:r>
      <w:r>
        <w:rPr>
          <w:rFonts w:ascii="Calibri" w:hAnsi="Calibri" w:cs="Calibri" w:eastAsia="Calibri"/>
          <w:b/>
          <w:color w:val="auto"/>
          <w:spacing w:val="0"/>
          <w:position w:val="0"/>
          <w:sz w:val="24"/>
          <w:shd w:fill="FFFF00" w:val="clear"/>
        </w:rPr>
        <w:t xml:space="preserve">Primary </w:t>
      </w:r>
      <w:r>
        <w:rPr>
          <w:rFonts w:ascii="Calibri" w:hAnsi="Calibri" w:cs="Calibri" w:eastAsia="Calibri"/>
          <w:color w:val="auto"/>
          <w:spacing w:val="0"/>
          <w:position w:val="0"/>
          <w:sz w:val="24"/>
          <w:shd w:fill="FFFF00" w:val="clear"/>
        </w:rPr>
        <w:t xml:space="preserve">component for object segmentation from the drop-down list.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4.3.9.</w:t>
        <w:tab/>
        <w:t xml:space="preserve">Adjust the </w:t>
      </w:r>
      <w:r>
        <w:rPr>
          <w:rFonts w:ascii="Calibri" w:hAnsi="Calibri" w:cs="Calibri" w:eastAsia="Calibri"/>
          <w:b/>
          <w:color w:val="auto"/>
          <w:spacing w:val="0"/>
          <w:position w:val="0"/>
          <w:sz w:val="24"/>
          <w:shd w:fill="auto" w:val="clear"/>
        </w:rPr>
        <w:t xml:space="preserve">Minimum Signal</w:t>
      </w:r>
      <w:r>
        <w:rPr>
          <w:rFonts w:ascii="Calibri" w:hAnsi="Calibri" w:cs="Calibri" w:eastAsia="Calibri"/>
          <w:color w:val="auto"/>
          <w:spacing w:val="0"/>
          <w:position w:val="0"/>
          <w:sz w:val="24"/>
          <w:shd w:fill="auto" w:val="clear"/>
        </w:rPr>
        <w:t xml:space="preserve"> value for the primary component to the desired threshold value.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4.3.10.</w:t>
        <w:tab/>
        <w:t xml:space="preserve">To automatically fill holes in objects, select </w:t>
      </w:r>
      <w:r>
        <w:rPr>
          <w:rFonts w:ascii="Calibri" w:hAnsi="Calibri" w:cs="Calibri" w:eastAsia="Calibri"/>
          <w:b/>
          <w:color w:val="auto"/>
          <w:spacing w:val="0"/>
          <w:position w:val="0"/>
          <w:sz w:val="24"/>
          <w:shd w:fill="auto" w:val="clear"/>
        </w:rPr>
        <w:t xml:space="preserve">Fill Holes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4.3.11.</w:t>
        <w:tab/>
      </w:r>
      <w:r>
        <w:rPr>
          <w:rFonts w:ascii="Calibri" w:hAnsi="Calibri" w:cs="Calibri" w:eastAsia="Calibri"/>
          <w:color w:val="auto"/>
          <w:spacing w:val="0"/>
          <w:position w:val="0"/>
          <w:sz w:val="24"/>
          <w:shd w:fill="FFFF00" w:val="clear"/>
        </w:rPr>
        <w:t xml:space="preserve">To detect objects that touch other objects as individual objects, instead of as one object, select the </w:t>
      </w:r>
      <w:r>
        <w:rPr>
          <w:rFonts w:ascii="Calibri" w:hAnsi="Calibri" w:cs="Calibri" w:eastAsia="Calibri"/>
          <w:b/>
          <w:color w:val="auto"/>
          <w:spacing w:val="0"/>
          <w:position w:val="0"/>
          <w:sz w:val="24"/>
          <w:shd w:fill="FFFF00" w:val="clear"/>
        </w:rPr>
        <w:t xml:space="preserve">Refine Splitting</w:t>
      </w:r>
      <w:r>
        <w:rPr>
          <w:rFonts w:ascii="Calibri" w:hAnsi="Calibri" w:cs="Calibri" w:eastAsia="Calibri"/>
          <w:color w:val="auto"/>
          <w:spacing w:val="0"/>
          <w:position w:val="0"/>
          <w:sz w:val="24"/>
          <w:shd w:fill="FFFF00" w:val="clear"/>
        </w:rPr>
        <w:t xml:space="preserve"> check box after selecting the </w:t>
      </w:r>
      <w:r>
        <w:rPr>
          <w:rFonts w:ascii="Calibri" w:hAnsi="Calibri" w:cs="Calibri" w:eastAsia="Calibri"/>
          <w:b/>
          <w:color w:val="auto"/>
          <w:spacing w:val="0"/>
          <w:position w:val="0"/>
          <w:sz w:val="24"/>
          <w:shd w:fill="FFFF00" w:val="clear"/>
        </w:rPr>
        <w:t xml:space="preserve">Maximum Size (pixels)</w:t>
      </w:r>
      <w:r>
        <w:rPr>
          <w:rFonts w:ascii="Calibri" w:hAnsi="Calibri" w:cs="Calibri" w:eastAsia="Calibri"/>
          <w:color w:val="auto"/>
          <w:spacing w:val="0"/>
          <w:position w:val="0"/>
          <w:sz w:val="24"/>
          <w:shd w:fill="FFFF00" w:val="clear"/>
        </w:rPr>
        <w:t xml:space="preserve"> check box</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4.3.12.</w:t>
        <w:tab/>
        <w:t xml:space="preserve">To exclude objects based on the roundness of the object, check the </w:t>
      </w:r>
      <w:r>
        <w:rPr>
          <w:rFonts w:ascii="Calibri" w:hAnsi="Calibri" w:cs="Calibri" w:eastAsia="Calibri"/>
          <w:b/>
          <w:color w:val="auto"/>
          <w:spacing w:val="0"/>
          <w:position w:val="0"/>
          <w:sz w:val="24"/>
          <w:shd w:fill="auto" w:val="clear"/>
        </w:rPr>
        <w:t xml:space="preserve">Roundness</w:t>
      </w:r>
      <w:r>
        <w:rPr>
          <w:rFonts w:ascii="Calibri" w:hAnsi="Calibri" w:cs="Calibri" w:eastAsia="Calibri"/>
          <w:color w:val="auto"/>
          <w:spacing w:val="0"/>
          <w:position w:val="0"/>
          <w:sz w:val="24"/>
          <w:shd w:fill="auto" w:val="clear"/>
        </w:rPr>
        <w:t xml:space="preserve"> box and specify the desired </w:t>
      </w:r>
      <w:r>
        <w:rPr>
          <w:rFonts w:ascii="Calibri" w:hAnsi="Calibri" w:cs="Calibri" w:eastAsia="Calibri"/>
          <w:b/>
          <w:color w:val="auto"/>
          <w:spacing w:val="0"/>
          <w:position w:val="0"/>
          <w:sz w:val="24"/>
          <w:shd w:fill="auto" w:val="clear"/>
        </w:rPr>
        <w:t xml:space="preserve">Minimum Circularity</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4.3.13.</w:t>
        <w:tab/>
      </w:r>
      <w:r>
        <w:rPr>
          <w:rFonts w:ascii="Calibri" w:hAnsi="Calibri" w:cs="Calibri" w:eastAsia="Calibri"/>
          <w:color w:val="auto"/>
          <w:spacing w:val="0"/>
          <w:position w:val="0"/>
          <w:sz w:val="24"/>
          <w:shd w:fill="FFFF00" w:val="clear"/>
        </w:rPr>
        <w:t xml:space="preserve">Count all stromal cells</w:t>
      </w:r>
      <w:r>
        <w:rPr>
          <w:rFonts w:ascii="Calibri" w:hAnsi="Calibri" w:cs="Calibri" w:eastAsia="Calibri"/>
          <w:color w:val="auto"/>
          <w:spacing w:val="0"/>
          <w:position w:val="0"/>
          <w:sz w:val="24"/>
          <w:shd w:fill="auto" w:val="clear"/>
        </w:rPr>
        <w:t xml:space="preserve"> (CD3</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/CD20</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/CD68</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/CD56</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DAPI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including the cells surrounding the blood vessels.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4.3.14.</w:t>
        <w:tab/>
      </w:r>
      <w:r>
        <w:rPr>
          <w:rFonts w:ascii="Calibri" w:hAnsi="Calibri" w:cs="Calibri" w:eastAsia="Calibri"/>
          <w:color w:val="auto"/>
          <w:spacing w:val="0"/>
          <w:position w:val="0"/>
          <w:sz w:val="24"/>
          <w:shd w:fill="FFFF00" w:val="clear"/>
        </w:rPr>
        <w:t xml:space="preserve">Count the immune cells separately</w:t>
      </w:r>
      <w:r>
        <w:rPr>
          <w:rFonts w:ascii="Calibri" w:hAnsi="Calibri" w:cs="Calibri" w:eastAsia="Calibri"/>
          <w:color w:val="auto"/>
          <w:spacing w:val="0"/>
          <w:position w:val="0"/>
          <w:sz w:val="24"/>
          <w:shd w:fill="auto" w:val="clear"/>
        </w:rPr>
        <w:t xml:space="preserve">, including T cells (CD3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DAPI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B cells (CD20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DAPI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macrophages (CD68</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and DAPI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uNK cells (CD56</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and DAPI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4.3.15.</w:t>
        <w:tab/>
        <w:t xml:space="preserve">Express the data as the percentages of the immune cells relative to the total number of stromal cells for each captured image, and report the final cell count as an average of all fields.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4.3.16.</w:t>
        <w:tab/>
        <w:t xml:space="preserve">Use the </w:t>
      </w:r>
      <w:r>
        <w:rPr>
          <w:rFonts w:ascii="Calibri" w:hAnsi="Calibri" w:cs="Calibri" w:eastAsia="Calibri"/>
          <w:b/>
          <w:color w:val="auto"/>
          <w:spacing w:val="0"/>
          <w:position w:val="0"/>
          <w:sz w:val="24"/>
          <w:shd w:fill="FFFF00" w:val="clear"/>
        </w:rPr>
        <w:t xml:space="preserve">View Editor</w:t>
      </w:r>
      <w:r>
        <w:rPr>
          <w:rFonts w:ascii="Calibri" w:hAnsi="Calibri" w:cs="Calibri" w:eastAsia="Calibri"/>
          <w:color w:val="auto"/>
          <w:spacing w:val="0"/>
          <w:position w:val="0"/>
          <w:sz w:val="24"/>
          <w:shd w:fill="FFFF00" w:val="clear"/>
        </w:rPr>
        <w:t xml:space="preserve"> to view the resulting data tables post processing. Export the </w:t>
      </w:r>
      <w:r>
        <w:rPr>
          <w:rFonts w:ascii="Calibri" w:hAnsi="Calibri" w:cs="Calibri" w:eastAsia="Calibri"/>
          <w:b/>
          <w:color w:val="auto"/>
          <w:spacing w:val="0"/>
          <w:position w:val="0"/>
          <w:sz w:val="24"/>
          <w:shd w:fill="FFFF00" w:val="clear"/>
        </w:rPr>
        <w:t xml:space="preserve">Count Data table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4.3.17.</w:t>
        <w:tab/>
        <w:t xml:space="preserve">Quantification of endometrial immune cell spatial distribution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4.3.18.</w:t>
        <w:tab/>
        <w:t xml:space="preserve">Under 200x magnification, estimate the L-function using the R program for a range of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&amp;#181;m considered a cell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cell contact maximum distance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language toolbox ‘spatstat’ was used to measure the L-function.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4.3.18.1 Denote the level of clustering of different pairs of immune cells based on the area under the curve (AUC) of their L-function.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overall schematic process of performing a 4-color multiplex assay for the detection of 4 endometrial immune cell types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In brief, the protocol for this multiplex immunofluorescence staining required 8 key steps: 1. Slide preparation, 2. Epitope retrieval, 3. Blocking, 4. Primary antibody application, 5. Secondary antibody application, 6. Signal amplification, 7. Removal of antibody, and 8. Counterstain and mount. Image rendering and analysis were then conducted using the Mantra Workstation with the spectral library generated using the inForm Image Analysis software for differentiating the 4 immune cell types in the endometrium sample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Four endometrial immune cell types can be identified in human endometrium samples using this multiplex staining technique: CD3+ T cells, CD20+ B cells, CD68+ macrophages, and CD56+ uNK cells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However, fluorophore interference must be carefully considered to obtain a clear and useable image. Although this multispectral technology using the Mantra Workstation can support up to 8-plex assays, the application of the 4 fluorophores used in this protocol demonstrated optimal performance without fluorophore interference due to the differences in emission spectra of the fluorophores. In contrast, multiplex staining involving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fluorophores often requires more attention toward fluorophore interference resulting from emittance from the shared wavelengths.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overcome this drawback, monoplex staining would be necessary to determine the order of each antibody in the multiplex and identify the expression level and pattern of each immune marker in the endometrium sample. This can help to determine the staining sequence of the markers and their associated TSA fluorophore pairings. Once the monoplex assay has been completed for determining the order of antibodies to be applied, the next step will be to select the fluorophore for detection after multiplex staining. A unique fluorophore must be chosen for every antibody of interest. The number related to each fluorophore would roughly be the fluorescent wavelength emitted during excitation (</w:t>
      </w:r>
      <w:r>
        <w:rPr>
          <w:rFonts w:ascii="Calibri" w:hAnsi="Calibri" w:cs="Calibri" w:eastAsia="Calibri"/>
          <w:b/>
          <w:color w:val="auto"/>
          <w:spacing w:val="0"/>
          <w:position w:val="0"/>
          <w:sz w:val="24"/>
          <w:shd w:fill="auto" w:val="clear"/>
        </w:rPr>
        <w:t xml:space="preserve">Table 1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Table 2</w:t>
      </w:r>
      <w:r>
        <w:rPr>
          <w:rFonts w:ascii="Calibri" w:hAnsi="Calibri" w:cs="Calibri" w:eastAsia="Calibri"/>
          <w:color w:val="auto"/>
          <w:spacing w:val="0"/>
          <w:position w:val="0"/>
          <w:sz w:val="24"/>
          <w:shd w:fill="auto" w:val="clear"/>
        </w:rPr>
        <w:t xml:space="preserve">). One approach to prevent fluorophore interference is to choose fluorophore pairs with wavelengths as far from each other as possible (especially for co-localizing antibodies). This can help reduce excess spectral overlap and provide a crisp image and more reliable phenotyping. Moreover, the meticulous evaluation by turning lasers on and off from the multiplex composite image in the inForm software can also help recognize the staining patterns to minimize fluorophore saturation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image analysis, the number of CD3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CD20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B cells, CD68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macrophages, CD56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uNK cells, and stromal cells in the endometrial stroma (CD3</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/CD20</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/CD68</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CD56</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DAPI-stained) can be counted automatically using the inForm Tissue Finder Software 14.0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Each immune cell type density was expressed as a percentage relative to the total number of stromal cells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Similarly, the quantification of the spatial distribution of the endometrial immune cells was based on the X and Y position of every single immune cell obtained from the InForm system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Using the R-language, the level of clustering of different pairs of immune cells based on the AUC can then be distinguished.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Staining workflow diagram. </w:t>
      </w:r>
      <w:r>
        <w:rPr>
          <w:rFonts w:ascii="Calibri" w:hAnsi="Calibri" w:cs="Calibri" w:eastAsia="Calibri"/>
          <w:color w:val="auto"/>
          <w:spacing w:val="0"/>
          <w:position w:val="0"/>
          <w:sz w:val="24"/>
          <w:shd w:fill="auto" w:val="clear"/>
        </w:rPr>
        <w:t xml:space="preserve">Abbreviations: BSA = bovine serum albumin; HRP = horseradish peroxidase.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Workstation for image capture and analysis.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Mantra Imaging Workstation,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unprocessed Spectral image,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composite image,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tissue segmentation (epithelial and stromal compartments),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composite image of endometrium tissue showing four colored markers to identify different cell populations.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Spectral imaging.</w:t>
      </w:r>
      <w:r>
        <w:rPr>
          <w:rFonts w:ascii="Calibri" w:hAnsi="Calibri" w:cs="Calibri" w:eastAsia="Calibri"/>
          <w:color w:val="auto"/>
          <w:spacing w:val="0"/>
          <w:position w:val="0"/>
          <w:sz w:val="24"/>
          <w:shd w:fill="auto" w:val="clear"/>
        </w:rPr>
        <w:t xml:space="preserve"> Multiplex immunostaining of 4 different immune cell types was performed on the endometrial biopsies from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fertile control woman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woman with unexplained RM presented as single multispectral imaging. Following the production of a single-stained library, spectral unmixing could reveal imaging of single fluorophores representing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CD3,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CD56,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CD68,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CD20,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DAPI. A composite image was then created by incorporating all the fluorophores after multispectral imaging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Scale bars = 50 &amp;#181;m (</w:t>
      </w:r>
      <w:r>
        <w:rPr>
          <w:rFonts w:ascii="Calibri" w:hAnsi="Calibri" w:cs="Calibri" w:eastAsia="Calibri"/>
          <w:b/>
          <w:color w:val="auto"/>
          <w:spacing w:val="0"/>
          <w:position w:val="0"/>
          <w:sz w:val="24"/>
          <w:shd w:fill="auto" w:val="clear"/>
        </w:rPr>
        <w:t xml:space="preserve">A, B</w:t>
      </w:r>
      <w:r>
        <w:rPr>
          <w:rFonts w:ascii="Calibri" w:hAnsi="Calibri" w:cs="Calibri" w:eastAsia="Calibri"/>
          <w:color w:val="auto"/>
          <w:spacing w:val="0"/>
          <w:position w:val="0"/>
          <w:sz w:val="24"/>
          <w:shd w:fill="auto" w:val="clear"/>
        </w:rPr>
        <w:t xml:space="preserve">). Abbreviations: LE = luminal epithelium; DAPI = </w:t>
      </w:r>
      <w:r>
        <w:rPr>
          <w:rFonts w:ascii="Calibri" w:hAnsi="Calibri" w:cs="Calibri" w:eastAsia="Calibri"/>
          <w:color w:val="auto"/>
          <w:spacing w:val="0"/>
          <w:position w:val="0"/>
          <w:sz w:val="24"/>
          <w:shd w:fill="FFFFFF" w:val="clear"/>
        </w:rPr>
        <w:t xml:space="preserve">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,6-diamidino-2-phenylindole; RM = </w:t>
      </w:r>
      <w:r>
        <w:rPr>
          <w:rFonts w:ascii="Calibri" w:hAnsi="Calibri" w:cs="Calibri" w:eastAsia="Calibri"/>
          <w:color w:val="auto"/>
          <w:spacing w:val="0"/>
          <w:position w:val="0"/>
          <w:sz w:val="24"/>
          <w:shd w:fill="auto" w:val="clear"/>
        </w:rPr>
        <w:t xml:space="preserve">recurrent miscarriage</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InForm Counts Tool. </w:t>
      </w:r>
      <w:r>
        <w:rPr>
          <w:rFonts w:ascii="Calibri" w:hAnsi="Calibri" w:cs="Calibri" w:eastAsia="Calibri"/>
          <w:color w:val="auto"/>
          <w:spacing w:val="0"/>
          <w:position w:val="0"/>
          <w:sz w:val="24"/>
          <w:shd w:fill="auto" w:val="clear"/>
        </w:rPr>
        <w:t xml:space="preserve">The inForm software counts tool is activated by selecting the beige box icon (indicated by </w:t>
      </w:r>
      <w:r>
        <w:rPr>
          <w:rFonts w:ascii="Cambria Math" w:hAnsi="Cambria Math" w:cs="Cambria Math" w:eastAsia="Cambria Math"/>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Image preparation, (</w:t>
      </w:r>
      <w:r>
        <w:rPr>
          <w:rFonts w:ascii="Calibri" w:hAnsi="Calibri" w:cs="Calibri" w:eastAsia="Calibri"/>
          <w:b/>
          <w:color w:val="auto"/>
          <w:spacing w:val="0"/>
          <w:position w:val="0"/>
          <w:sz w:val="24"/>
          <w:shd w:fill="auto" w:val="clear"/>
        </w:rPr>
        <w:t xml:space="preserve">B, C</w:t>
      </w:r>
      <w:r>
        <w:rPr>
          <w:rFonts w:ascii="Calibri" w:hAnsi="Calibri" w:cs="Calibri" w:eastAsia="Calibri"/>
          <w:color w:val="auto"/>
          <w:spacing w:val="0"/>
          <w:position w:val="0"/>
          <w:sz w:val="24"/>
          <w:shd w:fill="auto" w:val="clear"/>
        </w:rPr>
        <w:t xml:space="preserve">) segmenting tissue for hand-drawn training and automation,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segmenting individual cells,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phenotyping the cells based on the fluorophore intensity,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analysis for fluorophore intensity (the red box showing the number of positive cells in the selected fluorophore intensity), and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exporting the results for use (the red box indicates the export options). Abbreviation: IHC = immunohistochemical.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Cell Counting.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Phenotyping of the cells for automatic cell counting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output of the positive-stained cells in the segmented region (e.g., stromal) for further comparison and statistical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Measurement of spatial density.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Automatic detection of the position of positively stained immune cells in the segmented region (e.g., stromal),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output display of the coordinate of each positively stained CD20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immune cell,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determining the spatial density and localization between CD20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and other immune cells in the segmented tissue regions using Spatstat.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List of antibodies, clones, and concentrations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List of fluorophores with their maximum excitation and emission wavelengths, expected detection in appropriate filter sets, and observable colors.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b/>
          <w:color w:val="auto"/>
          <w:spacing w:val="0"/>
          <w:position w:val="0"/>
          <w:sz w:val="24"/>
          <w:shd w:fill="auto" w:val="clear"/>
        </w:rPr>
        <w:t xml:space="preserve">Critical steps within the 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important to note that multiplex staining requires diligent optimization. Antigen retrieval, using citrate buffer and microwave technology, requires optimization to ensure complete antibody stripping and maintain tissue viability. As TSA reagents covalently bind to sites surrounding the antigen, they can potentially inhibit the binding of a subsequent primary antibody through steric hindrance (also known as the “umbrella effect”). This tends to occur when multiple immune markers reside in a single cell compartment and cause fluorophore interference. To identify whether there will be an effect, it would be critical to perform monoplex IHC/IF beforehand to identify any overlap in the localization of the immune cells. As single-sample staining would be required for generating the spectral library, validated spectra libraries can facilitate the discrimination of individual signals to further prevent fluorophore interference. If necessary, primary antibody concentrations and incubation times, fluorophore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antibody pairing, TSA fluorophore concentrations, and staining order may be modified to minimize fluorophore interference. Likewise, it is important to properly balance HRP concentrations in order to prevent TSA dimer formation. This can be achieved by the titration of primary and secondary antibodies. Moreover, it is of vital importance to remember that the concentrations and incubation times of primary antibodies used for multiplex staining may vary from those used in conventional chromogenic single-staining. Hence, the determination of the concentration and order of antibodies to apply for multiplex staining should be carried out beforehand.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Modifications and troubleshooting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we employed multiplex fluorescence immunohistochemical staining to simultaneously detect the interaction of four major immune cell types in endometrium biopsies from women with and without RM. This technique uses antibodies against CD3 for T cells, CD20 for B cells, CD68 for macrophages, and CD56 for uNK cells to distinguish between these cell types. Based on this method, we found that the median CD3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CD68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CD56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 density values in the RM women were significantly higher than those of the fertile controls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clustering between CD56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uNK cells and CD68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macrophages was significantly higher in the RM group than in the fertile controls. In addition, the use of this method revealed that CD56</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uNK cells appeared to have both numerical and spatial correlation with CD68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macrophages in both groups of women. In contrast, CD56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uNK cells have a significant numerical but not spatial correlation with CD3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in women with RM</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This method also determines the spatial relationship of multiple immune cell types in the endometrium. However, the positivity for a specific marker can be borderline in some cases. To overcome this problem, it is advisable to include a positive control and a negative control to determine the threshold of positivity when constructing the spectral library. Additionally, the meticulous evaluation by turning lasers on and off from the multiplex composite image in the inForm software can also help recognize the staining patterns to minimize fluorophore saturation.</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Limitations of the technique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Identification of fluorophore interference during data interpretation is essential to differentiate between genuine colocalization of markers and unmixing artifacts. This multiplex staining methodology utilizes TSA-based reagents driven by enzymatic amplification, which may boost the antigen marker intensity by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fold compared to conventional indirect IF methods. This generates a risk of overactive tyramide deposition, potentially resulting in an umbrella effect and/or signal bleed-through. To identify overstaining, signal levels can be visually assessed by unmixing images in inForm and hovering the cursor over bright, positive areas in a multiplex tissue image. Signal levels should usually remain below 30 and ideally within a factor 3 of each other, particularly for spectrally adjacent fluorophores. Over 5-fold differences in signals for spectrally adjacent fluorophores can lead to fluorophore interference and cause unmixing artifacts. If signal levels of any fluorophore show over 3 times the difference from the adjacent fluorophore, the TSA fluorophore concentrations need to be adjusted to achieve signal balance. Once the signal is confirmed to be in the correct range, the signal-to-background ratio should be maintained at &amp;lt;1:10 to ensure that the positive staining is not falsely detected from the nonspecific background.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spectral crosstalk can also create significant fluorophore interference, the order of staining must be adjusted to separate spectrally adjacent dyes in both sequence and expression of markers. Although this multispectral technology using the Mantra Workstation supports up to 8-plex assays, the application of 4 fluorophores, namely Opal 520, 540, 620, and 690, demonstrates the best performance without fluorophore interference. The use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fluorophores often requires more optimization and validation to avoid spectral crosstalk due to the spectral profiles of fluorophores that share proximate wavelengths. In other words, the number of targets that can be detected simultaneously by this approach is only limited by the number of wavelength bands and excitation/emission filter sets available. Hence, to rule out potential overstaining of a TSA fluorophore that blocks further application of other TSA fluorophores and/or to identify signal crosstalk, it is essential to be meticulous by turning layers on and off from the multiplex composite image in the inForm software; interpreting the staining patterns from the single IHC staining correctly; and looking for obvious loss, gain, or identical signals in one plane corresponding to localization in another plane.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Multispectral staining requires antibodies paired with specific fluorophores to simultaneously detect for multiple markers. This fluorophore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antibody pairing follows two rules: i) fluorophores assigned for co-expressed markers should be spectrally apart, and ii) more abundant targets should be paired with fluorophores with lower brightness or </w:t>
      </w:r>
      <w:r>
        <w:rPr>
          <w:rFonts w:ascii="Calibri" w:hAnsi="Calibri" w:cs="Calibri" w:eastAsia="Calibri"/>
          <w:i/>
          <w:color w:val="auto"/>
          <w:spacing w:val="0"/>
          <w:position w:val="0"/>
          <w:sz w:val="24"/>
          <w:shd w:fill="auto" w:val="clear"/>
        </w:rPr>
        <w:t xml:space="preserve">vice versa</w:t>
      </w:r>
      <w:r>
        <w:rPr>
          <w:rFonts w:ascii="Calibri" w:hAnsi="Calibri" w:cs="Calibri" w:eastAsia="Calibri"/>
          <w:color w:val="auto"/>
          <w:spacing w:val="0"/>
          <w:position w:val="0"/>
          <w:sz w:val="24"/>
          <w:shd w:fill="auto" w:val="clear"/>
        </w:rPr>
        <w:t xml:space="preserve">. The order of staining also needs to be arranged so that sequential antibodies do not co-localize in the same cell compartments in the stained cells. Therefore, other than the antibody concentrations and incubation times, which are critical factors in conventional staining methods, additional parameters, such as appropriate fluorophore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antibody pairing, TSA fluorophore concentrations, the staining sequence, and the exposure of a specific antibody to one or more microwave treatments, have to be considered for successful multiplex staining. Due to high variability in study samples, a given multiplex protocol may not generate the same result in other types of study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whole Opal multiplex sequential staining process can take from one to several days depending on the number of markers involved in the panel and the primary antibody incubation times. In contrast, standard IF methods typically allow the visualization of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markers in a single round of staining. It should be noted that the conditions optimized using the conventional IHC method need further optimization before proceeding to multiplex staining procedures, which involve additional, multiple microwave treatments, and the application of TSA fluorophores that will ultimately affect the staining intensity of each antibody. Currently, imaging approaches that utilize multispectral technologies may require expensive and dedicated instrumentation. In addition, it may only be limited to image-selected regions of interest. Hence, this may not be optimal for laboratories with limited resources and the scouting of tissues with uncertain antigen targets.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Significance with respect to existing methods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particular strength of this current method is the capability to measure the density of multiple immune cell types in the endometrium simultaneously unlike conventional IHC methods that can only label one to two cell types in a single tissue section. Flow cytometry is another method which can analyze the relative proportions of different immune cell types in the endometrial specimen; however, it would not be able to provide spatial information between various immune cell types and the specific distribution within different endometrial compartments. Furthermore, tissue depletion is a serious concern in clinical practice, especially during clinical trials and when using biopsy samples. These two conventional methods would require a large number of specimens (either sections or cells) for optimizing the procedure and for detecting multiple immune cell types in the endometrium of women with and without RM.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described in this protocol, the Opal workflow is designed for the detection of up to seven markers in the same tissue section by using the Mantra Workstation. In addition, species cross-reactivity during antibody selection is not a limitation of this technology. Indeed, an advantage of this technology is that it allows the use of antibodies raised in the same species for detecting up to seven markers. This approach involves detection with fluorescent TSA reagents followed by microwave treatment to remove any nonspecific staining. After microwave-based stripping, another round of staining can then be performed for additional target detection without the risk of antibody cross-reactivity. Additionally, this TSA detection method can be performed in a minimum of 3 days to combine up to 7 fluorochromes while still producing reliable results for detecting low-expression protein targets. Another advantage of multiplex staining over the traditional IHC study is its enhanced efficiency as the measurement is automated, which can eliminate subjective bias. The quantitative data generated represent the end results of the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Future applications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range of application of this multiplex protocol is immense. Importantly, this is the first paper to describe the method for the detection of multiplexed immunofluorescence marker expression using the Mantra Workstation and image analysis using the InForm 2.2.1 software for providing accurate and reproducible results in differentiating multiple immune cell populations in women with and without RM. Importantly, the localization of multiple targets in the same tissue section can provide unique insight into their cellular interactions. Ultimately, this will lead to better understanding of the immune cell microenvironment during embryo implantation in women with RM for establishing specific targeted 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Moreover, our current methods helped to demonstrate that several immune cells and their interactions may be important for the function of the endometrium. This is shown by the significant changes in the density of three out of four endometrial immune cell types and a significant increase in the clustering between CD68+ and CD56+ cells. Conversely, the abnormal interactions of these immune cell types may be predisposing factors for RM. Importantly, unlike the detection of a single subtype of endometrial immune cells, the application of this multiplex IHC staining can provide an in-depth understanding of the immunologic regulation of embryo implantation. Additionally, the quantification and further understanding of spatial features in the immune microenvironment may help shed light on the biology of this disease in the context of immunotherapies.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conflicts of interest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supported by Hong Kong Obstetrical and Gynecological Trust Fund in 2018 and Hong Kong Health and Medical Research Fund (06170186, 07180226).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ESHRE Guideline Group on RPL et al. ESHRE guideline: recurrent pregnancy loss. </w:t>
      </w:r>
      <w:r>
        <w:rPr>
          <w:rFonts w:ascii="Calibri" w:hAnsi="Calibri" w:cs="Calibri" w:eastAsia="Calibri"/>
          <w:i/>
          <w:color w:val="auto"/>
          <w:spacing w:val="0"/>
          <w:position w:val="0"/>
          <w:sz w:val="24"/>
          <w:shd w:fill="auto" w:val="clear"/>
        </w:rPr>
        <w:t xml:space="preserve">Human Reproduction Open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 (2), hoy004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Stirrat, G. M. Recurrent miscarriage.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336</w:t>
      </w:r>
      <w:r>
        <w:rPr>
          <w:rFonts w:ascii="Calibri" w:hAnsi="Calibri" w:cs="Calibri" w:eastAsia="Calibri"/>
          <w:color w:val="auto"/>
          <w:spacing w:val="0"/>
          <w:position w:val="0"/>
          <w:sz w:val="24"/>
          <w:shd w:fill="auto" w:val="clear"/>
        </w:rPr>
        <w:t xml:space="preserve"> (8716), 673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675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Rai, R., Regan, L. Recurrent miscarriage.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368</w:t>
      </w:r>
      <w:r>
        <w:rPr>
          <w:rFonts w:ascii="Calibri" w:hAnsi="Calibri" w:cs="Calibri" w:eastAsia="Calibri"/>
          <w:color w:val="auto"/>
          <w:spacing w:val="0"/>
          <w:position w:val="0"/>
          <w:sz w:val="24"/>
          <w:shd w:fill="auto" w:val="clear"/>
        </w:rPr>
        <w:t xml:space="preserve"> (9535), 601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611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Royal College of Obstetricians &amp;amp; Gynaecologists. The investigation and treatment of couples with recurrent first-trimester and second-trimester miscarriage. Green-top Guideline No. 17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King, A. Uterine leukocytes and decidualization. </w:t>
      </w:r>
      <w:r>
        <w:rPr>
          <w:rFonts w:ascii="Calibri" w:hAnsi="Calibri" w:cs="Calibri" w:eastAsia="Calibri"/>
          <w:i/>
          <w:color w:val="auto"/>
          <w:spacing w:val="0"/>
          <w:position w:val="0"/>
          <w:sz w:val="24"/>
          <w:shd w:fill="auto" w:val="clear"/>
        </w:rPr>
        <w:t xml:space="preserve">Human Reproduction Update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Le Bouteiller, P., Piccinni, M. P. Human NK cells in pregnant uterus: why there? </w:t>
      </w:r>
      <w:r>
        <w:rPr>
          <w:rFonts w:ascii="Calibri" w:hAnsi="Calibri" w:cs="Calibri" w:eastAsia="Calibri"/>
          <w:i/>
          <w:color w:val="auto"/>
          <w:spacing w:val="0"/>
          <w:position w:val="0"/>
          <w:sz w:val="24"/>
          <w:shd w:fill="auto" w:val="clear"/>
        </w:rPr>
        <w:t xml:space="preserve">American Journal of Reproductive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(5), 401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406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Lash, G.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Standardisation of uterine natural killer (uNK) cell measurements in the endometrium of women with recurrent reproductive failure. </w:t>
      </w:r>
      <w:r>
        <w:rPr>
          <w:rFonts w:ascii="Calibri" w:hAnsi="Calibri" w:cs="Calibri" w:eastAsia="Calibri"/>
          <w:i/>
          <w:color w:val="auto"/>
          <w:spacing w:val="0"/>
          <w:position w:val="0"/>
          <w:sz w:val="24"/>
          <w:shd w:fill="auto" w:val="clear"/>
        </w:rPr>
        <w:t xml:space="preserve">Journal of Reproductive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Yang,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HOXA-10 and E-cadherin expression in the endometrium of women with recurrent implantation failure and recurrent miscarriage. </w:t>
      </w:r>
      <w:r>
        <w:rPr>
          <w:rFonts w:ascii="Calibri" w:hAnsi="Calibri" w:cs="Calibri" w:eastAsia="Calibri"/>
          <w:i/>
          <w:color w:val="auto"/>
          <w:spacing w:val="0"/>
          <w:position w:val="0"/>
          <w:sz w:val="24"/>
          <w:shd w:fill="auto" w:val="clear"/>
        </w:rPr>
        <w:t xml:space="preserve">Fertility and Sterility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(1), 136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143.e2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Tuckerman, E., Laird, S. M., Prakash, A., Li, T. C. Prognostic value of the measurement of uterine natural killer cells in the endometrium of women with recurrent miscarriage. </w:t>
      </w:r>
      <w:r>
        <w:rPr>
          <w:rFonts w:ascii="Calibri" w:hAnsi="Calibri" w:cs="Calibri" w:eastAsia="Calibri"/>
          <w:i/>
          <w:color w:val="auto"/>
          <w:spacing w:val="0"/>
          <w:position w:val="0"/>
          <w:sz w:val="24"/>
          <w:shd w:fill="auto" w:val="clear"/>
        </w:rPr>
        <w:t xml:space="preserve">Human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(8), 2208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2213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Jasper, M. J. et al. Macrophage-derived LIF and IL1B regulate alpha(1,2)fucosyltransferase 2 (Fut2) expression in mouse uterine epithelial cells during early pregnancy. </w:t>
      </w:r>
      <w:r>
        <w:rPr>
          <w:rFonts w:ascii="Calibri" w:hAnsi="Calibri" w:cs="Calibri" w:eastAsia="Calibri"/>
          <w:i/>
          <w:color w:val="auto"/>
          <w:spacing w:val="0"/>
          <w:position w:val="0"/>
          <w:sz w:val="24"/>
          <w:shd w:fill="auto" w:val="clear"/>
        </w:rPr>
        <w:t xml:space="preserve">Biology of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(1), 179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Kopcow, H. D. et al.. T cell apoptosis at the maternal-fetal interface in early human pregnancy, involvement of galectin-1.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(47), 18472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18477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Johnson, P. M., Christmas, S. E., Vince, G. S. Immunological aspects of implantation and implantation failure. </w:t>
      </w:r>
      <w:r>
        <w:rPr>
          <w:rFonts w:ascii="Calibri" w:hAnsi="Calibri" w:cs="Calibri" w:eastAsia="Calibri"/>
          <w:i/>
          <w:color w:val="auto"/>
          <w:spacing w:val="0"/>
          <w:position w:val="0"/>
          <w:sz w:val="24"/>
          <w:shd w:fill="auto" w:val="clear"/>
        </w:rPr>
        <w:t xml:space="preserve">Human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(Suppl 2), 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Hong,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Multiplexed fluorescent immunohistochemical staining, imaging, and analysis in histological samples of lymphoma.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(143), 58711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Carstens, J.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Spatial computation of intratumoral T cells correlates with survival of patients with pancreatic cancer.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15095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Zhao,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use of multiplex staining to measure the density and clustering of four endometrial immune cells around the implantation period in women with recurrent miscarriage: comparison with fertile controls. </w:t>
      </w:r>
      <w:r>
        <w:rPr>
          <w:rFonts w:ascii="Calibri" w:hAnsi="Calibri" w:cs="Calibri" w:eastAsia="Calibri"/>
          <w:i/>
          <w:color w:val="auto"/>
          <w:spacing w:val="0"/>
          <w:position w:val="0"/>
          <w:sz w:val="24"/>
          <w:shd w:fill="auto" w:val="clear"/>
        </w:rPr>
        <w:t xml:space="preserve">Journal of Molecular Histology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(5), 593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603 (2020).</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