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4"/>
        <w:gridCol w:w="2182"/>
        <w:gridCol w:w="2664"/>
      </w:tblGrid>
      <w:tr w:rsidR="00906E77" w:rsidRPr="00906E77" w:rsidTr="00906E77">
        <w:trPr>
          <w:trHeight w:val="300"/>
        </w:trPr>
        <w:tc>
          <w:tcPr>
            <w:tcW w:w="10000" w:type="dxa"/>
            <w:noWrap/>
            <w:hideMark/>
          </w:tcPr>
          <w:p w:rsidR="00906E77" w:rsidRPr="00906E77" w:rsidRDefault="00906E77">
            <w:r w:rsidRPr="00906E77">
              <w:t>Reviewer's comment</w:t>
            </w:r>
          </w:p>
        </w:tc>
        <w:tc>
          <w:tcPr>
            <w:tcW w:w="4700" w:type="dxa"/>
            <w:hideMark/>
          </w:tcPr>
          <w:p w:rsidR="00906E77" w:rsidRPr="00906E77" w:rsidRDefault="00906E77">
            <w:r w:rsidRPr="00906E77">
              <w:t>Response</w:t>
            </w:r>
          </w:p>
        </w:tc>
        <w:tc>
          <w:tcPr>
            <w:tcW w:w="5800" w:type="dxa"/>
            <w:hideMark/>
          </w:tcPr>
          <w:p w:rsidR="00906E77" w:rsidRPr="00906E77" w:rsidRDefault="00906E77">
            <w:r w:rsidRPr="00906E77">
              <w:t>Text changes</w:t>
            </w:r>
          </w:p>
        </w:tc>
      </w:tr>
      <w:tr w:rsidR="00906E77" w:rsidRPr="00906E77" w:rsidTr="00906E77">
        <w:trPr>
          <w:trHeight w:val="600"/>
        </w:trPr>
        <w:tc>
          <w:tcPr>
            <w:tcW w:w="10000" w:type="dxa"/>
            <w:hideMark/>
          </w:tcPr>
          <w:p w:rsidR="00906E77" w:rsidRPr="00906E77" w:rsidRDefault="00906E77">
            <w:r w:rsidRPr="00906E77">
              <w:t>1. Please take this opportunity to thoroughly proofread the manuscript to ensure that there are no spelling or grammar issues.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300"/>
        </w:trPr>
        <w:tc>
          <w:tcPr>
            <w:tcW w:w="10000" w:type="dxa"/>
            <w:hideMark/>
          </w:tcPr>
          <w:p w:rsidR="00906E77" w:rsidRPr="00906E77" w:rsidRDefault="00906E77">
            <w:r w:rsidRPr="00906E77">
              <w:t>2. Please revise the text to avoid the use of any personal pronouns (e.g., "we", "you", "our" etc.).</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800"/>
        </w:trPr>
        <w:tc>
          <w:tcPr>
            <w:tcW w:w="10000" w:type="dxa"/>
            <w:hideMark/>
          </w:tcPr>
          <w:p w:rsidR="00906E77" w:rsidRPr="00906E77" w:rsidRDefault="00906E77">
            <w:r w:rsidRPr="00906E77">
              <w:t xml:space="preserve">3. </w:t>
            </w:r>
            <w:proofErr w:type="spellStart"/>
            <w:r w:rsidRPr="00906E77">
              <w:t>JoVE</w:t>
            </w:r>
            <w:proofErr w:type="spellEnd"/>
            <w:r w:rsidRPr="00906E77">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w:t>
            </w:r>
            <w:proofErr w:type="spellStart"/>
            <w:r w:rsidRPr="00906E77">
              <w:t>Materials.For</w:t>
            </w:r>
            <w:proofErr w:type="spellEnd"/>
            <w:r w:rsidRPr="00906E77">
              <w:t xml:space="preserve"> example: Eppendorf, </w:t>
            </w:r>
            <w:proofErr w:type="spellStart"/>
            <w:r w:rsidRPr="00906E77">
              <w:t>NanoFil</w:t>
            </w:r>
            <w:proofErr w:type="spellEnd"/>
            <w:r w:rsidRPr="00906E77">
              <w:t xml:space="preserve">, Ultra Micro Pump, </w:t>
            </w:r>
            <w:proofErr w:type="spellStart"/>
            <w:r w:rsidRPr="00906E77">
              <w:t>SilFlex</w:t>
            </w:r>
            <w:proofErr w:type="spellEnd"/>
            <w:r w:rsidRPr="00906E77">
              <w:t xml:space="preserve">, AK-Fluor, </w:t>
            </w:r>
            <w:proofErr w:type="spellStart"/>
            <w:r w:rsidRPr="00906E77">
              <w:t>Bioptigen</w:t>
            </w:r>
            <w:proofErr w:type="spellEnd"/>
            <w:r w:rsidRPr="00906E77">
              <w:t>/Leica, Micron, etc.</w:t>
            </w:r>
          </w:p>
        </w:tc>
        <w:tc>
          <w:tcPr>
            <w:tcW w:w="4700" w:type="dxa"/>
            <w:hideMark/>
          </w:tcPr>
          <w:p w:rsidR="00906E77" w:rsidRPr="00906E77" w:rsidRDefault="00906E77" w:rsidP="00906E77">
            <w:r w:rsidRPr="00906E77">
              <w:t xml:space="preserve"> Eppendorf changed to </w:t>
            </w:r>
            <w:proofErr w:type="spellStart"/>
            <w:r w:rsidRPr="00906E77">
              <w:t>microcentrifuge</w:t>
            </w:r>
            <w:proofErr w:type="spellEnd"/>
            <w:r w:rsidRPr="00906E77">
              <w:t xml:space="preserve"> tubes, </w:t>
            </w:r>
            <w:proofErr w:type="spellStart"/>
            <w:r w:rsidRPr="00906E77">
              <w:t>NanoFil</w:t>
            </w:r>
            <w:proofErr w:type="spellEnd"/>
            <w:r w:rsidRPr="00906E77">
              <w:t xml:space="preserve"> deleted, Ultra Micro Pump changed to </w:t>
            </w:r>
            <w:proofErr w:type="spellStart"/>
            <w:r w:rsidRPr="00906E77">
              <w:t>micropump</w:t>
            </w:r>
            <w:proofErr w:type="spellEnd"/>
            <w:r w:rsidRPr="00906E77">
              <w:t xml:space="preserve">, </w:t>
            </w:r>
            <w:proofErr w:type="spellStart"/>
            <w:r w:rsidRPr="00906E77">
              <w:t>SilFlex</w:t>
            </w:r>
            <w:proofErr w:type="spellEnd"/>
            <w:r w:rsidRPr="00906E77">
              <w:t xml:space="preserve"> deleted, AK-Fluor, </w:t>
            </w:r>
            <w:proofErr w:type="spellStart"/>
            <w:r w:rsidRPr="00906E77">
              <w:t>Bioptigen</w:t>
            </w:r>
            <w:proofErr w:type="spellEnd"/>
            <w:r w:rsidRPr="00906E77">
              <w:t xml:space="preserve">/Leica, </w:t>
            </w:r>
            <w:proofErr w:type="gramStart"/>
            <w:r w:rsidRPr="00906E77">
              <w:t>Micron</w:t>
            </w:r>
            <w:proofErr w:type="gramEnd"/>
            <w:r w:rsidRPr="00906E77">
              <w:t xml:space="preserve"> are deleted in the protocol but mentioned in Table </w:t>
            </w:r>
            <w:r>
              <w:t>of Materials</w:t>
            </w:r>
            <w:r w:rsidRPr="00906E77">
              <w:t xml:space="preserve">. </w:t>
            </w:r>
            <w:proofErr w:type="spellStart"/>
            <w:r w:rsidRPr="00906E77">
              <w:t>Genteal</w:t>
            </w:r>
            <w:proofErr w:type="spellEnd"/>
            <w:r w:rsidRPr="00906E77">
              <w:t xml:space="preserve"> replaced by 0.3% </w:t>
            </w:r>
            <w:proofErr w:type="spellStart"/>
            <w:r w:rsidRPr="00906E77">
              <w:t>hypromellose</w:t>
            </w:r>
            <w:proofErr w:type="spellEnd"/>
            <w:r w:rsidRPr="00906E77">
              <w:t xml:space="preserve"> gel.</w:t>
            </w:r>
          </w:p>
        </w:tc>
        <w:tc>
          <w:tcPr>
            <w:tcW w:w="5800" w:type="dxa"/>
            <w:hideMark/>
          </w:tcPr>
          <w:p w:rsidR="00906E77" w:rsidRPr="00906E77" w:rsidRDefault="00906E77" w:rsidP="00906E77">
            <w:r w:rsidRPr="00906E77">
              <w:t xml:space="preserve">Product details are added on Table </w:t>
            </w:r>
            <w:r>
              <w:t>of Materials.</w:t>
            </w:r>
          </w:p>
        </w:tc>
      </w:tr>
      <w:tr w:rsidR="00906E77" w:rsidRPr="00906E77" w:rsidTr="00906E77">
        <w:trPr>
          <w:trHeight w:val="900"/>
        </w:trPr>
        <w:tc>
          <w:tcPr>
            <w:tcW w:w="10000" w:type="dxa"/>
            <w:hideMark/>
          </w:tcPr>
          <w:p w:rsidR="00906E77" w:rsidRPr="00906E77" w:rsidRDefault="00906E77">
            <w:r w:rsidRPr="00906E77">
              <w:t xml:space="preserve">4. Please adjust the numbering of the Protocol to follow the </w:t>
            </w:r>
            <w:proofErr w:type="spellStart"/>
            <w:r w:rsidRPr="00906E77">
              <w:t>JoVE</w:t>
            </w:r>
            <w:proofErr w:type="spellEnd"/>
            <w:r w:rsidRPr="00906E77">
              <w:t xml:space="preserve"> Instructions for Authors. For example, 1 should be followed by 1.1 and then 1.1.1 and 1.1.2 if necessary. Please refrain from using bullets or dashes.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800"/>
        </w:trPr>
        <w:tc>
          <w:tcPr>
            <w:tcW w:w="10000" w:type="dxa"/>
            <w:hideMark/>
          </w:tcPr>
          <w:p w:rsidR="00906E77" w:rsidRPr="00906E77" w:rsidRDefault="00906E77">
            <w:r w:rsidRPr="00906E77">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900"/>
        </w:trPr>
        <w:tc>
          <w:tcPr>
            <w:tcW w:w="10000" w:type="dxa"/>
            <w:hideMark/>
          </w:tcPr>
          <w:p w:rsidR="00906E77" w:rsidRPr="00906E77" w:rsidRDefault="00906E77">
            <w:r w:rsidRPr="00906E77">
              <w:t>6. For time units, please use abbreviated forms for durations of less than one day when the unit is preceded by a numeral throughout the protocol. Do not abbreviate day, week, month, and year. Examples: 5 h, 10 min, 100 s, 8 days, 10 weeks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500"/>
        </w:trPr>
        <w:tc>
          <w:tcPr>
            <w:tcW w:w="10000" w:type="dxa"/>
            <w:hideMark/>
          </w:tcPr>
          <w:p w:rsidR="00906E77" w:rsidRPr="00906E77" w:rsidRDefault="00906E77">
            <w:r w:rsidRPr="00906E77">
              <w:lastRenderedPageBreak/>
              <w:t xml:space="preserve">7. Line 97: Please specify what kind of Biosafety cabinet. Class, </w:t>
            </w:r>
            <w:proofErr w:type="spellStart"/>
            <w:r w:rsidRPr="00906E77">
              <w:t>type</w:t>
            </w:r>
            <w:proofErr w:type="gramStart"/>
            <w:r w:rsidRPr="00906E77">
              <w:t>,etc</w:t>
            </w:r>
            <w:proofErr w:type="spellEnd"/>
            <w:proofErr w:type="gramEnd"/>
            <w:r w:rsidRPr="00906E77">
              <w:t>. Please ensure that steps of caution are mentioned in the protocol.</w:t>
            </w:r>
          </w:p>
        </w:tc>
        <w:tc>
          <w:tcPr>
            <w:tcW w:w="4700" w:type="dxa"/>
            <w:hideMark/>
          </w:tcPr>
          <w:p w:rsidR="00906E77" w:rsidRPr="00906E77" w:rsidRDefault="00906E77">
            <w:r w:rsidRPr="00906E77">
              <w:t>DONE</w:t>
            </w:r>
          </w:p>
        </w:tc>
        <w:tc>
          <w:tcPr>
            <w:tcW w:w="5800" w:type="dxa"/>
            <w:hideMark/>
          </w:tcPr>
          <w:p w:rsidR="00906E77" w:rsidRPr="00906E77" w:rsidRDefault="00906E77">
            <w:r w:rsidRPr="00906E77">
              <w:t xml:space="preserve"> </w:t>
            </w:r>
            <w:proofErr w:type="gramStart"/>
            <w:r w:rsidRPr="00906E77">
              <w:t>1.</w:t>
            </w:r>
            <w:bookmarkStart w:id="0" w:name="_GoBack"/>
            <w:bookmarkEnd w:id="0"/>
            <w:r w:rsidRPr="00906E77">
              <w:t>1 :</w:t>
            </w:r>
            <w:proofErr w:type="gramEnd"/>
            <w:r w:rsidRPr="00906E77">
              <w:t xml:space="preserve"> "Perform all procedures in this section inside a chemical fume hood under sterile conditions to prevent inhalation of the </w:t>
            </w:r>
            <w:proofErr w:type="spellStart"/>
            <w:r w:rsidRPr="00906E77">
              <w:t>Mtb</w:t>
            </w:r>
            <w:proofErr w:type="spellEnd"/>
            <w:r w:rsidRPr="00906E77">
              <w:t xml:space="preserve"> H37Ra powder. This includes using chemical resistant gloves, safety glasses and protective work clothing (lab coat)".</w:t>
            </w:r>
          </w:p>
        </w:tc>
      </w:tr>
      <w:tr w:rsidR="00906E77" w:rsidRPr="00906E77" w:rsidTr="00906E77">
        <w:trPr>
          <w:trHeight w:val="4500"/>
        </w:trPr>
        <w:tc>
          <w:tcPr>
            <w:tcW w:w="10000" w:type="dxa"/>
            <w:hideMark/>
          </w:tcPr>
          <w:p w:rsidR="00906E77" w:rsidRPr="00906E77" w:rsidRDefault="00906E77">
            <w:r w:rsidRPr="00906E77">
              <w:t>8. Line 105-109: Is there any specific type of probe to be used. Include specifications like size, length, etc. Any specific conditions like frequency, amplitude etc.?</w:t>
            </w:r>
          </w:p>
        </w:tc>
        <w:tc>
          <w:tcPr>
            <w:tcW w:w="4700" w:type="dxa"/>
            <w:hideMark/>
          </w:tcPr>
          <w:p w:rsidR="00906E77" w:rsidRPr="00906E77" w:rsidRDefault="00906E77">
            <w:r w:rsidRPr="00906E77">
              <w:t>Text added to Methods section.</w:t>
            </w:r>
          </w:p>
        </w:tc>
        <w:tc>
          <w:tcPr>
            <w:tcW w:w="5800" w:type="dxa"/>
            <w:hideMark/>
          </w:tcPr>
          <w:p w:rsidR="00906E77" w:rsidRPr="00906E77" w:rsidRDefault="00906E77">
            <w:r w:rsidRPr="00906E77">
              <w:t xml:space="preserve">1.4: "First, unclamp the body of the converter unit and clean the probe with a 70% (v/v) alcohol swab. Then switch on the </w:t>
            </w:r>
            <w:proofErr w:type="spellStart"/>
            <w:r w:rsidRPr="00906E77">
              <w:t>sonicator</w:t>
            </w:r>
            <w:proofErr w:type="spellEnd"/>
            <w:r w:rsidRPr="00906E77">
              <w:t xml:space="preserve">, adjust the power setting to 4 by turning the power control knob and immerse the tip of the probe into the PBS-containing mycobacterial powder. Ensure that the probe tip is immersed to at least half the depth of the sample and that the probe tip is not touching the wall </w:t>
            </w:r>
            <w:r>
              <w:t xml:space="preserve">of the </w:t>
            </w:r>
            <w:proofErr w:type="spellStart"/>
            <w:r>
              <w:t>microcentrifuge</w:t>
            </w:r>
            <w:proofErr w:type="spellEnd"/>
            <w:r>
              <w:t xml:space="preserve"> </w:t>
            </w:r>
            <w:r w:rsidRPr="00906E77">
              <w:t>tube.</w:t>
            </w:r>
            <w:r w:rsidRPr="00906E77">
              <w:br/>
              <w:t xml:space="preserve"> </w:t>
            </w:r>
            <w:r w:rsidRPr="00906E77">
              <w:br/>
              <w:t xml:space="preserve">Sonicate the mixture on ice for 30 secs, pause 30 secs and repeat for a total of 5 min to fully disperse into suspension without heating the liquid. After sonication, set the power to 0 using the control knob and wipe the probe with alcohol swab after turning off the unit".  </w:t>
            </w:r>
          </w:p>
        </w:tc>
      </w:tr>
      <w:tr w:rsidR="00906E77" w:rsidRPr="00906E77" w:rsidTr="00906E77">
        <w:trPr>
          <w:trHeight w:val="2100"/>
        </w:trPr>
        <w:tc>
          <w:tcPr>
            <w:tcW w:w="10000" w:type="dxa"/>
            <w:hideMark/>
          </w:tcPr>
          <w:p w:rsidR="00906E77" w:rsidRPr="00906E77" w:rsidRDefault="00906E77">
            <w:r w:rsidRPr="00906E77">
              <w:lastRenderedPageBreak/>
              <w:t>9. Line 123: What does day 7 represent. 7 days of acclimatization?</w:t>
            </w:r>
          </w:p>
        </w:tc>
        <w:tc>
          <w:tcPr>
            <w:tcW w:w="4700" w:type="dxa"/>
            <w:hideMark/>
          </w:tcPr>
          <w:p w:rsidR="00906E77" w:rsidRPr="00906E77" w:rsidRDefault="00906E77">
            <w:r w:rsidRPr="00906E77">
              <w:t xml:space="preserve">We apologize for any confusion. We have rewritten this line to improve clarity. There are seven days between the subcutaneous injection and the </w:t>
            </w:r>
            <w:proofErr w:type="spellStart"/>
            <w:r w:rsidRPr="00906E77">
              <w:t>intravitreal</w:t>
            </w:r>
            <w:proofErr w:type="spellEnd"/>
            <w:r w:rsidRPr="00906E77">
              <w:t xml:space="preserve"> injection. The day of subcutaneous injection had been indicated as day -7. Due to this confusion it is now written as "one week prior to </w:t>
            </w:r>
            <w:proofErr w:type="spellStart"/>
            <w:r w:rsidRPr="00906E77">
              <w:t>intravitreal</w:t>
            </w:r>
            <w:proofErr w:type="spellEnd"/>
            <w:r w:rsidRPr="00906E77">
              <w:t xml:space="preserve"> injection". </w:t>
            </w:r>
          </w:p>
        </w:tc>
        <w:tc>
          <w:tcPr>
            <w:tcW w:w="5800" w:type="dxa"/>
            <w:hideMark/>
          </w:tcPr>
          <w:p w:rsidR="00906E77" w:rsidRPr="00906E77" w:rsidRDefault="00906E77">
            <w:r w:rsidRPr="00906E77">
              <w:t xml:space="preserve">2.1: "Subcutaneous injection is performed a week prior to the </w:t>
            </w:r>
            <w:proofErr w:type="spellStart"/>
            <w:r w:rsidRPr="00906E77">
              <w:t>intravitreal</w:t>
            </w:r>
            <w:proofErr w:type="spellEnd"/>
            <w:r w:rsidRPr="00906E77">
              <w:t xml:space="preserve"> injection (designated as day -7)".</w:t>
            </w:r>
          </w:p>
        </w:tc>
      </w:tr>
      <w:tr w:rsidR="00906E77" w:rsidRPr="00906E77" w:rsidTr="00906E77">
        <w:trPr>
          <w:trHeight w:val="900"/>
        </w:trPr>
        <w:tc>
          <w:tcPr>
            <w:tcW w:w="10000" w:type="dxa"/>
            <w:hideMark/>
          </w:tcPr>
          <w:p w:rsidR="00906E77" w:rsidRPr="00906E77" w:rsidRDefault="00906E77">
            <w:r w:rsidRPr="00906E77">
              <w:t xml:space="preserve">10. Being a video-based journal, </w:t>
            </w:r>
            <w:proofErr w:type="spellStart"/>
            <w:r w:rsidRPr="00906E77">
              <w:t>JoVE</w:t>
            </w:r>
            <w:proofErr w:type="spellEnd"/>
            <w:r w:rsidRPr="00906E77">
              <w:t xml:space="preserve"> authors must be very specific when it comes to the humane treatment of animals. Regarding animal treatment in the protocol, please add the following information to the text:</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600"/>
        </w:trPr>
        <w:tc>
          <w:tcPr>
            <w:tcW w:w="10000" w:type="dxa"/>
            <w:hideMark/>
          </w:tcPr>
          <w:p w:rsidR="00906E77" w:rsidRPr="00906E77" w:rsidRDefault="00906E77">
            <w:r w:rsidRPr="00906E77">
              <w:t>a) Please include an ethics statement before all of the numbered protocol steps indicating that the protocol follows the animal care guidelines of your institution.</w:t>
            </w:r>
          </w:p>
        </w:tc>
        <w:tc>
          <w:tcPr>
            <w:tcW w:w="4700" w:type="dxa"/>
            <w:noWrap/>
            <w:hideMark/>
          </w:tcPr>
          <w:p w:rsidR="00906E77" w:rsidRPr="00906E77" w:rsidRDefault="00906E77">
            <w:r w:rsidRPr="00906E77">
              <w:t>DONE</w:t>
            </w:r>
          </w:p>
        </w:tc>
        <w:tc>
          <w:tcPr>
            <w:tcW w:w="5800" w:type="dxa"/>
            <w:hideMark/>
          </w:tcPr>
          <w:p w:rsidR="00906E77" w:rsidRPr="00906E77" w:rsidRDefault="00906E77">
            <w:r w:rsidRPr="00906E77">
              <w:t>Ethics statement is included in the beginning of the protocol.</w:t>
            </w:r>
          </w:p>
        </w:tc>
      </w:tr>
      <w:tr w:rsidR="00906E77" w:rsidRPr="00906E77" w:rsidTr="00906E77">
        <w:trPr>
          <w:trHeight w:val="900"/>
        </w:trPr>
        <w:tc>
          <w:tcPr>
            <w:tcW w:w="10000" w:type="dxa"/>
            <w:hideMark/>
          </w:tcPr>
          <w:p w:rsidR="00906E77" w:rsidRPr="00906E77" w:rsidRDefault="00906E77">
            <w:r w:rsidRPr="00906E77">
              <w:t>b) Please specify the euthanasia method.</w:t>
            </w:r>
          </w:p>
        </w:tc>
        <w:tc>
          <w:tcPr>
            <w:tcW w:w="4700" w:type="dxa"/>
            <w:noWrap/>
            <w:hideMark/>
          </w:tcPr>
          <w:p w:rsidR="00906E77" w:rsidRPr="00906E77" w:rsidRDefault="00906E77">
            <w:r w:rsidRPr="00906E77">
              <w:t>Text added to protocol</w:t>
            </w:r>
          </w:p>
        </w:tc>
        <w:tc>
          <w:tcPr>
            <w:tcW w:w="5800" w:type="dxa"/>
            <w:hideMark/>
          </w:tcPr>
          <w:p w:rsidR="00906E77" w:rsidRPr="00906E77" w:rsidRDefault="00906E77">
            <w:r w:rsidRPr="00906E77">
              <w:t>"Animal euthanasia was performed using the carbon dioxide inhalation method 30".</w:t>
            </w:r>
          </w:p>
        </w:tc>
      </w:tr>
      <w:tr w:rsidR="00906E77" w:rsidRPr="00906E77" w:rsidTr="00906E77">
        <w:trPr>
          <w:trHeight w:val="2700"/>
        </w:trPr>
        <w:tc>
          <w:tcPr>
            <w:tcW w:w="10000" w:type="dxa"/>
            <w:hideMark/>
          </w:tcPr>
          <w:p w:rsidR="00906E77" w:rsidRPr="00906E77" w:rsidRDefault="00906E77">
            <w:r w:rsidRPr="00906E77">
              <w:t>c) Please mention how animals are anesthetized and how proper anesthetization is confirmed.</w:t>
            </w:r>
          </w:p>
        </w:tc>
        <w:tc>
          <w:tcPr>
            <w:tcW w:w="4700" w:type="dxa"/>
            <w:noWrap/>
            <w:hideMark/>
          </w:tcPr>
          <w:p w:rsidR="00906E77" w:rsidRPr="00906E77" w:rsidRDefault="00906E77">
            <w:r w:rsidRPr="00906E77">
              <w:t>Text added to protocol</w:t>
            </w:r>
          </w:p>
        </w:tc>
        <w:tc>
          <w:tcPr>
            <w:tcW w:w="5800" w:type="dxa"/>
            <w:hideMark/>
          </w:tcPr>
          <w:p w:rsidR="00906E77" w:rsidRPr="00906E77" w:rsidRDefault="00906E77">
            <w:r w:rsidRPr="00906E77">
              <w:t>2.4 To perform the subcutaneous injection safely, either anesthetize the mouse or utilize humane restraint methods that allow easy access to the animal hindquarters.</w:t>
            </w:r>
            <w:r>
              <w:t xml:space="preserve"> </w:t>
            </w:r>
            <w:r w:rsidRPr="00906E77">
              <w:t xml:space="preserve">31 To anesthetize for subcutaneous injection, the animal is placed in an isoflurane induction chamber (3-4% for induction and 1-3% for maintenance). Once anesthetized, the mouse should have a slow respiratory rate and should </w:t>
            </w:r>
            <w:r w:rsidRPr="00906E77">
              <w:lastRenderedPageBreak/>
              <w:t>not exhibit any signs of respiratory distress.</w:t>
            </w:r>
          </w:p>
        </w:tc>
      </w:tr>
      <w:tr w:rsidR="00906E77" w:rsidRPr="00906E77" w:rsidTr="00906E77">
        <w:trPr>
          <w:trHeight w:val="1200"/>
        </w:trPr>
        <w:tc>
          <w:tcPr>
            <w:tcW w:w="10000" w:type="dxa"/>
            <w:hideMark/>
          </w:tcPr>
          <w:p w:rsidR="00906E77" w:rsidRPr="00906E77" w:rsidRDefault="00906E77">
            <w:r w:rsidRPr="00906E77">
              <w:lastRenderedPageBreak/>
              <w:t>d) Please specify the use of vet ointment on eyes to prevent dryness while under anesthesia.</w:t>
            </w:r>
          </w:p>
        </w:tc>
        <w:tc>
          <w:tcPr>
            <w:tcW w:w="4700" w:type="dxa"/>
            <w:noWrap/>
            <w:hideMark/>
          </w:tcPr>
          <w:p w:rsidR="00906E77" w:rsidRPr="00906E77" w:rsidRDefault="00906E77">
            <w:r w:rsidRPr="00906E77">
              <w:t>Text added to protocol</w:t>
            </w:r>
          </w:p>
        </w:tc>
        <w:tc>
          <w:tcPr>
            <w:tcW w:w="5800" w:type="dxa"/>
            <w:hideMark/>
          </w:tcPr>
          <w:p w:rsidR="00906E77" w:rsidRPr="00906E77" w:rsidRDefault="00906E77">
            <w:r w:rsidRPr="00906E77">
              <w:t xml:space="preserve">Indicated in step 4.1.7, “cover the eye with </w:t>
            </w:r>
            <w:proofErr w:type="spellStart"/>
            <w:r w:rsidRPr="00906E77">
              <w:t>hypromellose</w:t>
            </w:r>
            <w:proofErr w:type="spellEnd"/>
            <w:r w:rsidRPr="00906E77">
              <w:t xml:space="preserve"> (0.3%) or </w:t>
            </w:r>
            <w:proofErr w:type="spellStart"/>
            <w:r w:rsidRPr="00906E77">
              <w:t>carbomer</w:t>
            </w:r>
            <w:proofErr w:type="spellEnd"/>
            <w:r w:rsidRPr="00906E77">
              <w:t xml:space="preserve"> eye gel (0.2% w/w) to prevent dryness under anesthesia. This will also help to prevent cataract formation."</w:t>
            </w:r>
          </w:p>
        </w:tc>
      </w:tr>
      <w:tr w:rsidR="00906E77" w:rsidRPr="00906E77" w:rsidTr="00906E77">
        <w:trPr>
          <w:trHeight w:val="3300"/>
        </w:trPr>
        <w:tc>
          <w:tcPr>
            <w:tcW w:w="10000" w:type="dxa"/>
            <w:hideMark/>
          </w:tcPr>
          <w:p w:rsidR="00906E77" w:rsidRPr="00906E77" w:rsidRDefault="00906E77">
            <w:r w:rsidRPr="00906E77">
              <w:t>e) For survival strategies, discuss post-surgical treatment of animal, including recovery conditions and treatment for post-surgical pain.</w:t>
            </w:r>
          </w:p>
        </w:tc>
        <w:tc>
          <w:tcPr>
            <w:tcW w:w="4700" w:type="dxa"/>
            <w:hideMark/>
          </w:tcPr>
          <w:p w:rsidR="00906E77" w:rsidRPr="00906E77" w:rsidRDefault="00906E77">
            <w:r w:rsidRPr="00906E77">
              <w:t>Text added to protocol</w:t>
            </w:r>
          </w:p>
        </w:tc>
        <w:tc>
          <w:tcPr>
            <w:tcW w:w="5800" w:type="dxa"/>
            <w:hideMark/>
          </w:tcPr>
          <w:p w:rsidR="00906E77" w:rsidRPr="00906E77" w:rsidRDefault="00906E77">
            <w:r w:rsidRPr="00906E77">
              <w:t xml:space="preserve">Section 4.3.11-4.3.13. Remove the mouse from the platform, place 0.3% </w:t>
            </w:r>
            <w:proofErr w:type="spellStart"/>
            <w:r w:rsidRPr="00906E77">
              <w:t>hypromellose</w:t>
            </w:r>
            <w:proofErr w:type="spellEnd"/>
            <w:r w:rsidRPr="00906E77">
              <w:t xml:space="preserve"> or 0.2% w/w </w:t>
            </w:r>
            <w:proofErr w:type="spellStart"/>
            <w:r w:rsidRPr="00906E77">
              <w:t>carbomer</w:t>
            </w:r>
            <w:proofErr w:type="spellEnd"/>
            <w:r w:rsidRPr="00906E77">
              <w:t xml:space="preserve"> on both eyes for corneal protection, and move to the recovery warming box. </w:t>
            </w:r>
            <w:r w:rsidRPr="00906E77">
              <w:br/>
              <w:t xml:space="preserve">Do not leave the mouse unattended until it has regained sufficient consciousness to maintain sternal </w:t>
            </w:r>
            <w:proofErr w:type="spellStart"/>
            <w:r w:rsidRPr="00906E77">
              <w:t>recumbency</w:t>
            </w:r>
            <w:proofErr w:type="spellEnd"/>
            <w:r w:rsidRPr="00906E77">
              <w:t>.</w:t>
            </w:r>
            <w:r w:rsidRPr="00906E77">
              <w:br/>
            </w:r>
            <w:r w:rsidRPr="00906E77">
              <w:br/>
              <w:t>When the mouse is fully awake, return to the cage and add acetaminophen (200–300 mg/kg/day) medicated water bottle. Label cage card with date of IVT injection.</w:t>
            </w:r>
          </w:p>
        </w:tc>
      </w:tr>
      <w:tr w:rsidR="00906E77" w:rsidRPr="00906E77" w:rsidTr="00906E77">
        <w:trPr>
          <w:trHeight w:val="1200"/>
        </w:trPr>
        <w:tc>
          <w:tcPr>
            <w:tcW w:w="10000" w:type="dxa"/>
            <w:hideMark/>
          </w:tcPr>
          <w:p w:rsidR="00906E77" w:rsidRPr="00906E77" w:rsidRDefault="00906E77">
            <w:r w:rsidRPr="00906E77">
              <w:t>f) Discuss maintenance of sterile conditions during survival surgery.</w:t>
            </w:r>
          </w:p>
        </w:tc>
        <w:tc>
          <w:tcPr>
            <w:tcW w:w="4700" w:type="dxa"/>
            <w:hideMark/>
          </w:tcPr>
          <w:p w:rsidR="00906E77" w:rsidRPr="00906E77" w:rsidRDefault="00906E77">
            <w:r w:rsidRPr="00906E77">
              <w:t>Text added to protocol</w:t>
            </w:r>
          </w:p>
        </w:tc>
        <w:tc>
          <w:tcPr>
            <w:tcW w:w="5800" w:type="dxa"/>
            <w:hideMark/>
          </w:tcPr>
          <w:p w:rsidR="00906E77" w:rsidRPr="00906E77" w:rsidRDefault="00906E77">
            <w:r w:rsidRPr="00906E77">
              <w:t xml:space="preserve">3.1 "Perform all procedures in this section under appropriate sterile conditions to prevent contamination" and 4.1.6 "Perform all procedures in this section under appropriate sterile </w:t>
            </w:r>
            <w:r w:rsidRPr="00906E77">
              <w:lastRenderedPageBreak/>
              <w:t xml:space="preserve">conditions to prevent </w:t>
            </w:r>
            <w:proofErr w:type="spellStart"/>
            <w:r w:rsidRPr="00906E77">
              <w:t>endophthalmitis</w:t>
            </w:r>
            <w:proofErr w:type="spellEnd"/>
            <w:r w:rsidRPr="00906E77">
              <w:t xml:space="preserve">." </w:t>
            </w:r>
          </w:p>
        </w:tc>
      </w:tr>
      <w:tr w:rsidR="00906E77" w:rsidRPr="00906E77" w:rsidTr="00906E77">
        <w:trPr>
          <w:trHeight w:val="600"/>
        </w:trPr>
        <w:tc>
          <w:tcPr>
            <w:tcW w:w="10000" w:type="dxa"/>
            <w:hideMark/>
          </w:tcPr>
          <w:p w:rsidR="00906E77" w:rsidRPr="00906E77" w:rsidRDefault="00906E77">
            <w:r w:rsidRPr="00906E77">
              <w:lastRenderedPageBreak/>
              <w:t xml:space="preserve">g) Please specify that the animal is not left unattended until it has regained sufficient consciousness to maintain sternal </w:t>
            </w:r>
            <w:proofErr w:type="spellStart"/>
            <w:r w:rsidRPr="00906E77">
              <w:t>recumbency</w:t>
            </w:r>
            <w:proofErr w:type="spellEnd"/>
            <w:r w:rsidRPr="00906E77">
              <w:t>.</w:t>
            </w:r>
          </w:p>
        </w:tc>
        <w:tc>
          <w:tcPr>
            <w:tcW w:w="4700" w:type="dxa"/>
            <w:noWrap/>
            <w:hideMark/>
          </w:tcPr>
          <w:p w:rsidR="00906E77" w:rsidRPr="00906E77" w:rsidRDefault="00906E77">
            <w:r w:rsidRPr="00906E77">
              <w:t>Text added to protocol</w:t>
            </w:r>
          </w:p>
        </w:tc>
        <w:tc>
          <w:tcPr>
            <w:tcW w:w="5800" w:type="dxa"/>
            <w:hideMark/>
          </w:tcPr>
          <w:p w:rsidR="00906E77" w:rsidRPr="00906E77" w:rsidRDefault="00906E77">
            <w:r w:rsidRPr="00906E77">
              <w:t>Added to 2.6, 4.3.12 and 5.2.13</w:t>
            </w:r>
          </w:p>
        </w:tc>
      </w:tr>
      <w:tr w:rsidR="00906E77" w:rsidRPr="00906E77" w:rsidTr="00906E77">
        <w:trPr>
          <w:trHeight w:val="1200"/>
        </w:trPr>
        <w:tc>
          <w:tcPr>
            <w:tcW w:w="10000" w:type="dxa"/>
            <w:hideMark/>
          </w:tcPr>
          <w:p w:rsidR="00906E77" w:rsidRPr="00906E77" w:rsidRDefault="00906E77">
            <w:r w:rsidRPr="00906E77">
              <w:t>h) Please specify that the animal that has undergone surgery is not returned to the company of other animals until fully recovered.</w:t>
            </w:r>
          </w:p>
        </w:tc>
        <w:tc>
          <w:tcPr>
            <w:tcW w:w="4700" w:type="dxa"/>
            <w:hideMark/>
          </w:tcPr>
          <w:p w:rsidR="00906E77" w:rsidRPr="00906E77" w:rsidRDefault="00906E77">
            <w:r w:rsidRPr="00906E77">
              <w:t>Text added to protocol</w:t>
            </w:r>
          </w:p>
        </w:tc>
        <w:tc>
          <w:tcPr>
            <w:tcW w:w="5800" w:type="dxa"/>
            <w:hideMark/>
          </w:tcPr>
          <w:p w:rsidR="00906E77" w:rsidRPr="00906E77" w:rsidRDefault="00906E77">
            <w:r w:rsidRPr="00906E77">
              <w:t xml:space="preserve">4.3.12 Do not leave the mouse unattended until it has regained sufficient consciousness to maintain sternal </w:t>
            </w:r>
            <w:proofErr w:type="spellStart"/>
            <w:r w:rsidRPr="00906E77">
              <w:t>recumbency</w:t>
            </w:r>
            <w:proofErr w:type="spellEnd"/>
            <w:r w:rsidRPr="00906E77">
              <w:t>. Do not return to the company of other animals until fully recovered.</w:t>
            </w:r>
          </w:p>
        </w:tc>
      </w:tr>
      <w:tr w:rsidR="00906E77" w:rsidRPr="00906E77" w:rsidTr="00906E77">
        <w:trPr>
          <w:trHeight w:val="300"/>
        </w:trPr>
        <w:tc>
          <w:tcPr>
            <w:tcW w:w="10000" w:type="dxa"/>
            <w:hideMark/>
          </w:tcPr>
          <w:p w:rsidR="00906E77" w:rsidRPr="00906E77" w:rsidRDefault="00906E77">
            <w:proofErr w:type="spellStart"/>
            <w:r w:rsidRPr="00906E77">
              <w:t>i</w:t>
            </w:r>
            <w:proofErr w:type="spellEnd"/>
            <w:r w:rsidRPr="00906E77">
              <w:t>) Please do not highlight any steps describing euthanasia.</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110"/>
        </w:trPr>
        <w:tc>
          <w:tcPr>
            <w:tcW w:w="10000" w:type="dxa"/>
            <w:hideMark/>
          </w:tcPr>
          <w:p w:rsidR="00906E77" w:rsidRPr="00906E77" w:rsidRDefault="00906E77">
            <w:r w:rsidRPr="00906E77">
              <w:t>11. Line 222: Please mention if this step is to be performed in the dark?</w:t>
            </w:r>
          </w:p>
        </w:tc>
        <w:tc>
          <w:tcPr>
            <w:tcW w:w="4700" w:type="dxa"/>
            <w:hideMark/>
          </w:tcPr>
          <w:p w:rsidR="00906E77" w:rsidRPr="00906E77" w:rsidRDefault="00906E77">
            <w:r w:rsidRPr="00906E77">
              <w:t>Thank you for this question. The fluorescein is not light sensitive and does not need to be performed in the dark.</w:t>
            </w:r>
          </w:p>
        </w:tc>
        <w:tc>
          <w:tcPr>
            <w:tcW w:w="5800" w:type="dxa"/>
            <w:hideMark/>
          </w:tcPr>
          <w:p w:rsidR="00906E77" w:rsidRPr="00906E77" w:rsidRDefault="00906E77">
            <w:r w:rsidRPr="00906E77">
              <w:t>no text edits</w:t>
            </w:r>
          </w:p>
        </w:tc>
      </w:tr>
      <w:tr w:rsidR="00906E77" w:rsidRPr="00906E77" w:rsidTr="00906E77">
        <w:trPr>
          <w:trHeight w:val="1815"/>
        </w:trPr>
        <w:tc>
          <w:tcPr>
            <w:tcW w:w="10000" w:type="dxa"/>
            <w:hideMark/>
          </w:tcPr>
          <w:p w:rsidR="00906E77" w:rsidRPr="00906E77" w:rsidRDefault="00906E77">
            <w:r w:rsidRPr="00906E77">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tc>
        <w:tc>
          <w:tcPr>
            <w:tcW w:w="4700" w:type="dxa"/>
            <w:hideMark/>
          </w:tcPr>
          <w:p w:rsidR="00906E77" w:rsidRPr="00906E77" w:rsidRDefault="00906E77">
            <w:r w:rsidRPr="00906E77">
              <w:t xml:space="preserve">DONE, we might want to discuss additional steps in the video planning stages. </w:t>
            </w:r>
          </w:p>
        </w:tc>
        <w:tc>
          <w:tcPr>
            <w:tcW w:w="5800" w:type="dxa"/>
            <w:hideMark/>
          </w:tcPr>
          <w:p w:rsidR="00906E77" w:rsidRPr="00906E77" w:rsidRDefault="00906E77"/>
        </w:tc>
      </w:tr>
      <w:tr w:rsidR="00906E77" w:rsidRPr="00906E77" w:rsidTr="00906E77">
        <w:trPr>
          <w:trHeight w:val="615"/>
        </w:trPr>
        <w:tc>
          <w:tcPr>
            <w:tcW w:w="10000" w:type="dxa"/>
            <w:hideMark/>
          </w:tcPr>
          <w:p w:rsidR="00906E77" w:rsidRPr="00906E77" w:rsidRDefault="00906E77">
            <w:r w:rsidRPr="00906E77">
              <w:t>13. Figures: Please use Uppercase alphabets to label the images of the panel.</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690"/>
        </w:trPr>
        <w:tc>
          <w:tcPr>
            <w:tcW w:w="10000" w:type="dxa"/>
            <w:hideMark/>
          </w:tcPr>
          <w:p w:rsidR="00906E77" w:rsidRPr="00906E77" w:rsidRDefault="00906E77">
            <w:r w:rsidRPr="00906E77">
              <w:t>14. Figure 1: Please remove the commercial terms from the figure and the figure legends and replace them with generic terms.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170"/>
        </w:trPr>
        <w:tc>
          <w:tcPr>
            <w:tcW w:w="10000" w:type="dxa"/>
            <w:hideMark/>
          </w:tcPr>
          <w:p w:rsidR="00906E77" w:rsidRPr="00906E77" w:rsidRDefault="00906E77">
            <w:r w:rsidRPr="00906E77">
              <w:t>15. Figure 2: Does the green line represent the volume intensity projection. Please specify in the figure legends. Please remove the commercial terms from the figure legends.</w:t>
            </w:r>
          </w:p>
        </w:tc>
        <w:tc>
          <w:tcPr>
            <w:tcW w:w="4700" w:type="dxa"/>
            <w:hideMark/>
          </w:tcPr>
          <w:p w:rsidR="00906E77" w:rsidRPr="00906E77" w:rsidRDefault="00906E77">
            <w:r w:rsidRPr="00906E77">
              <w:t xml:space="preserve"> Sorry for the confusion. To clarify, the green line marks the location of the line scan that is being shown in the panel immediately to the right of the </w:t>
            </w:r>
            <w:proofErr w:type="spellStart"/>
            <w:r>
              <w:t>en</w:t>
            </w:r>
            <w:proofErr w:type="spellEnd"/>
            <w:r>
              <w:t>-</w:t>
            </w:r>
            <w:r w:rsidRPr="00906E77">
              <w:t xml:space="preserve">face </w:t>
            </w:r>
            <w:r w:rsidRPr="00906E77">
              <w:lastRenderedPageBreak/>
              <w:t xml:space="preserve">image. For example the green line in figure 2A indicates where the image in 2B was obtained and the green line in image 2D is the same as 2E. This information has been added to the figure legend.  </w:t>
            </w:r>
          </w:p>
        </w:tc>
        <w:tc>
          <w:tcPr>
            <w:tcW w:w="5800" w:type="dxa"/>
            <w:hideMark/>
          </w:tcPr>
          <w:p w:rsidR="00906E77" w:rsidRPr="00906E77" w:rsidRDefault="00906E77" w:rsidP="00906E77">
            <w:r w:rsidRPr="00906E77">
              <w:lastRenderedPageBreak/>
              <w:t xml:space="preserve">"Figure 2: Proper alignment of the eye for OCT imaging. (A) Using the </w:t>
            </w:r>
            <w:proofErr w:type="spellStart"/>
            <w:r w:rsidRPr="00906E77">
              <w:t>en</w:t>
            </w:r>
            <w:proofErr w:type="spellEnd"/>
            <w:r>
              <w:t>-</w:t>
            </w:r>
            <w:r w:rsidRPr="00906E77">
              <w:t xml:space="preserve">face scanning laser ophthalmoscope (SLO) image the eye is centered for anterior chamber imaging. The green line </w:t>
            </w:r>
            <w:r w:rsidRPr="00906E77">
              <w:lastRenderedPageBreak/>
              <w:t xml:space="preserve">indicates the position of the horizontal line scan shown in panel (B)". </w:t>
            </w:r>
          </w:p>
        </w:tc>
      </w:tr>
      <w:tr w:rsidR="00906E77" w:rsidRPr="00906E77" w:rsidTr="00906E77">
        <w:trPr>
          <w:trHeight w:val="1230"/>
        </w:trPr>
        <w:tc>
          <w:tcPr>
            <w:tcW w:w="10000" w:type="dxa"/>
            <w:hideMark/>
          </w:tcPr>
          <w:p w:rsidR="00906E77" w:rsidRPr="00906E77" w:rsidRDefault="00906E77">
            <w:r w:rsidRPr="00906E77">
              <w:lastRenderedPageBreak/>
              <w:t>16. Figure 5: Please include scale bars in all the images of the panel. Define the magnification in the figure legends.</w:t>
            </w:r>
          </w:p>
        </w:tc>
        <w:tc>
          <w:tcPr>
            <w:tcW w:w="4700" w:type="dxa"/>
            <w:hideMark/>
          </w:tcPr>
          <w:p w:rsidR="00906E77" w:rsidRPr="00906E77" w:rsidRDefault="00906E77">
            <w:r w:rsidRPr="00906E77">
              <w:t xml:space="preserve">DONE. We have placed a black scale bar on all images that did not have the scale indicated. This scale bar is 500 microns in length. This information has been added to the figure legend. </w:t>
            </w:r>
          </w:p>
        </w:tc>
        <w:tc>
          <w:tcPr>
            <w:tcW w:w="5800" w:type="dxa"/>
            <w:noWrap/>
            <w:hideMark/>
          </w:tcPr>
          <w:p w:rsidR="00906E77" w:rsidRPr="00906E77" w:rsidRDefault="00906E77"/>
        </w:tc>
      </w:tr>
      <w:tr w:rsidR="00906E77" w:rsidRPr="00906E77" w:rsidTr="00906E77">
        <w:trPr>
          <w:trHeight w:val="1155"/>
        </w:trPr>
        <w:tc>
          <w:tcPr>
            <w:tcW w:w="10000" w:type="dxa"/>
            <w:hideMark/>
          </w:tcPr>
          <w:p w:rsidR="00906E77" w:rsidRPr="00906E77" w:rsidRDefault="00906E77">
            <w:r w:rsidRPr="00906E77">
              <w:t>17. Figure 6: Please mention which of these images are fundal and OCT. Annotations are not seen in the images but mentioned in the figure legends. Please ensure that details of magnification, scale bars, etc. are included in the figure legends.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095"/>
        </w:trPr>
        <w:tc>
          <w:tcPr>
            <w:tcW w:w="10000" w:type="dxa"/>
            <w:hideMark/>
          </w:tcPr>
          <w:p w:rsidR="00906E77" w:rsidRPr="00906E77" w:rsidRDefault="00906E77">
            <w:r w:rsidRPr="00906E77">
              <w:t>18. Table 1: Please maintain a single spacing between the number and unit (e.g., “4.0 mm x 4.0 mm”)</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1395"/>
        </w:trPr>
        <w:tc>
          <w:tcPr>
            <w:tcW w:w="10000" w:type="dxa"/>
            <w:hideMark/>
          </w:tcPr>
          <w:p w:rsidR="00906E77" w:rsidRPr="00906E77" w:rsidRDefault="00906E77">
            <w:r w:rsidRPr="00906E77">
              <w:t xml:space="preserve">19. Please revise the table of the essential supplies, reagents, and equipment. The table should include the name, company, and catalog number of all relevant materials in separate columns in an </w:t>
            </w:r>
            <w:proofErr w:type="spellStart"/>
            <w:r w:rsidRPr="00906E77">
              <w:t>xls</w:t>
            </w:r>
            <w:proofErr w:type="spellEnd"/>
            <w:r w:rsidRPr="00906E77">
              <w:t>/</w:t>
            </w:r>
            <w:proofErr w:type="spellStart"/>
            <w:r w:rsidRPr="00906E77">
              <w:t>xlsx</w:t>
            </w:r>
            <w:proofErr w:type="spellEnd"/>
            <w:r w:rsidRPr="00906E77">
              <w:t xml:space="preserve"> file. Please sort the Materials Table alphabetically by the name of the material. Please remove trademark (™) and registered (®) symbols from the Table of Equipment and Materials.</w:t>
            </w:r>
          </w:p>
        </w:tc>
        <w:tc>
          <w:tcPr>
            <w:tcW w:w="4700" w:type="dxa"/>
            <w:hideMark/>
          </w:tcPr>
          <w:p w:rsidR="00906E77" w:rsidRPr="00906E77" w:rsidRDefault="00906E77">
            <w:r w:rsidRPr="00906E77">
              <w:t>DONE</w:t>
            </w:r>
          </w:p>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t>____________________________________</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t>Reviewers' comments:</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lastRenderedPageBreak/>
              <w:t>Reviewer #1:</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t>Major Concerns:</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1740"/>
        </w:trPr>
        <w:tc>
          <w:tcPr>
            <w:tcW w:w="10000" w:type="dxa"/>
            <w:hideMark/>
          </w:tcPr>
          <w:p w:rsidR="00906E77" w:rsidRPr="00906E77" w:rsidRDefault="00906E77">
            <w:r w:rsidRPr="00906E77">
              <w:t xml:space="preserve">The most important concern is about the research application of this model. Can it substitute the more expensive rabbit and rat models of PMU that were used for studies on </w:t>
            </w:r>
            <w:proofErr w:type="spellStart"/>
            <w:r w:rsidRPr="00906E77">
              <w:t>intravitreal</w:t>
            </w:r>
            <w:proofErr w:type="spellEnd"/>
            <w:r w:rsidRPr="00906E77">
              <w:t xml:space="preserve"> injections? Presumably, it cannot.</w:t>
            </w:r>
          </w:p>
        </w:tc>
        <w:tc>
          <w:tcPr>
            <w:tcW w:w="4700" w:type="dxa"/>
            <w:hideMark/>
          </w:tcPr>
          <w:p w:rsidR="00906E77" w:rsidRPr="00906E77" w:rsidRDefault="00906E77">
            <w:r w:rsidRPr="00906E77">
              <w:t>Thank</w:t>
            </w:r>
            <w:r>
              <w:t xml:space="preserve"> you for this observation. It</w:t>
            </w:r>
            <w:r w:rsidRPr="00906E77">
              <w:t xml:space="preserve"> is true that one of the big benefits of using the smaller mouse model is the difference in cost. For some applications, the mice can replace the larger more expensive models.  All the rodent models can be used for pre-clinical therapy testing if the agent is administered systemically or as a topical drop. However, since the mouse model has a much smaller eye than the rat or rabbit model some local therapy options are not able to be tested. For example, surgically placed ocular implant studies are usually only performed in the rabbit model. Both the rabbit and rat models can be used for testing local therapy options such as </w:t>
            </w:r>
            <w:proofErr w:type="spellStart"/>
            <w:r w:rsidRPr="00906E77">
              <w:t>intravitreal</w:t>
            </w:r>
            <w:proofErr w:type="spellEnd"/>
            <w:r w:rsidRPr="00906E77">
              <w:t xml:space="preserve"> therapy which would be more challenging in the mouse model. </w:t>
            </w:r>
          </w:p>
        </w:tc>
        <w:tc>
          <w:tcPr>
            <w:tcW w:w="5800" w:type="dxa"/>
            <w:hideMark/>
          </w:tcPr>
          <w:p w:rsidR="00906E77" w:rsidRPr="00906E77" w:rsidRDefault="00906E77">
            <w:r w:rsidRPr="00906E77">
              <w:t xml:space="preserve">Text added to the discussion to address this point: "One of the advantages of using the mouse model is the ready availability of numerous transgenic and knockout strains that can help understand the basic mechanism of uveitis (Agarwal et al. 2012). All rodent models can be used for pre-clinical therapy testing if the agent is administered systemically or as a topical drop. However, due to their larger size, rat and rabbit eyes are better models for use in pre-clinical studies of implantable or local injection treatment options for uveitis". </w:t>
            </w:r>
          </w:p>
        </w:tc>
      </w:tr>
      <w:tr w:rsidR="00906E77" w:rsidRPr="00906E77" w:rsidTr="00906E77">
        <w:trPr>
          <w:trHeight w:val="1620"/>
        </w:trPr>
        <w:tc>
          <w:tcPr>
            <w:tcW w:w="10000" w:type="dxa"/>
            <w:hideMark/>
          </w:tcPr>
          <w:p w:rsidR="00906E77" w:rsidRPr="00906E77" w:rsidRDefault="00906E77">
            <w:r w:rsidRPr="00906E77">
              <w:t xml:space="preserve">The authors have projected it as a model of chronic post-infectious uveitis, in this case tuberculosis. In my opinion, it is important to specify the infection (and not use a generic post-infectious), since TB is the primary antigen for inducing intraocular inflammation. However </w:t>
            </w:r>
            <w:r w:rsidRPr="00906E77">
              <w:lastRenderedPageBreak/>
              <w:t>there are several differences that separate it from human ocular TB infections:</w:t>
            </w:r>
          </w:p>
        </w:tc>
        <w:tc>
          <w:tcPr>
            <w:tcW w:w="4700" w:type="dxa"/>
            <w:hideMark/>
          </w:tcPr>
          <w:p w:rsidR="00906E77" w:rsidRPr="00906E77" w:rsidRDefault="00906E77">
            <w:r w:rsidRPr="00906E77">
              <w:lastRenderedPageBreak/>
              <w:t xml:space="preserve">We have specifically addressed each point below. </w:t>
            </w:r>
          </w:p>
        </w:tc>
        <w:tc>
          <w:tcPr>
            <w:tcW w:w="5800" w:type="dxa"/>
            <w:hideMark/>
          </w:tcPr>
          <w:p w:rsidR="00906E77" w:rsidRPr="00906E77" w:rsidRDefault="00906E77"/>
        </w:tc>
      </w:tr>
      <w:tr w:rsidR="00906E77" w:rsidRPr="00906E77" w:rsidTr="00906E77">
        <w:trPr>
          <w:trHeight w:val="2565"/>
        </w:trPr>
        <w:tc>
          <w:tcPr>
            <w:tcW w:w="10000" w:type="dxa"/>
            <w:hideMark/>
          </w:tcPr>
          <w:p w:rsidR="00906E77" w:rsidRPr="00906E77" w:rsidRDefault="00906E77">
            <w:r w:rsidRPr="00906E77">
              <w:t>1. Human ocular TB pathogenesis is a complex process that is not fully understood. However, there is a clear role of live mycobacteria in the eye or elsewhere, judging from the therapeutic benefit of anti-TB therapy in these patients. Hence, killed mycobacterial extract as the starting material does not seem promising. It is surprising that the authors have not cited papers on animal models of ocular TB from recent and historical literature (</w:t>
            </w:r>
            <w:proofErr w:type="spellStart"/>
            <w:r w:rsidRPr="00906E77">
              <w:t>PMiD</w:t>
            </w:r>
            <w:proofErr w:type="spellEnd"/>
            <w:r w:rsidRPr="00906E77">
              <w:t>: 32407249, 33010848).</w:t>
            </w:r>
          </w:p>
        </w:tc>
        <w:tc>
          <w:tcPr>
            <w:tcW w:w="4700" w:type="dxa"/>
            <w:hideMark/>
          </w:tcPr>
          <w:p w:rsidR="00906E77" w:rsidRPr="00906E77" w:rsidRDefault="00906E77" w:rsidP="00906E77">
            <w:r w:rsidRPr="00906E77">
              <w:t xml:space="preserve">We agree the pathogenesis of human TB associated uveitis is complex and incompletely understood.  We acknowledge that PMU does not model all the aspects due to active infection, we think it is reasonable to use the heat killed </w:t>
            </w:r>
            <w:proofErr w:type="spellStart"/>
            <w:r w:rsidRPr="00906E77">
              <w:t>mTB</w:t>
            </w:r>
            <w:proofErr w:type="spellEnd"/>
            <w:r w:rsidRPr="00906E77">
              <w:t xml:space="preserve"> as a proxy for the residual non-viable</w:t>
            </w:r>
            <w:r>
              <w:t xml:space="preserve"> </w:t>
            </w:r>
            <w:proofErr w:type="spellStart"/>
            <w:r>
              <w:t>Mtb</w:t>
            </w:r>
            <w:proofErr w:type="spellEnd"/>
            <w:r>
              <w:t xml:space="preserve"> or its </w:t>
            </w:r>
            <w:r w:rsidRPr="00906E77">
              <w:t>comp</w:t>
            </w:r>
            <w:r>
              <w:t>on</w:t>
            </w:r>
            <w:r w:rsidRPr="00906E77">
              <w:t xml:space="preserve">ents that would remain after appropriate ATT. These non-viable components have been suggested to trigger immune responses underlying the aspects of disease that respond to corticosteroid treatment.(PMID 33010848, </w:t>
            </w:r>
            <w:proofErr w:type="spellStart"/>
            <w:r w:rsidRPr="00906E77">
              <w:t>Basu</w:t>
            </w:r>
            <w:proofErr w:type="spellEnd"/>
            <w:r w:rsidRPr="00906E77">
              <w:t xml:space="preserve"> et al. Sep. 2020) The articles referenced by the reviewer have been included in the introduction.</w:t>
            </w:r>
          </w:p>
        </w:tc>
        <w:tc>
          <w:tcPr>
            <w:tcW w:w="5800" w:type="dxa"/>
            <w:hideMark/>
          </w:tcPr>
          <w:p w:rsidR="00906E77" w:rsidRPr="00906E77" w:rsidRDefault="00906E77">
            <w:r w:rsidRPr="00906E77">
              <w:t xml:space="preserve">Text added to Introduction: "Presence of granulomatous inflammation in the posterior segment of the eye suggests that the PMU model can be used to study some forms of anterior (granulomatous and non-granulomatous) and intermediate uveitis, seen in patients with immunological evidence of past </w:t>
            </w:r>
            <w:proofErr w:type="spellStart"/>
            <w:r w:rsidRPr="00906E77">
              <w:t>Mtb</w:t>
            </w:r>
            <w:proofErr w:type="spellEnd"/>
            <w:r w:rsidRPr="00906E77">
              <w:t xml:space="preserve"> infection. (</w:t>
            </w:r>
            <w:proofErr w:type="spellStart"/>
            <w:r w:rsidRPr="00906E77">
              <w:t>Basu</w:t>
            </w:r>
            <w:proofErr w:type="spellEnd"/>
            <w:r w:rsidRPr="00906E77">
              <w:t xml:space="preserve"> et al. 2020). Additionally, the components of heat killed </w:t>
            </w:r>
            <w:proofErr w:type="spellStart"/>
            <w:r w:rsidRPr="00906E77">
              <w:t>Mtb</w:t>
            </w:r>
            <w:proofErr w:type="spellEnd"/>
            <w:r w:rsidRPr="00906E77">
              <w:t xml:space="preserve"> used in the PMU model have been suggested to trigger immune responses underlying the aspects of recurrent uveitis in patients with ocular tuberculosis who respond to anti-tubercular therapy (ATT)(</w:t>
            </w:r>
            <w:proofErr w:type="spellStart"/>
            <w:r w:rsidRPr="00906E77">
              <w:t>Basu</w:t>
            </w:r>
            <w:proofErr w:type="spellEnd"/>
            <w:r w:rsidRPr="00906E77">
              <w:t xml:space="preserve"> et al. 2020)" .</w:t>
            </w:r>
          </w:p>
        </w:tc>
      </w:tr>
      <w:tr w:rsidR="00906E77" w:rsidRPr="00906E77" w:rsidTr="00906E77">
        <w:trPr>
          <w:trHeight w:val="3840"/>
        </w:trPr>
        <w:tc>
          <w:tcPr>
            <w:tcW w:w="10000" w:type="dxa"/>
            <w:hideMark/>
          </w:tcPr>
          <w:p w:rsidR="00906E77" w:rsidRPr="00906E77" w:rsidRDefault="00906E77">
            <w:r w:rsidRPr="00906E77">
              <w:lastRenderedPageBreak/>
              <w:t xml:space="preserve">2. The inflammation in PMU is mainly anterior uveitis and </w:t>
            </w:r>
            <w:proofErr w:type="spellStart"/>
            <w:r w:rsidRPr="00906E77">
              <w:t>vitritis</w:t>
            </w:r>
            <w:proofErr w:type="spellEnd"/>
            <w:r w:rsidRPr="00906E77">
              <w:t xml:space="preserve"> - both of which are generally not seen in isolation in ocular TB (though in the mouse model, the authors have reported retinal vasculitis)</w:t>
            </w:r>
          </w:p>
        </w:tc>
        <w:tc>
          <w:tcPr>
            <w:tcW w:w="4700" w:type="dxa"/>
            <w:hideMark/>
          </w:tcPr>
          <w:p w:rsidR="00906E77" w:rsidRPr="00906E77" w:rsidRDefault="00906E77">
            <w:r w:rsidRPr="00906E77">
              <w:t>Ocular TB in humans has been reported to cause all forms of uveitis. We agree that mouse models are often incomplete in recapitulating all aspects of disease in humans. PMU can capture some manifestations seen in humans like granulomatous inflammation and presence of lymphocyte infiltrate. However, it shoul</w:t>
            </w:r>
            <w:r>
              <w:t>d</w:t>
            </w:r>
            <w:r w:rsidRPr="00906E77">
              <w:t xml:space="preserve"> be used in conjunction with other models for the complete picture.</w:t>
            </w:r>
          </w:p>
        </w:tc>
        <w:tc>
          <w:tcPr>
            <w:tcW w:w="5800" w:type="dxa"/>
            <w:hideMark/>
          </w:tcPr>
          <w:p w:rsidR="00906E77" w:rsidRPr="00906E77" w:rsidRDefault="00906E77">
            <w:r w:rsidRPr="00906E77">
              <w:t xml:space="preserve">Text added to Introduction: "Presence of granulomatous inflammation in the posterior segment of the eye suggests that the PMU model can be used to study some forms of anterior (granulomatous and non-granulomatous) and intermediate uveitis, seen in patients with immunological evidence of past </w:t>
            </w:r>
            <w:proofErr w:type="spellStart"/>
            <w:r w:rsidRPr="00906E77">
              <w:t>Mtb</w:t>
            </w:r>
            <w:proofErr w:type="spellEnd"/>
            <w:r w:rsidRPr="00906E77">
              <w:t xml:space="preserve"> infection. (</w:t>
            </w:r>
            <w:proofErr w:type="spellStart"/>
            <w:r w:rsidRPr="00906E77">
              <w:t>Basu</w:t>
            </w:r>
            <w:proofErr w:type="spellEnd"/>
            <w:r w:rsidRPr="00906E77">
              <w:t xml:space="preserve"> et al. 2020).</w:t>
            </w:r>
          </w:p>
        </w:tc>
      </w:tr>
      <w:tr w:rsidR="00906E77" w:rsidRPr="00906E77" w:rsidTr="00906E77">
        <w:trPr>
          <w:trHeight w:val="2265"/>
        </w:trPr>
        <w:tc>
          <w:tcPr>
            <w:tcW w:w="10000" w:type="dxa"/>
            <w:hideMark/>
          </w:tcPr>
          <w:p w:rsidR="00906E77" w:rsidRPr="00906E77" w:rsidRDefault="00906E77">
            <w:r w:rsidRPr="00906E77">
              <w:t>3. The primary immune response in the acute stage is innate and consists of myeloid cells/neutrophils - again not a feature of ocular TB, where we see primarily a lymphocytic infiltrate</w:t>
            </w:r>
          </w:p>
        </w:tc>
        <w:tc>
          <w:tcPr>
            <w:tcW w:w="4700" w:type="dxa"/>
            <w:hideMark/>
          </w:tcPr>
          <w:p w:rsidR="00906E77" w:rsidRPr="00906E77" w:rsidRDefault="00906E77">
            <w:r w:rsidRPr="00906E77">
              <w:t xml:space="preserve">We have clarified in the discussion section that in the PMU model, acute neutrophil dominant inflammation subsides by day 7. After the first week, T cells are the dominant CD45+ cell in the eye which is consistent with findings in humans. </w:t>
            </w:r>
          </w:p>
        </w:tc>
        <w:tc>
          <w:tcPr>
            <w:tcW w:w="5800" w:type="dxa"/>
            <w:hideMark/>
          </w:tcPr>
          <w:p w:rsidR="00906E77" w:rsidRPr="00906E77" w:rsidRDefault="00906E77">
            <w:r w:rsidRPr="00906E77">
              <w:t>Text added: "In the PMU model, acute inflammation is characterized by an innate response with a predominant neutrophil infiltrate, followed by a chronic and persistent adaptive T cell dominant response that persists for over a  month.46 (John et al. 2020)</w:t>
            </w:r>
          </w:p>
        </w:tc>
      </w:tr>
      <w:tr w:rsidR="00906E77" w:rsidRPr="00906E77" w:rsidTr="00906E77">
        <w:trPr>
          <w:trHeight w:val="4035"/>
        </w:trPr>
        <w:tc>
          <w:tcPr>
            <w:tcW w:w="10000" w:type="dxa"/>
            <w:hideMark/>
          </w:tcPr>
          <w:p w:rsidR="00906E77" w:rsidRPr="00906E77" w:rsidRDefault="00906E77">
            <w:r w:rsidRPr="00906E77">
              <w:t xml:space="preserve">4. The intraocular cytokine response is also very different from ocular TB - both IL-17 and </w:t>
            </w:r>
            <w:proofErr w:type="spellStart"/>
            <w:r w:rsidRPr="00906E77">
              <w:t>TNFa</w:t>
            </w:r>
            <w:proofErr w:type="spellEnd"/>
            <w:r w:rsidRPr="00906E77">
              <w:t xml:space="preserve"> are high in ocular TB, which is not the case in PMU</w:t>
            </w:r>
          </w:p>
        </w:tc>
        <w:tc>
          <w:tcPr>
            <w:tcW w:w="4700" w:type="dxa"/>
            <w:hideMark/>
          </w:tcPr>
          <w:p w:rsidR="00906E77" w:rsidRPr="00906E77" w:rsidRDefault="00906E77">
            <w:r w:rsidRPr="00906E77">
              <w:t xml:space="preserve">The reviewer is addressing our prior finding in rats that did not identify elevated IL-17. We have new data (currently unpublished) that does identify elevated levels of IL-17, TNF-a, and other key inflammatory cytokines in the eyes of mice. The manuscript with this </w:t>
            </w:r>
            <w:r w:rsidRPr="00906E77">
              <w:lastRenderedPageBreak/>
              <w:t xml:space="preserve">data will be published shortly (elsewhere) and we think will help support the relevance of the model to future investigators.  Reporting these results here are beyond the scope of this methods oriented manuscript. </w:t>
            </w:r>
          </w:p>
        </w:tc>
        <w:tc>
          <w:tcPr>
            <w:tcW w:w="5800" w:type="dxa"/>
            <w:hideMark/>
          </w:tcPr>
          <w:p w:rsidR="00906E77" w:rsidRPr="00906E77" w:rsidRDefault="00906E77">
            <w:r w:rsidRPr="00906E77">
              <w:lastRenderedPageBreak/>
              <w:t>no additional edits</w:t>
            </w:r>
          </w:p>
        </w:tc>
      </w:tr>
      <w:tr w:rsidR="00906E77" w:rsidRPr="00906E77" w:rsidTr="00906E77">
        <w:trPr>
          <w:trHeight w:val="1455"/>
        </w:trPr>
        <w:tc>
          <w:tcPr>
            <w:tcW w:w="10000" w:type="dxa"/>
            <w:hideMark/>
          </w:tcPr>
          <w:p w:rsidR="00906E77" w:rsidRPr="00906E77" w:rsidRDefault="00906E77">
            <w:r w:rsidRPr="00906E77">
              <w:t>Multiple injections were used in the rat and rabbit models to maintain chronic inflammation - this has not been mentioned for the mouse model. Will this model be used for studying mainly the acute or chronic inflammation</w:t>
            </w:r>
          </w:p>
        </w:tc>
        <w:tc>
          <w:tcPr>
            <w:tcW w:w="4700" w:type="dxa"/>
            <w:hideMark/>
          </w:tcPr>
          <w:p w:rsidR="00906E77" w:rsidRPr="00906E77" w:rsidRDefault="00906E77">
            <w:r w:rsidRPr="00906E77">
              <w:t xml:space="preserve"> Repeat injections are not advisable in the mouse due to its small size. In the PMU model, the mouse eye does provide chronic disease out to 56 days without repeat injections. Therefore it can be used as a mixed model to study both innate and adaptive arms of immune response in the eye. </w:t>
            </w:r>
          </w:p>
        </w:tc>
        <w:tc>
          <w:tcPr>
            <w:tcW w:w="5800" w:type="dxa"/>
            <w:hideMark/>
          </w:tcPr>
          <w:p w:rsidR="00906E77" w:rsidRPr="00906E77" w:rsidRDefault="00906E77">
            <w:r w:rsidRPr="00906E77">
              <w:t>Text added: "In the PMU model, acute inflammation is characterized by an innate response with a predominant neutrophil infiltrate, followed by a chronic and persistent adaptive T cell dominant response that persists for over a  month.46 (John et al. 2020)</w:t>
            </w:r>
          </w:p>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1815"/>
        </w:trPr>
        <w:tc>
          <w:tcPr>
            <w:tcW w:w="10000" w:type="dxa"/>
            <w:hideMark/>
          </w:tcPr>
          <w:p w:rsidR="00906E77" w:rsidRPr="00906E77" w:rsidRDefault="00906E77">
            <w:r w:rsidRPr="00906E77">
              <w:t>The point on retinal vasculitis is not clear. This was not seen in the rabbit/rat models - how do the authors explain it for the mouse model? This seems closer to EAU than PMU</w:t>
            </w:r>
          </w:p>
        </w:tc>
        <w:tc>
          <w:tcPr>
            <w:tcW w:w="4700" w:type="dxa"/>
            <w:hideMark/>
          </w:tcPr>
          <w:p w:rsidR="00906E77" w:rsidRPr="00906E77" w:rsidRDefault="00906E77">
            <w:r w:rsidRPr="00906E77">
              <w:t xml:space="preserve">Excellent question and an important observation. We have not studied the rabbit model ourselves, so we cannot be sure that retinal vasculitis does not occur, although it has not been reported.  In our prior studies we used Lewis rats which have an albino fundus which can make detection or </w:t>
            </w:r>
            <w:r w:rsidRPr="00906E77">
              <w:lastRenderedPageBreak/>
              <w:t>retinal or retinal</w:t>
            </w:r>
            <w:r>
              <w:t xml:space="preserve"> </w:t>
            </w:r>
            <w:r w:rsidRPr="00906E77">
              <w:t xml:space="preserve">vascular disease more difficult to appreciate on fundus exam. It is possible there is retinal vascular inflammation in the rat model that has not been completely described. In humans vitreous inflammation (intermediate uveitis) is often accompanied by retinal vascular inflammation, so this finding in the mouse is consistent with aspects of human disease. </w:t>
            </w:r>
          </w:p>
        </w:tc>
        <w:tc>
          <w:tcPr>
            <w:tcW w:w="5800" w:type="dxa"/>
            <w:hideMark/>
          </w:tcPr>
          <w:p w:rsidR="00906E77" w:rsidRPr="00906E77" w:rsidRDefault="00906E77">
            <w:r w:rsidRPr="00906E77">
              <w:lastRenderedPageBreak/>
              <w:t>no additional edits</w:t>
            </w:r>
          </w:p>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t>Minor Concerns:</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060"/>
        </w:trPr>
        <w:tc>
          <w:tcPr>
            <w:tcW w:w="10000" w:type="dxa"/>
            <w:hideMark/>
          </w:tcPr>
          <w:p w:rsidR="00906E77" w:rsidRPr="00906E77" w:rsidRDefault="00906E77">
            <w:r w:rsidRPr="00906E77">
              <w:t>How do the authors ensure reproducibility of aqueous cell counts on OCT</w:t>
            </w:r>
          </w:p>
        </w:tc>
        <w:tc>
          <w:tcPr>
            <w:tcW w:w="4700" w:type="dxa"/>
            <w:hideMark/>
          </w:tcPr>
          <w:p w:rsidR="00906E77" w:rsidRPr="00906E77" w:rsidRDefault="00906E77">
            <w:r w:rsidRPr="00906E77">
              <w:t>The cells themselves are not counted individually in the mouse eye. Instead, three masked graders evaluate each image and assign a score based on the criteria in table # and shown in figure #. We presented this reproducibility data at the ARVO conference this year (Abstract # 3542743), but in brief we found high inter</w:t>
            </w:r>
            <w:r>
              <w:t>-</w:t>
            </w:r>
            <w:r w:rsidRPr="00906E77">
              <w:t>grader agreement and excellent intra</w:t>
            </w:r>
            <w:r>
              <w:t>-</w:t>
            </w:r>
            <w:r w:rsidRPr="00906E77">
              <w:t xml:space="preserve">grader reproducibility suggesting the score system is robust. </w:t>
            </w:r>
          </w:p>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lastRenderedPageBreak/>
              <w:t>Reviewer #2:</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315"/>
        </w:trPr>
        <w:tc>
          <w:tcPr>
            <w:tcW w:w="10000" w:type="dxa"/>
            <w:hideMark/>
          </w:tcPr>
          <w:p w:rsidR="00906E77" w:rsidRPr="00906E77" w:rsidRDefault="00906E77">
            <w:r w:rsidRPr="00906E77">
              <w:t>Minor Concerns:</w:t>
            </w:r>
          </w:p>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4815"/>
        </w:trPr>
        <w:tc>
          <w:tcPr>
            <w:tcW w:w="10000" w:type="dxa"/>
            <w:hideMark/>
          </w:tcPr>
          <w:p w:rsidR="00906E77" w:rsidRPr="00906E77" w:rsidRDefault="00906E77">
            <w:r w:rsidRPr="00906E77">
              <w:t xml:space="preserve">1. Regarding the subcutaneous injection of </w:t>
            </w:r>
            <w:proofErr w:type="spellStart"/>
            <w:r w:rsidRPr="00906E77">
              <w:t>Mtb</w:t>
            </w:r>
            <w:proofErr w:type="spellEnd"/>
            <w:r w:rsidRPr="00906E77">
              <w:t xml:space="preserve">; do control mice receive a similar sham injection? Also, if mice are </w:t>
            </w:r>
            <w:proofErr w:type="spellStart"/>
            <w:r w:rsidRPr="00906E77">
              <w:t>anaesthetised</w:t>
            </w:r>
            <w:proofErr w:type="spellEnd"/>
            <w:r w:rsidRPr="00906E77">
              <w:t xml:space="preserve"> for this injection, it might be worthwhile to apply </w:t>
            </w:r>
            <w:proofErr w:type="spellStart"/>
            <w:r w:rsidRPr="00906E77">
              <w:t>Genteal</w:t>
            </w:r>
            <w:proofErr w:type="spellEnd"/>
            <w:r w:rsidRPr="00906E77">
              <w:t xml:space="preserve"> or gel drops to prevent corneal drying.</w:t>
            </w:r>
          </w:p>
        </w:tc>
        <w:tc>
          <w:tcPr>
            <w:tcW w:w="4700" w:type="dxa"/>
            <w:hideMark/>
          </w:tcPr>
          <w:p w:rsidR="00906E77" w:rsidRPr="00906E77" w:rsidRDefault="00906E77">
            <w:r w:rsidRPr="00906E77">
              <w:t>Depending on the experimental q</w:t>
            </w:r>
            <w:r>
              <w:t xml:space="preserve">uestion, there are a number of </w:t>
            </w:r>
            <w:r w:rsidRPr="00906E77">
              <w:t xml:space="preserve">PBS "sham" injection controls that could be considered. We have performed PBS "sham" </w:t>
            </w:r>
            <w:proofErr w:type="spellStart"/>
            <w:r w:rsidRPr="00906E77">
              <w:t>intravitreal</w:t>
            </w:r>
            <w:proofErr w:type="spellEnd"/>
            <w:r w:rsidRPr="00906E77">
              <w:t xml:space="preserve"> injections in animals that received subcutaneous </w:t>
            </w:r>
            <w:proofErr w:type="spellStart"/>
            <w:r w:rsidRPr="00906E77">
              <w:t>Mtb</w:t>
            </w:r>
            <w:proofErr w:type="spellEnd"/>
            <w:r w:rsidRPr="00906E77">
              <w:t xml:space="preserve"> and compared the results to animals injected with </w:t>
            </w:r>
            <w:proofErr w:type="spellStart"/>
            <w:r w:rsidRPr="00906E77">
              <w:t>intravitreal</w:t>
            </w:r>
            <w:proofErr w:type="spellEnd"/>
            <w:r w:rsidRPr="00906E77">
              <w:t xml:space="preserve"> </w:t>
            </w:r>
            <w:proofErr w:type="spellStart"/>
            <w:r w:rsidRPr="00906E77">
              <w:t>Mtb</w:t>
            </w:r>
            <w:proofErr w:type="spellEnd"/>
            <w:r w:rsidRPr="00906E77">
              <w:t xml:space="preserve">. We have not explored the impact of sham subcutaneous PBS injection prior to </w:t>
            </w:r>
            <w:proofErr w:type="spellStart"/>
            <w:r w:rsidRPr="00906E77">
              <w:t>intravitreal</w:t>
            </w:r>
            <w:proofErr w:type="spellEnd"/>
            <w:r w:rsidRPr="00906E77">
              <w:t xml:space="preserve"> </w:t>
            </w:r>
            <w:proofErr w:type="spellStart"/>
            <w:r w:rsidRPr="00906E77">
              <w:t>Mtb</w:t>
            </w:r>
            <w:proofErr w:type="spellEnd"/>
            <w:r w:rsidRPr="00906E77">
              <w:t xml:space="preserve"> injection. We have added a list of sham controls to consider during experimental design to the discussion section.  We do routinely provide corneal protection during all anesthesia event, and have updated the methods to reflect this concern. </w:t>
            </w:r>
          </w:p>
        </w:tc>
        <w:tc>
          <w:tcPr>
            <w:tcW w:w="5800" w:type="dxa"/>
            <w:hideMark/>
          </w:tcPr>
          <w:p w:rsidR="00906E77" w:rsidRPr="00906E77" w:rsidRDefault="00906E77" w:rsidP="00906E77">
            <w:r w:rsidRPr="00906E77">
              <w:t xml:space="preserve">Text edits to discussion:   "Controls should be selected to ensure results are due to the response to </w:t>
            </w:r>
            <w:proofErr w:type="spellStart"/>
            <w:r w:rsidRPr="00906E77">
              <w:t>mTB</w:t>
            </w:r>
            <w:proofErr w:type="spellEnd"/>
            <w:r w:rsidRPr="00906E77">
              <w:t xml:space="preserve"> and not trauma associated with the subcutaneous or </w:t>
            </w:r>
            <w:proofErr w:type="spellStart"/>
            <w:r w:rsidRPr="00906E77">
              <w:t>intravitreal</w:t>
            </w:r>
            <w:proofErr w:type="spellEnd"/>
            <w:r w:rsidRPr="00906E77">
              <w:t xml:space="preserve"> injections. In the sham injection controls, PBS can be used in place of the </w:t>
            </w:r>
            <w:proofErr w:type="spellStart"/>
            <w:r w:rsidRPr="00906E77">
              <w:t>mTB</w:t>
            </w:r>
            <w:proofErr w:type="spellEnd"/>
            <w:r w:rsidRPr="00906E77">
              <w:t xml:space="preserve"> extract. For comparisons to unexposed animals, true naive samples should be considered as fellow eyes are not always equivalent".                                                                                                                                                                                            Text edit to 4.7 "Remove betadine and cover the eye with </w:t>
            </w:r>
            <w:proofErr w:type="spellStart"/>
            <w:r w:rsidRPr="00906E77">
              <w:t>hypromellose</w:t>
            </w:r>
            <w:proofErr w:type="spellEnd"/>
            <w:r w:rsidRPr="00906E77">
              <w:t xml:space="preserve"> (0.3%)</w:t>
            </w:r>
            <w:r>
              <w:t xml:space="preserve"> </w:t>
            </w:r>
            <w:r w:rsidRPr="00906E77">
              <w:t xml:space="preserve">or </w:t>
            </w:r>
            <w:proofErr w:type="spellStart"/>
            <w:r w:rsidRPr="00906E77">
              <w:t>carbomer</w:t>
            </w:r>
            <w:proofErr w:type="spellEnd"/>
            <w:r w:rsidRPr="00906E77">
              <w:t xml:space="preserve"> eye gel 0.2% w/w) to prevent dryness under anesthesia. This will also help to prevent cataract formation that can result if the cornea becomes dry". </w:t>
            </w:r>
          </w:p>
        </w:tc>
      </w:tr>
      <w:tr w:rsidR="00906E77" w:rsidRPr="00906E77" w:rsidTr="00906E77">
        <w:trPr>
          <w:trHeight w:val="2685"/>
        </w:trPr>
        <w:tc>
          <w:tcPr>
            <w:tcW w:w="10000" w:type="dxa"/>
            <w:hideMark/>
          </w:tcPr>
          <w:p w:rsidR="00906E77" w:rsidRPr="00906E77" w:rsidRDefault="00906E77">
            <w:r w:rsidRPr="00906E77">
              <w:t xml:space="preserve">2. What is the rationale for </w:t>
            </w:r>
            <w:proofErr w:type="spellStart"/>
            <w:r w:rsidRPr="00906E77">
              <w:t>anaesthetising</w:t>
            </w:r>
            <w:proofErr w:type="spellEnd"/>
            <w:r w:rsidRPr="00906E77">
              <w:t xml:space="preserve"> the cornea for OCT imaging, which is a non-contact procedure?</w:t>
            </w:r>
          </w:p>
        </w:tc>
        <w:tc>
          <w:tcPr>
            <w:tcW w:w="4700" w:type="dxa"/>
            <w:hideMark/>
          </w:tcPr>
          <w:p w:rsidR="00906E77" w:rsidRPr="00906E77" w:rsidRDefault="00906E77">
            <w:r w:rsidRPr="00906E77">
              <w:t xml:space="preserve">We have noted that the iris dilation and anterior chamber visualization is improved when topical anesthesia is administered. We suspect that the corneal reflex to touch is better suppressed with the </w:t>
            </w:r>
            <w:r w:rsidRPr="00906E77">
              <w:lastRenderedPageBreak/>
              <w:t xml:space="preserve">combined systemic and topical anesthesia, however this step could be omitted if desired.  We have updated methods to explain this rational. </w:t>
            </w:r>
          </w:p>
        </w:tc>
        <w:tc>
          <w:tcPr>
            <w:tcW w:w="5800" w:type="dxa"/>
            <w:hideMark/>
          </w:tcPr>
          <w:p w:rsidR="00906E77" w:rsidRPr="00906E77" w:rsidRDefault="00906E77">
            <w:r w:rsidRPr="00906E77">
              <w:lastRenderedPageBreak/>
              <w:t xml:space="preserve">Text edits to 4.4- "Note: It has been observed that iris dilation and anterior chamber visualization is improved when topical anesthesia is administered, possibly due to improved corneal reflex suppression with the combined systemic and topical anesthesia. However, this </w:t>
            </w:r>
            <w:r w:rsidRPr="00906E77">
              <w:lastRenderedPageBreak/>
              <w:t xml:space="preserve">step could be omitted if desired". </w:t>
            </w:r>
          </w:p>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r w:rsidR="00906E77" w:rsidRPr="00906E77" w:rsidTr="00906E77">
        <w:trPr>
          <w:trHeight w:val="1755"/>
        </w:trPr>
        <w:tc>
          <w:tcPr>
            <w:tcW w:w="10000" w:type="dxa"/>
            <w:hideMark/>
          </w:tcPr>
          <w:p w:rsidR="00906E77" w:rsidRPr="00906E77" w:rsidRDefault="00906E77">
            <w:r w:rsidRPr="00906E77">
              <w:t xml:space="preserve">3. In Figure 4C, the lens appears </w:t>
            </w:r>
            <w:proofErr w:type="spellStart"/>
            <w:r w:rsidRPr="00906E77">
              <w:t>cataractous</w:t>
            </w:r>
            <w:proofErr w:type="spellEnd"/>
            <w:r w:rsidRPr="00906E77">
              <w:t xml:space="preserve">. Is this a consequence of the </w:t>
            </w:r>
            <w:proofErr w:type="spellStart"/>
            <w:r w:rsidRPr="00906E77">
              <w:t>anaesthesia</w:t>
            </w:r>
            <w:proofErr w:type="spellEnd"/>
            <w:r w:rsidRPr="00906E77">
              <w:t>, or a feature of mild inflammation?</w:t>
            </w:r>
          </w:p>
        </w:tc>
        <w:tc>
          <w:tcPr>
            <w:tcW w:w="4700" w:type="dxa"/>
            <w:hideMark/>
          </w:tcPr>
          <w:p w:rsidR="00906E77" w:rsidRPr="00906E77" w:rsidRDefault="00906E77">
            <w:r w:rsidRPr="00906E77">
              <w:t xml:space="preserve">This is a very good question. We have not studied the incidence of cataract in the model. It is possible it is associated it with inflammation, but it is probably due to anesthesia artifact.  We occasionally see this degree of cataract even in baseline images which we have attributed to anesthesia.  </w:t>
            </w:r>
          </w:p>
        </w:tc>
        <w:tc>
          <w:tcPr>
            <w:tcW w:w="5800" w:type="dxa"/>
            <w:hideMark/>
          </w:tcPr>
          <w:p w:rsidR="00906E77" w:rsidRPr="00906E77" w:rsidRDefault="00906E77">
            <w:r w:rsidRPr="00906E77">
              <w:t>no text edits</w:t>
            </w:r>
          </w:p>
        </w:tc>
      </w:tr>
      <w:tr w:rsidR="00906E77" w:rsidRPr="00906E77" w:rsidTr="00906E77">
        <w:trPr>
          <w:trHeight w:val="7005"/>
        </w:trPr>
        <w:tc>
          <w:tcPr>
            <w:tcW w:w="10000" w:type="dxa"/>
            <w:hideMark/>
          </w:tcPr>
          <w:p w:rsidR="00906E77" w:rsidRPr="00906E77" w:rsidRDefault="00906E77">
            <w:r w:rsidRPr="00906E77">
              <w:lastRenderedPageBreak/>
              <w:t xml:space="preserve">4. The information provided in Table 2 is very useful for scoring inflammation by OCT imaging. It would be good to indicate how many frames should be </w:t>
            </w:r>
            <w:proofErr w:type="spellStart"/>
            <w:r w:rsidRPr="00906E77">
              <w:t>analysed</w:t>
            </w:r>
            <w:proofErr w:type="spellEnd"/>
            <w:r w:rsidRPr="00906E77">
              <w:t xml:space="preserve"> per eye- particularly as there can be variability in the distribution of inflammatory cells in the anterior chamber (with perhaps a bias towards the inferior AC due to gravity). This would be particularly relevant for the milder grades of inflammation.</w:t>
            </w:r>
          </w:p>
        </w:tc>
        <w:tc>
          <w:tcPr>
            <w:tcW w:w="4700" w:type="dxa"/>
            <w:hideMark/>
          </w:tcPr>
          <w:p w:rsidR="00906E77" w:rsidRPr="00906E77" w:rsidRDefault="00906E77">
            <w:r w:rsidRPr="00906E77">
              <w:t>Thank you for this insightful question. We agree there can be region differences in the degree of inflammation, and this has been reported previously by others.  We have dealt with this by orienting our imaging to capture both the inferior and superior aspects of the anterior chamber in the same images. (</w:t>
            </w:r>
            <w:proofErr w:type="spellStart"/>
            <w:r w:rsidRPr="00906E77">
              <w:t>ie</w:t>
            </w:r>
            <w:proofErr w:type="spellEnd"/>
            <w:r w:rsidRPr="00906E77">
              <w:t xml:space="preserve"> our line scans are oriented vertically) This orientation information is provided in Table 1, note the parameter for "angle" in Table 1a indicates the 90 degree orientation for capturing the volume and line scan. We have highlighted this aspect in the legend of figure 4. We have also added a recommendation to considering using at least 3 line scans for scoring to ensure regional variability is captured. Alternatively, reviewing the volume scan to confirm that the central line scan is representative can be a reasonable option to limit the number of images that require masked scoring.  </w:t>
            </w:r>
          </w:p>
        </w:tc>
        <w:tc>
          <w:tcPr>
            <w:tcW w:w="5800" w:type="dxa"/>
            <w:hideMark/>
          </w:tcPr>
          <w:p w:rsidR="00906E77" w:rsidRPr="00906E77" w:rsidRDefault="00906E77">
            <w:r w:rsidRPr="00906E77">
              <w:t xml:space="preserve">Text added to discussion: "Prior reports have identified an uneven distribution of cells in the anterior chamber of humans with more cells located inferiorly (Li et al. 2013). In mice, a similar predisposition is common. Thus, vertical or radial scans through the AC will help ensure images that capture the range of inflammation. Additionally, </w:t>
            </w:r>
            <w:proofErr w:type="gramStart"/>
            <w:r w:rsidRPr="00906E77">
              <w:t>performing  imaging</w:t>
            </w:r>
            <w:proofErr w:type="gramEnd"/>
            <w:r w:rsidRPr="00906E77">
              <w:t xml:space="preserve"> in the same place will also provide consistency to images collected in the same eye longitudinally. To obtain images in the same part of the eye, use stable landmarks and a systematic approach. For anterior chamber images, the image is centered immediately adjacent to the apex of the cornea and oriented vertically so that the presence of a </w:t>
            </w:r>
            <w:proofErr w:type="spellStart"/>
            <w:r w:rsidRPr="00906E77">
              <w:t>hypopyon</w:t>
            </w:r>
            <w:proofErr w:type="spellEnd"/>
            <w:r w:rsidRPr="00906E77">
              <w:t xml:space="preserve"> can be detected in the inferior angle. For posterior segment images</w:t>
            </w:r>
            <w:proofErr w:type="gramStart"/>
            <w:r w:rsidRPr="00906E77">
              <w:t>,  the</w:t>
            </w:r>
            <w:proofErr w:type="gramEnd"/>
            <w:r w:rsidRPr="00906E77">
              <w:t xml:space="preserve"> image is centered on the optic nerve.  It is recommended to consider using at least 3 line scans for scoring to ensure regional variability is captured. In cases where inflammation is restricted to peripheral locations, acquiring volume scans can be helpful. Collection of volume scans can also be helpful in capturing regional variations, but will increase data storage requirements". </w:t>
            </w:r>
          </w:p>
        </w:tc>
      </w:tr>
      <w:tr w:rsidR="00906E77" w:rsidRPr="00906E77" w:rsidTr="00906E77">
        <w:trPr>
          <w:trHeight w:val="315"/>
        </w:trPr>
        <w:tc>
          <w:tcPr>
            <w:tcW w:w="10000" w:type="dxa"/>
            <w:hideMark/>
          </w:tcPr>
          <w:p w:rsidR="00906E77" w:rsidRPr="00906E77" w:rsidRDefault="00906E77"/>
        </w:tc>
        <w:tc>
          <w:tcPr>
            <w:tcW w:w="4700" w:type="dxa"/>
            <w:hideMark/>
          </w:tcPr>
          <w:p w:rsidR="00906E77" w:rsidRPr="00906E77" w:rsidRDefault="00906E77"/>
        </w:tc>
        <w:tc>
          <w:tcPr>
            <w:tcW w:w="5800" w:type="dxa"/>
            <w:hideMark/>
          </w:tcPr>
          <w:p w:rsidR="00906E77" w:rsidRPr="00906E77" w:rsidRDefault="00906E77"/>
        </w:tc>
      </w:tr>
    </w:tbl>
    <w:p w:rsidR="00CF1B5D" w:rsidRDefault="00CF1B5D"/>
    <w:sectPr w:rsidR="00CF1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77"/>
    <w:rsid w:val="00906E77"/>
    <w:rsid w:val="00C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79F8"/>
  <w15:chartTrackingRefBased/>
  <w15:docId w15:val="{D2DCD829-6D74-49EF-BDC4-4FACD79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8184">
      <w:bodyDiv w:val="1"/>
      <w:marLeft w:val="0"/>
      <w:marRight w:val="0"/>
      <w:marTop w:val="0"/>
      <w:marBottom w:val="0"/>
      <w:divBdr>
        <w:top w:val="none" w:sz="0" w:space="0" w:color="auto"/>
        <w:left w:val="none" w:sz="0" w:space="0" w:color="auto"/>
        <w:bottom w:val="none" w:sz="0" w:space="0" w:color="auto"/>
        <w:right w:val="none" w:sz="0" w:space="0" w:color="auto"/>
      </w:divBdr>
    </w:div>
    <w:div w:id="415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3459</Words>
  <Characters>19717</Characters>
  <Application>Microsoft Office Word</Application>
  <DocSecurity>0</DocSecurity>
  <Lines>164</Lines>
  <Paragraphs>46</Paragraphs>
  <ScaleCrop>false</ScaleCrop>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sarahj19</dc:creator>
  <cp:keywords/>
  <dc:description/>
  <cp:lastModifiedBy>sarahj19</cp:lastModifiedBy>
  <cp:revision>1</cp:revision>
  <dcterms:created xsi:type="dcterms:W3CDTF">2021-07-30T19:54:00Z</dcterms:created>
  <dcterms:modified xsi:type="dcterms:W3CDTF">2021-07-30T20:02:00Z</dcterms:modified>
</cp:coreProperties>
</file>