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Direct Reprogramming of Mouse Fibroblasts into Melanocytes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Yi-Xuan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Li-Ping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Ming Jin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Hui Sun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Han-Lin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Yu-Mei Li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Regenerative Medicine, Jiangsu University, Zhenjiang 212001,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Dermatology, Affiliated Hospital of Jiangsu University, Zhenjiang 212001,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Yi-Xuan Zhang </w:t>
        <w:tab/>
        <w:tab/>
        <w:tab/>
        <w:tab/>
        <w:t xml:space="preserve">(tenwenhua@outlook.com)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Li-Ping Liu </w:t>
        <w:tab/>
        <w:tab/>
        <w:tab/>
        <w:tab/>
        <w:t xml:space="preserve">(llp4457@aliyun.com)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Jin </w:t>
        <w:tab/>
        <w:tab/>
        <w:tab/>
        <w:tab/>
        <w:t xml:space="preserve">(2221813058@stmail.ujs.edu.cn)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Sun </w:t>
        <w:tab/>
        <w:tab/>
        <w:tab/>
        <w:tab/>
        <w:t xml:space="preserve">(diligencesun@hotmail.com)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Han-Lin Zhang </w:t>
        <w:tab/>
        <w:tab/>
        <w:tab/>
        <w:t xml:space="preserve">(zhl457675054@gmail.com)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Yu-Mei Li </w:t>
        <w:tab/>
        <w:tab/>
        <w:tab/>
        <w:tab/>
        <w:t xml:space="preserve">(yumeili@ujs.edu.cn)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reprogramming, melanocytes, vitiligo, lentivirus, melanin, transcription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optimized direct reprogramming system for melanocytes and a high-efficiency, concentrated virus packaging system that ensures smooth direct reprogramming.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loss of function of melanocytes leads to vitiligo, which seriously affects the physical and mental health of the affected individuals. Presently, there is no effective long-term treatment for vitiligo. Therefore, it is imperative to develop a convenient and effective treatment for vitiligo. Regenerative medicine technology for direct reprogramming of skin cells into melanocytes seems to be a promising novel treatment of vitiligo. This involves the direct reprogramming of the patient’s skin cells into functional melanocytes to help ameliorate the loss of melanocytes in patients with vitiligo. However, this method needs to be first tested on mice. Although direct reprogramming is widely used, there is no clear protocol for direct reprogramming into melanocytes. Moreover, the number of available transcription factors is overwhelming.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concentrated lentivirus packaging system protocol is presented to produce transcription factors selected for reprogramming skin cells to melanocytes, including Sox10, Mitf, Pax3, Sox2, Sox9, and Snai2. Mouse embryonic fibroblasts (MEFs) were infected with the concentrated lentivirus for all these transcription factors for the direct reprogramming of the MEFs into induced melanocytes (iMels)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Furthermore, these transcription factors were screened, and the system was optimized for direct reprogramming to melanocytes. The expression of the characteristic markers of melanin in iMels at the gene or protein level was significantly increased. These results suggest that direct reprogramming of fibroblasts to melanocytes could be a successful new therapeutic strategy for vitiligo and confirm the mechanism of melanocyte development, which will provide the basis for further direct reprogramming of fibroblasts into melanocytes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Vitiligo is a skin disease that seriously affects the physical and mental health of the affected individuals. For various reasons, including metabolic abnormalities, oxidative stress, generation of inflammatory mediators, cell detachment, and autoimmune response, the functional melanocytes are lost, and the secretion of melanin is stopped, leading to the development of vitiligo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condition occurs widely and is particularly problematic on the face. The main treatment is the systemic use of corticosteroids and immunomodulators. Phototherapy can be used for systemic or local diseases, and there are surgical treatments, such as perforated skin transplantation and autologous melanocyte transplantation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patients who use drug therapy and phototherapy are prone to relapse, and these treatments have poor long-term therapeutic effects. Surgical treatment is traumatic and only moderately effective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a new and effective therapeutic strategy is needed for vitiligo.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reprogramming of induced pluripotent stem cells (iPSCs) reverses these cells from their terminal state to a pluripotent state, a process mediated by the transcription factors, Oct4, Sox2, Klf4, and c-Myc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due to the possibility of tumorigenicity and the long production time, this technology has been met with skepticism when applied to clinical settings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Direct reprogramming is a technology that makes one type of a terminal cell transform into another type of a terminal cell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process is achieved by suitable transcription factors. Various cells have already been directly reprogrammed successfully, including cardiomyocytes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neurons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cochlear hair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Some researchers have even reprogrammed skin tissue directly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which can be used for wound repair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advantages of direct reprogramming include reduced wait times and costs, lower risk of cancer, fewer ethical problems, and a better understanding of the mechanism underlying cell fate determination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direct reprogramming method is widely used, there is currently no definite method for the direct reprogramming of skin cells into melanocytes, especially because of the numerous transcription factors to be considered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transcription factors, Mitf, Sox10, and Pax3, have been used for direct reprogramming of skin cells into melanocytes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the combination of MITF, PAX3, SOX2, and SOX9 has also been used for direct reprogramming of skin cells into human melanocytes in another study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protocol, despite the use of a different screening method, the same result was obtained with the combination of Mitf, Sox10, and Pax3 for direct reprogramming of skin cells into melanocytes as described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Developing a system to generate melanocytes from other skin cells can provide a scheme for transforming other skin cells of vitiligo patients into melanocytes. Hence, it is crucial to construct a simple and efficient method for this direct reprogramming to generate melanocytes successfully.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approved by the Laboratory Animal Management and Use Committee at Jiangsu University (UJS-IACUC-AP--20190305010). The experiments were performed in strict accordance with the standards established by the Association for Assessment and Accreditation of Laboratory Animal Care International (AAALAC International). There were no experiments involving humans, so this work did not need approval from the human research ethics committee.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Construction of a concentrated lentivirus packaging system for transcription factors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Production of the concentrated virus (</w:t>
      </w:r>
      <w:r>
        <w:rPr>
          <w:rFonts w:ascii="Calibri" w:hAnsi="Calibri" w:cs="Calibri" w:eastAsia="Calibri"/>
          <w:b/>
          <w:color w:val="auto"/>
          <w:spacing w:val="0"/>
          <w:position w:val="0"/>
          <w:sz w:val="24"/>
          <w:shd w:fill="FFFF00" w:val="clear"/>
        </w:rPr>
        <w:t xml:space="preserve">Figure 1A, 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Plate 1.5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HEK-293T cells into a 60 mm dish and culture these cells with normal medium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at 37 &amp;#176;C in a humidified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virus needs to be packaged in batches, a 100 mm cell culture dish can be used (for details, see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After 24 h, ensure that the HEK-293T cells have reached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confluence on the day of transduction, and replace the medium with 3.5 mL of DMEM (150 &amp;#181;L of DMEM per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Leave the cells at 37 &amp;#176;C in a humidified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replacement medium must be serum-free, so that the cells can be “starved” for better plasmid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Prepare the mixture of plasmids (mix A) containing 3 &amp;#181;g of the target plasmids of Mitf, Sox10, Pax3, Sox2, Sox9, or Snai2; 1 &amp;#181;g of the packaging plasmid PMD2.G, and 2 &amp;#181;g of the packaging plasmid PSPAX2. Make up the volume of mix A to 150 &amp;#181;L with serum-free DMEM. Prepare the mix of the transfection reagent (mix B) by adding 12 &amp;#181;L of the transfection reagent (the volume is twice the total mass of all the plasmids), and make up the volume of mix B to 150 &amp;#181;L with serum-free DMEM.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preparing the mixes, it is important to add liquid slowly to avoid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Combine mix A and mix B after allowing them to stand for 5 min at room temperature. Incubate the mixture at room temperature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to form the transfection complex.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Take the HEK-293T cells out of the incubator, replace the medium with DMEM + 2% FBS, add the mixture from step 1.1.4 dropwise, and mix the liquid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After 8 h, change the medium with 3.5 mL of normal medium. After changing the medium, collect the virus supernatant every 24 h and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Mix the virus supernatants collected at two different time points.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Pass the supernatant through 0.45 &amp;#181;m filters and collect it in a 50 mL sterile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collected at 24 h can be stored at 4 &amp;#176;C and mixed with the virus collected at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Concentrate the virus supernatant by centrifuging at 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overnight (~16 h). Ensure that the virus pellet is visible at the bottom of the conical tube after centrifuging.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Pour out the supernatant slowly. Dissolve the virus pellet in a volume of normal medium that is 1/100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of the volume of the virus supernatant. Using a P1000 micropipette, pipette up and down gently until a homogeneous mixture is obtained. Divide the concentrated virus into microcentrifuge tubes as needed. Store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is concentrated 100x with this method. The concentrated virus (100x) can be stored for &amp;gt;1 year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Avoid repeated freezing and thawing of the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Detection of concentrated virus titer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Plate 1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HEK-293T cells into one well of a 6-well plate. Remember to add one well as a negative control. Culture these cells with normal medium at 37 &amp;#176;C in a humidified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Add 0.1 &amp;#181;L or 0.2 &amp;#181;L of fluorescent concentrated virus (100x) to each well after 24 h, and add 4 ng/&amp;#181;L of the cationic polymeric transfection reagent to each well. About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after infection, replace the medium with normal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accuracy and efficiency of the fluorescence detection, the infection rate must be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Adding 0.1 &amp;#181;L or 0.2 &amp;#181;L of the fluorescent concentrated virus can maintain the infection efficiency within this range. The concentrated virus titer can reach </w:t>
      </w:r>
      <w:r>
        <w:rPr>
          <w:rFonts w:ascii="Calibri" w:hAnsi="Calibri" w:cs="Calibri" w:eastAsia="Calibri"/>
          <w:color w:val="auto"/>
          <w:spacing w:val="0"/>
          <w:position w:val="0"/>
          <w:sz w:val="24"/>
          <w:shd w:fill="FFFFFF" w:val="clear"/>
        </w:rPr>
        <w:t xml:space="preserve">1 &amp;#215;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transducing units (TU)/mL at least.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Approximately 48 h after infection, wash the dish with 1 mL of sterile phosphate-buffered saline (PBS) to remove dead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Trypsinize these cells using 250 &amp;#181;L of 0.05% trypsin-EDTA per well in a 6-well plate for 1 min at room temperature.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and then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Resuspend the cell pellet in 1 mL of PBS, add the suspension to a 5 mL polystyrene round-bottom tube</w:t>
      </w:r>
      <w:r>
        <w:rPr>
          <w:rFonts w:ascii="Calibri" w:hAnsi="Calibri" w:cs="Calibri" w:eastAsia="Calibri"/>
          <w:color w:val="auto"/>
          <w:spacing w:val="0"/>
          <w:position w:val="0"/>
          <w:sz w:val="24"/>
          <w:shd w:fill="auto" w:val="clear"/>
        </w:rPr>
        <w:t xml:space="preserve">, and detect the infection efficiency of the virus fluorescence (green fluorescent protein,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using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Calculate the concentrated virus titer using the following formula: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 volume) &amp;#215; infection rate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%)/added virus volume (0.1 &amp;#181;L or 0.2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Direct reprogramming of fibroblasts to melanocytes (Figure 2A)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Coat one well of a 6-well cell culture plate with 1 mL of 0.1% gelatin solution at room temperature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Ensure that the well is completely covered with the 0.1% gelatin solution. Aspirate the 0.1% gelatin solution after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0.1% gelatin solution (100 mL) as follows: 0.1 g of gelatin powder is dissolved in 100 mL of ultrapure water in an autoclaved glass bottle and then stored at 4 &amp;#176;C for no more than 2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Plate 5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MEFs into one well of a 6-well plate coated with 0.1% gelatin (as in step 2.1), and culture these cells with normal medium at 37 &amp;#176;C in a humidified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After 24 h, confirm that the MEFs have reached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confluence. Replace the medium with normal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 Day 0, take out the concentrated virus from the freezer and melt the virus on ice. Calculate the volume of the virus to be added by using eq.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Add the concentrated virus for the six transcription factors, Mitf, Pax3, Sox10, Sox9, Sox2, and Snai2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each well according to the calculated volume, and then add 4 &amp;#181;g/mL of the cationic polymeric transfection 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number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&amp;#215; 30 (multiplicity of infection, MOI)/virus titer</w:t>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On Day 1,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after infection, remove the medium containing the virus and replace it with fresh normal medium while adding 0.5 &amp;#181;g/mL puromycin to screen stable infected cell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On Day 2, 48 h after infection, replace the supernatant medium gradually with the reprogramming medium. First, change 1/4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of the total medium volume, and add 3 &amp;#181;M CHIR99021.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From Day 3 to Day 7, depending on the condition of the cells, change the medium by replacing with a higher proportion of reprogramming medium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gradually, and switch to complete reprogramming medium within 5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period, puromycin and CHIR99021 must be used every day. Many dead cells will appear on the first and second day of changing the reprogramming medium. This is normal as the cells gradually adapt to the transformation. Therefore, the medium needs to be changed gradually to ensure the healthy proliferation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To passage the cells, add 500 &amp;#181;L of 0.05% trypsin-EDTA to digest the cells for 3 min at room temperature. When ~60% of the cells have floated up, stop the digestion by adding normal medium 2x the volume of the digestive enzyme. Collect the cell suspension in a 15 mL sterile conical tube,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remove the supernatant, resuspend the cell pellet with the reprogramming medium, and plate the cells in a 60 mm sterile dish at a density of 3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these cells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Day 8 to Day 21, these cells are sub-cultured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and cultured in 60 mm sterile dishes to expand. They can be cultured to reach at least passage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Optimization for direct reprogramming and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Screening for the optimized transcription factors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reducing one of the six transcription factors each time. Infect the MEFs with the virus with combinations of five transcription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Seven days after infection, extract the RNA of these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analyze the expression levels of their melanocytic genes using reverse-transcription PCR (RT-PCR)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screen for the transcription factors with the greatest impact on conversion to melanocytes by removing them one by one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Use the top three transcription factors impacting the conversion to melanocytes to infect the MEFs.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Seven days after infection, the melanocytic genes should be detectable in these transformed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Primer information for iMels characterization is included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Identification of induced melanocytes (iMels)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immunofluorescence staining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verify that the iMels express melanocytic proteins, including TYRP-1 and DCT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Melanin-specific 3,4-dihydroxyphenylalanine (DOPA) staining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Prepare 4% paraformaldehyde (10 mL) as follows: dissolve 0.4 g of paraformaldehyde powder in 10 mL PBS. Place the solution in an oven at 56 &amp;#176;C for 2 h to promote dissolution.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can be kept at 4 &amp;#176;C for no more than one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Culture the iMels in a 30 mm dish and wash the dish twice with pre-warmed PBS. Add 1 mL of 4% paraformaldehyde to fix the cells for 20 min, and wash the dish 3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Prepare 0.1% DOPA stain solution (10 mL) just before use by dissolving 0.01 g of L-DOPA powder in 10 mL of PBS. Place the solution in a water bath at 37 &amp;#176;C for 30 min; shake it several times to promote dissolution.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Add 1 mL of freshly prepared 0.1% DOPA staining solution. Incubate in an oven at 37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If there are no brown-black particles, continue to incubate at 37 &amp;#176;C for another 2 h but not for &amp;gt;5 h. Check the samples every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 Wash the dish 3 times with PBS for 1 min each time. Stain the nucleus with 1 mL of hematoxylin staining solution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 For long-term storage, dehydrate the samples using 95% ethanol for 3 min and then 100% ethanol for 5 min. Seal the dish with xylene and neutral balsam.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Melanin-specific Masson-Fontana staining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Plate iMels in a 30 mm dish and fix the cells with 4% paraformaldehyde for 20 min; wash the dish 3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Add 1 mL of solution A (ammonia silver solution) from the Masson-Fontana staining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place the dish in a dark box, and place the dark box in an oven at 56 &amp;#176;C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brown-black particles are not visible after 15 min in the oven, return the samples to the 56 &amp;#176;C oven to continue incubating but not for &amp;gt;40 min. Some water can be added to the dark box to prevent drying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Aspirate solution A and wash the dish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times with distilled water,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3.2.3.4. Add 1 mL solution B (hypo solution) from the Masson-Fontana staining kit, and leave the dish at room temperature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3.2.3.5. Aspirate solution B and wash the dish with tap water 3 times, 1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3.2.3.6. Add 1 mL of solution C (neutral red dye) from the Masson-Fontana staining kit, and leave the dish at room temperature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3.2.3.7. Aspirate solution C and wash the dish 3 times with distilled water, 1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3.2.3.8. Add 1 mL of 100% ethanol for rapid dehydration, and aspirate the ethanol after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Stained samples can be stored for a long time after sealing with xylene and neutral balsam.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includes the protocols of a concentrated lentivirus packaging system to produce lentivirus of transcription factors for direct reprogramming of fibroblasts to melanocytes and protocols for screening for transcription factors and direct reprogramming of melanocytes from MEFs.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concentrated lentivirus production was evaluated by observing the fluorescence intensity of GFP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by flow cytometry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after infecting HEK-293T cells for 48 h with unconcentrated lentivirus (1x) and concentrated lentivirus (100x). The titer of the concentrated virus was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TU/mL or more, which is relatively high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reprogramming of fibroblasts to melanocytes is achieved through the infection with transcription factor lentivirus and transformation with the optimized reprogramming medium. The scheme for the generation of iMels from MEFs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Cell morphology gradually changes during direct reprogramming. Cell synapses become elongated, and cell nuclei enlarge. However, these cells gradually age after ~Day 20 (~5 passages)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transcription factor was removed at a time from the original set of six transcription factors (Mitf, Pax3, Sox10, Sox9, Sox2, and Snai2) to determine the transcription factor with the greatest impact on reprogramming. Removal of Mitf, Pax3, or Sox10 resulted in the silencing of the expression of melanocytic genes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Tyrp1,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Mlana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indicating that these three transcription factors had the greatest impact on fibroblast conversion to melanocytes. The expression of melanocytic genes induced by direct programming with three transcription factors was higher than that of all six transcription factors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characteristics of the iMels obtained by using this optimized system of direct reprogramming were identified. The expression of melanocytic markers (TYR, TYYP1) was detected using immunofluorescent staining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Melanin-specific staining methods, including DOPA and Masson-Fontana staining, also showed positive results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Production of concentrated virus and estimation of titer.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intensity of GFP after infecting HEK-293T cells with unconcentrated lentivirus (1x) and concentrated lentivirus (100x)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the infection rates of unconcentrated lentivirus (1x) and concentrated lentivirus (100x) as detected by flow cytometry.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Titer estimation of concentrated lentivirus. Scale bars = 250 &amp;#181;m. Abbreviations: GFP = green fluorescent protein; TU = transducing units.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Generation of iMels from MEFs.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iMels generation.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cell morphology during conversion from MEFs to iMels in direct reprogramming on day 0, day 3, day 10, and day 20+. Scale bars = 100 &amp;#181;m. Abbreviations: iMels = induced melanocytes; MEFs = mouse embryonic fibroblasts.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for optimized transcription factors.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qRT-PCR of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Tyrp1,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Mlana </w:t>
      </w:r>
      <w:r>
        <w:rPr>
          <w:rFonts w:ascii="Calibri" w:hAnsi="Calibri" w:cs="Calibri" w:eastAsia="Calibri"/>
          <w:color w:val="auto"/>
          <w:spacing w:val="0"/>
          <w:position w:val="0"/>
          <w:sz w:val="24"/>
          <w:shd w:fill="auto" w:val="clear"/>
        </w:rPr>
        <w:t xml:space="preserve">mRNA levels in cells transduced with five transcription factors (one of the original six transcription factors has been removed). MEF + EV and MEF + 6F are used as negative control and positive control, respectively. The mRNA expression is normalized to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qRT-PCR of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Tyrp1,</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Mlana </w:t>
      </w:r>
      <w:r>
        <w:rPr>
          <w:rFonts w:ascii="Calibri" w:hAnsi="Calibri" w:cs="Calibri" w:eastAsia="Calibri"/>
          <w:color w:val="auto"/>
          <w:spacing w:val="0"/>
          <w:position w:val="0"/>
          <w:sz w:val="24"/>
          <w:shd w:fill="auto" w:val="clear"/>
        </w:rPr>
        <w:t xml:space="preserve">mRNA levels in cells transduced with the original six transcription factors and with three transcription factors. MEF, MEF + EV, and MMC are used as a blank, negative control, and positive control, respectively. The mRNA levels are normalized to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levels. All values are mean &amp;plusmn; SD of three independent experiments. The primer sequences are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Abbreviations: qRT-PCR = quantitative reverse-transcription PCR; MEF = mouse embryonic fibroblasts; MEF+EV = mouse embryonic fibroblasts + empty vector; MMC = mouse melanocyte; 6F = six transcription factors comprising Mitf, Pax3, Sox10, Sox9, Sox2, and Snai2; 3F: three transcription factors comprising Mitf, Pax3, and Sox10.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Functional identification of iMels.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Immunostaining of melanocytic markers (TYR, TYYP1) in iMels. Scale bar = 50 &amp;#181;m. See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dilution of antibodies used in this study.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Masson-Fontana staining and DOPA staining. MEF and the Melan-a cell line are used as negative control and positive control, respectively. Scale bar = 50 &amp;#181;m. Abbreviations: iMels = induced melanocytes; DOPA = 3,4-dihydroxyphenylalanine; MEF = mouse embryonic fibroblast.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of normal and reprogramming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Details of the lentivirus packaging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Primer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virus is crucial for the success of direct reprogramming to melanocytes in this protocol. The method of packaging and concentrating viruses in this protocol is simple and easy to repeat and does not rely on any other auxiliary concentrated reagent. This protocol can be followed successfully in most laboratories. To ensure the quality of the concentrated virus, the following points need special attention. One is the cell status of HEK-293T. Although HEK-293T cells are immortalized cells, the cells used to make the concentrated virus must be healthy cells within 10 passages (the titer decreases with higher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point is the proportion of the transfection reagent (in this case, lipofectamine) used. As cells are damaged after adding the transfection reagent, the ratio of the reagent to plasmids must be checked repeatedly to ensure the optimal condition of the cells and the quality of the virus. The 2:1 ratio of transfection reagent to plasmids is most suitable for HEK-293T cells for packaging the virus in this system. In addition, all steps require gentle handling throughout the process. As virus particles can be absorbed after coating, which affects the virus titer, it is not advisable to coat the dish with any matrix when packaging the virus. Due to the possibility of detachment of HEK-293T, the supernatant must be replaced carefully, especially when fresh medium is added after collecting the virus supernatant after 24 h. Some other considerations include cell density, the length of the transfection time, and the serum content in the medium. These are important issues that affect transfection efficiency. The conditions presented in this protocol are the most suitable, based on results obtained after many repeated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process of direct reprogramming to melanocytes, it is important to consider the state of the original cell MEFs and the density of MEFs used for direct reprogramming. Before starting the direct reprogramming, MEFs must be cultured in non-coated cell culture dishes. Cells in the proliferation phase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confluence) should be selected for direct reprogramming; the infection efficiency decreases with increasing cell density. The reprogrammed cells need to be plated in gelatin-coated culture dishes.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time needed for the virus to infect cells is also critical; too long an infection time will impair cell survival, whereas too short an infection time will reduce the efficiency. Eight hours were found to be appropriate for the concentrated virus to infect MEFs in this protocol. The last critical point is the correct way of changing the reprogramming medium. MEFs need to adapt to a new medium. The state of the cells must be checked every day, and the medium must be changed carefully according to the cell status. Changing the reprogramming medium too quickly will cause a large number of cells to die.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cultivating and subculturing iMels, the passage density of the cells is critical. iMels need a relatively high density to maintain growth. Cell synapses should be in contact with each other for the normal proliferation of these cells. If the density is too low, the cells may stop proliferating. Here, the density of 3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was found to be a suitable passage density for iMels. After 5 passages, the iMels begin aging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melanin is more mature at this time, and the resultant cells can be used for immunofluorescence, DOPA, or Masson-Fontana staining. Earlier passages of cells can be used for RT-PCR because the expression of genes will change at a relatively early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direct reprogramming is widely studied, there is little research on the direct reprogramming of fibroblasts to melanocytes. Different studies have used different transcription factors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leading to much confusion. This protocol explains how to produce high-quality concentrated viruses and screen several transcription factors to select the most important ones for direct reprogramming to melanocytes. The medium was supplemented with nutritional factors for the direct reprogramming to melanocytes in this protocol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Finally, functional iMels were identified successfully. The clear and optimized melanocyte direct reprogramming system could provide new treatment strategies for depigmentation diseases such as vitiligo.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still some limitations to the technology presented in this article. First, it is challenging to estimate the efficiency of this protocol. CRISPR-Cas9 gene editing could be combined with this protocol to knock in melanocytic genes, such as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Tyrp-1,</w:t>
      </w:r>
      <w:r>
        <w:rPr>
          <w:rFonts w:ascii="Calibri" w:hAnsi="Calibri" w:cs="Calibri" w:eastAsia="Calibri"/>
          <w:color w:val="auto"/>
          <w:spacing w:val="0"/>
          <w:position w:val="0"/>
          <w:sz w:val="24"/>
          <w:shd w:fill="auto" w:val="clear"/>
        </w:rPr>
        <w:t xml:space="preserve"> into the initial cells to observe the percentage of induced cells during the reprogramming process. In addition, the lentivirus introduction system used in this protocol may carry the risk of gene recombination and insertion mutation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future, more efficient and safer introduction methods could be used, such as non-viral recombinant protein expression vectors or mRNA vectors. The experiment in this protocol is still at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stage. The next step is to reprogram the melanocytes directly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causing non-pigmented skin to become pigmented and to use the direct reprogramming system to design an effective treatment of vitiligo.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partially supported by grants from the National Natural Science Foundation of China (82070638 and 81770621) and the Natural Science Foundation of Jiangsu Province (BK20180281).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Ezzedine, K., Eleftheriadou, V., Whitton, M., van Geel, N. Vitiligo.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 (9988),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Picardo,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Vitiligo.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Speeckaert, R., van Geel, N. Vitiligo: An update on pathophysiology and treatment options. </w:t>
      </w:r>
      <w:r>
        <w:rPr>
          <w:rFonts w:ascii="Calibri" w:hAnsi="Calibri" w:cs="Calibri" w:eastAsia="Calibri"/>
          <w:i/>
          <w:color w:val="auto"/>
          <w:spacing w:val="0"/>
          <w:position w:val="0"/>
          <w:sz w:val="24"/>
          <w:shd w:fill="auto" w:val="clear"/>
        </w:rPr>
        <w:t xml:space="preserve">American Journal of Clinical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Cortelazzi, C., Pellacani, G., Raposio, E., Di Nuzzo, S. Vitiligo management: combination of surgical treatment and phototherapy under reflectance confocal microscopy monitoring. </w:t>
      </w:r>
      <w:r>
        <w:rPr>
          <w:rFonts w:ascii="Calibri" w:hAnsi="Calibri" w:cs="Calibri" w:eastAsia="Calibri"/>
          <w:i/>
          <w:color w:val="auto"/>
          <w:spacing w:val="0"/>
          <w:position w:val="0"/>
          <w:sz w:val="24"/>
          <w:shd w:fill="auto" w:val="clear"/>
        </w:rPr>
        <w:t xml:space="preserve">European Review for Medical and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7366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Mohammad, T. F., Hamzavi, I. H. Surgical therapies for vitiligo. </w:t>
      </w:r>
      <w:r>
        <w:rPr>
          <w:rFonts w:ascii="Calibri" w:hAnsi="Calibri" w:cs="Calibri" w:eastAsia="Calibri"/>
          <w:i/>
          <w:color w:val="auto"/>
          <w:spacing w:val="0"/>
          <w:position w:val="0"/>
          <w:sz w:val="24"/>
          <w:shd w:fill="auto" w:val="clear"/>
        </w:rPr>
        <w:t xml:space="preserve">Dermatologic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Bishnoi, A., Parsad, D. Clinical and molecular aspects of vitiligo treatments.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1509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Takahashi, K., Yamanaka, S. A decade of transcription factor-mediated reprogramming to pluripotency.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Yamanaka, S. Pluripotent stem cell-based cell therapy-promise and challenges.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Xu, J., Du, Y., Deng, H. Direct lineage reprogramming: strategies, mechanisms, and applications.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Ieda,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reprogramming of fibroblasts into functional cardiomyocytes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Gasc&amp;#243;n, S., Masserdotti, G., Russo, G. L., G&amp;#246;tz, M. Direct neuronal reprogramming: achievements, hurdles, and new roads to success.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Atkinson, P. J., Kim, G. S., Cheng, A. G. Direct cellular reprogramming and inner ear regeneration. </w:t>
      </w:r>
      <w:r>
        <w:rPr>
          <w:rFonts w:ascii="Calibri" w:hAnsi="Calibri" w:cs="Calibri" w:eastAsia="Calibri"/>
          <w:i/>
          <w:color w:val="auto"/>
          <w:spacing w:val="0"/>
          <w:position w:val="0"/>
          <w:sz w:val="24"/>
          <w:shd w:fill="auto" w:val="clear"/>
        </w:rPr>
        <w:t xml:space="preserve">Expert Opinion on Biological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Kurita,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reprogramming of wound-resident cells generates skin epithelial tissue.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(7722),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Yang,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conversion of mouse and human fibroblasts to functional melanocytes by defined factors.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5807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Fehrenbach,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tumorigenic potential upon transdifferentiation from keratinocytic into melanocytic lineage.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28891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Majumdar, G., Vera, S., Elam, M. B., Raghow, R. A streamlined protocol for extracting RNA and genomic DNA from archived human blood and muscle.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(2015).</w:t>
      </w:r>
    </w:p>
    <w:p>
      <w:pPr>
        <w:spacing w:before="0" w:after="0" w:line="240"/>
        <w:ind w:right="2"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Bachman, J. Reverse-transcription PCR (RT-PCR).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Donaldson, J. G. Immunofluorescence staining.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(1),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Yin,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Non-viral vectors for gene-based therapy.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