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5B6C4" w14:textId="5C51D785" w:rsidR="007D2184" w:rsidRPr="00DE2BB5" w:rsidRDefault="003B74EB" w:rsidP="00DE2BB5">
      <w:pPr>
        <w:rPr>
          <w:color w:val="000000"/>
        </w:rPr>
      </w:pPr>
      <w:r w:rsidRPr="00DE2BB5">
        <w:rPr>
          <w:b/>
          <w:color w:val="000000"/>
        </w:rPr>
        <w:t>TITLE:</w:t>
      </w:r>
    </w:p>
    <w:p w14:paraId="5B87F470" w14:textId="20D0A97A" w:rsidR="007D2184" w:rsidRDefault="00D95509" w:rsidP="00D95509">
      <w:pPr>
        <w:rPr>
          <w:color w:val="000000"/>
          <w:shd w:val="clear" w:color="auto" w:fill="FFFFFF"/>
        </w:rPr>
      </w:pPr>
      <w:r w:rsidRPr="00D95509">
        <w:rPr>
          <w:color w:val="000000"/>
          <w:shd w:val="clear" w:color="auto" w:fill="FFFFFF"/>
        </w:rPr>
        <w:t>Operation of Laboratory Photobioreactors with Online Growth Measurements and</w:t>
      </w:r>
      <w:r>
        <w:rPr>
          <w:color w:val="000000"/>
          <w:shd w:val="clear" w:color="auto" w:fill="FFFFFF"/>
        </w:rPr>
        <w:t xml:space="preserve"> </w:t>
      </w:r>
      <w:r w:rsidRPr="00D95509">
        <w:rPr>
          <w:color w:val="000000"/>
          <w:shd w:val="clear" w:color="auto" w:fill="FFFFFF"/>
        </w:rPr>
        <w:t>Customizable Light Regimes</w:t>
      </w:r>
    </w:p>
    <w:p w14:paraId="231B4D60" w14:textId="77777777" w:rsidR="00D95509" w:rsidRPr="00DE2BB5" w:rsidRDefault="00D95509" w:rsidP="00D95509">
      <w:pPr>
        <w:rPr>
          <w:b/>
        </w:rPr>
      </w:pPr>
    </w:p>
    <w:p w14:paraId="09B94E53" w14:textId="77777777" w:rsidR="007D2184" w:rsidRPr="00DE2BB5" w:rsidRDefault="003B74EB" w:rsidP="00DE2BB5">
      <w:pPr>
        <w:rPr>
          <w:color w:val="808080"/>
        </w:rPr>
      </w:pPr>
      <w:r w:rsidRPr="00DE2BB5">
        <w:rPr>
          <w:b/>
        </w:rPr>
        <w:t>AUTHORS AND AFFILIATIONS:</w:t>
      </w:r>
    </w:p>
    <w:p w14:paraId="24FE6D44" w14:textId="7B4DC9A4" w:rsidR="007D2184" w:rsidRPr="00DE2BB5" w:rsidRDefault="003B74EB" w:rsidP="00DE2BB5">
      <w:r w:rsidRPr="00DE2BB5">
        <w:t>Marianne Haines</w:t>
      </w:r>
      <w:r w:rsidRPr="00DE2BB5">
        <w:rPr>
          <w:vertAlign w:val="superscript"/>
        </w:rPr>
        <w:t>1</w:t>
      </w:r>
      <w:r w:rsidR="003B3CA5" w:rsidRPr="00DE2BB5">
        <w:t xml:space="preserve">*, </w:t>
      </w:r>
      <w:r w:rsidRPr="00DE2BB5">
        <w:t>Marc Strous</w:t>
      </w:r>
      <w:r w:rsidRPr="00DE2BB5">
        <w:rPr>
          <w:vertAlign w:val="superscript"/>
        </w:rPr>
        <w:t>1</w:t>
      </w:r>
    </w:p>
    <w:p w14:paraId="4FB29C80" w14:textId="77777777" w:rsidR="007D2184" w:rsidRPr="00DE2BB5" w:rsidRDefault="007D2184" w:rsidP="00DE2BB5"/>
    <w:p w14:paraId="122AA954" w14:textId="19DEFF9A" w:rsidR="007D2184" w:rsidRPr="00AA02AA" w:rsidRDefault="003B74EB" w:rsidP="00DE2BB5">
      <w:r w:rsidRPr="00DE2BB5">
        <w:rPr>
          <w:vertAlign w:val="superscript"/>
        </w:rPr>
        <w:t>1</w:t>
      </w:r>
      <w:r w:rsidRPr="00DE2BB5">
        <w:t>Department of Geoscience, University of Calgary</w:t>
      </w:r>
      <w:r w:rsidR="00AA02AA">
        <w:t xml:space="preserve">, </w:t>
      </w:r>
      <w:r w:rsidR="00AA02AA" w:rsidRPr="00AA02AA">
        <w:t>Calgary, Alberta</w:t>
      </w:r>
      <w:r w:rsidR="00AA02AA">
        <w:t>,</w:t>
      </w:r>
      <w:r w:rsidR="00AA02AA" w:rsidRPr="00AA02AA">
        <w:t xml:space="preserve"> CANADA</w:t>
      </w:r>
    </w:p>
    <w:p w14:paraId="09AEB24B" w14:textId="40ED9CE9" w:rsidR="007D2184" w:rsidRPr="00DE2BB5" w:rsidRDefault="007D2184" w:rsidP="00DE2BB5"/>
    <w:p w14:paraId="70FCD99B" w14:textId="77777777" w:rsidR="007B6F9A" w:rsidRPr="00DE2BB5" w:rsidRDefault="007B6F9A" w:rsidP="00DE2BB5">
      <w:r w:rsidRPr="00DE2BB5">
        <w:t>Email addresses of the authors:</w:t>
      </w:r>
    </w:p>
    <w:p w14:paraId="251C7DB9" w14:textId="4AC5FC68" w:rsidR="007B6F9A" w:rsidRPr="00DE2BB5" w:rsidRDefault="007B6F9A" w:rsidP="00DE2BB5">
      <w:r w:rsidRPr="00DE2BB5">
        <w:t>Marianne Haines</w:t>
      </w:r>
      <w:r w:rsidRPr="00DE2BB5">
        <w:tab/>
        <w:t>(</w:t>
      </w:r>
      <w:hyperlink r:id="rId8" w:history="1">
        <w:r w:rsidRPr="00DE2BB5">
          <w:rPr>
            <w:rStyle w:val="Hyperlink"/>
          </w:rPr>
          <w:t>marianne.haines@ucalgary.ca</w:t>
        </w:r>
      </w:hyperlink>
      <w:r w:rsidRPr="00DE2BB5">
        <w:t>)</w:t>
      </w:r>
    </w:p>
    <w:p w14:paraId="05DFC5B0" w14:textId="2870FB9F" w:rsidR="007B6F9A" w:rsidRPr="00DE2BB5" w:rsidRDefault="007B6F9A" w:rsidP="00DE2BB5">
      <w:r w:rsidRPr="00DE2BB5">
        <w:t>Marc Strous</w:t>
      </w:r>
      <w:r w:rsidRPr="00DE2BB5">
        <w:tab/>
      </w:r>
      <w:r w:rsidRPr="00DE2BB5">
        <w:tab/>
        <w:t>(</w:t>
      </w:r>
      <w:hyperlink r:id="rId9">
        <w:r w:rsidRPr="00DE2BB5">
          <w:rPr>
            <w:rStyle w:val="Hyperlink"/>
          </w:rPr>
          <w:t>mstrous@ucalgary.ca</w:t>
        </w:r>
      </w:hyperlink>
      <w:hyperlink>
        <w:r w:rsidRPr="00DE2BB5">
          <w:t>)</w:t>
        </w:r>
      </w:hyperlink>
      <w:r w:rsidRPr="00DE2BB5">
        <w:t xml:space="preserve"> </w:t>
      </w:r>
    </w:p>
    <w:p w14:paraId="76A96564" w14:textId="50820FCF" w:rsidR="007B6F9A" w:rsidRPr="00DE2BB5" w:rsidRDefault="007B6F9A" w:rsidP="00DE2BB5"/>
    <w:p w14:paraId="5A088AC0" w14:textId="007650EF" w:rsidR="007B6F9A" w:rsidRPr="00DE2BB5" w:rsidRDefault="007B6F9A" w:rsidP="00DE2BB5">
      <w:pPr>
        <w:rPr>
          <w:color w:val="000000" w:themeColor="text1"/>
        </w:rPr>
      </w:pPr>
      <w:r w:rsidRPr="00DE2BB5">
        <w:rPr>
          <w:color w:val="000000" w:themeColor="text1"/>
        </w:rPr>
        <w:t>*Email address of the corresponding author:</w:t>
      </w:r>
    </w:p>
    <w:p w14:paraId="623B17FE" w14:textId="1171D470" w:rsidR="007B6F9A" w:rsidRPr="00DE2BB5" w:rsidRDefault="007B6F9A" w:rsidP="00DE2BB5">
      <w:r w:rsidRPr="00DE2BB5">
        <w:t>Marianne Haines</w:t>
      </w:r>
      <w:r w:rsidRPr="00DE2BB5">
        <w:tab/>
        <w:t>(</w:t>
      </w:r>
      <w:hyperlink r:id="rId10" w:history="1">
        <w:r w:rsidRPr="00DE2BB5">
          <w:rPr>
            <w:rStyle w:val="Hyperlink"/>
          </w:rPr>
          <w:t>marianne.haines@ucalgary.ca</w:t>
        </w:r>
      </w:hyperlink>
      <w:r w:rsidRPr="00DE2BB5">
        <w:t>)</w:t>
      </w:r>
    </w:p>
    <w:p w14:paraId="28A55FC0" w14:textId="77777777" w:rsidR="007B6F9A" w:rsidRPr="00DE2BB5" w:rsidRDefault="007B6F9A" w:rsidP="00DE2BB5"/>
    <w:p w14:paraId="20F6A2EF" w14:textId="77777777" w:rsidR="007D2184" w:rsidRPr="00DE2BB5" w:rsidRDefault="003B74EB" w:rsidP="00DE2BB5">
      <w:pPr>
        <w:rPr>
          <w:b/>
          <w:color w:val="000000"/>
        </w:rPr>
      </w:pPr>
      <w:r w:rsidRPr="00DE2BB5">
        <w:rPr>
          <w:b/>
          <w:color w:val="000000"/>
        </w:rPr>
        <w:t>KEYWORDS:</w:t>
      </w:r>
    </w:p>
    <w:p w14:paraId="6F15689A" w14:textId="77777777" w:rsidR="00E51892" w:rsidRPr="00DE2BB5" w:rsidRDefault="003B74EB" w:rsidP="00DE2BB5">
      <w:pPr>
        <w:rPr>
          <w:bCs/>
          <w:color w:val="000000"/>
        </w:rPr>
      </w:pPr>
      <w:r w:rsidRPr="00DE2BB5">
        <w:rPr>
          <w:bCs/>
          <w:color w:val="000000"/>
        </w:rPr>
        <w:t>Photobioreactor, oxygen production, microalgae, cyanobacteria, biotechnology, photosynthesis</w:t>
      </w:r>
    </w:p>
    <w:p w14:paraId="683B232F" w14:textId="77777777" w:rsidR="00E51892" w:rsidRPr="00DE2BB5" w:rsidRDefault="00E51892" w:rsidP="00DE2BB5">
      <w:pPr>
        <w:rPr>
          <w:bCs/>
          <w:color w:val="000000"/>
        </w:rPr>
      </w:pPr>
    </w:p>
    <w:p w14:paraId="5E53C77D" w14:textId="754B63A8" w:rsidR="007D2184" w:rsidRPr="00DE2BB5" w:rsidRDefault="003B74EB" w:rsidP="00DE2BB5">
      <w:pPr>
        <w:rPr>
          <w:b/>
          <w:bCs/>
          <w:color w:val="000000"/>
        </w:rPr>
      </w:pPr>
      <w:r w:rsidRPr="00DE2BB5">
        <w:rPr>
          <w:b/>
          <w:bCs/>
        </w:rPr>
        <w:t>SUMMARY:</w:t>
      </w:r>
    </w:p>
    <w:p w14:paraId="017D973C" w14:textId="56EF7FB6" w:rsidR="00630BC3" w:rsidRPr="00DE2BB5" w:rsidRDefault="00E235C4" w:rsidP="00DE2BB5">
      <w:r w:rsidRPr="00DE2BB5">
        <w:t>This publication describes</w:t>
      </w:r>
      <w:r w:rsidR="003B74EB" w:rsidRPr="00DE2BB5">
        <w:t xml:space="preserve"> the design of laboratory photobioreactors (PBRs) with customi</w:t>
      </w:r>
      <w:r w:rsidRPr="00DE2BB5">
        <w:t>z</w:t>
      </w:r>
      <w:r w:rsidR="003B74EB" w:rsidRPr="00DE2BB5">
        <w:t xml:space="preserve">able light regimes. </w:t>
      </w:r>
      <w:r w:rsidR="00591A28" w:rsidRPr="00DE2BB5">
        <w:t>The g</w:t>
      </w:r>
      <w:r w:rsidR="003C6CAB" w:rsidRPr="00DE2BB5">
        <w:t>rowth of cyanobacteria or microalgae</w:t>
      </w:r>
      <w:r w:rsidR="004A176A" w:rsidRPr="00DE2BB5">
        <w:t xml:space="preserve">, using bicarbonate as their carbon source, </w:t>
      </w:r>
      <w:r w:rsidR="00525F56" w:rsidRPr="00DE2BB5">
        <w:t>is</w:t>
      </w:r>
      <w:r w:rsidR="00151430" w:rsidRPr="00DE2BB5">
        <w:t xml:space="preserve"> </w:t>
      </w:r>
      <w:r w:rsidR="00DE6897" w:rsidRPr="00DE2BB5">
        <w:t>monitored</w:t>
      </w:r>
      <w:r w:rsidR="00151430" w:rsidRPr="00DE2BB5">
        <w:t xml:space="preserve"> continuously </w:t>
      </w:r>
      <w:r w:rsidR="00DE6897" w:rsidRPr="00DE2BB5">
        <w:t xml:space="preserve">by </w:t>
      </w:r>
      <w:r w:rsidR="00980F66" w:rsidRPr="00DE2BB5">
        <w:t>measuring</w:t>
      </w:r>
      <w:r w:rsidR="00DE6897" w:rsidRPr="00DE2BB5">
        <w:t xml:space="preserve"> volumetric oxygen production</w:t>
      </w:r>
      <w:r w:rsidR="009B70A3" w:rsidRPr="00DE2BB5">
        <w:t xml:space="preserve">. </w:t>
      </w:r>
      <w:r w:rsidR="003B74EB" w:rsidRPr="00DE2BB5">
        <w:t>These PBRs facilitate rapid, replicated laboratory growth comparisons with little user intervention during experiments.</w:t>
      </w:r>
    </w:p>
    <w:p w14:paraId="5B170367" w14:textId="77777777" w:rsidR="00630BC3" w:rsidRPr="00DE2BB5" w:rsidRDefault="00630BC3" w:rsidP="00DE2BB5"/>
    <w:p w14:paraId="1E554D4C" w14:textId="7B0DCA4E" w:rsidR="00BD0122" w:rsidRPr="00DE2BB5" w:rsidRDefault="003B74EB" w:rsidP="00DE2BB5">
      <w:pPr>
        <w:rPr>
          <w:b/>
          <w:bCs/>
        </w:rPr>
      </w:pPr>
      <w:r w:rsidRPr="00DE2BB5">
        <w:rPr>
          <w:b/>
          <w:bCs/>
        </w:rPr>
        <w:t>ABSTRACT:</w:t>
      </w:r>
    </w:p>
    <w:p w14:paraId="5732CC07" w14:textId="3D035DB5" w:rsidR="008F0014" w:rsidRPr="00DE2BB5" w:rsidRDefault="003157B0" w:rsidP="00DE2BB5">
      <w:r w:rsidRPr="00DE2BB5">
        <w:rPr>
          <w:color w:val="000000"/>
          <w:shd w:val="clear" w:color="auto" w:fill="FFFFFF"/>
        </w:rPr>
        <w:t>The</w:t>
      </w:r>
      <w:r w:rsidR="00BD0122" w:rsidRPr="00DE2BB5">
        <w:rPr>
          <w:color w:val="000000"/>
          <w:shd w:val="clear" w:color="auto" w:fill="FFFFFF"/>
        </w:rPr>
        <w:t xml:space="preserve"> </w:t>
      </w:r>
      <w:r w:rsidRPr="00DE2BB5">
        <w:rPr>
          <w:color w:val="000000"/>
          <w:shd w:val="clear" w:color="auto" w:fill="FFFFFF"/>
        </w:rPr>
        <w:t>laboratory s</w:t>
      </w:r>
      <w:r w:rsidR="00DC3DD8" w:rsidRPr="00DE2BB5">
        <w:rPr>
          <w:color w:val="000000"/>
          <w:shd w:val="clear" w:color="auto" w:fill="FFFFFF"/>
        </w:rPr>
        <w:t>tudy</w:t>
      </w:r>
      <w:r w:rsidRPr="00DE2BB5">
        <w:rPr>
          <w:color w:val="000000"/>
          <w:shd w:val="clear" w:color="auto" w:fill="FFFFFF"/>
        </w:rPr>
        <w:t xml:space="preserve"> of</w:t>
      </w:r>
      <w:r w:rsidR="00DC3DD8" w:rsidRPr="00DE2BB5">
        <w:rPr>
          <w:color w:val="000000"/>
          <w:shd w:val="clear" w:color="auto" w:fill="FFFFFF"/>
        </w:rPr>
        <w:t xml:space="preserve"> microalgae can be experimentally challenging.</w:t>
      </w:r>
      <w:r w:rsidR="00B45392" w:rsidRPr="00DE2BB5">
        <w:rPr>
          <w:color w:val="000000"/>
          <w:shd w:val="clear" w:color="auto" w:fill="FFFFFF"/>
        </w:rPr>
        <w:t xml:space="preserve"> </w:t>
      </w:r>
      <w:r w:rsidR="000432FC" w:rsidRPr="00DE2BB5">
        <w:rPr>
          <w:color w:val="000000"/>
          <w:shd w:val="clear" w:color="auto" w:fill="FFFFFF"/>
        </w:rPr>
        <w:t xml:space="preserve">In addition to the </w:t>
      </w:r>
      <w:r w:rsidR="000D01D0" w:rsidRPr="00DE2BB5">
        <w:rPr>
          <w:color w:val="000000"/>
          <w:shd w:val="clear" w:color="auto" w:fill="FFFFFF"/>
        </w:rPr>
        <w:t xml:space="preserve">cultivation </w:t>
      </w:r>
      <w:r w:rsidR="000432FC" w:rsidRPr="00DE2BB5">
        <w:rPr>
          <w:color w:val="000000"/>
          <w:shd w:val="clear" w:color="auto" w:fill="FFFFFF"/>
        </w:rPr>
        <w:t xml:space="preserve">requirements of non-photosynthetic microorganisms, phototrophs </w:t>
      </w:r>
      <w:r w:rsidR="00BE5F8D" w:rsidRPr="00DE2BB5">
        <w:rPr>
          <w:color w:val="000000"/>
          <w:shd w:val="clear" w:color="auto" w:fill="FFFFFF"/>
        </w:rPr>
        <w:t xml:space="preserve">also </w:t>
      </w:r>
      <w:r w:rsidR="006064E6" w:rsidRPr="00DE2BB5">
        <w:rPr>
          <w:color w:val="000000"/>
          <w:shd w:val="clear" w:color="auto" w:fill="FFFFFF"/>
        </w:rPr>
        <w:t>require</w:t>
      </w:r>
      <w:r w:rsidR="000A1846" w:rsidRPr="00DE2BB5">
        <w:rPr>
          <w:color w:val="000000"/>
          <w:shd w:val="clear" w:color="auto" w:fill="FFFFFF"/>
        </w:rPr>
        <w:t xml:space="preserve"> </w:t>
      </w:r>
      <w:r w:rsidR="008A79F9" w:rsidRPr="00DE2BB5">
        <w:rPr>
          <w:color w:val="000000"/>
          <w:shd w:val="clear" w:color="auto" w:fill="FFFFFF"/>
        </w:rPr>
        <w:t>illumination</w:t>
      </w:r>
      <w:r w:rsidR="000A1846" w:rsidRPr="00DE2BB5">
        <w:rPr>
          <w:color w:val="000000"/>
          <w:shd w:val="clear" w:color="auto" w:fill="FFFFFF"/>
        </w:rPr>
        <w:t xml:space="preserve">. </w:t>
      </w:r>
      <w:r w:rsidR="00F41614" w:rsidRPr="00DE2BB5">
        <w:rPr>
          <w:color w:val="000000"/>
          <w:shd w:val="clear" w:color="auto" w:fill="FFFFFF"/>
        </w:rPr>
        <w:t xml:space="preserve">Routinely, researchers </w:t>
      </w:r>
      <w:r w:rsidR="009E6762" w:rsidRPr="00DE2BB5">
        <w:rPr>
          <w:color w:val="000000"/>
          <w:shd w:val="clear" w:color="auto" w:fill="FFFFFF"/>
        </w:rPr>
        <w:t xml:space="preserve">seek to </w:t>
      </w:r>
      <w:r w:rsidR="008A79F9" w:rsidRPr="00DE2BB5">
        <w:rPr>
          <w:color w:val="000000"/>
          <w:shd w:val="clear" w:color="auto" w:fill="FFFFFF"/>
        </w:rPr>
        <w:t>provide custom light supplies</w:t>
      </w:r>
      <w:r w:rsidR="00F41614" w:rsidRPr="00DE2BB5">
        <w:rPr>
          <w:color w:val="000000"/>
          <w:shd w:val="clear" w:color="auto" w:fill="FFFFFF"/>
        </w:rPr>
        <w:t>, i.e., vary the light intensity an</w:t>
      </w:r>
      <w:r w:rsidR="00894DA7" w:rsidRPr="00DE2BB5">
        <w:rPr>
          <w:color w:val="000000"/>
          <w:shd w:val="clear" w:color="auto" w:fill="FFFFFF"/>
        </w:rPr>
        <w:t>d</w:t>
      </w:r>
      <w:r w:rsidR="00F41614" w:rsidRPr="00DE2BB5">
        <w:rPr>
          <w:color w:val="000000"/>
          <w:shd w:val="clear" w:color="auto" w:fill="FFFFFF"/>
        </w:rPr>
        <w:t xml:space="preserve"> </w:t>
      </w:r>
      <w:r w:rsidR="00894DA7" w:rsidRPr="00DE2BB5">
        <w:rPr>
          <w:color w:val="000000"/>
          <w:shd w:val="clear" w:color="auto" w:fill="FFFFFF"/>
        </w:rPr>
        <w:t>time over which</w:t>
      </w:r>
      <w:r w:rsidR="00F41614" w:rsidRPr="00DE2BB5">
        <w:rPr>
          <w:color w:val="000000"/>
          <w:shd w:val="clear" w:color="auto" w:fill="FFFFFF"/>
        </w:rPr>
        <w:t xml:space="preserve"> it is </w:t>
      </w:r>
      <w:r w:rsidR="00F965B1" w:rsidRPr="00DE2BB5">
        <w:rPr>
          <w:color w:val="000000"/>
          <w:shd w:val="clear" w:color="auto" w:fill="FFFFFF"/>
        </w:rPr>
        <w:t>delivered</w:t>
      </w:r>
      <w:r w:rsidR="00F41614" w:rsidRPr="00DE2BB5">
        <w:rPr>
          <w:color w:val="000000"/>
          <w:shd w:val="clear" w:color="auto" w:fill="FFFFFF"/>
        </w:rPr>
        <w:t xml:space="preserve">. </w:t>
      </w:r>
      <w:r w:rsidR="008D15E7" w:rsidRPr="00DE2BB5">
        <w:rPr>
          <w:color w:val="000000"/>
          <w:shd w:val="clear" w:color="auto" w:fill="FFFFFF"/>
        </w:rPr>
        <w:t>S</w:t>
      </w:r>
      <w:r w:rsidR="00ED2A09" w:rsidRPr="00DE2BB5">
        <w:rPr>
          <w:color w:val="000000"/>
          <w:shd w:val="clear" w:color="auto" w:fill="FFFFFF"/>
        </w:rPr>
        <w:t xml:space="preserve">uch </w:t>
      </w:r>
      <w:r w:rsidR="00EC6E71" w:rsidRPr="00DE2BB5">
        <w:rPr>
          <w:color w:val="000000"/>
          <w:shd w:val="clear" w:color="auto" w:fill="FFFFFF"/>
        </w:rPr>
        <w:t>flexibility is</w:t>
      </w:r>
      <w:r w:rsidR="00ED2A09" w:rsidRPr="00DE2BB5">
        <w:rPr>
          <w:color w:val="000000"/>
          <w:shd w:val="clear" w:color="auto" w:fill="FFFFFF"/>
        </w:rPr>
        <w:t xml:space="preserve"> </w:t>
      </w:r>
      <w:r w:rsidR="009444A1">
        <w:rPr>
          <w:color w:val="000000"/>
          <w:shd w:val="clear" w:color="auto" w:fill="FFFFFF"/>
        </w:rPr>
        <w:t>difficult</w:t>
      </w:r>
      <w:r w:rsidR="00ED2A09" w:rsidRPr="00DE2BB5">
        <w:rPr>
          <w:color w:val="000000"/>
          <w:shd w:val="clear" w:color="auto" w:fill="FFFFFF"/>
        </w:rPr>
        <w:t xml:space="preserve"> with s</w:t>
      </w:r>
      <w:r w:rsidR="008D15E7" w:rsidRPr="00DE2BB5">
        <w:rPr>
          <w:color w:val="000000"/>
          <w:shd w:val="clear" w:color="auto" w:fill="FFFFFF"/>
        </w:rPr>
        <w:t>tandard benchtop lights</w:t>
      </w:r>
      <w:r w:rsidR="006E2A87" w:rsidRPr="00DE2BB5">
        <w:rPr>
          <w:color w:val="000000"/>
          <w:shd w:val="clear" w:color="auto" w:fill="FFFFFF"/>
        </w:rPr>
        <w:t xml:space="preserve">. </w:t>
      </w:r>
      <w:r w:rsidR="002D5D62" w:rsidRPr="00DE2BB5">
        <w:rPr>
          <w:color w:val="000000"/>
          <w:shd w:val="clear" w:color="auto" w:fill="FFFFFF"/>
        </w:rPr>
        <w:t>Usually, c</w:t>
      </w:r>
      <w:r w:rsidR="001B101F" w:rsidRPr="00DE2BB5">
        <w:rPr>
          <w:color w:val="000000"/>
          <w:shd w:val="clear" w:color="auto" w:fill="FFFFFF"/>
        </w:rPr>
        <w:t>ultivation studies</w:t>
      </w:r>
      <w:r w:rsidR="002D5D62" w:rsidRPr="00DE2BB5">
        <w:rPr>
          <w:color w:val="000000"/>
          <w:shd w:val="clear" w:color="auto" w:fill="FFFFFF"/>
        </w:rPr>
        <w:t xml:space="preserve"> also</w:t>
      </w:r>
      <w:r w:rsidR="004B3FBE" w:rsidRPr="00DE2BB5">
        <w:rPr>
          <w:color w:val="000000"/>
          <w:shd w:val="clear" w:color="auto" w:fill="FFFFFF"/>
        </w:rPr>
        <w:t xml:space="preserve"> </w:t>
      </w:r>
      <w:r w:rsidR="002D5D62" w:rsidRPr="00DE2BB5">
        <w:rPr>
          <w:color w:val="000000"/>
          <w:shd w:val="clear" w:color="auto" w:fill="FFFFFF"/>
        </w:rPr>
        <w:t xml:space="preserve">require growth comparisons between </w:t>
      </w:r>
      <w:r w:rsidR="004B3FBE" w:rsidRPr="00DE2BB5">
        <w:rPr>
          <w:color w:val="000000"/>
          <w:shd w:val="clear" w:color="auto" w:fill="FFFFFF"/>
        </w:rPr>
        <w:t>experimental treatments</w:t>
      </w:r>
      <w:r w:rsidR="00D9178A" w:rsidRPr="00DE2BB5">
        <w:rPr>
          <w:color w:val="000000"/>
          <w:shd w:val="clear" w:color="auto" w:fill="FFFFFF"/>
        </w:rPr>
        <w:t>.</w:t>
      </w:r>
      <w:r w:rsidR="004265ED" w:rsidRPr="00DE2BB5">
        <w:t xml:space="preserve"> </w:t>
      </w:r>
      <w:r w:rsidR="00D9178A" w:rsidRPr="00DE2BB5">
        <w:t>F</w:t>
      </w:r>
      <w:r w:rsidR="00561917" w:rsidRPr="00DE2BB5">
        <w:t>requently</w:t>
      </w:r>
      <w:r w:rsidR="009E6762" w:rsidRPr="00DE2BB5">
        <w:t>,</w:t>
      </w:r>
      <w:r w:rsidR="00DB5BD2" w:rsidRPr="00DE2BB5">
        <w:t xml:space="preserve"> </w:t>
      </w:r>
      <w:r w:rsidR="009E6762" w:rsidRPr="00DE2BB5">
        <w:t xml:space="preserve">growth </w:t>
      </w:r>
      <w:r w:rsidR="00EA1003" w:rsidRPr="00DE2BB5">
        <w:t>is assessed</w:t>
      </w:r>
      <w:r w:rsidR="00561917" w:rsidRPr="00DE2BB5">
        <w:t xml:space="preserve"> over an extended duration, e.g., multiple times a day over a week</w:t>
      </w:r>
      <w:r w:rsidR="00FD2D74">
        <w:t>-</w:t>
      </w:r>
      <w:r w:rsidR="00561917" w:rsidRPr="00DE2BB5">
        <w:t>long trial.</w:t>
      </w:r>
      <w:r w:rsidR="00711B8A" w:rsidRPr="00DE2BB5">
        <w:t xml:space="preserve"> Manual measurements can be </w:t>
      </w:r>
      <w:r w:rsidR="00EA1003" w:rsidRPr="00DE2BB5">
        <w:t>time</w:t>
      </w:r>
      <w:r w:rsidR="00420FA9" w:rsidRPr="00DE2BB5">
        <w:t>-</w:t>
      </w:r>
      <w:r w:rsidR="00EA1003" w:rsidRPr="00DE2BB5">
        <w:t>consuming</w:t>
      </w:r>
      <w:r w:rsidR="00711B8A" w:rsidRPr="00DE2BB5">
        <w:t xml:space="preserve"> and lack data resolution. </w:t>
      </w:r>
      <w:r w:rsidR="00A14F25" w:rsidRPr="00DE2BB5">
        <w:t xml:space="preserve">Therefore, </w:t>
      </w:r>
      <w:r w:rsidR="00A14F25" w:rsidRPr="00DE2BB5">
        <w:rPr>
          <w:color w:val="000000"/>
          <w:shd w:val="clear" w:color="auto" w:fill="FFFFFF"/>
        </w:rPr>
        <w:t>p</w:t>
      </w:r>
      <w:r w:rsidR="001F5C8C" w:rsidRPr="00DE2BB5">
        <w:rPr>
          <w:color w:val="000000"/>
          <w:shd w:val="clear" w:color="auto" w:fill="FFFFFF"/>
        </w:rPr>
        <w:t>hotobioreactors</w:t>
      </w:r>
      <w:r w:rsidR="00216C82" w:rsidRPr="00DE2BB5">
        <w:rPr>
          <w:color w:val="000000"/>
          <w:shd w:val="clear" w:color="auto" w:fill="FFFFFF"/>
        </w:rPr>
        <w:t xml:space="preserve"> (PBRs)</w:t>
      </w:r>
      <w:r w:rsidR="001F5C8C" w:rsidRPr="00DE2BB5">
        <w:rPr>
          <w:color w:val="000000"/>
          <w:shd w:val="clear" w:color="auto" w:fill="FFFFFF"/>
        </w:rPr>
        <w:t xml:space="preserve"> </w:t>
      </w:r>
      <w:r w:rsidR="006148E9" w:rsidRPr="00DE2BB5">
        <w:rPr>
          <w:color w:val="000000"/>
          <w:shd w:val="clear" w:color="auto" w:fill="FFFFFF"/>
        </w:rPr>
        <w:t xml:space="preserve">with </w:t>
      </w:r>
      <w:r w:rsidR="00B95250" w:rsidRPr="00DE2BB5">
        <w:rPr>
          <w:color w:val="000000"/>
          <w:shd w:val="clear" w:color="auto" w:fill="FFFFFF"/>
        </w:rPr>
        <w:t>automatic growth monitorin</w:t>
      </w:r>
      <w:r w:rsidR="00244791" w:rsidRPr="00DE2BB5">
        <w:rPr>
          <w:color w:val="000000"/>
          <w:shd w:val="clear" w:color="auto" w:fill="FFFFFF"/>
        </w:rPr>
        <w:t xml:space="preserve">g </w:t>
      </w:r>
      <w:r w:rsidR="00E416D2" w:rsidRPr="00DE2BB5">
        <w:rPr>
          <w:color w:val="000000"/>
          <w:shd w:val="clear" w:color="auto" w:fill="FFFFFF"/>
        </w:rPr>
        <w:t xml:space="preserve">and customizable light </w:t>
      </w:r>
      <w:r w:rsidR="00B13F8F" w:rsidRPr="00DE2BB5">
        <w:rPr>
          <w:color w:val="000000"/>
          <w:shd w:val="clear" w:color="auto" w:fill="FFFFFF"/>
        </w:rPr>
        <w:t>supply</w:t>
      </w:r>
      <w:r w:rsidR="00E416D2" w:rsidRPr="00DE2BB5">
        <w:rPr>
          <w:color w:val="000000"/>
          <w:shd w:val="clear" w:color="auto" w:fill="FFFFFF"/>
        </w:rPr>
        <w:t xml:space="preserve"> </w:t>
      </w:r>
      <w:r w:rsidR="00AE0D1F" w:rsidRPr="00DE2BB5">
        <w:rPr>
          <w:color w:val="000000"/>
          <w:shd w:val="clear" w:color="auto" w:fill="FFFFFF"/>
        </w:rPr>
        <w:t xml:space="preserve">are </w:t>
      </w:r>
      <w:r w:rsidR="00382603">
        <w:rPr>
          <w:color w:val="000000"/>
          <w:shd w:val="clear" w:color="auto" w:fill="FFFFFF"/>
        </w:rPr>
        <w:t>useful</w:t>
      </w:r>
      <w:r w:rsidR="00382603" w:rsidRPr="00DE2BB5">
        <w:rPr>
          <w:color w:val="000000"/>
          <w:shd w:val="clear" w:color="auto" w:fill="FFFFFF"/>
        </w:rPr>
        <w:t xml:space="preserve"> </w:t>
      </w:r>
      <w:r w:rsidR="00AE0D1F" w:rsidRPr="00DE2BB5">
        <w:rPr>
          <w:color w:val="000000"/>
          <w:shd w:val="clear" w:color="auto" w:fill="FFFFFF"/>
        </w:rPr>
        <w:t>for</w:t>
      </w:r>
      <w:r w:rsidR="002642F2" w:rsidRPr="00DE2BB5">
        <w:rPr>
          <w:color w:val="000000"/>
          <w:shd w:val="clear" w:color="auto" w:fill="FFFFFF"/>
        </w:rPr>
        <w:t xml:space="preserve"> </w:t>
      </w:r>
      <w:r w:rsidR="00EA0EE4" w:rsidRPr="00DE2BB5">
        <w:rPr>
          <w:color w:val="000000"/>
          <w:shd w:val="clear" w:color="auto" w:fill="FFFFFF"/>
        </w:rPr>
        <w:t>replicated experiments with multiple treatments.</w:t>
      </w:r>
      <w:r w:rsidR="00711B8A" w:rsidRPr="00DE2BB5">
        <w:rPr>
          <w:color w:val="000000"/>
          <w:shd w:val="clear" w:color="auto" w:fill="FFFFFF"/>
        </w:rPr>
        <w:t xml:space="preserve"> </w:t>
      </w:r>
      <w:r w:rsidR="00562138" w:rsidRPr="00DE2BB5">
        <w:t>Th</w:t>
      </w:r>
      <w:r w:rsidR="00A44531" w:rsidRPr="00DE2BB5">
        <w:t>e current</w:t>
      </w:r>
      <w:r w:rsidR="004F4163" w:rsidRPr="00DE2BB5">
        <w:t xml:space="preserve"> </w:t>
      </w:r>
      <w:r w:rsidR="00A14F25" w:rsidRPr="00DE2BB5">
        <w:t>work</w:t>
      </w:r>
      <w:r w:rsidR="00562138" w:rsidRPr="00DE2BB5">
        <w:t xml:space="preserve"> </w:t>
      </w:r>
      <w:r w:rsidR="003B74EB" w:rsidRPr="00DE2BB5">
        <w:t>present</w:t>
      </w:r>
      <w:r w:rsidR="00562138" w:rsidRPr="00DE2BB5">
        <w:t>s</w:t>
      </w:r>
      <w:r w:rsidR="003B74EB" w:rsidRPr="00DE2BB5">
        <w:t xml:space="preserve"> the design, construction, and operation of laboratory </w:t>
      </w:r>
      <w:r w:rsidR="001F5C8C" w:rsidRPr="00DE2BB5">
        <w:t>PBRs</w:t>
      </w:r>
      <w:r w:rsidR="00E960E4" w:rsidRPr="00DE2BB5">
        <w:t>.</w:t>
      </w:r>
      <w:r w:rsidR="00232E56" w:rsidRPr="00DE2BB5">
        <w:t xml:space="preserve"> The materials </w:t>
      </w:r>
      <w:r w:rsidR="00931B78" w:rsidRPr="00DE2BB5">
        <w:t>are</w:t>
      </w:r>
      <w:r w:rsidR="00232E56" w:rsidRPr="00DE2BB5">
        <w:t xml:space="preserve"> easily sourced and relatively inexpensive</w:t>
      </w:r>
      <w:r w:rsidR="00B0471F" w:rsidRPr="00DE2BB5">
        <w:t>.</w:t>
      </w:r>
      <w:r w:rsidR="00C00D41" w:rsidRPr="00DE2BB5">
        <w:t xml:space="preserve"> </w:t>
      </w:r>
      <w:r w:rsidR="00B0471F" w:rsidRPr="00DE2BB5">
        <w:t>The</w:t>
      </w:r>
      <w:r w:rsidR="00232E56" w:rsidRPr="00DE2BB5">
        <w:t xml:space="preserve"> design could be duplicated with moderate skill</w:t>
      </w:r>
      <w:r w:rsidR="00392579" w:rsidRPr="00DE2BB5">
        <w:t xml:space="preserve">. </w:t>
      </w:r>
      <w:r w:rsidR="00232E56" w:rsidRPr="00DE2BB5">
        <w:t>Each structure has a footprint of ~40 cm</w:t>
      </w:r>
      <w:r w:rsidR="00232E56" w:rsidRPr="00DE2BB5">
        <w:rPr>
          <w:vertAlign w:val="superscript"/>
        </w:rPr>
        <w:t>2</w:t>
      </w:r>
      <w:r w:rsidR="00232E56" w:rsidRPr="00DE2BB5">
        <w:t xml:space="preserve"> and hosts three 1 L glass bottles</w:t>
      </w:r>
      <w:r w:rsidR="006052E2" w:rsidRPr="00DE2BB5">
        <w:t xml:space="preserve"> for triplicate replication</w:t>
      </w:r>
      <w:r w:rsidR="004053AF" w:rsidRPr="00DE2BB5">
        <w:t xml:space="preserve">. </w:t>
      </w:r>
      <w:r w:rsidR="002C41AF" w:rsidRPr="00DE2BB5">
        <w:t>Bottles</w:t>
      </w:r>
      <w:r w:rsidR="00232E56" w:rsidRPr="00DE2BB5">
        <w:t xml:space="preserve"> rest upon platforms containing magnetic stirrers</w:t>
      </w:r>
      <w:r w:rsidR="002C41AF" w:rsidRPr="00DE2BB5">
        <w:t xml:space="preserve"> and</w:t>
      </w:r>
      <w:r w:rsidR="00232E56" w:rsidRPr="00DE2BB5">
        <w:t xml:space="preserve"> are arranged vertically within a 1 m high </w:t>
      </w:r>
      <w:r w:rsidR="00A44531" w:rsidRPr="00DE2BB5">
        <w:t xml:space="preserve">and </w:t>
      </w:r>
      <w:r w:rsidR="00232E56" w:rsidRPr="00DE2BB5">
        <w:t xml:space="preserve">15 cm diameter polyvinyl chloride (PVC) pipe. </w:t>
      </w:r>
      <w:r w:rsidR="004053AF" w:rsidRPr="00DE2BB5">
        <w:t>The pipe interior</w:t>
      </w:r>
      <w:r w:rsidR="00232E56" w:rsidRPr="00DE2BB5">
        <w:t xml:space="preserve"> is lined with light</w:t>
      </w:r>
      <w:r w:rsidR="00A44531" w:rsidRPr="00DE2BB5">
        <w:t>-</w:t>
      </w:r>
      <w:r w:rsidR="00232E56" w:rsidRPr="00DE2BB5">
        <w:t>emitting diode</w:t>
      </w:r>
      <w:r w:rsidR="007A0126" w:rsidRPr="00DE2BB5">
        <w:t>s</w:t>
      </w:r>
      <w:r w:rsidR="00232E56" w:rsidRPr="00DE2BB5">
        <w:t xml:space="preserve"> (LED</w:t>
      </w:r>
      <w:r w:rsidR="007A0126" w:rsidRPr="00DE2BB5">
        <w:t>s)</w:t>
      </w:r>
      <w:r w:rsidR="00232E56" w:rsidRPr="00DE2BB5">
        <w:t>.</w:t>
      </w:r>
      <w:r w:rsidR="00BF0B90" w:rsidRPr="00DE2BB5">
        <w:t xml:space="preserve"> </w:t>
      </w:r>
      <w:r w:rsidR="00A65CD4" w:rsidRPr="00DE2BB5">
        <w:t>The</w:t>
      </w:r>
      <w:r w:rsidR="00A36CD2" w:rsidRPr="00DE2BB5">
        <w:t>se</w:t>
      </w:r>
      <w:r w:rsidR="00A65CD4" w:rsidRPr="00DE2BB5">
        <w:t xml:space="preserve"> LEDs produce continuous light intensities from 0–2400 µmol</w:t>
      </w:r>
      <w:r w:rsidR="00A44531" w:rsidRPr="00DE2BB5">
        <w:t xml:space="preserve"> </w:t>
      </w:r>
      <w:r w:rsidR="00A65CD4" w:rsidRPr="00DE2BB5">
        <w:t>photons</w:t>
      </w:r>
      <w:r w:rsidR="00A44531" w:rsidRPr="00DE2BB5">
        <w:t xml:space="preserve"> </w:t>
      </w:r>
      <w:r w:rsidR="00A65CD4" w:rsidRPr="00DE2BB5">
        <w:t>m</w:t>
      </w:r>
      <w:r w:rsidR="00A65CD4" w:rsidRPr="00DE2BB5">
        <w:rPr>
          <w:vertAlign w:val="superscript"/>
        </w:rPr>
        <w:t>-2</w:t>
      </w:r>
      <w:r w:rsidR="00A44531" w:rsidRPr="00DE2BB5">
        <w:t xml:space="preserve"> </w:t>
      </w:r>
      <w:r w:rsidR="00A65CD4" w:rsidRPr="00DE2BB5">
        <w:t>s</w:t>
      </w:r>
      <w:r w:rsidR="00A65CD4" w:rsidRPr="00DE2BB5">
        <w:rPr>
          <w:vertAlign w:val="superscript"/>
        </w:rPr>
        <w:t>-1</w:t>
      </w:r>
      <w:r w:rsidR="00A65CD4" w:rsidRPr="00DE2BB5">
        <w:t xml:space="preserve"> of photosynthetically active radiation</w:t>
      </w:r>
      <w:r w:rsidR="00D76E34" w:rsidRPr="00DE2BB5">
        <w:t xml:space="preserve"> (PAR)</w:t>
      </w:r>
      <w:r w:rsidR="00A65CD4" w:rsidRPr="00DE2BB5">
        <w:t xml:space="preserve">. </w:t>
      </w:r>
      <w:r w:rsidR="00D76E34" w:rsidRPr="00DE2BB5">
        <w:t xml:space="preserve">Users design </w:t>
      </w:r>
      <w:r w:rsidR="00EE550C">
        <w:t>a custom</w:t>
      </w:r>
      <w:r w:rsidR="00D76E34" w:rsidRPr="00DE2BB5">
        <w:t xml:space="preserve"> lighting program</w:t>
      </w:r>
      <w:r w:rsidR="007F21E8" w:rsidRPr="00DE2BB5">
        <w:t>.</w:t>
      </w:r>
      <w:r w:rsidR="00D76E34" w:rsidRPr="00DE2BB5">
        <w:t xml:space="preserve"> </w:t>
      </w:r>
      <w:r w:rsidR="00C00D41" w:rsidRPr="00DE2BB5">
        <w:t>The l</w:t>
      </w:r>
      <w:r w:rsidR="0049639E" w:rsidRPr="00DE2BB5">
        <w:t>ight intensity can be adjusted each second</w:t>
      </w:r>
      <w:r w:rsidR="00A438C1" w:rsidRPr="00DE2BB5">
        <w:t xml:space="preserve"> </w:t>
      </w:r>
      <w:r w:rsidR="0049639E" w:rsidRPr="00DE2BB5">
        <w:t xml:space="preserve">or held constant for longer durations. </w:t>
      </w:r>
      <w:r w:rsidR="00D40EB3" w:rsidRPr="00DE2BB5">
        <w:t xml:space="preserve">Oxygen </w:t>
      </w:r>
      <w:r w:rsidR="009B27AE" w:rsidRPr="00DE2BB5">
        <w:t xml:space="preserve">produced </w:t>
      </w:r>
      <w:r w:rsidR="009B27AE" w:rsidRPr="00DE2BB5">
        <w:lastRenderedPageBreak/>
        <w:t xml:space="preserve">from photosynthesis exits each bottle </w:t>
      </w:r>
      <w:r w:rsidR="00295EDD">
        <w:rPr>
          <w:i/>
          <w:iCs/>
        </w:rPr>
        <w:t xml:space="preserve">via </w:t>
      </w:r>
      <w:r w:rsidR="009B27AE" w:rsidRPr="00DE2BB5">
        <w:t xml:space="preserve">a </w:t>
      </w:r>
      <w:r w:rsidR="000C32F4" w:rsidRPr="00DE2BB5">
        <w:t xml:space="preserve">one-way </w:t>
      </w:r>
      <w:r w:rsidR="009B27AE" w:rsidRPr="00DE2BB5">
        <w:t>volumetric gas sensor</w:t>
      </w:r>
      <w:r w:rsidR="002721BD" w:rsidRPr="00DE2BB5">
        <w:t xml:space="preserve">. </w:t>
      </w:r>
      <w:r w:rsidR="00D31508">
        <w:t>S</w:t>
      </w:r>
      <w:r w:rsidR="00C52AB9" w:rsidRPr="00DE2BB5">
        <w:t xml:space="preserve">oftware </w:t>
      </w:r>
      <w:r w:rsidR="00D31508">
        <w:t xml:space="preserve">is used to </w:t>
      </w:r>
      <w:r w:rsidR="00C52AB9" w:rsidRPr="00DE2BB5">
        <w:t>record</w:t>
      </w:r>
      <w:r w:rsidR="00D31508">
        <w:t xml:space="preserve"> </w:t>
      </w:r>
      <w:r w:rsidR="00C52AB9" w:rsidRPr="00DE2BB5">
        <w:t xml:space="preserve">gas sensor data. </w:t>
      </w:r>
      <w:r w:rsidR="002721BD" w:rsidRPr="00DE2BB5">
        <w:t xml:space="preserve">The amount of oxygen produced can be correlated to biomass growth. </w:t>
      </w:r>
      <w:r w:rsidR="004510F4" w:rsidRPr="00DE2BB5">
        <w:t xml:space="preserve">If biomass samples are required, a syringe can be used to extract culture. </w:t>
      </w:r>
      <w:r w:rsidR="002721BD" w:rsidRPr="00DE2BB5">
        <w:t xml:space="preserve">The method is suited for microalgae </w:t>
      </w:r>
      <w:r w:rsidR="00970F20" w:rsidRPr="00DE2BB5">
        <w:t>grown with</w:t>
      </w:r>
      <w:r w:rsidR="002721BD" w:rsidRPr="00DE2BB5">
        <w:t xml:space="preserve"> bicarbonate as </w:t>
      </w:r>
      <w:r w:rsidR="00970F20" w:rsidRPr="00DE2BB5">
        <w:t>the</w:t>
      </w:r>
      <w:r w:rsidR="002721BD" w:rsidRPr="00DE2BB5">
        <w:t xml:space="preserve"> carbon source.</w:t>
      </w:r>
      <w:r w:rsidR="00C81103" w:rsidRPr="00DE2BB5">
        <w:t xml:space="preserve"> </w:t>
      </w:r>
      <w:r w:rsidR="005D0490" w:rsidRPr="00DE2BB5">
        <w:t>T</w:t>
      </w:r>
      <w:r w:rsidR="003B74EB" w:rsidRPr="00DE2BB5">
        <w:t xml:space="preserve">hese PBRs are </w:t>
      </w:r>
      <w:r w:rsidR="007631C2" w:rsidRPr="00DE2BB5">
        <w:t>valuable</w:t>
      </w:r>
      <w:r w:rsidR="003B74EB" w:rsidRPr="00DE2BB5">
        <w:t xml:space="preserve"> to a laboratory </w:t>
      </w:r>
      <w:r w:rsidR="00214ABA">
        <w:t>that requires</w:t>
      </w:r>
      <w:r w:rsidR="008100A3" w:rsidRPr="00DE2BB5">
        <w:t xml:space="preserve"> </w:t>
      </w:r>
      <w:r w:rsidR="003B74EB" w:rsidRPr="00DE2BB5">
        <w:t>replicated experiments, light regime flexibility, and continuous high</w:t>
      </w:r>
      <w:r w:rsidR="007631C2" w:rsidRPr="00DE2BB5">
        <w:t>-</w:t>
      </w:r>
      <w:r w:rsidR="003B74EB" w:rsidRPr="00DE2BB5">
        <w:t>resolution growth data.</w:t>
      </w:r>
    </w:p>
    <w:p w14:paraId="11935293" w14:textId="77777777" w:rsidR="008F0014" w:rsidRPr="00DE2BB5" w:rsidRDefault="008F0014" w:rsidP="00DE2BB5"/>
    <w:p w14:paraId="2125551F" w14:textId="452EB482" w:rsidR="007D2184" w:rsidRPr="00DE2BB5" w:rsidRDefault="003B74EB" w:rsidP="00DE2BB5">
      <w:pPr>
        <w:rPr>
          <w:b/>
          <w:bCs/>
        </w:rPr>
      </w:pPr>
      <w:r w:rsidRPr="00DE2BB5">
        <w:rPr>
          <w:b/>
          <w:bCs/>
        </w:rPr>
        <w:t>INTRODUCTION:</w:t>
      </w:r>
    </w:p>
    <w:p w14:paraId="303F5BAE" w14:textId="70C4994F" w:rsidR="007D2184" w:rsidRPr="00DE2BB5" w:rsidRDefault="00131011" w:rsidP="00DE2BB5">
      <w:r w:rsidRPr="00DE2BB5">
        <w:t>M</w:t>
      </w:r>
      <w:r w:rsidR="003B74EB" w:rsidRPr="00DE2BB5">
        <w:t>icroalgae</w:t>
      </w:r>
      <w:r w:rsidRPr="00DE2BB5">
        <w:t xml:space="preserve"> and cyanobacteria</w:t>
      </w:r>
      <w:r w:rsidR="00F928F6" w:rsidRPr="00DE2BB5">
        <w:t>,</w:t>
      </w:r>
      <w:r w:rsidRPr="00DE2BB5">
        <w:t xml:space="preserve"> collectively </w:t>
      </w:r>
      <w:r w:rsidR="00F928F6" w:rsidRPr="00DE2BB5">
        <w:t>called</w:t>
      </w:r>
      <w:r w:rsidRPr="00DE2BB5">
        <w:t xml:space="preserve"> microalgae for simplicity,</w:t>
      </w:r>
      <w:r w:rsidR="001F040E" w:rsidRPr="00DE2BB5">
        <w:t xml:space="preserve"> </w:t>
      </w:r>
      <w:r w:rsidR="003B74EB" w:rsidRPr="00DE2BB5">
        <w:t>are championed for their potential in sustainable biotechnology. They are attractive candidates due to their rapid growth, ability to be cultivated on non-arable land, and</w:t>
      </w:r>
      <w:r w:rsidR="00616838">
        <w:t xml:space="preserve"> for</w:t>
      </w:r>
      <w:r w:rsidR="003B74EB" w:rsidRPr="00DE2BB5">
        <w:t xml:space="preserve"> </w:t>
      </w:r>
      <w:r w:rsidR="00684AAB" w:rsidRPr="00DE2BB5">
        <w:t xml:space="preserve">their </w:t>
      </w:r>
      <w:r w:rsidR="003B74EB" w:rsidRPr="00DE2BB5">
        <w:t>us</w:t>
      </w:r>
      <w:r w:rsidR="00684AAB" w:rsidRPr="00DE2BB5">
        <w:t>e</w:t>
      </w:r>
      <w:r w:rsidR="003B74EB" w:rsidRPr="00DE2BB5">
        <w:t xml:space="preserve"> </w:t>
      </w:r>
      <w:r w:rsidR="00740D33" w:rsidRPr="00DE2BB5">
        <w:t xml:space="preserve">of </w:t>
      </w:r>
      <w:r w:rsidR="003B74EB" w:rsidRPr="00DE2BB5">
        <w:t xml:space="preserve">sunlight to drive </w:t>
      </w:r>
      <w:r w:rsidR="009D404A" w:rsidRPr="00DE2BB5">
        <w:t xml:space="preserve">the conversion of </w:t>
      </w:r>
      <w:r w:rsidR="003B74EB" w:rsidRPr="00DE2BB5">
        <w:t xml:space="preserve">carbon dioxide </w:t>
      </w:r>
      <w:r w:rsidR="00C64F65" w:rsidRPr="00DE2BB5">
        <w:t>to biomass</w:t>
      </w:r>
      <w:r w:rsidR="00890845">
        <w:rPr>
          <w:vertAlign w:val="superscript"/>
        </w:rPr>
        <w:t>1</w:t>
      </w:r>
      <w:r w:rsidR="00B77DEA">
        <w:rPr>
          <w:vertAlign w:val="superscript"/>
        </w:rPr>
        <w:t>–</w:t>
      </w:r>
      <w:r w:rsidR="00890845">
        <w:rPr>
          <w:vertAlign w:val="superscript"/>
        </w:rPr>
        <w:t>3</w:t>
      </w:r>
      <w:r w:rsidR="003B74EB" w:rsidRPr="00DE2BB5">
        <w:t xml:space="preserve">. </w:t>
      </w:r>
      <w:r w:rsidR="00F93984" w:rsidRPr="00DE2BB5">
        <w:t>Microalga</w:t>
      </w:r>
      <w:r w:rsidR="00FB2B0B" w:rsidRPr="00DE2BB5">
        <w:t>l biomass</w:t>
      </w:r>
      <w:r w:rsidR="00F93984" w:rsidRPr="00DE2BB5">
        <w:t xml:space="preserve"> </w:t>
      </w:r>
      <w:r w:rsidR="003B74EB" w:rsidRPr="00DE2BB5">
        <w:t xml:space="preserve">can </w:t>
      </w:r>
      <w:r w:rsidR="00FB2B0B" w:rsidRPr="00DE2BB5">
        <w:t xml:space="preserve">be </w:t>
      </w:r>
      <w:r w:rsidR="00D26857" w:rsidRPr="00DE2BB5">
        <w:t>convert</w:t>
      </w:r>
      <w:r w:rsidR="00FB2B0B" w:rsidRPr="00DE2BB5">
        <w:t>ed</w:t>
      </w:r>
      <w:r w:rsidR="00D26857" w:rsidRPr="00DE2BB5">
        <w:t xml:space="preserve"> into </w:t>
      </w:r>
      <w:r w:rsidR="003B74EB" w:rsidRPr="00DE2BB5">
        <w:t xml:space="preserve">products </w:t>
      </w:r>
      <w:r w:rsidR="004322F1">
        <w:t>such as</w:t>
      </w:r>
      <w:r w:rsidR="004322F1" w:rsidRPr="00DE2BB5">
        <w:t xml:space="preserve"> </w:t>
      </w:r>
      <w:r w:rsidR="003B74EB" w:rsidRPr="00DE2BB5">
        <w:t xml:space="preserve">bioenergy in </w:t>
      </w:r>
      <w:r w:rsidR="009878B6">
        <w:t xml:space="preserve">the form of </w:t>
      </w:r>
      <w:r w:rsidR="003B74EB" w:rsidRPr="00DE2BB5">
        <w:t>oil or gas, food dyes</w:t>
      </w:r>
      <w:r w:rsidR="00737874">
        <w:t xml:space="preserve"> and </w:t>
      </w:r>
      <w:r w:rsidR="003B74EB" w:rsidRPr="00DE2BB5">
        <w:t xml:space="preserve">nutritional supplements, and materials </w:t>
      </w:r>
      <w:r w:rsidR="004322F1">
        <w:t>such as</w:t>
      </w:r>
      <w:r w:rsidR="004322F1" w:rsidRPr="00DE2BB5">
        <w:t xml:space="preserve"> </w:t>
      </w:r>
      <w:r w:rsidR="003B74EB" w:rsidRPr="00DE2BB5">
        <w:t>biopolymers</w:t>
      </w:r>
      <w:r w:rsidR="000466EF" w:rsidRPr="00DE2BB5">
        <w:rPr>
          <w:vertAlign w:val="superscript"/>
        </w:rPr>
        <w:t>1</w:t>
      </w:r>
      <w:r w:rsidR="00D27826">
        <w:rPr>
          <w:vertAlign w:val="superscript"/>
        </w:rPr>
        <w:t>,4</w:t>
      </w:r>
      <w:r w:rsidR="00B77DEA">
        <w:rPr>
          <w:vertAlign w:val="superscript"/>
        </w:rPr>
        <w:t>–</w:t>
      </w:r>
      <w:r w:rsidR="00D27826">
        <w:rPr>
          <w:vertAlign w:val="superscript"/>
        </w:rPr>
        <w:t>7</w:t>
      </w:r>
      <w:r w:rsidR="003B74EB" w:rsidRPr="00DE2BB5">
        <w:t xml:space="preserve">. In addition, they can </w:t>
      </w:r>
      <w:r w:rsidR="00C93202" w:rsidRPr="00DE2BB5">
        <w:t xml:space="preserve">be used to </w:t>
      </w:r>
      <w:r w:rsidR="00114ABB" w:rsidRPr="00DE2BB5">
        <w:t>treat wastewater or remediate waterbodies by consuming excess nutrients</w:t>
      </w:r>
      <w:r w:rsidR="000936DB">
        <w:rPr>
          <w:vertAlign w:val="superscript"/>
        </w:rPr>
        <w:t>8</w:t>
      </w:r>
      <w:r w:rsidR="00985F3B" w:rsidRPr="00DE2BB5">
        <w:rPr>
          <w:vertAlign w:val="superscript"/>
        </w:rPr>
        <w:t>,</w:t>
      </w:r>
      <w:r w:rsidR="000936DB">
        <w:rPr>
          <w:vertAlign w:val="superscript"/>
        </w:rPr>
        <w:t>9</w:t>
      </w:r>
      <w:r w:rsidR="00114ABB" w:rsidRPr="00DE2BB5">
        <w:t>.</w:t>
      </w:r>
      <w:r w:rsidR="00987866" w:rsidRPr="00DE2BB5">
        <w:t xml:space="preserve"> </w:t>
      </w:r>
      <w:r w:rsidR="003B74EB" w:rsidRPr="00DE2BB5">
        <w:t>Given this, microalga</w:t>
      </w:r>
      <w:r w:rsidR="00987866" w:rsidRPr="00DE2BB5">
        <w:t>l</w:t>
      </w:r>
      <w:r w:rsidR="00760151" w:rsidRPr="00DE2BB5">
        <w:t xml:space="preserve"> research</w:t>
      </w:r>
      <w:r w:rsidR="003B74EB" w:rsidRPr="00DE2BB5">
        <w:t xml:space="preserve"> is widespread and established</w:t>
      </w:r>
      <w:r w:rsidR="00760151" w:rsidRPr="00DE2BB5">
        <w:t>.</w:t>
      </w:r>
      <w:r w:rsidR="003B74EB" w:rsidRPr="00DE2BB5">
        <w:t xml:space="preserve"> Th</w:t>
      </w:r>
      <w:r w:rsidR="00A436ED" w:rsidRPr="00DE2BB5">
        <w:t>e</w:t>
      </w:r>
      <w:r w:rsidR="003B74EB" w:rsidRPr="00DE2BB5">
        <w:t xml:space="preserve"> field </w:t>
      </w:r>
      <w:r w:rsidR="00386DF9" w:rsidRPr="00DE2BB5">
        <w:t>grows</w:t>
      </w:r>
      <w:r w:rsidR="003B74EB" w:rsidRPr="00DE2BB5">
        <w:t xml:space="preserve"> as </w:t>
      </w:r>
      <w:r w:rsidR="0099604C" w:rsidRPr="00DE2BB5">
        <w:t xml:space="preserve">society </w:t>
      </w:r>
      <w:r w:rsidR="003B74EB" w:rsidRPr="00DE2BB5">
        <w:t>reconsider</w:t>
      </w:r>
      <w:r w:rsidR="00A436ED" w:rsidRPr="00DE2BB5">
        <w:t>s</w:t>
      </w:r>
      <w:r w:rsidR="003B74EB" w:rsidRPr="00DE2BB5">
        <w:t xml:space="preserve"> the carbon intensity and environmental sustainability of current </w:t>
      </w:r>
      <w:r w:rsidR="006B3E9D" w:rsidRPr="00DE2BB5">
        <w:t>manufacturing and energy generation approaches</w:t>
      </w:r>
      <w:r w:rsidR="003B74EB" w:rsidRPr="00DE2BB5">
        <w:t>.</w:t>
      </w:r>
    </w:p>
    <w:p w14:paraId="09ACFEC0" w14:textId="77777777" w:rsidR="007D2184" w:rsidRPr="00DE2BB5" w:rsidRDefault="007D2184" w:rsidP="00DE2BB5"/>
    <w:p w14:paraId="73942745" w14:textId="7F7A79F6" w:rsidR="00A52325" w:rsidRPr="00DE2BB5" w:rsidRDefault="003451C5" w:rsidP="00DE2BB5">
      <w:r w:rsidRPr="00DE2BB5">
        <w:t>T</w:t>
      </w:r>
      <w:r w:rsidR="003B74EB" w:rsidRPr="00DE2BB5">
        <w:t xml:space="preserve">hree fundamental requirements of laboratory-based </w:t>
      </w:r>
      <w:r w:rsidR="00A436ED" w:rsidRPr="00DE2BB5">
        <w:t xml:space="preserve">microalgal </w:t>
      </w:r>
      <w:r w:rsidR="003B74EB" w:rsidRPr="00DE2BB5">
        <w:t>stud</w:t>
      </w:r>
      <w:r w:rsidR="00A436ED" w:rsidRPr="00DE2BB5">
        <w:t>ies</w:t>
      </w:r>
      <w:r w:rsidR="00016C8B" w:rsidRPr="00DE2BB5">
        <w:t xml:space="preserve"> </w:t>
      </w:r>
      <w:r w:rsidR="003B74EB" w:rsidRPr="00DE2BB5">
        <w:t>are a culture vessel, light source, and method to quantify growth. The term photobioreactor (PBR) describes a set-up in which culture vessels are illuminated</w:t>
      </w:r>
      <w:r w:rsidR="00205745">
        <w:rPr>
          <w:vertAlign w:val="superscript"/>
        </w:rPr>
        <w:t>10</w:t>
      </w:r>
      <w:r w:rsidR="003B74EB" w:rsidRPr="00DE2BB5">
        <w:t xml:space="preserve">. Commonly, studies of </w:t>
      </w:r>
      <w:r w:rsidR="00A436ED" w:rsidRPr="00DE2BB5">
        <w:t>microalgae</w:t>
      </w:r>
      <w:r w:rsidR="003B74EB" w:rsidRPr="00DE2BB5">
        <w:t xml:space="preserve"> aim to compare growth between two or more </w:t>
      </w:r>
      <w:r w:rsidR="00A4502B" w:rsidRPr="00DE2BB5">
        <w:t>treatments</w:t>
      </w:r>
      <w:r w:rsidR="003B74EB" w:rsidRPr="00DE2BB5">
        <w:t>, e.g., different growth media, light regimes, or species</w:t>
      </w:r>
      <w:r w:rsidR="00DB5E52">
        <w:rPr>
          <w:vertAlign w:val="superscript"/>
        </w:rPr>
        <w:t>11</w:t>
      </w:r>
      <w:r w:rsidR="00B77DEA">
        <w:rPr>
          <w:vertAlign w:val="superscript"/>
        </w:rPr>
        <w:t>–</w:t>
      </w:r>
      <w:r w:rsidR="00DB5E52">
        <w:rPr>
          <w:vertAlign w:val="superscript"/>
        </w:rPr>
        <w:t>13</w:t>
      </w:r>
      <w:r w:rsidR="003B74EB" w:rsidRPr="00DE2BB5">
        <w:t>. For statistical relevance</w:t>
      </w:r>
      <w:r w:rsidR="008F1ED3" w:rsidRPr="00DE2BB5">
        <w:t>,</w:t>
      </w:r>
      <w:r w:rsidR="003B74EB" w:rsidRPr="00DE2BB5">
        <w:t xml:space="preserve"> each condition, e.g., treatment and control, should be replicated. If control and treatment are run simultaneously</w:t>
      </w:r>
      <w:r w:rsidR="001D2ABD" w:rsidRPr="00DE2BB5">
        <w:t>,</w:t>
      </w:r>
      <w:r w:rsidR="003B74EB" w:rsidRPr="00DE2BB5">
        <w:t xml:space="preserve"> this means many PBRs must be monitored and sampled for the duration of an experiment. The challenge with operating multiple PBRs is two-fold. Firstly, supplying a uniform light intensity to each PBR is </w:t>
      </w:r>
      <w:r w:rsidR="00430BAA" w:rsidRPr="00DE2BB5">
        <w:t>essential</w:t>
      </w:r>
      <w:r w:rsidR="003B74EB" w:rsidRPr="00DE2BB5">
        <w:t xml:space="preserve"> for reproducibility but can be difficult. The amount of light incident on the vessel surface is influenced by </w:t>
      </w:r>
      <w:r w:rsidR="00BF3606" w:rsidRPr="00DE2BB5">
        <w:t>its</w:t>
      </w:r>
      <w:r w:rsidR="003B74EB" w:rsidRPr="00DE2BB5">
        <w:t xml:space="preserve"> distance from the light source, shading from adjacent vessels, and background light fluctuations</w:t>
      </w:r>
      <w:r w:rsidR="00714ACF">
        <w:rPr>
          <w:vertAlign w:val="superscript"/>
        </w:rPr>
        <w:t>14</w:t>
      </w:r>
      <w:r w:rsidR="003B74EB" w:rsidRPr="00DE2BB5">
        <w:t>.</w:t>
      </w:r>
      <w:r w:rsidR="006F3E32" w:rsidRPr="00DE2BB5">
        <w:t xml:space="preserve"> </w:t>
      </w:r>
      <w:r w:rsidR="003B74EB" w:rsidRPr="00DE2BB5">
        <w:t xml:space="preserve">Secondly, </w:t>
      </w:r>
      <w:r w:rsidR="005921D6" w:rsidRPr="00DE2BB5">
        <w:t>a</w:t>
      </w:r>
      <w:r w:rsidR="00F20C1A" w:rsidRPr="00DE2BB5">
        <w:t xml:space="preserve"> </w:t>
      </w:r>
      <w:r w:rsidR="00BB704B" w:rsidRPr="00DE2BB5">
        <w:t xml:space="preserve">method to </w:t>
      </w:r>
      <w:r w:rsidR="00BF3F5E">
        <w:t xml:space="preserve">accurately </w:t>
      </w:r>
      <w:r w:rsidR="00430BAA" w:rsidRPr="00DE2BB5">
        <w:t xml:space="preserve">quantify growth </w:t>
      </w:r>
      <w:r w:rsidR="00640AD4" w:rsidRPr="00DE2BB5">
        <w:t>must be selected</w:t>
      </w:r>
      <w:r w:rsidR="00725C9E" w:rsidRPr="00DE2BB5">
        <w:t>.</w:t>
      </w:r>
    </w:p>
    <w:p w14:paraId="59B1C26E" w14:textId="77777777" w:rsidR="00A52325" w:rsidRPr="00DE2BB5" w:rsidRDefault="00A52325" w:rsidP="00DE2BB5"/>
    <w:p w14:paraId="3FBBC07A" w14:textId="025F7A34" w:rsidR="0045771C" w:rsidRPr="00DE2BB5" w:rsidRDefault="00A82917" w:rsidP="00DE2BB5">
      <w:r>
        <w:t>Growth is commonly measured by cell count, optical density (OD), chlorophyll A content, dry weight (DW) density, and ash-free dry weight (AFDW) density</w:t>
      </w:r>
      <w:r w:rsidR="00CF550C">
        <w:rPr>
          <w:vertAlign w:val="superscript"/>
        </w:rPr>
        <w:t>15</w:t>
      </w:r>
      <w:r w:rsidR="006424E3" w:rsidRPr="00DE2BB5">
        <w:t>.</w:t>
      </w:r>
      <w:r w:rsidR="00F16A9C" w:rsidRPr="00DE2BB5">
        <w:t xml:space="preserve"> </w:t>
      </w:r>
      <w:r w:rsidR="0090463A" w:rsidRPr="00DE2BB5">
        <w:t>Cell counts, chlorophyll A</w:t>
      </w:r>
      <w:r w:rsidR="006363C5" w:rsidRPr="00DE2BB5">
        <w:t xml:space="preserve"> content</w:t>
      </w:r>
      <w:r w:rsidR="0090463A" w:rsidRPr="00DE2BB5">
        <w:t xml:space="preserve">, and gravimetric methods are manual processes </w:t>
      </w:r>
      <w:r w:rsidR="00047C36" w:rsidRPr="00DE2BB5">
        <w:t>that</w:t>
      </w:r>
      <w:r w:rsidR="0090463A" w:rsidRPr="00DE2BB5">
        <w:t xml:space="preserve"> produce discrete data points. </w:t>
      </w:r>
      <w:r w:rsidR="0027282D" w:rsidRPr="00DE2BB5">
        <w:t xml:space="preserve">OD can be measured continuously </w:t>
      </w:r>
      <w:r w:rsidR="0040370C" w:rsidRPr="00DE2BB5">
        <w:t xml:space="preserve">and non-invasively </w:t>
      </w:r>
      <w:r w:rsidR="0027282D" w:rsidRPr="00DE2BB5">
        <w:t xml:space="preserve">with a </w:t>
      </w:r>
      <w:r w:rsidR="00DF5E52" w:rsidRPr="00DE2BB5">
        <w:t>spectrophotometer</w:t>
      </w:r>
      <w:r w:rsidR="003F3FBD" w:rsidRPr="00DE2BB5">
        <w:t xml:space="preserve">, </w:t>
      </w:r>
      <w:r w:rsidR="004322F1" w:rsidRPr="00DE2BB5">
        <w:t>provid</w:t>
      </w:r>
      <w:r w:rsidR="004322F1">
        <w:t>ed</w:t>
      </w:r>
      <w:r w:rsidR="004322F1" w:rsidRPr="00DE2BB5">
        <w:t xml:space="preserve"> </w:t>
      </w:r>
      <w:r w:rsidR="003F3FBD" w:rsidRPr="00DE2BB5">
        <w:t>it is</w:t>
      </w:r>
      <w:r w:rsidR="00DF5E52" w:rsidRPr="00DE2BB5">
        <w:t xml:space="preserve"> </w:t>
      </w:r>
      <w:r w:rsidR="00CF35A0" w:rsidRPr="00DE2BB5">
        <w:t>well</w:t>
      </w:r>
      <w:r w:rsidR="00047C36" w:rsidRPr="00DE2BB5">
        <w:t>-</w:t>
      </w:r>
      <w:r w:rsidR="00DF5E52" w:rsidRPr="00DE2BB5">
        <w:t xml:space="preserve">calibrated against another method </w:t>
      </w:r>
      <w:r w:rsidR="004322F1">
        <w:t>such as</w:t>
      </w:r>
      <w:r w:rsidR="004322F1" w:rsidRPr="00DE2BB5">
        <w:t xml:space="preserve"> </w:t>
      </w:r>
      <w:r w:rsidR="00DF5E52" w:rsidRPr="00DE2BB5">
        <w:t>AFDW</w:t>
      </w:r>
      <w:r w:rsidR="00D64E89" w:rsidRPr="00DE2BB5">
        <w:t xml:space="preserve"> density</w:t>
      </w:r>
      <w:r w:rsidR="00CF550C">
        <w:rPr>
          <w:vertAlign w:val="superscript"/>
        </w:rPr>
        <w:t>15</w:t>
      </w:r>
      <w:r w:rsidR="00DF5E52" w:rsidRPr="00DE2BB5">
        <w:t>.</w:t>
      </w:r>
      <w:r w:rsidR="00CF35A0" w:rsidRPr="00DE2BB5">
        <w:t xml:space="preserve"> </w:t>
      </w:r>
      <w:r w:rsidR="00CA2CA5" w:rsidRPr="00DE2BB5">
        <w:t xml:space="preserve">However, </w:t>
      </w:r>
      <w:r w:rsidR="00C553A7" w:rsidRPr="00DE2BB5">
        <w:t>OD measurements</w:t>
      </w:r>
      <w:r w:rsidR="00986C9F" w:rsidRPr="00DE2BB5">
        <w:t xml:space="preserve"> and Chlorophyll A content</w:t>
      </w:r>
      <w:r w:rsidR="00C553A7" w:rsidRPr="00DE2BB5">
        <w:t xml:space="preserve"> can be unreliable</w:t>
      </w:r>
      <w:r w:rsidR="008B7A21" w:rsidRPr="00DE2BB5">
        <w:t xml:space="preserve"> </w:t>
      </w:r>
      <w:r w:rsidR="00B12AD7" w:rsidRPr="00DE2BB5">
        <w:t>as results vary under different culture conditions, e.g., between species and throughout the growth cycle</w:t>
      </w:r>
      <w:r w:rsidR="00CF550C">
        <w:rPr>
          <w:vertAlign w:val="superscript"/>
        </w:rPr>
        <w:t>15</w:t>
      </w:r>
      <w:r w:rsidR="00B348AB" w:rsidRPr="00DE2BB5">
        <w:rPr>
          <w:vertAlign w:val="superscript"/>
        </w:rPr>
        <w:t>,</w:t>
      </w:r>
      <w:r w:rsidR="00CF550C">
        <w:rPr>
          <w:vertAlign w:val="superscript"/>
        </w:rPr>
        <w:t>16</w:t>
      </w:r>
      <w:r w:rsidR="00B12AD7" w:rsidRPr="00DE2BB5">
        <w:t xml:space="preserve">. </w:t>
      </w:r>
      <w:r w:rsidR="00986C9F" w:rsidRPr="00DE2BB5">
        <w:t>For Chlorophyll A, the extraction method can also impact pigment yield</w:t>
      </w:r>
      <w:r w:rsidR="003C38D9" w:rsidRPr="00DE2BB5">
        <w:rPr>
          <w:vertAlign w:val="superscript"/>
        </w:rPr>
        <w:t>1</w:t>
      </w:r>
      <w:r w:rsidR="00482DF1">
        <w:rPr>
          <w:vertAlign w:val="superscript"/>
        </w:rPr>
        <w:t>7</w:t>
      </w:r>
      <w:r w:rsidR="00986C9F" w:rsidRPr="00DE2BB5">
        <w:t xml:space="preserve">. </w:t>
      </w:r>
      <w:r w:rsidR="0017425A">
        <w:t xml:space="preserve">Chlorophyll A content is </w:t>
      </w:r>
      <w:r w:rsidR="001C61A5">
        <w:t xml:space="preserve">particularly </w:t>
      </w:r>
      <w:r w:rsidR="00B47F77">
        <w:t>usef</w:t>
      </w:r>
      <w:r w:rsidR="001C61A5">
        <w:t xml:space="preserve">ul </w:t>
      </w:r>
      <w:r w:rsidR="00B47F77">
        <w:t xml:space="preserve">in tracking the growth of microalgae within microbial communities </w:t>
      </w:r>
      <w:r w:rsidR="001C61A5">
        <w:t>which</w:t>
      </w:r>
      <w:r w:rsidR="00B47F77">
        <w:t xml:space="preserve"> also contain non-photosynthetic organisms</w:t>
      </w:r>
      <w:r w:rsidR="003C38D9" w:rsidRPr="00DE2BB5">
        <w:rPr>
          <w:vertAlign w:val="superscript"/>
        </w:rPr>
        <w:t>1</w:t>
      </w:r>
      <w:r w:rsidR="00C37658">
        <w:rPr>
          <w:vertAlign w:val="superscript"/>
        </w:rPr>
        <w:t>7</w:t>
      </w:r>
      <w:r w:rsidR="00FE7ED0" w:rsidRPr="00DE2BB5">
        <w:rPr>
          <w:vertAlign w:val="superscript"/>
        </w:rPr>
        <w:t>,1</w:t>
      </w:r>
      <w:r w:rsidR="00C37658">
        <w:rPr>
          <w:vertAlign w:val="superscript"/>
        </w:rPr>
        <w:t>8</w:t>
      </w:r>
      <w:r w:rsidR="00586363" w:rsidRPr="00DE2BB5">
        <w:t xml:space="preserve">. </w:t>
      </w:r>
      <w:r w:rsidR="0071641D" w:rsidRPr="00DE2BB5">
        <w:t xml:space="preserve">When choosing a method to </w:t>
      </w:r>
      <w:r w:rsidR="00502643" w:rsidRPr="00DE2BB5">
        <w:t>determine</w:t>
      </w:r>
      <w:r w:rsidR="0071641D" w:rsidRPr="00DE2BB5">
        <w:t xml:space="preserve"> growth, </w:t>
      </w:r>
      <w:r w:rsidR="00DE7F2C">
        <w:t xml:space="preserve">it is essential to consider </w:t>
      </w:r>
      <w:r w:rsidR="0071641D" w:rsidRPr="00DE2BB5">
        <w:t xml:space="preserve">the </w:t>
      </w:r>
      <w:r w:rsidR="00A4038E" w:rsidRPr="00DE2BB5">
        <w:t>morphology of the suspension</w:t>
      </w:r>
      <w:r w:rsidR="0089338E" w:rsidRPr="00DE2BB5">
        <w:t>. W</w:t>
      </w:r>
      <w:r w:rsidR="0035159B" w:rsidRPr="00DE2BB5">
        <w:t>hen organisms clump and are not</w:t>
      </w:r>
      <w:r w:rsidR="00502643" w:rsidRPr="00DE2BB5">
        <w:t xml:space="preserve"> </w:t>
      </w:r>
      <w:r w:rsidR="0035159B" w:rsidRPr="00DE2BB5">
        <w:t>well mixed</w:t>
      </w:r>
      <w:r w:rsidR="00FF1CB3" w:rsidRPr="00DE2BB5">
        <w:t xml:space="preserve">, OD </w:t>
      </w:r>
      <w:r w:rsidR="00114E68" w:rsidRPr="00DE2BB5">
        <w:t>and cell counts aren</w:t>
      </w:r>
      <w:r w:rsidR="004A13EF" w:rsidRPr="00DE2BB5">
        <w:t>'</w:t>
      </w:r>
      <w:r w:rsidR="00114E68" w:rsidRPr="00DE2BB5">
        <w:t xml:space="preserve">t </w:t>
      </w:r>
      <w:r w:rsidR="004B5039" w:rsidRPr="00DE2BB5">
        <w:t>possible</w:t>
      </w:r>
      <w:r w:rsidR="00C37658">
        <w:rPr>
          <w:vertAlign w:val="superscript"/>
        </w:rPr>
        <w:t>15</w:t>
      </w:r>
      <w:r w:rsidR="004B5039" w:rsidRPr="00DE2BB5">
        <w:t>.</w:t>
      </w:r>
      <w:r w:rsidR="00105E3A" w:rsidRPr="00DE2BB5">
        <w:t xml:space="preserve"> A</w:t>
      </w:r>
      <w:r w:rsidR="004322F1">
        <w:t xml:space="preserve"> single</w:t>
      </w:r>
      <w:r w:rsidR="00105E3A" w:rsidRPr="00DE2BB5">
        <w:t xml:space="preserve"> method is not suited to all experimental applications</w:t>
      </w:r>
      <w:r w:rsidR="009755FD" w:rsidRPr="00DE2BB5">
        <w:t>—</w:t>
      </w:r>
      <w:r w:rsidR="00053CA7" w:rsidRPr="00DE2BB5">
        <w:t>researchers must decid</w:t>
      </w:r>
      <w:r w:rsidR="004E7F1C" w:rsidRPr="00DE2BB5">
        <w:t>e which method</w:t>
      </w:r>
      <w:r w:rsidR="00B1199F" w:rsidRPr="00DE2BB5">
        <w:t>s are</w:t>
      </w:r>
      <w:r w:rsidR="004E7F1C" w:rsidRPr="00DE2BB5">
        <w:t xml:space="preserve"> </w:t>
      </w:r>
      <w:r w:rsidR="007E3043" w:rsidRPr="00DE2BB5">
        <w:t>practical and relevant to their experimental aims.</w:t>
      </w:r>
    </w:p>
    <w:p w14:paraId="7DD2DE56" w14:textId="77777777" w:rsidR="00105E3A" w:rsidRPr="00DE2BB5" w:rsidRDefault="00105E3A" w:rsidP="00DE2BB5"/>
    <w:p w14:paraId="0ED07175" w14:textId="7C39BA64" w:rsidR="004C4AC6" w:rsidRPr="00DE2BB5" w:rsidRDefault="007B5D71" w:rsidP="00DE2BB5">
      <w:r w:rsidRPr="00DE2BB5">
        <w:lastRenderedPageBreak/>
        <w:t xml:space="preserve">AFDW </w:t>
      </w:r>
      <w:r w:rsidR="003231DB" w:rsidRPr="00DE2BB5">
        <w:t xml:space="preserve">is a reliable method that </w:t>
      </w:r>
      <w:r w:rsidR="005F6D6E" w:rsidRPr="00DE2BB5">
        <w:t xml:space="preserve">enables </w:t>
      </w:r>
      <w:r w:rsidR="004B1F88" w:rsidRPr="00DE2BB5">
        <w:t xml:space="preserve">growth comparisons </w:t>
      </w:r>
      <w:r w:rsidR="009A3800" w:rsidRPr="00DE2BB5">
        <w:t>among</w:t>
      </w:r>
      <w:r w:rsidR="004B1F88" w:rsidRPr="00DE2BB5">
        <w:t xml:space="preserve"> </w:t>
      </w:r>
      <w:r w:rsidR="00AF5479" w:rsidRPr="00DE2BB5">
        <w:t>various</w:t>
      </w:r>
      <w:r w:rsidR="004B1F88" w:rsidRPr="00DE2BB5">
        <w:t xml:space="preserve"> culture conditions</w:t>
      </w:r>
      <w:r w:rsidR="00FA3900" w:rsidRPr="00DE2BB5">
        <w:t>,</w:t>
      </w:r>
      <w:r w:rsidR="004B1F88" w:rsidRPr="00DE2BB5">
        <w:t xml:space="preserve"> </w:t>
      </w:r>
      <w:r w:rsidR="0004686F" w:rsidRPr="00DE2BB5">
        <w:t>notably</w:t>
      </w:r>
      <w:r w:rsidR="00EA54E2">
        <w:t>,</w:t>
      </w:r>
      <w:r w:rsidR="0004686F" w:rsidRPr="00DE2BB5">
        <w:t xml:space="preserve"> between species and culture media</w:t>
      </w:r>
      <w:r w:rsidR="009D1D99">
        <w:rPr>
          <w:vertAlign w:val="superscript"/>
        </w:rPr>
        <w:t>15</w:t>
      </w:r>
      <w:r w:rsidR="00F24F06" w:rsidRPr="00DE2BB5">
        <w:rPr>
          <w:vertAlign w:val="superscript"/>
        </w:rPr>
        <w:t>,1</w:t>
      </w:r>
      <w:r w:rsidR="005E5437">
        <w:rPr>
          <w:vertAlign w:val="superscript"/>
        </w:rPr>
        <w:t>9</w:t>
      </w:r>
      <w:r w:rsidR="00B77DEA">
        <w:rPr>
          <w:vertAlign w:val="superscript"/>
        </w:rPr>
        <w:t>–</w:t>
      </w:r>
      <w:r w:rsidR="005E5437">
        <w:rPr>
          <w:vertAlign w:val="superscript"/>
        </w:rPr>
        <w:t>20</w:t>
      </w:r>
      <w:r w:rsidR="0004686F" w:rsidRPr="00DE2BB5">
        <w:t xml:space="preserve">. </w:t>
      </w:r>
      <w:r w:rsidR="00830DF3">
        <w:t>To calculate</w:t>
      </w:r>
      <w:r w:rsidR="006A2568" w:rsidRPr="00DE2BB5">
        <w:t xml:space="preserve"> AFDW, </w:t>
      </w:r>
      <w:r w:rsidR="00AF5479" w:rsidRPr="00DE2BB5">
        <w:t>a sample of microalgal culture is first</w:t>
      </w:r>
      <w:r w:rsidR="00450599" w:rsidRPr="00DE2BB5">
        <w:t xml:space="preserve"> concentrated, either by filtration or centrifugation</w:t>
      </w:r>
      <w:r w:rsidR="00AF5479" w:rsidRPr="00DE2BB5">
        <w:t>,</w:t>
      </w:r>
      <w:r w:rsidR="00450599" w:rsidRPr="00DE2BB5">
        <w:t xml:space="preserve"> and dried. </w:t>
      </w:r>
      <w:r w:rsidR="0058776F" w:rsidRPr="00DE2BB5">
        <w:t>At this stage</w:t>
      </w:r>
      <w:r w:rsidR="00386DF9" w:rsidRPr="00DE2BB5">
        <w:t>,</w:t>
      </w:r>
      <w:r w:rsidR="0058776F" w:rsidRPr="00DE2BB5">
        <w:t xml:space="preserve"> the DW can be </w:t>
      </w:r>
      <w:r w:rsidR="00333A5C" w:rsidRPr="00DE2BB5">
        <w:t>determined</w:t>
      </w:r>
      <w:r w:rsidR="0058776F" w:rsidRPr="00DE2BB5">
        <w:t>.</w:t>
      </w:r>
      <w:r w:rsidR="00D31333" w:rsidRPr="00DE2BB5">
        <w:t xml:space="preserve"> </w:t>
      </w:r>
      <w:r w:rsidR="002E2C5B" w:rsidRPr="00DE2BB5">
        <w:t>Usually, t</w:t>
      </w:r>
      <w:r w:rsidR="00D369BD" w:rsidRPr="00DE2BB5">
        <w:t xml:space="preserve">he </w:t>
      </w:r>
      <w:r w:rsidR="00DD0F59" w:rsidRPr="00DE2BB5">
        <w:t xml:space="preserve">DW </w:t>
      </w:r>
      <w:r w:rsidR="00D369BD" w:rsidRPr="00DE2BB5">
        <w:t>sample</w:t>
      </w:r>
      <w:r w:rsidR="00B1179C" w:rsidRPr="00DE2BB5">
        <w:t xml:space="preserve"> </w:t>
      </w:r>
      <w:r w:rsidR="008B0978" w:rsidRPr="00DE2BB5">
        <w:t xml:space="preserve">contains at least </w:t>
      </w:r>
      <w:r w:rsidR="00DD0F59" w:rsidRPr="00DE2BB5">
        <w:t>8</w:t>
      </w:r>
      <w:r w:rsidR="00B77DEA">
        <w:t>%–</w:t>
      </w:r>
      <w:r w:rsidR="00DD0F59" w:rsidRPr="00DE2BB5">
        <w:t>10% ash</w:t>
      </w:r>
      <w:r w:rsidR="003D2E4C" w:rsidRPr="00DE2BB5">
        <w:t>—</w:t>
      </w:r>
      <w:r w:rsidR="00C36A2C" w:rsidRPr="00DE2BB5">
        <w:t xml:space="preserve">inorganic material </w:t>
      </w:r>
      <w:r w:rsidR="004322F1">
        <w:t>such as</w:t>
      </w:r>
      <w:r w:rsidR="004322F1" w:rsidRPr="00DE2BB5">
        <w:t xml:space="preserve"> </w:t>
      </w:r>
      <w:r w:rsidR="00C36A2C" w:rsidRPr="00DE2BB5">
        <w:t>salts and particulate matter</w:t>
      </w:r>
      <w:r w:rsidR="00E30079">
        <w:rPr>
          <w:vertAlign w:val="superscript"/>
        </w:rPr>
        <w:t>15</w:t>
      </w:r>
      <w:r w:rsidR="00C36A2C" w:rsidRPr="00DE2BB5">
        <w:t xml:space="preserve">. </w:t>
      </w:r>
      <w:r w:rsidR="00BE5209" w:rsidRPr="00DE2BB5">
        <w:t>DW track</w:t>
      </w:r>
      <w:r w:rsidR="000528F7" w:rsidRPr="00DE2BB5">
        <w:t>s</w:t>
      </w:r>
      <w:r w:rsidR="00BE5209" w:rsidRPr="00DE2BB5">
        <w:t xml:space="preserve"> growth </w:t>
      </w:r>
      <w:r w:rsidR="006C4DC6" w:rsidRPr="00DE2BB5">
        <w:t>trends</w:t>
      </w:r>
      <w:r w:rsidR="00BE5209" w:rsidRPr="00DE2BB5">
        <w:t xml:space="preserve"> </w:t>
      </w:r>
      <w:r w:rsidR="000528F7" w:rsidRPr="00DE2BB5">
        <w:t xml:space="preserve">but </w:t>
      </w:r>
      <w:r w:rsidR="004D462F" w:rsidRPr="00DE2BB5">
        <w:t>c</w:t>
      </w:r>
      <w:r w:rsidR="000528F7" w:rsidRPr="00DE2BB5">
        <w:t xml:space="preserve">an be skewed </w:t>
      </w:r>
      <w:r w:rsidR="004D462F" w:rsidRPr="00DE2BB5">
        <w:t xml:space="preserve">if the contribution of inorganics </w:t>
      </w:r>
      <w:r w:rsidR="00023133" w:rsidRPr="00DE2BB5">
        <w:t>varies</w:t>
      </w:r>
      <w:r w:rsidR="004D462F" w:rsidRPr="00DE2BB5">
        <w:t>.</w:t>
      </w:r>
      <w:r w:rsidR="0060255F" w:rsidRPr="00DE2BB5">
        <w:t xml:space="preserve"> </w:t>
      </w:r>
      <w:r w:rsidR="0087458B">
        <w:t>To determine</w:t>
      </w:r>
      <w:r w:rsidR="00902DF8" w:rsidRPr="00DE2BB5">
        <w:t xml:space="preserve"> </w:t>
      </w:r>
      <w:r w:rsidR="0098727E" w:rsidRPr="00DE2BB5">
        <w:t>AFDW</w:t>
      </w:r>
      <w:r w:rsidR="006C6669" w:rsidRPr="00DE2BB5">
        <w:t xml:space="preserve"> density,</w:t>
      </w:r>
      <w:r w:rsidR="0098727E" w:rsidRPr="00DE2BB5">
        <w:t xml:space="preserve"> d</w:t>
      </w:r>
      <w:r w:rsidR="00450599" w:rsidRPr="00DE2BB5">
        <w:t>r</w:t>
      </w:r>
      <w:r w:rsidR="0098727E" w:rsidRPr="00DE2BB5">
        <w:t>y</w:t>
      </w:r>
      <w:r w:rsidR="00450599" w:rsidRPr="00DE2BB5">
        <w:t xml:space="preserve"> biomass is combusted at high temperature</w:t>
      </w:r>
      <w:r w:rsidR="00A16313" w:rsidRPr="00DE2BB5">
        <w:t>;</w:t>
      </w:r>
      <w:r w:rsidR="00450599" w:rsidRPr="00DE2BB5">
        <w:t xml:space="preserve"> this vaporizes the organic or useful portion while leaving ash (inorganics) behind</w:t>
      </w:r>
      <w:r w:rsidR="00D90C70" w:rsidRPr="00DE2BB5">
        <w:rPr>
          <w:vertAlign w:val="superscript"/>
        </w:rPr>
        <w:t>1</w:t>
      </w:r>
      <w:r w:rsidR="0046235A">
        <w:rPr>
          <w:vertAlign w:val="superscript"/>
        </w:rPr>
        <w:t>9</w:t>
      </w:r>
      <w:r w:rsidR="006C4C8F" w:rsidRPr="00DE2BB5">
        <w:t>.</w:t>
      </w:r>
      <w:r w:rsidR="009629B9" w:rsidRPr="00DE2BB5">
        <w:t xml:space="preserve"> </w:t>
      </w:r>
      <w:r w:rsidR="00037958" w:rsidRPr="00DE2BB5">
        <w:t>T</w:t>
      </w:r>
      <w:r w:rsidR="009A579E" w:rsidRPr="00DE2BB5">
        <w:t xml:space="preserve">o calculate </w:t>
      </w:r>
      <w:r w:rsidR="00B313BE">
        <w:t xml:space="preserve">the </w:t>
      </w:r>
      <w:r w:rsidR="009A579E" w:rsidRPr="00DE2BB5">
        <w:t>AFDW</w:t>
      </w:r>
      <w:r w:rsidR="00A16313" w:rsidRPr="00DE2BB5">
        <w:t>,</w:t>
      </w:r>
      <w:r w:rsidR="009A579E" w:rsidRPr="00DE2BB5">
        <w:t xml:space="preserve"> the </w:t>
      </w:r>
      <w:r w:rsidR="00C2582C" w:rsidRPr="00DE2BB5">
        <w:t>weight of the ash fraction is subtracted from that of the DW fraction</w:t>
      </w:r>
      <w:r w:rsidR="009A579E" w:rsidRPr="00DE2BB5">
        <w:t xml:space="preserve">. </w:t>
      </w:r>
      <w:r w:rsidR="0090690F" w:rsidRPr="00DE2BB5">
        <w:t>Typically</w:t>
      </w:r>
      <w:r w:rsidR="00616EF2" w:rsidRPr="00DE2BB5">
        <w:t>,</w:t>
      </w:r>
      <w:r w:rsidR="0090690F" w:rsidRPr="00DE2BB5">
        <w:t xml:space="preserve"> </w:t>
      </w:r>
      <w:r w:rsidR="00A16313" w:rsidRPr="00DE2BB5">
        <w:t xml:space="preserve">in </w:t>
      </w:r>
      <w:r w:rsidR="0090690F" w:rsidRPr="00DE2BB5">
        <w:t>microalgal suspensions</w:t>
      </w:r>
      <w:r w:rsidR="00A16313" w:rsidRPr="00DE2BB5">
        <w:t>, AFDW</w:t>
      </w:r>
      <w:r w:rsidR="0090690F" w:rsidRPr="00DE2BB5">
        <w:t xml:space="preserve"> </w:t>
      </w:r>
      <w:r w:rsidR="00616EF2" w:rsidRPr="00DE2BB5">
        <w:t>range</w:t>
      </w:r>
      <w:r w:rsidR="00A16313" w:rsidRPr="00DE2BB5">
        <w:t>s</w:t>
      </w:r>
      <w:r w:rsidR="00616EF2" w:rsidRPr="00DE2BB5">
        <w:t xml:space="preserve"> from</w:t>
      </w:r>
      <w:r w:rsidR="0090690F" w:rsidRPr="00DE2BB5">
        <w:t xml:space="preserve"> </w:t>
      </w:r>
      <w:r w:rsidR="005359EE" w:rsidRPr="00DE2BB5">
        <w:t>0.1</w:t>
      </w:r>
      <w:r w:rsidR="00B77DEA">
        <w:t>–</w:t>
      </w:r>
      <w:r w:rsidR="00920DD6" w:rsidRPr="00DE2BB5">
        <w:t>3</w:t>
      </w:r>
      <w:r w:rsidR="005359EE" w:rsidRPr="00DE2BB5">
        <w:t xml:space="preserve"> </w:t>
      </w:r>
      <w:r w:rsidR="00A16313" w:rsidRPr="00DE2BB5">
        <w:t>g/L</w:t>
      </w:r>
      <w:r w:rsidR="009237C2" w:rsidRPr="00DE2BB5">
        <w:rPr>
          <w:vertAlign w:val="superscript"/>
        </w:rPr>
        <w:t>1</w:t>
      </w:r>
      <w:r w:rsidR="001873CB">
        <w:rPr>
          <w:vertAlign w:val="superscript"/>
        </w:rPr>
        <w:t>2</w:t>
      </w:r>
      <w:r w:rsidR="001B3577">
        <w:rPr>
          <w:vertAlign w:val="superscript"/>
        </w:rPr>
        <w:t>,</w:t>
      </w:r>
      <w:r w:rsidR="00DE6291">
        <w:rPr>
          <w:vertAlign w:val="superscript"/>
        </w:rPr>
        <w:t>21,</w:t>
      </w:r>
      <w:r w:rsidR="001B3577">
        <w:rPr>
          <w:vertAlign w:val="superscript"/>
        </w:rPr>
        <w:t>22</w:t>
      </w:r>
      <w:r w:rsidR="009237C2" w:rsidRPr="00DE2BB5">
        <w:t>.</w:t>
      </w:r>
      <w:r w:rsidR="005359EE" w:rsidRPr="00DE2BB5">
        <w:t xml:space="preserve"> Small volumes of dilute suspensions yield little </w:t>
      </w:r>
      <w:r w:rsidR="000C38BB" w:rsidRPr="00DE2BB5">
        <w:t xml:space="preserve">dry </w:t>
      </w:r>
      <w:r w:rsidR="005359EE" w:rsidRPr="00DE2BB5">
        <w:t>biomass, &lt;10 mg.</w:t>
      </w:r>
      <w:r w:rsidR="007605F4" w:rsidRPr="00DE2BB5">
        <w:t xml:space="preserve"> </w:t>
      </w:r>
      <w:r w:rsidR="00602A36" w:rsidRPr="00DE2BB5">
        <w:t xml:space="preserve">After </w:t>
      </w:r>
      <w:r w:rsidR="003669BF" w:rsidRPr="00DE2BB5">
        <w:t>combustion</w:t>
      </w:r>
      <w:r w:rsidR="004B536A" w:rsidRPr="00DE2BB5">
        <w:t>,</w:t>
      </w:r>
      <w:r w:rsidR="0040128A" w:rsidRPr="00DE2BB5">
        <w:t xml:space="preserve"> ash </w:t>
      </w:r>
      <w:r w:rsidR="00602A36" w:rsidRPr="00DE2BB5">
        <w:t xml:space="preserve">may only </w:t>
      </w:r>
      <w:r w:rsidR="00322D10" w:rsidRPr="00DE2BB5">
        <w:t>weigh</w:t>
      </w:r>
      <w:r w:rsidR="00E560D2" w:rsidRPr="00DE2BB5">
        <w:t xml:space="preserve"> 1 mg.</w:t>
      </w:r>
      <w:r w:rsidR="0040128A" w:rsidRPr="00DE2BB5">
        <w:t xml:space="preserve"> </w:t>
      </w:r>
      <w:r w:rsidR="00E560D2" w:rsidRPr="00DE2BB5">
        <w:t>Therefore</w:t>
      </w:r>
      <w:r w:rsidR="00F33647" w:rsidRPr="00DE2BB5">
        <w:t xml:space="preserve">, </w:t>
      </w:r>
      <w:r w:rsidR="0090600B" w:rsidRPr="00DE2BB5">
        <w:t xml:space="preserve">depending on the culture density, </w:t>
      </w:r>
      <w:r w:rsidR="00E560D2" w:rsidRPr="00DE2BB5">
        <w:t>th</w:t>
      </w:r>
      <w:r w:rsidR="00322D10" w:rsidRPr="00DE2BB5">
        <w:t>is</w:t>
      </w:r>
      <w:r w:rsidR="00E560D2" w:rsidRPr="00DE2BB5">
        <w:t xml:space="preserve"> method requires </w:t>
      </w:r>
      <w:r w:rsidR="00830DF3">
        <w:t xml:space="preserve">volumes </w:t>
      </w:r>
      <w:r w:rsidR="006D42AE">
        <w:t>between</w:t>
      </w:r>
      <w:r w:rsidR="00830DF3">
        <w:t xml:space="preserve"> </w:t>
      </w:r>
      <w:r w:rsidR="004B536A" w:rsidRPr="00DE2BB5">
        <w:t>5</w:t>
      </w:r>
      <w:r w:rsidR="00E44924">
        <w:t>–</w:t>
      </w:r>
      <w:r w:rsidR="004B536A" w:rsidRPr="00DE2BB5">
        <w:t xml:space="preserve">100 mL </w:t>
      </w:r>
      <w:r w:rsidR="00A07155" w:rsidRPr="00DE2BB5">
        <w:t xml:space="preserve">and </w:t>
      </w:r>
      <w:r w:rsidR="00E560D2" w:rsidRPr="00DE2BB5">
        <w:t>analytical scales</w:t>
      </w:r>
      <w:r w:rsidR="00CB35A8" w:rsidRPr="00DE2BB5">
        <w:t xml:space="preserve"> </w:t>
      </w:r>
      <w:r w:rsidR="00E560D2" w:rsidRPr="00DE2BB5">
        <w:t>accurate to</w:t>
      </w:r>
      <w:r w:rsidR="00A07155" w:rsidRPr="00DE2BB5">
        <w:t xml:space="preserve"> </w:t>
      </w:r>
      <w:r w:rsidR="00E560D2" w:rsidRPr="00DE2BB5">
        <w:t>0.1 mg</w:t>
      </w:r>
      <w:r w:rsidR="00717724">
        <w:rPr>
          <w:vertAlign w:val="superscript"/>
        </w:rPr>
        <w:t>1</w:t>
      </w:r>
      <w:r w:rsidR="00621876">
        <w:rPr>
          <w:vertAlign w:val="superscript"/>
        </w:rPr>
        <w:t>2,15</w:t>
      </w:r>
      <w:r w:rsidR="00330890" w:rsidRPr="00DE2BB5">
        <w:rPr>
          <w:vertAlign w:val="superscript"/>
        </w:rPr>
        <w:t>,</w:t>
      </w:r>
      <w:r w:rsidR="00621876">
        <w:rPr>
          <w:vertAlign w:val="superscript"/>
        </w:rPr>
        <w:t>19</w:t>
      </w:r>
      <w:r w:rsidR="00E4425D" w:rsidRPr="00DE2BB5">
        <w:rPr>
          <w:vertAlign w:val="superscript"/>
        </w:rPr>
        <w:t>,</w:t>
      </w:r>
      <w:r w:rsidR="00844990">
        <w:rPr>
          <w:vertAlign w:val="superscript"/>
        </w:rPr>
        <w:t>22</w:t>
      </w:r>
      <w:r w:rsidR="00E560D2" w:rsidRPr="00DE2BB5">
        <w:t>.</w:t>
      </w:r>
      <w:r w:rsidR="006F73CF" w:rsidRPr="00DE2BB5">
        <w:t xml:space="preserve"> Laboratory PBRs are typically small, a couple of liters at most, hence every liquid sample depletes culture volume</w:t>
      </w:r>
      <w:r w:rsidR="0054711B" w:rsidRPr="00DE2BB5">
        <w:t xml:space="preserve">. </w:t>
      </w:r>
      <w:r w:rsidR="00B01008" w:rsidRPr="00DE2BB5">
        <w:t>Further</w:t>
      </w:r>
      <w:r w:rsidR="00353543" w:rsidRPr="00DE2BB5">
        <w:t>, the AFDW method is manual</w:t>
      </w:r>
      <w:r w:rsidR="00F529E8" w:rsidRPr="00DE2BB5">
        <w:t xml:space="preserve"> and takes 2</w:t>
      </w:r>
      <w:r w:rsidR="00E44924">
        <w:t>–</w:t>
      </w:r>
      <w:r w:rsidR="00F529E8" w:rsidRPr="00DE2BB5">
        <w:t xml:space="preserve">3 days. </w:t>
      </w:r>
      <w:r w:rsidR="00353543" w:rsidRPr="00DE2BB5">
        <w:t xml:space="preserve">For </w:t>
      </w:r>
      <w:r w:rsidR="004C4AC6" w:rsidRPr="00DE2BB5">
        <w:t xml:space="preserve">replicated and repetitive experiments, an automated </w:t>
      </w:r>
      <w:r w:rsidR="00F529E8" w:rsidRPr="00DE2BB5">
        <w:t xml:space="preserve">and continuous </w:t>
      </w:r>
      <w:r w:rsidR="00D015B1" w:rsidRPr="00DE2BB5">
        <w:t>process</w:t>
      </w:r>
      <w:r w:rsidR="00F529E8" w:rsidRPr="00DE2BB5">
        <w:t xml:space="preserve"> is preferable.</w:t>
      </w:r>
    </w:p>
    <w:p w14:paraId="31DA14A9" w14:textId="002B04F9" w:rsidR="004F1F4E" w:rsidRPr="00DE2BB5" w:rsidRDefault="004F1F4E" w:rsidP="00DE2BB5"/>
    <w:p w14:paraId="27D241C0" w14:textId="0944A9FD" w:rsidR="007D2184" w:rsidRPr="00DE2BB5" w:rsidRDefault="00FE0047" w:rsidP="00DE2BB5">
      <w:r w:rsidRPr="00DE2BB5">
        <w:t>For</w:t>
      </w:r>
      <w:r w:rsidR="00EF7561" w:rsidRPr="00DE2BB5">
        <w:t xml:space="preserve"> microalga</w:t>
      </w:r>
      <w:r w:rsidR="002B4A10" w:rsidRPr="00DE2BB5">
        <w:t>e</w:t>
      </w:r>
      <w:r w:rsidR="00EF7561" w:rsidRPr="00DE2BB5">
        <w:t xml:space="preserve"> that use </w:t>
      </w:r>
      <w:r w:rsidR="00B33071" w:rsidRPr="00DE2BB5">
        <w:t>bicarbonate as the carbon source</w:t>
      </w:r>
      <w:r w:rsidRPr="00DE2BB5">
        <w:t>, t</w:t>
      </w:r>
      <w:r w:rsidR="00CC34B1" w:rsidRPr="00DE2BB5">
        <w:t>wo additional growth metrics</w:t>
      </w:r>
      <w:r w:rsidR="003D5551" w:rsidRPr="00DE2BB5">
        <w:t xml:space="preserve"> can be measured continuously</w:t>
      </w:r>
      <w:r w:rsidR="00B33071" w:rsidRPr="00DE2BB5">
        <w:t xml:space="preserve">. </w:t>
      </w:r>
      <w:r w:rsidR="0052136C" w:rsidRPr="00DE2BB5">
        <w:t xml:space="preserve">Photosynthesis consumes bicarbonate and </w:t>
      </w:r>
      <w:r w:rsidR="00BB7B8A" w:rsidRPr="00DE2BB5">
        <w:t>produces</w:t>
      </w:r>
      <w:r w:rsidR="0052136C" w:rsidRPr="00DE2BB5">
        <w:t xml:space="preserve"> oxygen</w:t>
      </w:r>
      <w:r w:rsidR="009C2118" w:rsidRPr="00DE2BB5">
        <w:t>.</w:t>
      </w:r>
      <w:r w:rsidR="00D22546" w:rsidRPr="00DE2BB5">
        <w:t xml:space="preserve"> </w:t>
      </w:r>
      <w:r w:rsidR="009C2118" w:rsidRPr="00DE2BB5">
        <w:t>Bicarbonate consumption drives up medium pH</w:t>
      </w:r>
      <w:r w:rsidR="001A6110">
        <w:rPr>
          <w:vertAlign w:val="superscript"/>
        </w:rPr>
        <w:t>23</w:t>
      </w:r>
      <w:r w:rsidR="009C2118" w:rsidRPr="00DE2BB5">
        <w:t xml:space="preserve">. </w:t>
      </w:r>
      <w:r w:rsidR="00CC34B1" w:rsidRPr="00DE2BB5">
        <w:t>An immersed pH probe can measure this chang</w:t>
      </w:r>
      <w:r w:rsidR="009C2118" w:rsidRPr="00DE2BB5">
        <w:t xml:space="preserve">e. </w:t>
      </w:r>
      <w:r w:rsidR="004F1F4E" w:rsidRPr="00DE2BB5">
        <w:t xml:space="preserve">Photosynthetic oxygen production increases the </w:t>
      </w:r>
      <w:r w:rsidR="00CC34B1" w:rsidRPr="00DE2BB5">
        <w:t>medium's dissolved oxygen (DO) concentration</w:t>
      </w:r>
      <w:r w:rsidR="004F1F4E" w:rsidRPr="00DE2BB5">
        <w:t xml:space="preserve"> until the medium is saturated. Beyond saturation</w:t>
      </w:r>
      <w:r w:rsidR="00CC34B1" w:rsidRPr="00DE2BB5">
        <w:t>,</w:t>
      </w:r>
      <w:r w:rsidR="004F1F4E" w:rsidRPr="00DE2BB5">
        <w:t xml:space="preserve"> oxygen exi</w:t>
      </w:r>
      <w:r w:rsidR="00CC34B1" w:rsidRPr="00DE2BB5">
        <w:t>s</w:t>
      </w:r>
      <w:r w:rsidR="004F1F4E" w:rsidRPr="00DE2BB5">
        <w:t xml:space="preserve">ts as bubbles. </w:t>
      </w:r>
      <w:r w:rsidR="00B61585">
        <w:t>Oxygen production is measured by many different techniques</w:t>
      </w:r>
      <w:r w:rsidR="00CA16C7" w:rsidRPr="00DE2BB5">
        <w:t>:</w:t>
      </w:r>
      <w:r w:rsidR="00AA5516" w:rsidRPr="00DE2BB5">
        <w:t xml:space="preserve"> probes</w:t>
      </w:r>
      <w:r w:rsidR="00460FE8" w:rsidRPr="00DE2BB5">
        <w:t xml:space="preserve"> </w:t>
      </w:r>
      <w:r w:rsidR="00BD45B2" w:rsidRPr="00DE2BB5">
        <w:t>gauge</w:t>
      </w:r>
      <w:r w:rsidR="00460FE8" w:rsidRPr="00DE2BB5">
        <w:t xml:space="preserve"> DO concentration</w:t>
      </w:r>
      <w:r w:rsidR="00AA5516" w:rsidRPr="00DE2BB5">
        <w:t xml:space="preserve">, manometric devices assess headspace pressure, gas chromatography </w:t>
      </w:r>
      <w:r w:rsidR="00960552" w:rsidRPr="00DE2BB5">
        <w:t>measures</w:t>
      </w:r>
      <w:r w:rsidR="00AA5516" w:rsidRPr="00DE2BB5">
        <w:t xml:space="preserve"> </w:t>
      </w:r>
      <w:r w:rsidR="00CA16C7" w:rsidRPr="00DE2BB5">
        <w:t xml:space="preserve">headspace composition, and </w:t>
      </w:r>
      <w:r w:rsidR="00D36419" w:rsidRPr="00DE2BB5">
        <w:t>volumetric sensors record gas outflow</w:t>
      </w:r>
      <w:r w:rsidR="007750C4">
        <w:rPr>
          <w:vertAlign w:val="superscript"/>
        </w:rPr>
        <w:t>24</w:t>
      </w:r>
      <w:r w:rsidR="00E44924">
        <w:rPr>
          <w:vertAlign w:val="superscript"/>
        </w:rPr>
        <w:t>–</w:t>
      </w:r>
      <w:r w:rsidR="003C5FF6" w:rsidRPr="00DE2BB5">
        <w:rPr>
          <w:vertAlign w:val="superscript"/>
        </w:rPr>
        <w:t>2</w:t>
      </w:r>
      <w:r w:rsidR="007750C4">
        <w:rPr>
          <w:vertAlign w:val="superscript"/>
        </w:rPr>
        <w:t>7</w:t>
      </w:r>
      <w:r w:rsidR="004F1F4E" w:rsidRPr="00DE2BB5">
        <w:t>.</w:t>
      </w:r>
      <w:r w:rsidR="0058585A" w:rsidRPr="00DE2BB5">
        <w:t xml:space="preserve"> </w:t>
      </w:r>
      <w:r w:rsidR="004447F3" w:rsidRPr="00DE2BB5">
        <w:t>When oxygen is used as a growth proxy, culture vessels</w:t>
      </w:r>
      <w:r w:rsidR="00160A45" w:rsidRPr="00DE2BB5">
        <w:t xml:space="preserve"> must be </w:t>
      </w:r>
      <w:r w:rsidR="009F17D9" w:rsidRPr="00DE2BB5">
        <w:t xml:space="preserve">fully </w:t>
      </w:r>
      <w:r w:rsidR="00F30A6B" w:rsidRPr="00DE2BB5">
        <w:t xml:space="preserve">sealed or </w:t>
      </w:r>
      <w:r w:rsidR="00164115" w:rsidRPr="00DE2BB5">
        <w:t xml:space="preserve">allow </w:t>
      </w:r>
      <w:r w:rsidR="007F1C89">
        <w:t xml:space="preserve">only </w:t>
      </w:r>
      <w:r w:rsidR="00164115" w:rsidRPr="00DE2BB5">
        <w:t xml:space="preserve">gas </w:t>
      </w:r>
      <w:r w:rsidR="004466E5">
        <w:t>out</w:t>
      </w:r>
      <w:r w:rsidR="00164115" w:rsidRPr="00DE2BB5">
        <w:t>flow.</w:t>
      </w:r>
      <w:r w:rsidR="00BB0E0B" w:rsidRPr="00DE2BB5">
        <w:t xml:space="preserve"> </w:t>
      </w:r>
      <w:r w:rsidR="00DA06B6" w:rsidRPr="00DE2BB5">
        <w:t xml:space="preserve">For </w:t>
      </w:r>
      <w:r w:rsidR="00F738D7" w:rsidRPr="00DE2BB5">
        <w:t>pH and oxygen measurements</w:t>
      </w:r>
      <w:r w:rsidR="00DA06B6" w:rsidRPr="00DE2BB5">
        <w:t>, c</w:t>
      </w:r>
      <w:r w:rsidR="004F403A" w:rsidRPr="00DE2BB5">
        <w:t xml:space="preserve">arbon </w:t>
      </w:r>
      <w:r w:rsidR="003C1541" w:rsidRPr="00DE2BB5">
        <w:t>must be supplied in the form of bicarbonate</w:t>
      </w:r>
      <w:r w:rsidR="00FB6B73" w:rsidRPr="00DE2BB5">
        <w:t>, not</w:t>
      </w:r>
      <w:r w:rsidR="004F403A" w:rsidRPr="00DE2BB5">
        <w:t xml:space="preserve"> by CO</w:t>
      </w:r>
      <w:r w:rsidR="004F403A" w:rsidRPr="00DE2BB5">
        <w:rPr>
          <w:vertAlign w:val="subscript"/>
        </w:rPr>
        <w:t>2</w:t>
      </w:r>
      <w:r w:rsidR="004F403A" w:rsidRPr="00DE2BB5">
        <w:t xml:space="preserve"> sparging</w:t>
      </w:r>
      <w:r w:rsidR="00DA06B6" w:rsidRPr="00DE2BB5">
        <w:t xml:space="preserve">. </w:t>
      </w:r>
      <w:r w:rsidR="00F738D7" w:rsidRPr="00DE2BB5">
        <w:t>CO</w:t>
      </w:r>
      <w:r w:rsidR="00F738D7" w:rsidRPr="00DE2BB5">
        <w:rPr>
          <w:vertAlign w:val="subscript"/>
        </w:rPr>
        <w:t>2</w:t>
      </w:r>
      <w:r w:rsidR="00F738D7" w:rsidRPr="00DE2BB5">
        <w:t xml:space="preserve"> </w:t>
      </w:r>
      <w:r w:rsidR="00785D1A" w:rsidRPr="00DE2BB5">
        <w:t>sparging decreases the medium pH</w:t>
      </w:r>
      <w:r w:rsidR="00825BCE">
        <w:rPr>
          <w:vertAlign w:val="superscript"/>
        </w:rPr>
        <w:t>23</w:t>
      </w:r>
      <w:r w:rsidR="00785D1A" w:rsidRPr="00DE2BB5">
        <w:t xml:space="preserve"> and</w:t>
      </w:r>
      <w:r w:rsidR="00A229C1" w:rsidRPr="00DE2BB5">
        <w:t xml:space="preserve">, as a gas, can </w:t>
      </w:r>
      <w:r w:rsidR="00EF6923" w:rsidRPr="00DE2BB5">
        <w:t>disturb</w:t>
      </w:r>
      <w:r w:rsidR="00A229C1" w:rsidRPr="00DE2BB5">
        <w:t xml:space="preserve"> oxygen measurements. </w:t>
      </w:r>
      <w:r w:rsidR="00B24553" w:rsidRPr="00DE2BB5">
        <w:t xml:space="preserve">One </w:t>
      </w:r>
      <w:r w:rsidR="00C14513" w:rsidRPr="00DE2BB5">
        <w:t xml:space="preserve">advantage of </w:t>
      </w:r>
      <w:r w:rsidR="00AC3CF4" w:rsidRPr="00DE2BB5">
        <w:t xml:space="preserve">pH and oxygen </w:t>
      </w:r>
      <w:r w:rsidR="00BD0B5E" w:rsidRPr="00DE2BB5">
        <w:t>over</w:t>
      </w:r>
      <w:r w:rsidR="00A40B33" w:rsidRPr="00DE2BB5">
        <w:t xml:space="preserve"> </w:t>
      </w:r>
      <w:r w:rsidR="005020B0" w:rsidRPr="00DE2BB5">
        <w:t>optical density</w:t>
      </w:r>
      <w:r w:rsidR="00A40B33" w:rsidRPr="00DE2BB5">
        <w:t xml:space="preserve"> </w:t>
      </w:r>
      <w:r w:rsidR="005020B0" w:rsidRPr="00DE2BB5">
        <w:t xml:space="preserve">is that the method is </w:t>
      </w:r>
      <w:r w:rsidR="00AC3CF4" w:rsidRPr="00DE2BB5">
        <w:t xml:space="preserve">not compromised </w:t>
      </w:r>
      <w:r w:rsidR="00BD0B5E" w:rsidRPr="00DE2BB5">
        <w:t>if microalgae form clumps.</w:t>
      </w:r>
      <w:r w:rsidR="00AC3CF4" w:rsidRPr="00DE2BB5">
        <w:t xml:space="preserve"> </w:t>
      </w:r>
      <w:r w:rsidR="00003028" w:rsidRPr="00DE2BB5">
        <w:t>Although indirect</w:t>
      </w:r>
      <w:r w:rsidR="00984FF6" w:rsidRPr="00DE2BB5">
        <w:t>,</w:t>
      </w:r>
      <w:r w:rsidR="00003028" w:rsidRPr="00DE2BB5">
        <w:t xml:space="preserve"> </w:t>
      </w:r>
      <w:r w:rsidR="00BB0E0B" w:rsidRPr="00DE2BB5">
        <w:t xml:space="preserve">both </w:t>
      </w:r>
      <w:r w:rsidR="00BD0B5E" w:rsidRPr="00DE2BB5">
        <w:t>pH and oxygen</w:t>
      </w:r>
      <w:r w:rsidR="00003028" w:rsidRPr="00DE2BB5">
        <w:t xml:space="preserve"> are </w:t>
      </w:r>
      <w:r w:rsidR="003B74EB" w:rsidRPr="00DE2BB5">
        <w:t xml:space="preserve">effective </w:t>
      </w:r>
      <w:r w:rsidR="00984FF6" w:rsidRPr="00DE2BB5">
        <w:t>in</w:t>
      </w:r>
      <w:r w:rsidR="003B74EB" w:rsidRPr="00DE2BB5">
        <w:t xml:space="preserve"> compar</w:t>
      </w:r>
      <w:r w:rsidR="00984FF6" w:rsidRPr="00DE2BB5">
        <w:t>ing</w:t>
      </w:r>
      <w:r w:rsidR="003B74EB" w:rsidRPr="00DE2BB5">
        <w:t xml:space="preserve"> growth between treatment</w:t>
      </w:r>
      <w:r w:rsidR="000466EF" w:rsidRPr="00DE2BB5">
        <w:t>s</w:t>
      </w:r>
      <w:r w:rsidR="003B74EB" w:rsidRPr="00DE2BB5">
        <w:t>.</w:t>
      </w:r>
    </w:p>
    <w:p w14:paraId="48311AF2" w14:textId="77777777" w:rsidR="007D2184" w:rsidRPr="00DE2BB5" w:rsidRDefault="007D2184" w:rsidP="00DE2BB5"/>
    <w:p w14:paraId="165AA4DE" w14:textId="7EDB2B45" w:rsidR="00F61F2F" w:rsidRDefault="004B7DED" w:rsidP="00DE2BB5">
      <w:r w:rsidRPr="00DE2BB5">
        <w:t xml:space="preserve">PBRs </w:t>
      </w:r>
      <w:r w:rsidR="00516E53" w:rsidRPr="00DE2BB5">
        <w:t xml:space="preserve">in use today range in complexity. </w:t>
      </w:r>
      <w:r w:rsidR="00786297" w:rsidRPr="00DE2BB5">
        <w:t xml:space="preserve">Laboratories may use simple benchtop flasks, </w:t>
      </w:r>
      <w:r w:rsidR="002227F7" w:rsidRPr="00DE2BB5">
        <w:t>custom</w:t>
      </w:r>
      <w:r w:rsidR="00855EBC" w:rsidRPr="00DE2BB5">
        <w:t xml:space="preserve"> prototypes, or commercially available</w:t>
      </w:r>
      <w:r w:rsidR="002227F7" w:rsidRPr="00DE2BB5">
        <w:t xml:space="preserve"> product</w:t>
      </w:r>
      <w:r w:rsidR="00A0407F" w:rsidRPr="00DE2BB5">
        <w:t>s</w:t>
      </w:r>
      <w:r w:rsidR="002227F7" w:rsidRPr="00DE2BB5">
        <w:t>.</w:t>
      </w:r>
      <w:r w:rsidR="00C578BE" w:rsidRPr="00DE2BB5">
        <w:t xml:space="preserve"> </w:t>
      </w:r>
      <w:r w:rsidR="00890549" w:rsidRPr="00DE2BB5">
        <w:t>For research groups seeking to upgrade from flasks, t</w:t>
      </w:r>
      <w:r w:rsidR="00C26070" w:rsidRPr="00DE2BB5">
        <w:t xml:space="preserve">he </w:t>
      </w:r>
      <w:r w:rsidR="008104CC" w:rsidRPr="00DE2BB5">
        <w:t>cost</w:t>
      </w:r>
      <w:r w:rsidR="00C26070" w:rsidRPr="00DE2BB5">
        <w:t xml:space="preserve"> of </w:t>
      </w:r>
      <w:r w:rsidR="009A002F" w:rsidRPr="00DE2BB5">
        <w:t>commercial PBRs</w:t>
      </w:r>
      <w:r w:rsidR="00E15B87" w:rsidRPr="00DE2BB5">
        <w:t xml:space="preserve"> </w:t>
      </w:r>
      <w:r w:rsidR="00163E44" w:rsidRPr="00DE2BB5">
        <w:t>or</w:t>
      </w:r>
      <w:r w:rsidR="00E15B87" w:rsidRPr="00DE2BB5">
        <w:t xml:space="preserve"> technical skill </w:t>
      </w:r>
      <w:r w:rsidR="009A002F" w:rsidRPr="00DE2BB5">
        <w:t xml:space="preserve">and part fabrication </w:t>
      </w:r>
      <w:r w:rsidR="00E15B87" w:rsidRPr="00DE2BB5">
        <w:t xml:space="preserve">required </w:t>
      </w:r>
      <w:r w:rsidR="00A67A94" w:rsidRPr="00DE2BB5">
        <w:t>to build many prototypes</w:t>
      </w:r>
      <w:r w:rsidR="009A002F" w:rsidRPr="00DE2BB5">
        <w:t xml:space="preserve"> may </w:t>
      </w:r>
      <w:r w:rsidR="00510259" w:rsidRPr="00DE2BB5">
        <w:t>be a barrier</w:t>
      </w:r>
      <w:r w:rsidR="00890549" w:rsidRPr="00DE2BB5">
        <w:t xml:space="preserve">. </w:t>
      </w:r>
      <w:r w:rsidR="00617E36" w:rsidRPr="00DE2BB5">
        <w:t>Th</w:t>
      </w:r>
      <w:r w:rsidR="002D7987" w:rsidRPr="00DE2BB5">
        <w:t>is manuscript aim</w:t>
      </w:r>
      <w:r w:rsidR="00617E36" w:rsidRPr="00DE2BB5">
        <w:t>s to describe the</w:t>
      </w:r>
      <w:r w:rsidR="004058D9" w:rsidRPr="00DE2BB5">
        <w:t xml:space="preserve"> step-by-step</w:t>
      </w:r>
      <w:r w:rsidR="00617E36" w:rsidRPr="00DE2BB5">
        <w:t xml:space="preserve"> design, construction, and operation of laboratory PBRs</w:t>
      </w:r>
      <w:r w:rsidR="00E572E2" w:rsidRPr="00DE2BB5">
        <w:t xml:space="preserve"> that bridge this gap.</w:t>
      </w:r>
      <w:r w:rsidR="00821318" w:rsidRPr="00DE2BB5">
        <w:t xml:space="preserve"> </w:t>
      </w:r>
      <w:r w:rsidR="00CF0DA7" w:rsidRPr="00DE2BB5">
        <w:t>Th</w:t>
      </w:r>
      <w:r w:rsidR="00CB0925" w:rsidRPr="00DE2BB5">
        <w:t>ese</w:t>
      </w:r>
      <w:r w:rsidR="00CF0DA7" w:rsidRPr="00DE2BB5">
        <w:t xml:space="preserve"> PBR</w:t>
      </w:r>
      <w:r w:rsidR="00CB0925" w:rsidRPr="00DE2BB5">
        <w:t>s</w:t>
      </w:r>
      <w:r w:rsidR="00CF0DA7" w:rsidRPr="00DE2BB5">
        <w:t xml:space="preserve"> </w:t>
      </w:r>
      <w:r w:rsidR="00CB0925" w:rsidRPr="00DE2BB5">
        <w:t xml:space="preserve">have a customizable light regime and </w:t>
      </w:r>
      <w:r w:rsidR="00CF0DA7" w:rsidRPr="00DE2BB5">
        <w:t>monitor growth continuously by recording volumetric oxygen production</w:t>
      </w:r>
      <w:r w:rsidR="00617E36" w:rsidRPr="00DE2BB5">
        <w:t>.</w:t>
      </w:r>
      <w:r w:rsidR="008C5A18" w:rsidRPr="00DE2BB5">
        <w:t xml:space="preserve"> </w:t>
      </w:r>
      <w:r w:rsidR="00B7032D" w:rsidRPr="00DE2BB5">
        <w:t>T</w:t>
      </w:r>
      <w:r w:rsidR="00806A13" w:rsidRPr="00DE2BB5">
        <w:t>his</w:t>
      </w:r>
      <w:r w:rsidR="00416D46" w:rsidRPr="00DE2BB5">
        <w:t xml:space="preserve"> </w:t>
      </w:r>
      <w:r w:rsidR="00F05646" w:rsidRPr="00DE2BB5">
        <w:t>design</w:t>
      </w:r>
      <w:r w:rsidR="00D064C3" w:rsidRPr="00DE2BB5">
        <w:t xml:space="preserve"> </w:t>
      </w:r>
      <w:r w:rsidR="007E49C8" w:rsidRPr="00DE2BB5">
        <w:t>houses</w:t>
      </w:r>
      <w:r w:rsidR="0057438C" w:rsidRPr="00DE2BB5">
        <w:t xml:space="preserve"> three culture vessels</w:t>
      </w:r>
      <w:r w:rsidR="009A586D" w:rsidRPr="00DE2BB5">
        <w:t xml:space="preserve"> for triplicate replication</w:t>
      </w:r>
      <w:r w:rsidR="00E14796" w:rsidRPr="00DE2BB5">
        <w:t xml:space="preserve"> </w:t>
      </w:r>
      <w:r w:rsidR="001B4B0B">
        <w:t>and</w:t>
      </w:r>
      <w:r w:rsidR="001B4B0B" w:rsidRPr="00DE2BB5">
        <w:t xml:space="preserve"> </w:t>
      </w:r>
      <w:r w:rsidR="008454E5" w:rsidRPr="00DE2BB5">
        <w:t>can be built with moderate skill and</w:t>
      </w:r>
      <w:r w:rsidR="0057438C" w:rsidRPr="00DE2BB5">
        <w:t xml:space="preserve"> </w:t>
      </w:r>
      <w:r w:rsidR="009F35BE" w:rsidRPr="00DE2BB5">
        <w:t>easily accessible</w:t>
      </w:r>
      <w:r w:rsidR="006A7DEF" w:rsidRPr="00DE2BB5">
        <w:t xml:space="preserve"> materials</w:t>
      </w:r>
      <w:r w:rsidR="006B6970" w:rsidRPr="00DE2BB5">
        <w:t>.</w:t>
      </w:r>
      <w:r w:rsidR="004F2D18" w:rsidRPr="00DE2BB5">
        <w:t xml:space="preserve"> </w:t>
      </w:r>
      <w:r w:rsidR="007F6687" w:rsidRPr="00DE2BB5">
        <w:t xml:space="preserve">This </w:t>
      </w:r>
      <w:r w:rsidR="009454EF" w:rsidRPr="00DE2BB5">
        <w:t>PBR</w:t>
      </w:r>
      <w:r w:rsidR="007F6687" w:rsidRPr="00DE2BB5">
        <w:t xml:space="preserve"> is a valuable addition to a laboratory </w:t>
      </w:r>
      <w:r w:rsidR="00E572E2" w:rsidRPr="00DE2BB5">
        <w:t xml:space="preserve">looking </w:t>
      </w:r>
      <w:r w:rsidR="00A834CF" w:rsidRPr="00DE2BB5">
        <w:t>to expand</w:t>
      </w:r>
      <w:r w:rsidR="00574286" w:rsidRPr="00DE2BB5">
        <w:t xml:space="preserve"> </w:t>
      </w:r>
      <w:r w:rsidR="008454E5" w:rsidRPr="00DE2BB5">
        <w:t>its</w:t>
      </w:r>
      <w:r w:rsidR="00574286" w:rsidRPr="00DE2BB5">
        <w:t xml:space="preserve"> capacity for microalgal research</w:t>
      </w:r>
      <w:r w:rsidR="00A37B8B" w:rsidRPr="00DE2BB5">
        <w:t xml:space="preserve"> </w:t>
      </w:r>
      <w:r w:rsidR="0093001D" w:rsidRPr="00DE2BB5">
        <w:t xml:space="preserve">without investing </w:t>
      </w:r>
      <w:r w:rsidR="00630EB5" w:rsidRPr="00DE2BB5">
        <w:t xml:space="preserve">in very </w:t>
      </w:r>
      <w:r w:rsidR="00B7537D">
        <w:t>technical</w:t>
      </w:r>
      <w:r w:rsidR="00B7537D" w:rsidRPr="00DE2BB5">
        <w:t xml:space="preserve"> </w:t>
      </w:r>
      <w:r w:rsidR="00630EB5" w:rsidRPr="00DE2BB5">
        <w:t>or expensive products.</w:t>
      </w:r>
      <w:r w:rsidR="004058D9" w:rsidRPr="00DE2BB5">
        <w:t xml:space="preserve"> </w:t>
      </w:r>
      <w:r w:rsidR="002F7108" w:rsidRPr="00DE2BB5">
        <w:t>When</w:t>
      </w:r>
      <w:r w:rsidR="009835AF" w:rsidRPr="00DE2BB5">
        <w:t xml:space="preserve"> choosing to acquire or build a PBR, researchers must consider the suitability of a design to their culture conditions, financial position, and research questions.</w:t>
      </w:r>
    </w:p>
    <w:p w14:paraId="5013C4FC" w14:textId="77777777" w:rsidR="00F61F2F" w:rsidRPr="00DE2BB5" w:rsidRDefault="00F61F2F" w:rsidP="00DE2BB5"/>
    <w:p w14:paraId="7B9CBA0E" w14:textId="77777777" w:rsidR="00E0577A" w:rsidRPr="00DE2BB5" w:rsidRDefault="003B74EB" w:rsidP="00DE2BB5">
      <w:pPr>
        <w:rPr>
          <w:b/>
          <w:bCs/>
        </w:rPr>
      </w:pPr>
      <w:r w:rsidRPr="00DE2BB5">
        <w:rPr>
          <w:b/>
          <w:bCs/>
        </w:rPr>
        <w:t>PROTOCOL:</w:t>
      </w:r>
    </w:p>
    <w:p w14:paraId="31E8B091" w14:textId="77777777" w:rsidR="00E0577A" w:rsidRPr="00DE2BB5" w:rsidRDefault="00E0577A" w:rsidP="00DE2BB5">
      <w:pPr>
        <w:rPr>
          <w:b/>
          <w:bCs/>
        </w:rPr>
      </w:pPr>
    </w:p>
    <w:p w14:paraId="65B697F4" w14:textId="4E44CCF1" w:rsidR="007D2184" w:rsidRPr="00DE2BB5" w:rsidRDefault="003B74EB" w:rsidP="00DE2BB5">
      <w:pPr>
        <w:pStyle w:val="ListParagraph"/>
        <w:numPr>
          <w:ilvl w:val="0"/>
          <w:numId w:val="4"/>
        </w:numPr>
        <w:ind w:left="0" w:firstLine="0"/>
        <w:rPr>
          <w:b/>
          <w:bCs/>
        </w:rPr>
      </w:pPr>
      <w:r w:rsidRPr="00DE2BB5">
        <w:rPr>
          <w:b/>
          <w:bCs/>
        </w:rPr>
        <w:t>Construct</w:t>
      </w:r>
      <w:r w:rsidR="00E0577A" w:rsidRPr="00DE2BB5">
        <w:rPr>
          <w:b/>
          <w:bCs/>
        </w:rPr>
        <w:t xml:space="preserve">ion of </w:t>
      </w:r>
      <w:r w:rsidR="004748EA" w:rsidRPr="00DE2BB5">
        <w:rPr>
          <w:b/>
          <w:bCs/>
        </w:rPr>
        <w:t xml:space="preserve">the </w:t>
      </w:r>
      <w:r w:rsidR="00D766F3" w:rsidRPr="00DE2BB5">
        <w:rPr>
          <w:b/>
          <w:bCs/>
        </w:rPr>
        <w:t xml:space="preserve">PBR </w:t>
      </w:r>
      <w:r w:rsidRPr="00DE2BB5">
        <w:rPr>
          <w:b/>
          <w:bCs/>
        </w:rPr>
        <w:t>stand</w:t>
      </w:r>
    </w:p>
    <w:p w14:paraId="28F05D62" w14:textId="77777777" w:rsidR="007D2184" w:rsidRPr="00DE2BB5" w:rsidRDefault="007D2184" w:rsidP="00DE2BB5">
      <w:pPr>
        <w:rPr>
          <w:b/>
          <w:bCs/>
        </w:rPr>
      </w:pPr>
    </w:p>
    <w:p w14:paraId="5F4DD211" w14:textId="7BCA99E1" w:rsidR="00336D18" w:rsidRPr="00DE2BB5" w:rsidRDefault="00CE2187" w:rsidP="00DE2BB5">
      <w:pPr>
        <w:pStyle w:val="ListParagraph"/>
        <w:numPr>
          <w:ilvl w:val="1"/>
          <w:numId w:val="4"/>
        </w:numPr>
        <w:ind w:left="0" w:firstLine="0"/>
      </w:pPr>
      <w:r w:rsidRPr="00DE2BB5">
        <w:t>With a handheld hacksaw, c</w:t>
      </w:r>
      <w:r w:rsidR="003B74EB" w:rsidRPr="00DE2BB5">
        <w:t xml:space="preserve">ut five 380 mm lengths and two 200 mm lengths of angled slotted steel. Fasten together with </w:t>
      </w:r>
      <w:r w:rsidR="007450CD" w:rsidRPr="00DE2BB5">
        <w:t xml:space="preserve">bolts and </w:t>
      </w:r>
      <w:r w:rsidR="003B74EB" w:rsidRPr="00DE2BB5">
        <w:t xml:space="preserve">large corner braces to make </w:t>
      </w:r>
      <w:r w:rsidR="007665CC" w:rsidRPr="00DE2BB5">
        <w:t>a</w:t>
      </w:r>
      <w:r w:rsidR="003B74EB" w:rsidRPr="00DE2BB5">
        <w:t xml:space="preserve"> stand</w:t>
      </w:r>
      <w:r w:rsidR="004A13EF" w:rsidRPr="00DE2BB5">
        <w:t>'</w:t>
      </w:r>
      <w:r w:rsidR="003B74EB" w:rsidRPr="00DE2BB5">
        <w:t>s base (</w:t>
      </w:r>
      <w:r w:rsidR="003B74EB" w:rsidRPr="00DE2BB5">
        <w:rPr>
          <w:b/>
          <w:bCs/>
        </w:rPr>
        <w:t>Figure 1A</w:t>
      </w:r>
      <w:r w:rsidR="003B74EB" w:rsidRPr="00DE2BB5">
        <w:t>). Glue on safety end caps.</w:t>
      </w:r>
    </w:p>
    <w:p w14:paraId="6FBDE3D3" w14:textId="77777777" w:rsidR="007D2184" w:rsidRPr="00DE2BB5" w:rsidRDefault="007D2184" w:rsidP="00DE2BB5">
      <w:pPr>
        <w:pStyle w:val="ListParagraph"/>
        <w:ind w:left="0"/>
      </w:pPr>
    </w:p>
    <w:p w14:paraId="62D9FB2E" w14:textId="3183BD1B" w:rsidR="007D2184" w:rsidRPr="00DE2BB5" w:rsidRDefault="003B74EB" w:rsidP="00DE2BB5">
      <w:pPr>
        <w:pStyle w:val="ListParagraph"/>
        <w:numPr>
          <w:ilvl w:val="1"/>
          <w:numId w:val="4"/>
        </w:numPr>
        <w:ind w:left="0" w:firstLine="0"/>
      </w:pPr>
      <w:r w:rsidRPr="00DE2BB5">
        <w:t xml:space="preserve">Connect two uncut (1220 mm) vertical lengths of angled slotted steel to the base. Secure with </w:t>
      </w:r>
      <w:r w:rsidR="00402594" w:rsidRPr="00DE2BB5">
        <w:t xml:space="preserve">bolts and </w:t>
      </w:r>
      <w:r w:rsidRPr="00DE2BB5">
        <w:t>metal corner gussets (</w:t>
      </w:r>
      <w:r w:rsidRPr="00DE2BB5">
        <w:rPr>
          <w:b/>
          <w:bCs/>
        </w:rPr>
        <w:t>Figure 1B</w:t>
      </w:r>
      <w:r w:rsidRPr="00DE2BB5">
        <w:t>). Glue on safety end caps.</w:t>
      </w:r>
    </w:p>
    <w:p w14:paraId="5F85F258" w14:textId="77777777" w:rsidR="007D2184" w:rsidRPr="00DE2BB5" w:rsidRDefault="007D2184" w:rsidP="00DE2BB5">
      <w:pPr>
        <w:pStyle w:val="ListParagraph"/>
        <w:ind w:left="0"/>
      </w:pPr>
    </w:p>
    <w:p w14:paraId="30AF039E" w14:textId="41988758" w:rsidR="007D2184" w:rsidRPr="00DE2BB5" w:rsidRDefault="003B74EB" w:rsidP="00DE2BB5">
      <w:pPr>
        <w:pStyle w:val="ListParagraph"/>
        <w:numPr>
          <w:ilvl w:val="1"/>
          <w:numId w:val="4"/>
        </w:numPr>
        <w:ind w:left="0" w:firstLine="0"/>
      </w:pPr>
      <w:r w:rsidRPr="00DE2BB5">
        <w:t xml:space="preserve">Cut four 65 mm flat lengths of slotted steel. Bolt </w:t>
      </w:r>
      <w:r w:rsidR="00D81EDF" w:rsidRPr="00DE2BB5">
        <w:t xml:space="preserve">these </w:t>
      </w:r>
      <w:r w:rsidRPr="00DE2BB5">
        <w:t>at 90° angles onto the vertical supports</w:t>
      </w:r>
      <w:r w:rsidR="009D0BBC" w:rsidRPr="00DE2BB5">
        <w:t>—</w:t>
      </w:r>
      <w:r w:rsidRPr="00DE2BB5">
        <w:t>attach two to each support, one 130 mm up from the base (</w:t>
      </w:r>
      <w:r w:rsidRPr="00DE2BB5">
        <w:rPr>
          <w:b/>
          <w:bCs/>
        </w:rPr>
        <w:t>Figure 1C</w:t>
      </w:r>
      <w:r w:rsidRPr="00DE2BB5">
        <w:t>) and one 60 mm down from the top.</w:t>
      </w:r>
    </w:p>
    <w:p w14:paraId="452AA295" w14:textId="77777777" w:rsidR="007D2184" w:rsidRPr="00DE2BB5" w:rsidRDefault="007D2184" w:rsidP="00DE2BB5">
      <w:pPr>
        <w:pStyle w:val="ListParagraph"/>
        <w:ind w:left="0"/>
      </w:pPr>
    </w:p>
    <w:p w14:paraId="0FAC1456" w14:textId="4BC448A1" w:rsidR="007D2184" w:rsidRPr="00DE2BB5" w:rsidRDefault="003B74EB" w:rsidP="00DE2BB5">
      <w:pPr>
        <w:pStyle w:val="ListParagraph"/>
        <w:numPr>
          <w:ilvl w:val="1"/>
          <w:numId w:val="4"/>
        </w:numPr>
        <w:ind w:left="0" w:firstLine="0"/>
      </w:pPr>
      <w:r w:rsidRPr="00DE2BB5">
        <w:t xml:space="preserve">Fasten vertical supports across their top with a horizontal 140 mm length of flat slotted steel </w:t>
      </w:r>
      <w:r w:rsidR="005F22C5" w:rsidRPr="00DE2BB5">
        <w:t xml:space="preserve">(crossbeam) </w:t>
      </w:r>
      <w:r w:rsidRPr="00DE2BB5">
        <w:t>bolted to the back of the frame (</w:t>
      </w:r>
      <w:r w:rsidRPr="00DE2BB5">
        <w:rPr>
          <w:b/>
          <w:bCs/>
        </w:rPr>
        <w:t>Figure 2A</w:t>
      </w:r>
      <w:r w:rsidRPr="00DE2BB5">
        <w:t>).</w:t>
      </w:r>
    </w:p>
    <w:p w14:paraId="5794D16D" w14:textId="77777777" w:rsidR="007D2184" w:rsidRPr="00DE2BB5" w:rsidRDefault="007D2184" w:rsidP="00DE2BB5">
      <w:pPr>
        <w:rPr>
          <w:b/>
          <w:bCs/>
        </w:rPr>
      </w:pPr>
    </w:p>
    <w:p w14:paraId="0333268E" w14:textId="2BFC6605" w:rsidR="007D2184" w:rsidRPr="00DE2BB5" w:rsidRDefault="003B74EB" w:rsidP="00DE2BB5">
      <w:pPr>
        <w:pStyle w:val="ListParagraph"/>
        <w:numPr>
          <w:ilvl w:val="0"/>
          <w:numId w:val="4"/>
        </w:numPr>
        <w:ind w:left="0" w:firstLine="0"/>
        <w:rPr>
          <w:b/>
          <w:bCs/>
        </w:rPr>
      </w:pPr>
      <w:r w:rsidRPr="00DE2BB5">
        <w:rPr>
          <w:b/>
          <w:bCs/>
        </w:rPr>
        <w:t>Construct</w:t>
      </w:r>
      <w:r w:rsidR="00F60536" w:rsidRPr="00DE2BB5">
        <w:rPr>
          <w:b/>
          <w:bCs/>
        </w:rPr>
        <w:t>ion of the</w:t>
      </w:r>
      <w:r w:rsidRPr="00DE2BB5">
        <w:rPr>
          <w:b/>
          <w:bCs/>
        </w:rPr>
        <w:t xml:space="preserve"> light chamber</w:t>
      </w:r>
    </w:p>
    <w:p w14:paraId="5C5AD4E6" w14:textId="77777777" w:rsidR="007D2184" w:rsidRPr="00DE2BB5" w:rsidRDefault="007D2184" w:rsidP="00DE2BB5"/>
    <w:p w14:paraId="15C3A140" w14:textId="3647818B" w:rsidR="007D2184" w:rsidRPr="00DE2BB5" w:rsidRDefault="003B74EB" w:rsidP="00DE2BB5">
      <w:pPr>
        <w:pStyle w:val="ListParagraph"/>
        <w:numPr>
          <w:ilvl w:val="1"/>
          <w:numId w:val="4"/>
        </w:numPr>
        <w:ind w:left="0" w:firstLine="0"/>
      </w:pPr>
      <w:r w:rsidRPr="00DE2BB5">
        <w:t>Cut a white 15</w:t>
      </w:r>
      <w:r w:rsidR="008C595E" w:rsidRPr="00DE2BB5">
        <w:t>3</w:t>
      </w:r>
      <w:r w:rsidRPr="00DE2BB5">
        <w:t xml:space="preserve"> mm diameter polyvinyl chloride (PVC) pipe to a length of 1070 mm. </w:t>
      </w:r>
      <w:r w:rsidR="00920771" w:rsidRPr="00DE2BB5">
        <w:t xml:space="preserve">Cut </w:t>
      </w:r>
      <w:r w:rsidRPr="00DE2BB5">
        <w:t xml:space="preserve">the pipe </w:t>
      </w:r>
      <w:r w:rsidR="00920771" w:rsidRPr="00DE2BB5">
        <w:t xml:space="preserve">in half </w:t>
      </w:r>
      <w:r w:rsidRPr="00DE2BB5">
        <w:t>lengthwise with a bandsaw</w:t>
      </w:r>
      <w:r w:rsidR="00920771" w:rsidRPr="00DE2BB5">
        <w:t>.</w:t>
      </w:r>
      <w:r w:rsidRPr="00DE2BB5">
        <w:t xml:space="preserve"> </w:t>
      </w:r>
      <w:r w:rsidR="00920771" w:rsidRPr="00DE2BB5">
        <w:t>S</w:t>
      </w:r>
      <w:r w:rsidRPr="00DE2BB5">
        <w:t>and all edges.</w:t>
      </w:r>
    </w:p>
    <w:p w14:paraId="0D0DCD80" w14:textId="77777777" w:rsidR="007D2184" w:rsidRPr="00DE2BB5" w:rsidRDefault="007D2184" w:rsidP="00DE2BB5">
      <w:pPr>
        <w:pStyle w:val="ListParagraph"/>
        <w:ind w:left="0"/>
      </w:pPr>
    </w:p>
    <w:p w14:paraId="65915248" w14:textId="4855B578" w:rsidR="007D2184" w:rsidRPr="00DE2BB5" w:rsidRDefault="003B74EB" w:rsidP="00DE2BB5">
      <w:pPr>
        <w:pStyle w:val="ListParagraph"/>
        <w:numPr>
          <w:ilvl w:val="1"/>
          <w:numId w:val="4"/>
        </w:numPr>
        <w:ind w:left="0" w:firstLine="0"/>
      </w:pPr>
      <w:r w:rsidRPr="00DE2BB5">
        <w:t>Evenly space and center four aluminum heat sink channels vertically along</w:t>
      </w:r>
      <w:r w:rsidR="001061F2" w:rsidRPr="00DE2BB5">
        <w:t xml:space="preserve"> with</w:t>
      </w:r>
      <w:r w:rsidRPr="00DE2BB5">
        <w:t xml:space="preserve"> the interior of the pipe. Do not attach channels within 20 mm from the pipe</w:t>
      </w:r>
      <w:r w:rsidR="004A13EF" w:rsidRPr="00DE2BB5">
        <w:t>'</w:t>
      </w:r>
      <w:r w:rsidRPr="00DE2BB5">
        <w:t>s cut edge. With small bolts</w:t>
      </w:r>
      <w:r w:rsidR="00CE5043" w:rsidRPr="00DE2BB5">
        <w:t>,</w:t>
      </w:r>
      <w:r w:rsidRPr="00DE2BB5">
        <w:t xml:space="preserve"> secure the channels in place at their top and bottom (</w:t>
      </w:r>
      <w:r w:rsidRPr="00DE2BB5">
        <w:rPr>
          <w:b/>
          <w:bCs/>
        </w:rPr>
        <w:t>Figure 2B</w:t>
      </w:r>
      <w:r w:rsidRPr="00DE2BB5">
        <w:t>).</w:t>
      </w:r>
    </w:p>
    <w:p w14:paraId="130E897F" w14:textId="77777777" w:rsidR="007D2184" w:rsidRPr="00DE2BB5" w:rsidRDefault="007D2184" w:rsidP="00DE2BB5">
      <w:pPr>
        <w:pStyle w:val="ListParagraph"/>
        <w:ind w:left="0"/>
      </w:pPr>
    </w:p>
    <w:p w14:paraId="2FBD91D9" w14:textId="3D6B8026" w:rsidR="007D2184" w:rsidRPr="00DE2BB5" w:rsidRDefault="003B74EB" w:rsidP="00DE2BB5">
      <w:pPr>
        <w:pStyle w:val="ListParagraph"/>
        <w:numPr>
          <w:ilvl w:val="1"/>
          <w:numId w:val="4"/>
        </w:numPr>
        <w:ind w:left="0" w:firstLine="0"/>
      </w:pPr>
      <w:r w:rsidRPr="00DE2BB5">
        <w:t>Bolt one</w:t>
      </w:r>
      <w:r w:rsidR="00E32E0F" w:rsidRPr="00DE2BB5">
        <w:t>-</w:t>
      </w:r>
      <w:r w:rsidRPr="00DE2BB5">
        <w:t>half of the pipe to the stand using the horizontal supports fashioned in step 1.3.</w:t>
      </w:r>
    </w:p>
    <w:p w14:paraId="1690FAF7" w14:textId="77777777" w:rsidR="007D2184" w:rsidRPr="00DE2BB5" w:rsidRDefault="007D2184" w:rsidP="00DE2BB5">
      <w:pPr>
        <w:pStyle w:val="ListParagraph"/>
        <w:ind w:left="0"/>
      </w:pPr>
    </w:p>
    <w:p w14:paraId="52F893FF" w14:textId="601FF490" w:rsidR="007D2184" w:rsidRPr="00DE2BB5" w:rsidRDefault="003B74EB" w:rsidP="00DE2BB5">
      <w:pPr>
        <w:pStyle w:val="ListParagraph"/>
        <w:numPr>
          <w:ilvl w:val="1"/>
          <w:numId w:val="4"/>
        </w:numPr>
        <w:ind w:left="0" w:firstLine="0"/>
      </w:pPr>
      <w:r w:rsidRPr="00DE2BB5">
        <w:t xml:space="preserve">Lay the reactor down and reunite the pipe halves by taping them together. </w:t>
      </w:r>
      <w:r w:rsidR="009F5885" w:rsidRPr="00DE2BB5">
        <w:t>Cent</w:t>
      </w:r>
      <w:r w:rsidR="009F5885">
        <w:t>er</w:t>
      </w:r>
      <w:r w:rsidR="009F5885" w:rsidRPr="00DE2BB5">
        <w:t xml:space="preserve"> </w:t>
      </w:r>
      <w:r w:rsidRPr="00DE2BB5">
        <w:t>the piano hinge along one cutline. Trace the hinge holes and drill the pipe accordingly. Use a rivet gun</w:t>
      </w:r>
      <w:r w:rsidR="00592BE3" w:rsidRPr="00DE2BB5">
        <w:t xml:space="preserve"> and medium</w:t>
      </w:r>
      <w:r w:rsidR="00E32E0F" w:rsidRPr="00DE2BB5">
        <w:t>-</w:t>
      </w:r>
      <w:r w:rsidR="00592BE3" w:rsidRPr="00DE2BB5">
        <w:t>length rivets</w:t>
      </w:r>
      <w:r w:rsidRPr="00DE2BB5">
        <w:t xml:space="preserve"> to fasten the hinge to the pipe.</w:t>
      </w:r>
    </w:p>
    <w:p w14:paraId="2552754E" w14:textId="77777777" w:rsidR="007D2184" w:rsidRPr="00DE2BB5" w:rsidRDefault="007D2184" w:rsidP="00DE2BB5">
      <w:pPr>
        <w:pStyle w:val="ListParagraph"/>
        <w:ind w:left="0"/>
      </w:pPr>
    </w:p>
    <w:p w14:paraId="676AF8BE" w14:textId="44F63272" w:rsidR="007D2184" w:rsidRPr="00DE2BB5" w:rsidRDefault="003B74EB" w:rsidP="00DE2BB5">
      <w:pPr>
        <w:pStyle w:val="ListParagraph"/>
        <w:numPr>
          <w:ilvl w:val="1"/>
          <w:numId w:val="4"/>
        </w:numPr>
        <w:ind w:left="0" w:firstLine="0"/>
      </w:pPr>
      <w:r w:rsidRPr="00DE2BB5">
        <w:t>Use a small bungee cord</w:t>
      </w:r>
      <w:r w:rsidR="00D81AC4" w:rsidRPr="00DE2BB5">
        <w:t xml:space="preserve"> (see </w:t>
      </w:r>
      <w:r w:rsidR="00D81AC4" w:rsidRPr="00DE2BB5">
        <w:rPr>
          <w:b/>
          <w:bCs/>
        </w:rPr>
        <w:t>Table of Materials</w:t>
      </w:r>
      <w:r w:rsidR="00D81AC4" w:rsidRPr="00DE2BB5">
        <w:t>)</w:t>
      </w:r>
      <w:r w:rsidRPr="00DE2BB5">
        <w:t xml:space="preserve"> to hold the pipe shut (</w:t>
      </w:r>
      <w:r w:rsidRPr="00DE2BB5">
        <w:rPr>
          <w:b/>
          <w:bCs/>
        </w:rPr>
        <w:t>Figure 1C</w:t>
      </w:r>
      <w:r w:rsidRPr="00DE2BB5">
        <w:t>).</w:t>
      </w:r>
    </w:p>
    <w:p w14:paraId="0DD56ED6" w14:textId="77777777" w:rsidR="007D2184" w:rsidRPr="00DE2BB5" w:rsidRDefault="007D2184" w:rsidP="00DE2BB5">
      <w:pPr>
        <w:pStyle w:val="ListParagraph"/>
        <w:ind w:left="0"/>
      </w:pPr>
    </w:p>
    <w:p w14:paraId="5009CB1A" w14:textId="33FA1C1A" w:rsidR="007D2184" w:rsidRPr="00DE2BB5" w:rsidRDefault="003B74EB" w:rsidP="00DE2BB5">
      <w:pPr>
        <w:pStyle w:val="ListParagraph"/>
        <w:numPr>
          <w:ilvl w:val="1"/>
          <w:numId w:val="4"/>
        </w:numPr>
        <w:ind w:left="0" w:firstLine="0"/>
      </w:pPr>
      <w:r w:rsidRPr="00DE2BB5">
        <w:t xml:space="preserve">Consult an electrician to </w:t>
      </w:r>
      <w:r w:rsidR="001F550A" w:rsidRPr="00DE2BB5">
        <w:t xml:space="preserve">wire in the </w:t>
      </w:r>
      <w:r w:rsidR="000B7506" w:rsidRPr="00DE2BB5">
        <w:t xml:space="preserve">LED </w:t>
      </w:r>
      <w:r w:rsidR="001F550A" w:rsidRPr="00DE2BB5">
        <w:t>lights and install the</w:t>
      </w:r>
      <w:r w:rsidR="006C296F" w:rsidRPr="00DE2BB5">
        <w:t xml:space="preserve"> following four components:</w:t>
      </w:r>
      <w:r w:rsidR="000141F5" w:rsidRPr="00DE2BB5">
        <w:t xml:space="preserve"> LED driver, </w:t>
      </w:r>
      <w:r w:rsidR="00672C75" w:rsidRPr="00DE2BB5">
        <w:t>d</w:t>
      </w:r>
      <w:r w:rsidR="00E466E8" w:rsidRPr="00DE2BB5">
        <w:t xml:space="preserve">igital </w:t>
      </w:r>
      <w:r w:rsidR="00672C75" w:rsidRPr="00DE2BB5">
        <w:t>m</w:t>
      </w:r>
      <w:r w:rsidR="00E466E8" w:rsidRPr="00DE2BB5">
        <w:t>ultiple</w:t>
      </w:r>
      <w:r w:rsidR="00835365" w:rsidRPr="00DE2BB5">
        <w:t>x</w:t>
      </w:r>
      <w:r w:rsidR="00E466E8" w:rsidRPr="00DE2BB5">
        <w:t xml:space="preserve"> (</w:t>
      </w:r>
      <w:r w:rsidR="000141F5" w:rsidRPr="00DE2BB5">
        <w:t>DMX</w:t>
      </w:r>
      <w:r w:rsidR="00E466E8" w:rsidRPr="00DE2BB5">
        <w:t>)</w:t>
      </w:r>
      <w:r w:rsidR="000141F5" w:rsidRPr="00DE2BB5">
        <w:t xml:space="preserve"> decoder, DMX lighting controller, and switch box</w:t>
      </w:r>
      <w:r w:rsidR="00F325EA" w:rsidRPr="00DE2BB5">
        <w:t xml:space="preserve"> (see </w:t>
      </w:r>
      <w:r w:rsidR="00F325EA" w:rsidRPr="00DE2BB5">
        <w:rPr>
          <w:b/>
          <w:bCs/>
        </w:rPr>
        <w:t>Table of Materials</w:t>
      </w:r>
      <w:r w:rsidR="00F325EA" w:rsidRPr="00DE2BB5">
        <w:t>)</w:t>
      </w:r>
      <w:r w:rsidR="00D6562F" w:rsidRPr="00DE2BB5">
        <w:t>.</w:t>
      </w:r>
      <w:r w:rsidR="00927BE8" w:rsidRPr="00DE2BB5">
        <w:t xml:space="preserve"> Fix all </w:t>
      </w:r>
      <w:r w:rsidR="00F325EA" w:rsidRPr="00DE2BB5">
        <w:t xml:space="preserve">the </w:t>
      </w:r>
      <w:r w:rsidR="00927BE8" w:rsidRPr="00DE2BB5">
        <w:t>components to t</w:t>
      </w:r>
      <w:r w:rsidR="000141F5" w:rsidRPr="00DE2BB5">
        <w:t xml:space="preserve">he rear of the PBR </w:t>
      </w:r>
      <w:r w:rsidRPr="00DE2BB5">
        <w:t xml:space="preserve">according to </w:t>
      </w:r>
      <w:r w:rsidRPr="00DE2BB5">
        <w:rPr>
          <w:b/>
          <w:bCs/>
        </w:rPr>
        <w:t>Figure 2A</w:t>
      </w:r>
      <w:r w:rsidRPr="00DE2BB5">
        <w:t>.</w:t>
      </w:r>
    </w:p>
    <w:p w14:paraId="22C1899A" w14:textId="77777777" w:rsidR="007D2184" w:rsidRPr="00DE2BB5" w:rsidRDefault="007D2184" w:rsidP="00DE2BB5"/>
    <w:p w14:paraId="75C894A9" w14:textId="2150F08B" w:rsidR="007D2184" w:rsidRPr="00DE2BB5" w:rsidRDefault="003B74EB" w:rsidP="00DE2BB5">
      <w:pPr>
        <w:pStyle w:val="ListParagraph"/>
        <w:numPr>
          <w:ilvl w:val="0"/>
          <w:numId w:val="4"/>
        </w:numPr>
        <w:ind w:left="0" w:firstLine="0"/>
        <w:rPr>
          <w:b/>
          <w:bCs/>
        </w:rPr>
      </w:pPr>
      <w:r w:rsidRPr="00DE2BB5">
        <w:rPr>
          <w:b/>
          <w:bCs/>
        </w:rPr>
        <w:t>Construct</w:t>
      </w:r>
      <w:r w:rsidR="00A04677" w:rsidRPr="00DE2BB5">
        <w:rPr>
          <w:b/>
          <w:bCs/>
        </w:rPr>
        <w:t>ion</w:t>
      </w:r>
      <w:r w:rsidRPr="00DE2BB5">
        <w:rPr>
          <w:b/>
          <w:bCs/>
        </w:rPr>
        <w:t xml:space="preserve"> </w:t>
      </w:r>
      <w:r w:rsidR="009D0C03" w:rsidRPr="00DE2BB5">
        <w:rPr>
          <w:b/>
          <w:bCs/>
        </w:rPr>
        <w:t xml:space="preserve">of the </w:t>
      </w:r>
      <w:r w:rsidRPr="00DE2BB5">
        <w:rPr>
          <w:b/>
          <w:bCs/>
        </w:rPr>
        <w:t>bottle platforms</w:t>
      </w:r>
    </w:p>
    <w:p w14:paraId="2AFC0EAF" w14:textId="77777777" w:rsidR="007D2184" w:rsidRPr="00DE2BB5" w:rsidRDefault="007D2184" w:rsidP="00DE2BB5"/>
    <w:p w14:paraId="22CC09A5" w14:textId="1D14DF60" w:rsidR="007D2184" w:rsidRPr="00DE2BB5" w:rsidRDefault="003B74EB" w:rsidP="00DE2BB5">
      <w:pPr>
        <w:pStyle w:val="ListParagraph"/>
        <w:numPr>
          <w:ilvl w:val="1"/>
          <w:numId w:val="4"/>
        </w:numPr>
        <w:ind w:left="0" w:firstLine="0"/>
      </w:pPr>
      <w:r w:rsidRPr="00DE2BB5">
        <w:t>Cut platform shapes (</w:t>
      </w:r>
      <w:r w:rsidRPr="00DE2BB5">
        <w:rPr>
          <w:b/>
          <w:bCs/>
        </w:rPr>
        <w:t>Figure 3A</w:t>
      </w:r>
      <w:r w:rsidRPr="00DE2BB5">
        <w:t>) out of hard plastic, e.g., high density polyethylene (HDPE)</w:t>
      </w:r>
      <w:r w:rsidR="00E818E6" w:rsidRPr="00DE2BB5">
        <w:t xml:space="preserve"> (see </w:t>
      </w:r>
      <w:r w:rsidR="00E818E6" w:rsidRPr="00DE2BB5">
        <w:rPr>
          <w:b/>
          <w:bCs/>
        </w:rPr>
        <w:t>Table of Materials</w:t>
      </w:r>
      <w:r w:rsidR="00E818E6" w:rsidRPr="00DE2BB5">
        <w:t>)</w:t>
      </w:r>
      <w:r w:rsidRPr="00DE2BB5">
        <w:t>, using computer numerical control (CNC) milling. Make three of each shape.</w:t>
      </w:r>
    </w:p>
    <w:p w14:paraId="089AD004" w14:textId="77777777" w:rsidR="007D2184" w:rsidRPr="00DE2BB5" w:rsidRDefault="007D2184" w:rsidP="00DE2BB5"/>
    <w:p w14:paraId="362AF176" w14:textId="77777777" w:rsidR="007D2184" w:rsidRPr="00DE2BB5" w:rsidRDefault="003B74EB" w:rsidP="00DE2BB5">
      <w:r w:rsidRPr="00DE2BB5">
        <w:lastRenderedPageBreak/>
        <w:t>NOTE: Cutting spare top and bottom layers is recommended.</w:t>
      </w:r>
    </w:p>
    <w:p w14:paraId="287E04B3" w14:textId="77777777" w:rsidR="007D2184" w:rsidRPr="00DE2BB5" w:rsidRDefault="007D2184" w:rsidP="00DE2BB5"/>
    <w:p w14:paraId="05870FC9" w14:textId="3F043AD3" w:rsidR="007D2184" w:rsidRPr="00DE2BB5" w:rsidRDefault="003B74EB" w:rsidP="00DE2BB5">
      <w:pPr>
        <w:pStyle w:val="ListParagraph"/>
        <w:numPr>
          <w:ilvl w:val="1"/>
          <w:numId w:val="4"/>
        </w:numPr>
        <w:ind w:left="0" w:firstLine="0"/>
      </w:pPr>
      <w:r w:rsidRPr="00DE2BB5">
        <w:t>Tape the bottom and top layer together. Mark and drill five small holes</w:t>
      </w:r>
      <w:r w:rsidR="001C7785">
        <w:t xml:space="preserve">, </w:t>
      </w:r>
      <w:r w:rsidR="000C3BB7">
        <w:t>6 mm in diameter,</w:t>
      </w:r>
      <w:r w:rsidRPr="00DE2BB5">
        <w:t xml:space="preserve"> through both shapes (</w:t>
      </w:r>
      <w:r w:rsidRPr="00DE2BB5">
        <w:rPr>
          <w:b/>
          <w:bCs/>
        </w:rPr>
        <w:t>Figure 3A</w:t>
      </w:r>
      <w:r w:rsidRPr="00DE2BB5">
        <w:t>). Using a larger drill bit</w:t>
      </w:r>
      <w:r w:rsidR="00214CD7" w:rsidRPr="00DE2BB5">
        <w:t>,</w:t>
      </w:r>
      <w:r w:rsidRPr="00DE2BB5">
        <w:t xml:space="preserve"> carefully expand the surface of these holes so </w:t>
      </w:r>
      <w:r w:rsidR="00555A4C" w:rsidRPr="00DE2BB5">
        <w:t xml:space="preserve">that </w:t>
      </w:r>
      <w:r w:rsidRPr="00DE2BB5">
        <w:t>bolt heads can be recessed (</w:t>
      </w:r>
      <w:r w:rsidRPr="00DE2BB5">
        <w:rPr>
          <w:b/>
          <w:bCs/>
        </w:rPr>
        <w:t>Figure 3B</w:t>
      </w:r>
      <w:r w:rsidRPr="00DE2BB5">
        <w:t>).</w:t>
      </w:r>
    </w:p>
    <w:p w14:paraId="297553CF" w14:textId="77777777" w:rsidR="007D2184" w:rsidRPr="00DE2BB5" w:rsidRDefault="007D2184" w:rsidP="00DE2BB5">
      <w:pPr>
        <w:pStyle w:val="ListParagraph"/>
        <w:ind w:left="0"/>
      </w:pPr>
    </w:p>
    <w:p w14:paraId="4B68B8C8" w14:textId="44CA15C1" w:rsidR="008E3CA2" w:rsidRPr="00DE2BB5" w:rsidRDefault="003B74EB" w:rsidP="00DE2BB5">
      <w:pPr>
        <w:pStyle w:val="ListParagraph"/>
        <w:numPr>
          <w:ilvl w:val="1"/>
          <w:numId w:val="4"/>
        </w:numPr>
        <w:ind w:left="0" w:firstLine="0"/>
      </w:pPr>
      <w:r w:rsidRPr="00DE2BB5">
        <w:t>For each of the three platforms</w:t>
      </w:r>
      <w:r w:rsidR="0032526C" w:rsidRPr="00DE2BB5">
        <w:t>,</w:t>
      </w:r>
      <w:r w:rsidRPr="00DE2BB5">
        <w:t xml:space="preserve"> bolt two small corner braces to the back half of the pipe.</w:t>
      </w:r>
    </w:p>
    <w:p w14:paraId="713F76FF" w14:textId="77777777" w:rsidR="008E3CA2" w:rsidRPr="00DE2BB5" w:rsidRDefault="008E3CA2" w:rsidP="00B10C2B"/>
    <w:p w14:paraId="151CF21C" w14:textId="10CD00A1" w:rsidR="007D2184" w:rsidRPr="00DE2BB5" w:rsidRDefault="008E3CA2" w:rsidP="00DE2BB5">
      <w:pPr>
        <w:pStyle w:val="ListParagraph"/>
        <w:ind w:left="0"/>
      </w:pPr>
      <w:r w:rsidRPr="00DE2BB5">
        <w:t xml:space="preserve">NOTE: </w:t>
      </w:r>
      <w:r w:rsidR="003B74EB" w:rsidRPr="00DE2BB5">
        <w:t>The distance between the top of</w:t>
      </w:r>
      <w:r w:rsidR="0032526C" w:rsidRPr="00DE2BB5">
        <w:t xml:space="preserve"> </w:t>
      </w:r>
      <w:r w:rsidR="009F5885">
        <w:t xml:space="preserve">the </w:t>
      </w:r>
      <w:r w:rsidR="003B74EB" w:rsidRPr="00DE2BB5">
        <w:t>braces should be 350 mm.</w:t>
      </w:r>
    </w:p>
    <w:p w14:paraId="1280E1B5" w14:textId="77777777" w:rsidR="007D2184" w:rsidRPr="00DE2BB5" w:rsidRDefault="007D2184" w:rsidP="00DE2BB5">
      <w:pPr>
        <w:pStyle w:val="ListParagraph"/>
        <w:ind w:left="0"/>
      </w:pPr>
    </w:p>
    <w:p w14:paraId="0C50D18C" w14:textId="154F240D" w:rsidR="00C535E7" w:rsidRDefault="003B74EB" w:rsidP="00DE2BB5">
      <w:pPr>
        <w:pStyle w:val="ListParagraph"/>
        <w:numPr>
          <w:ilvl w:val="1"/>
          <w:numId w:val="4"/>
        </w:numPr>
        <w:ind w:left="0" w:firstLine="0"/>
      </w:pPr>
      <w:r w:rsidRPr="00DE2BB5">
        <w:t>Cent</w:t>
      </w:r>
      <w:r w:rsidR="00C535E7" w:rsidRPr="00DE2BB5">
        <w:t>er</w:t>
      </w:r>
      <w:r w:rsidRPr="00DE2BB5">
        <w:t xml:space="preserve"> each bottom layer </w:t>
      </w:r>
      <w:r w:rsidR="00D505F6" w:rsidRPr="00DE2BB5">
        <w:t>on</w:t>
      </w:r>
      <w:r w:rsidR="003B7452" w:rsidRPr="00DE2BB5">
        <w:t xml:space="preserve"> </w:t>
      </w:r>
      <w:r w:rsidRPr="00DE2BB5">
        <w:t xml:space="preserve">top of its braces. Mark </w:t>
      </w:r>
      <w:r w:rsidR="003A719A" w:rsidRPr="00DE2BB5">
        <w:t xml:space="preserve">the </w:t>
      </w:r>
      <w:r w:rsidRPr="00DE2BB5">
        <w:t xml:space="preserve">location of </w:t>
      </w:r>
      <w:r w:rsidR="009F5885">
        <w:t xml:space="preserve">the </w:t>
      </w:r>
      <w:r w:rsidRPr="00DE2BB5">
        <w:t xml:space="preserve">drill holes from beneath the braces. Drill </w:t>
      </w:r>
      <w:r w:rsidR="009E6CB7">
        <w:t>two 6 mm diameter holes</w:t>
      </w:r>
      <w:r w:rsidR="002036BF">
        <w:t>.</w:t>
      </w:r>
      <w:r w:rsidR="00686370">
        <w:t xml:space="preserve"> </w:t>
      </w:r>
      <w:r w:rsidR="002036BF" w:rsidRPr="00DE2BB5">
        <w:t xml:space="preserve">Using a larger drill bit, carefully expand the surface of the holes so </w:t>
      </w:r>
      <w:r w:rsidR="009F5885">
        <w:t xml:space="preserve">that </w:t>
      </w:r>
      <w:r w:rsidR="002036BF" w:rsidRPr="00DE2BB5">
        <w:t>bolts can be recessed</w:t>
      </w:r>
      <w:r w:rsidR="002036BF">
        <w:t>.</w:t>
      </w:r>
    </w:p>
    <w:p w14:paraId="4B692EED" w14:textId="77777777" w:rsidR="00592D85" w:rsidRDefault="00592D85" w:rsidP="00F1168F">
      <w:pPr>
        <w:pStyle w:val="ListParagraph"/>
        <w:ind w:left="0"/>
      </w:pPr>
    </w:p>
    <w:p w14:paraId="755FA5CE" w14:textId="7912F9D0" w:rsidR="007D2184" w:rsidRPr="00DE2BB5" w:rsidRDefault="00686370" w:rsidP="00592D85">
      <w:pPr>
        <w:pStyle w:val="ListParagraph"/>
        <w:numPr>
          <w:ilvl w:val="1"/>
          <w:numId w:val="4"/>
        </w:numPr>
        <w:ind w:left="0" w:firstLine="0"/>
      </w:pPr>
      <w:r>
        <w:t xml:space="preserve"> B</w:t>
      </w:r>
      <w:r w:rsidR="003B74EB" w:rsidRPr="00DE2BB5">
        <w:t xml:space="preserve">olt bottom layers </w:t>
      </w:r>
      <w:r w:rsidR="00980C6A" w:rsidRPr="00DE2BB5">
        <w:t xml:space="preserve">to their </w:t>
      </w:r>
      <w:r w:rsidR="003B74EB" w:rsidRPr="00DE2BB5">
        <w:t>braces (</w:t>
      </w:r>
      <w:r w:rsidR="003B74EB" w:rsidRPr="00592D85">
        <w:rPr>
          <w:b/>
          <w:bCs/>
        </w:rPr>
        <w:t>Figure 3B,C</w:t>
      </w:r>
      <w:r w:rsidR="003B74EB" w:rsidRPr="00DE2BB5">
        <w:t>).</w:t>
      </w:r>
    </w:p>
    <w:p w14:paraId="7168D3DB" w14:textId="77777777" w:rsidR="007D2184" w:rsidRPr="00DE2BB5" w:rsidRDefault="007D2184" w:rsidP="00DE2BB5">
      <w:pPr>
        <w:pStyle w:val="ListParagraph"/>
        <w:ind w:left="0"/>
      </w:pPr>
    </w:p>
    <w:p w14:paraId="5D947ADB" w14:textId="60669B8E" w:rsidR="007D2184" w:rsidRPr="00DE2BB5" w:rsidRDefault="003B74EB" w:rsidP="00DE2BB5">
      <w:pPr>
        <w:pStyle w:val="ListParagraph"/>
        <w:numPr>
          <w:ilvl w:val="1"/>
          <w:numId w:val="4"/>
        </w:numPr>
        <w:ind w:left="0" w:firstLine="0"/>
      </w:pPr>
      <w:r w:rsidRPr="00DE2BB5">
        <w:t xml:space="preserve">Cut fifteen pieces of 12 mm long 6.35 mm </w:t>
      </w:r>
      <w:r w:rsidR="00F52DAB" w:rsidRPr="00DE2BB5">
        <w:t>outside diameter (</w:t>
      </w:r>
      <w:r w:rsidRPr="00DE2BB5">
        <w:t>OD</w:t>
      </w:r>
      <w:r w:rsidR="00F52DAB" w:rsidRPr="00DE2BB5">
        <w:t>)</w:t>
      </w:r>
      <w:r w:rsidRPr="00DE2BB5">
        <w:t xml:space="preserve"> rigid tubing. Sandwich five pieces of </w:t>
      </w:r>
      <w:r w:rsidR="003D5E33" w:rsidRPr="00DE2BB5">
        <w:t xml:space="preserve">the </w:t>
      </w:r>
      <w:r w:rsidRPr="00DE2BB5">
        <w:t xml:space="preserve">rigid tube between each top and bottom layer. Fasten layers and tubing together with long narrow bolts according to </w:t>
      </w:r>
      <w:r w:rsidRPr="00DE2BB5">
        <w:rPr>
          <w:b/>
          <w:bCs/>
        </w:rPr>
        <w:t>Figure 3</w:t>
      </w:r>
      <w:r w:rsidR="00C51475" w:rsidRPr="00DE2BB5">
        <w:rPr>
          <w:b/>
          <w:bCs/>
        </w:rPr>
        <w:t>B</w:t>
      </w:r>
      <w:r w:rsidR="00E44924">
        <w:rPr>
          <w:b/>
          <w:bCs/>
        </w:rPr>
        <w:t>–</w:t>
      </w:r>
      <w:r w:rsidRPr="00DE2BB5">
        <w:rPr>
          <w:b/>
          <w:bCs/>
        </w:rPr>
        <w:t>D</w:t>
      </w:r>
      <w:r w:rsidRPr="00DE2BB5">
        <w:t>.</w:t>
      </w:r>
    </w:p>
    <w:p w14:paraId="243A1EF8" w14:textId="77777777" w:rsidR="007D2184" w:rsidRPr="00DE2BB5" w:rsidRDefault="007D2184" w:rsidP="00DE2BB5">
      <w:pPr>
        <w:pStyle w:val="ListParagraph"/>
        <w:ind w:left="0"/>
      </w:pPr>
    </w:p>
    <w:p w14:paraId="64C2C9C9" w14:textId="5B6A6F99" w:rsidR="007D2184" w:rsidRPr="00DE2BB5" w:rsidRDefault="003B74EB" w:rsidP="00DE2BB5">
      <w:pPr>
        <w:pStyle w:val="ListParagraph"/>
        <w:numPr>
          <w:ilvl w:val="1"/>
          <w:numId w:val="4"/>
        </w:numPr>
        <w:ind w:left="0" w:firstLine="0"/>
      </w:pPr>
      <w:r w:rsidRPr="00DE2BB5">
        <w:t xml:space="preserve">Drill a large hole in the PVC pipe behind each platform. Insert </w:t>
      </w:r>
      <w:r w:rsidR="00ED343C" w:rsidRPr="00DE2BB5">
        <w:t xml:space="preserve">each </w:t>
      </w:r>
      <w:r w:rsidRPr="00DE2BB5">
        <w:t xml:space="preserve">micro magnetic stirrer </w:t>
      </w:r>
      <w:r w:rsidR="00ED343C" w:rsidRPr="00DE2BB5">
        <w:t>into its platform</w:t>
      </w:r>
      <w:r w:rsidR="00056F9C" w:rsidRPr="00DE2BB5">
        <w:t>.</w:t>
      </w:r>
      <w:r w:rsidR="007D528A" w:rsidRPr="00DE2BB5">
        <w:t xml:space="preserve"> Thread each stirrer</w:t>
      </w:r>
      <w:r w:rsidR="004A13EF" w:rsidRPr="00DE2BB5">
        <w:t>'</w:t>
      </w:r>
      <w:r w:rsidR="0051337B" w:rsidRPr="00DE2BB5">
        <w:t>s electrical</w:t>
      </w:r>
      <w:r w:rsidR="007D528A" w:rsidRPr="00DE2BB5">
        <w:t xml:space="preserve"> c</w:t>
      </w:r>
      <w:r w:rsidR="0051337B" w:rsidRPr="00DE2BB5">
        <w:t>able</w:t>
      </w:r>
      <w:r w:rsidR="007D528A" w:rsidRPr="00DE2BB5">
        <w:t xml:space="preserve"> through these newly cut holes</w:t>
      </w:r>
      <w:r w:rsidR="0051337B" w:rsidRPr="00DE2BB5">
        <w:t xml:space="preserve"> </w:t>
      </w:r>
      <w:r w:rsidRPr="00DE2BB5">
        <w:t>(</w:t>
      </w:r>
      <w:r w:rsidRPr="00DE2BB5">
        <w:rPr>
          <w:b/>
          <w:bCs/>
        </w:rPr>
        <w:t xml:space="preserve">Figure </w:t>
      </w:r>
      <w:r w:rsidR="00040681" w:rsidRPr="00DE2BB5">
        <w:rPr>
          <w:b/>
          <w:bCs/>
        </w:rPr>
        <w:t>3</w:t>
      </w:r>
      <w:r w:rsidRPr="00DE2BB5">
        <w:rPr>
          <w:b/>
          <w:bCs/>
        </w:rPr>
        <w:t>C</w:t>
      </w:r>
      <w:r w:rsidR="00E44924">
        <w:rPr>
          <w:b/>
          <w:bCs/>
        </w:rPr>
        <w:t>–</w:t>
      </w:r>
      <w:r w:rsidRPr="00DE2BB5">
        <w:rPr>
          <w:b/>
          <w:bCs/>
        </w:rPr>
        <w:t>E</w:t>
      </w:r>
      <w:r w:rsidRPr="00DE2BB5">
        <w:t xml:space="preserve">). </w:t>
      </w:r>
      <w:r w:rsidR="00104CC6" w:rsidRPr="00DE2BB5">
        <w:t xml:space="preserve">Connect each </w:t>
      </w:r>
      <w:r w:rsidRPr="00DE2BB5">
        <w:t xml:space="preserve">stirrer to </w:t>
      </w:r>
      <w:r w:rsidR="00935328" w:rsidRPr="00DE2BB5">
        <w:t>its</w:t>
      </w:r>
      <w:r w:rsidRPr="00DE2BB5">
        <w:t xml:space="preserve"> respective control unit </w:t>
      </w:r>
      <w:r w:rsidR="002543F5" w:rsidRPr="00DE2BB5">
        <w:t>as well as a</w:t>
      </w:r>
      <w:r w:rsidRPr="00DE2BB5">
        <w:t xml:space="preserve"> power outlet.</w:t>
      </w:r>
    </w:p>
    <w:p w14:paraId="1FC41EFB" w14:textId="77777777" w:rsidR="007D2184" w:rsidRPr="00DE2BB5" w:rsidRDefault="007D2184" w:rsidP="00DE2BB5">
      <w:pPr>
        <w:pStyle w:val="ListParagraph"/>
        <w:ind w:left="0"/>
      </w:pPr>
    </w:p>
    <w:p w14:paraId="41E5396F" w14:textId="58B90DE5" w:rsidR="007D2184" w:rsidRPr="00DE2BB5" w:rsidRDefault="003B74EB" w:rsidP="00DE2BB5">
      <w:pPr>
        <w:pStyle w:val="ListParagraph"/>
        <w:numPr>
          <w:ilvl w:val="1"/>
          <w:numId w:val="4"/>
        </w:numPr>
        <w:ind w:left="0" w:firstLine="0"/>
      </w:pPr>
      <w:r w:rsidRPr="00DE2BB5">
        <w:t xml:space="preserve">Place a 1 L bottle on each platform. Add eye bolts in the rear pipe at bottle neck level. Wrap a small bungee cord around each bottle neck </w:t>
      </w:r>
      <w:r w:rsidR="007B3CB8" w:rsidRPr="00DE2BB5">
        <w:t xml:space="preserve">to add </w:t>
      </w:r>
      <w:r w:rsidRPr="00DE2BB5">
        <w:t>stability (</w:t>
      </w:r>
      <w:r w:rsidRPr="00DE2BB5">
        <w:rPr>
          <w:b/>
          <w:bCs/>
        </w:rPr>
        <w:t>Figure 4A</w:t>
      </w:r>
      <w:r w:rsidRPr="00DE2BB5">
        <w:t>).</w:t>
      </w:r>
    </w:p>
    <w:p w14:paraId="11D91E49" w14:textId="77777777" w:rsidR="007D2184" w:rsidRPr="00DE2BB5" w:rsidRDefault="007D2184" w:rsidP="00DE2BB5"/>
    <w:p w14:paraId="516B8A85" w14:textId="16F6412A" w:rsidR="007D2184" w:rsidRPr="00DE2BB5" w:rsidRDefault="003B74EB" w:rsidP="00DE2BB5">
      <w:r w:rsidRPr="00DE2BB5">
        <w:t xml:space="preserve">NOTE: </w:t>
      </w:r>
      <w:r w:rsidR="006E4B2B" w:rsidRPr="00DE2BB5">
        <w:t xml:space="preserve">Throughout the protocol, </w:t>
      </w:r>
      <w:r w:rsidR="002F4C6B" w:rsidRPr="00DE2BB5">
        <w:t>c</w:t>
      </w:r>
      <w:r w:rsidRPr="00DE2BB5">
        <w:t>olor coding platforms, bottles, magnetic stirrers, and all associated c</w:t>
      </w:r>
      <w:r w:rsidR="007661AF" w:rsidRPr="00DE2BB5">
        <w:t>ables</w:t>
      </w:r>
      <w:r w:rsidR="00671A0D" w:rsidRPr="00DE2BB5">
        <w:t xml:space="preserve"> and sensors </w:t>
      </w:r>
      <w:r w:rsidR="006E4B2B" w:rsidRPr="00DE2BB5">
        <w:t>will be helpful.</w:t>
      </w:r>
    </w:p>
    <w:p w14:paraId="25ADEC68" w14:textId="77777777" w:rsidR="007D2184" w:rsidRPr="00DE2BB5" w:rsidRDefault="007D2184" w:rsidP="00DE2BB5"/>
    <w:p w14:paraId="1C530E53" w14:textId="1882E26D" w:rsidR="007D2184" w:rsidRPr="00DE2BB5" w:rsidRDefault="003B74EB" w:rsidP="00DE2BB5">
      <w:pPr>
        <w:pStyle w:val="ListParagraph"/>
        <w:numPr>
          <w:ilvl w:val="0"/>
          <w:numId w:val="4"/>
        </w:numPr>
        <w:ind w:left="0" w:firstLine="0"/>
        <w:rPr>
          <w:b/>
          <w:bCs/>
        </w:rPr>
      </w:pPr>
      <w:r w:rsidRPr="00DE2BB5">
        <w:rPr>
          <w:b/>
          <w:bCs/>
        </w:rPr>
        <w:t>Construct</w:t>
      </w:r>
      <w:r w:rsidR="00EC752E" w:rsidRPr="00DE2BB5">
        <w:rPr>
          <w:b/>
          <w:bCs/>
        </w:rPr>
        <w:t>ion of</w:t>
      </w:r>
      <w:r w:rsidRPr="00DE2BB5">
        <w:rPr>
          <w:b/>
          <w:bCs/>
        </w:rPr>
        <w:t xml:space="preserve"> </w:t>
      </w:r>
      <w:r w:rsidR="000560D1" w:rsidRPr="00DE2BB5">
        <w:rPr>
          <w:b/>
          <w:bCs/>
        </w:rPr>
        <w:t xml:space="preserve">the </w:t>
      </w:r>
      <w:r w:rsidRPr="00DE2BB5">
        <w:rPr>
          <w:b/>
          <w:bCs/>
        </w:rPr>
        <w:t>liquid sampling ports (optional)</w:t>
      </w:r>
    </w:p>
    <w:p w14:paraId="39595700" w14:textId="77777777" w:rsidR="007D2184" w:rsidRPr="00DE2BB5" w:rsidRDefault="007D2184" w:rsidP="00DE2BB5"/>
    <w:p w14:paraId="336B7477" w14:textId="419DF73F" w:rsidR="007D2184" w:rsidRPr="00DE2BB5" w:rsidRDefault="003B74EB" w:rsidP="00DE2BB5">
      <w:pPr>
        <w:pStyle w:val="ListParagraph"/>
        <w:numPr>
          <w:ilvl w:val="1"/>
          <w:numId w:val="4"/>
        </w:numPr>
        <w:ind w:left="0" w:firstLine="0"/>
      </w:pPr>
      <w:r w:rsidRPr="00DE2BB5">
        <w:t>Cut three 60 mm lengths</w:t>
      </w:r>
      <w:r w:rsidR="008F6048" w:rsidRPr="00DE2BB5">
        <w:t xml:space="preserve"> of</w:t>
      </w:r>
      <w:r w:rsidRPr="00DE2BB5">
        <w:t xml:space="preserve"> 6.35 mm OD rigid tubing. Using a 5 mm drill bit</w:t>
      </w:r>
      <w:r w:rsidR="008F6048" w:rsidRPr="00DE2BB5">
        <w:t>,</w:t>
      </w:r>
      <w:r w:rsidRPr="00DE2BB5">
        <w:t xml:space="preserve"> drill holes through each rubber stopper. Push rigid tube lengths through </w:t>
      </w:r>
      <w:r w:rsidR="00D910EF" w:rsidRPr="00DE2BB5">
        <w:t xml:space="preserve">the </w:t>
      </w:r>
      <w:r w:rsidRPr="00DE2BB5">
        <w:t>stopper.</w:t>
      </w:r>
    </w:p>
    <w:p w14:paraId="3C5FCE6D" w14:textId="77777777" w:rsidR="007D2184" w:rsidRPr="00DE2BB5" w:rsidRDefault="007D2184" w:rsidP="00DE2BB5">
      <w:pPr>
        <w:pStyle w:val="ListParagraph"/>
        <w:ind w:left="0"/>
      </w:pPr>
    </w:p>
    <w:p w14:paraId="427EF33B" w14:textId="58F11D0E" w:rsidR="007D2184" w:rsidRPr="00DE2BB5" w:rsidRDefault="003B74EB" w:rsidP="00DE2BB5">
      <w:pPr>
        <w:pStyle w:val="ListParagraph"/>
        <w:numPr>
          <w:ilvl w:val="1"/>
          <w:numId w:val="4"/>
        </w:numPr>
        <w:ind w:left="0" w:firstLine="0"/>
      </w:pPr>
      <w:r w:rsidRPr="00DE2BB5">
        <w:t>Cut three 60 mm lengths of 3.18 mm OD rigid tubing. Connect these with a straight reducer to the protruding tube on the underside of each stopper.</w:t>
      </w:r>
    </w:p>
    <w:p w14:paraId="1B45EACA" w14:textId="77777777" w:rsidR="007D2184" w:rsidRPr="00DE2BB5" w:rsidRDefault="007D2184" w:rsidP="00DE2BB5">
      <w:pPr>
        <w:pStyle w:val="ListParagraph"/>
        <w:ind w:left="0"/>
      </w:pPr>
    </w:p>
    <w:p w14:paraId="644CFE61" w14:textId="66C569AE" w:rsidR="007D2184" w:rsidRPr="00DE2BB5" w:rsidRDefault="003B74EB" w:rsidP="00DE2BB5">
      <w:pPr>
        <w:pStyle w:val="ListParagraph"/>
        <w:numPr>
          <w:ilvl w:val="1"/>
          <w:numId w:val="4"/>
        </w:numPr>
        <w:ind w:left="0" w:firstLine="0"/>
      </w:pPr>
      <w:r w:rsidRPr="00DE2BB5">
        <w:t xml:space="preserve">Insert a one-way stopcock valve (e.g., port 1 = female </w:t>
      </w:r>
      <w:r w:rsidR="00235288" w:rsidRPr="00DE2BB5">
        <w:t>L</w:t>
      </w:r>
      <w:r w:rsidRPr="00DE2BB5">
        <w:t xml:space="preserve">uer, port 2 = male slip </w:t>
      </w:r>
      <w:r w:rsidR="00235288" w:rsidRPr="00DE2BB5">
        <w:t>L</w:t>
      </w:r>
      <w:r w:rsidRPr="00DE2BB5">
        <w:t>uer) in the protruding tube on each stopper surface (</w:t>
      </w:r>
      <w:r w:rsidRPr="00DE2BB5">
        <w:rPr>
          <w:b/>
          <w:bCs/>
        </w:rPr>
        <w:t>Figure 4A</w:t>
      </w:r>
      <w:r w:rsidRPr="00DE2BB5">
        <w:t>).</w:t>
      </w:r>
    </w:p>
    <w:p w14:paraId="78C7B583" w14:textId="77777777" w:rsidR="007D2184" w:rsidRPr="00DE2BB5" w:rsidRDefault="007D2184" w:rsidP="00DE2BB5">
      <w:pPr>
        <w:pStyle w:val="ListParagraph"/>
        <w:ind w:left="0"/>
      </w:pPr>
    </w:p>
    <w:p w14:paraId="208B6079" w14:textId="7F8452C7" w:rsidR="007D2184" w:rsidRPr="00DE2BB5" w:rsidRDefault="003B74EB" w:rsidP="00DE2BB5">
      <w:pPr>
        <w:pStyle w:val="ListParagraph"/>
        <w:numPr>
          <w:ilvl w:val="1"/>
          <w:numId w:val="4"/>
        </w:numPr>
        <w:ind w:left="0" w:firstLine="0"/>
      </w:pPr>
      <w:r w:rsidRPr="00DE2BB5">
        <w:t xml:space="preserve">Cut three 30 mm lengths of 3.18 mm OD flexible tubing. Insert </w:t>
      </w:r>
      <w:r w:rsidR="00AE59BF" w:rsidRPr="00DE2BB5">
        <w:t>L</w:t>
      </w:r>
      <w:r w:rsidRPr="00DE2BB5">
        <w:t xml:space="preserve">uer fittings (e.g., male </w:t>
      </w:r>
      <w:r w:rsidR="00AE59BF" w:rsidRPr="00DE2BB5">
        <w:t>L</w:t>
      </w:r>
      <w:r w:rsidRPr="00DE2BB5">
        <w:t xml:space="preserve">uer to hose barb and female </w:t>
      </w:r>
      <w:r w:rsidR="00AE59BF" w:rsidRPr="00DE2BB5">
        <w:t>L</w:t>
      </w:r>
      <w:r w:rsidRPr="00DE2BB5">
        <w:t>uer to hose barb) on either end.</w:t>
      </w:r>
    </w:p>
    <w:p w14:paraId="1E00BB6E" w14:textId="77777777" w:rsidR="007D2184" w:rsidRPr="00DE2BB5" w:rsidRDefault="007D2184" w:rsidP="00DE2BB5">
      <w:pPr>
        <w:pStyle w:val="ListParagraph"/>
        <w:ind w:left="0"/>
      </w:pPr>
    </w:p>
    <w:p w14:paraId="1D232AA7" w14:textId="0AAFD7C8" w:rsidR="007D2184" w:rsidRPr="00DE2BB5" w:rsidRDefault="003B74EB" w:rsidP="00DE2BB5">
      <w:pPr>
        <w:pStyle w:val="ListParagraph"/>
        <w:numPr>
          <w:ilvl w:val="1"/>
          <w:numId w:val="4"/>
        </w:numPr>
        <w:ind w:left="0" w:firstLine="0"/>
      </w:pPr>
      <w:r w:rsidRPr="00DE2BB5">
        <w:lastRenderedPageBreak/>
        <w:t xml:space="preserve">Connect the </w:t>
      </w:r>
      <w:r w:rsidR="00737CEC" w:rsidRPr="00DE2BB5">
        <w:t>pieces</w:t>
      </w:r>
      <w:r w:rsidRPr="00DE2BB5">
        <w:t xml:space="preserve"> made in step 4.4 to the stopcock valve</w:t>
      </w:r>
      <w:r w:rsidR="00E34C6F" w:rsidRPr="00DE2BB5">
        <w:t>s</w:t>
      </w:r>
      <w:r w:rsidRPr="00DE2BB5">
        <w:t xml:space="preserve"> on the surface of </w:t>
      </w:r>
      <w:r w:rsidR="00E34C6F" w:rsidRPr="00DE2BB5">
        <w:t>each</w:t>
      </w:r>
      <w:r w:rsidRPr="00DE2BB5">
        <w:t xml:space="preserve"> rubber stopper (</w:t>
      </w:r>
      <w:r w:rsidRPr="00DE2BB5">
        <w:rPr>
          <w:b/>
          <w:bCs/>
        </w:rPr>
        <w:t>Figure 4A</w:t>
      </w:r>
      <w:r w:rsidRPr="00DE2BB5">
        <w:t>).</w:t>
      </w:r>
    </w:p>
    <w:p w14:paraId="69280B47" w14:textId="77777777" w:rsidR="007D2184" w:rsidRPr="00DE2BB5" w:rsidRDefault="007D2184" w:rsidP="00DE2BB5"/>
    <w:p w14:paraId="40458EFD" w14:textId="649EC4C3" w:rsidR="007D2184" w:rsidRPr="00DE2BB5" w:rsidRDefault="003B74EB" w:rsidP="00DE2BB5">
      <w:r w:rsidRPr="00DE2BB5">
        <w:t xml:space="preserve">NOTE: Many combinations of stopcocks and </w:t>
      </w:r>
      <w:r w:rsidR="00F32294" w:rsidRPr="00DE2BB5">
        <w:t>L</w:t>
      </w:r>
      <w:r w:rsidRPr="00DE2BB5">
        <w:t xml:space="preserve">uer fittings can produce the same result. The design should allow liquid to be drawn out or inserted </w:t>
      </w:r>
      <w:r w:rsidRPr="00DE2BB5">
        <w:rPr>
          <w:i/>
          <w:iCs/>
        </w:rPr>
        <w:t>via</w:t>
      </w:r>
      <w:r w:rsidRPr="00DE2BB5">
        <w:t xml:space="preserve"> a syringe.</w:t>
      </w:r>
    </w:p>
    <w:p w14:paraId="478B64D7" w14:textId="77777777" w:rsidR="007D2184" w:rsidRPr="00DE2BB5" w:rsidRDefault="007D2184" w:rsidP="00DE2BB5"/>
    <w:p w14:paraId="49A85948" w14:textId="649CC9DC" w:rsidR="007D2184" w:rsidRPr="00DE2BB5" w:rsidRDefault="003B74EB" w:rsidP="00DE2BB5">
      <w:pPr>
        <w:pStyle w:val="ListParagraph"/>
        <w:numPr>
          <w:ilvl w:val="0"/>
          <w:numId w:val="4"/>
        </w:numPr>
        <w:ind w:left="0" w:firstLine="0"/>
        <w:rPr>
          <w:b/>
          <w:bCs/>
        </w:rPr>
      </w:pPr>
      <w:r w:rsidRPr="00DE2BB5">
        <w:rPr>
          <w:b/>
          <w:bCs/>
        </w:rPr>
        <w:t>Hook</w:t>
      </w:r>
      <w:r w:rsidR="009452D6" w:rsidRPr="00DE2BB5">
        <w:rPr>
          <w:b/>
          <w:bCs/>
        </w:rPr>
        <w:t>ing</w:t>
      </w:r>
      <w:r w:rsidRPr="00DE2BB5">
        <w:rPr>
          <w:b/>
          <w:bCs/>
        </w:rPr>
        <w:t xml:space="preserve"> up volumetric gas sensors</w:t>
      </w:r>
    </w:p>
    <w:p w14:paraId="5A75FC71" w14:textId="77777777" w:rsidR="007D2184" w:rsidRPr="00DE2BB5" w:rsidRDefault="007D2184" w:rsidP="00DE2BB5"/>
    <w:p w14:paraId="4671128F" w14:textId="1D4838B2" w:rsidR="007B0343" w:rsidRPr="00DE2BB5" w:rsidRDefault="003B74EB" w:rsidP="00DE2BB5">
      <w:pPr>
        <w:pStyle w:val="ListParagraph"/>
        <w:numPr>
          <w:ilvl w:val="1"/>
          <w:numId w:val="4"/>
        </w:numPr>
        <w:ind w:left="0" w:firstLine="0"/>
      </w:pPr>
      <w:r w:rsidRPr="00DE2BB5">
        <w:t xml:space="preserve">Prepare gas sensors according to </w:t>
      </w:r>
      <w:r w:rsidR="007B0343" w:rsidRPr="00DE2BB5">
        <w:t xml:space="preserve">the </w:t>
      </w:r>
      <w:r w:rsidRPr="00DE2BB5">
        <w:t>manufacturer</w:t>
      </w:r>
      <w:r w:rsidR="004A13EF" w:rsidRPr="00DE2BB5">
        <w:t>'</w:t>
      </w:r>
      <w:r w:rsidRPr="00DE2BB5">
        <w:t>s instruction</w:t>
      </w:r>
      <w:r w:rsidR="007B0343" w:rsidRPr="00DE2BB5">
        <w:t>s</w:t>
      </w:r>
      <w:r w:rsidRPr="00DE2BB5">
        <w:t>.</w:t>
      </w:r>
    </w:p>
    <w:p w14:paraId="77FFC0C3" w14:textId="77777777" w:rsidR="007B0343" w:rsidRPr="00DE2BB5" w:rsidRDefault="007B0343" w:rsidP="00DE2BB5">
      <w:pPr>
        <w:pStyle w:val="ListParagraph"/>
        <w:ind w:left="0"/>
      </w:pPr>
    </w:p>
    <w:p w14:paraId="7B625A5B" w14:textId="76B3BEA8" w:rsidR="007D2184" w:rsidRPr="00DE2BB5" w:rsidRDefault="007B0343" w:rsidP="00DE2BB5">
      <w:pPr>
        <w:pStyle w:val="ListParagraph"/>
        <w:ind w:left="0"/>
      </w:pPr>
      <w:r w:rsidRPr="00DE2BB5">
        <w:t xml:space="preserve">NOTE: </w:t>
      </w:r>
      <w:r w:rsidR="00CF41FC" w:rsidRPr="00DE2BB5">
        <w:t>T</w:t>
      </w:r>
      <w:r w:rsidR="003B74EB" w:rsidRPr="00DE2BB5">
        <w:t xml:space="preserve">his </w:t>
      </w:r>
      <w:r w:rsidR="00CF41FC" w:rsidRPr="00DE2BB5">
        <w:t>m</w:t>
      </w:r>
      <w:r w:rsidRPr="00DE2BB5">
        <w:t>ain</w:t>
      </w:r>
      <w:r w:rsidR="00CF41FC" w:rsidRPr="00DE2BB5">
        <w:t xml:space="preserve">ly </w:t>
      </w:r>
      <w:r w:rsidR="003B74EB" w:rsidRPr="00DE2BB5">
        <w:t>involves filling gas sensor</w:t>
      </w:r>
      <w:r w:rsidR="00B03894" w:rsidRPr="00DE2BB5">
        <w:t>s</w:t>
      </w:r>
      <w:r w:rsidR="003B74EB" w:rsidRPr="00DE2BB5">
        <w:t xml:space="preserve"> with packing liquid (</w:t>
      </w:r>
      <w:r w:rsidR="003B74EB" w:rsidRPr="00DE2BB5">
        <w:rPr>
          <w:b/>
          <w:bCs/>
        </w:rPr>
        <w:t>Figure 4B</w:t>
      </w:r>
      <w:r w:rsidR="003B74EB" w:rsidRPr="00DE2BB5">
        <w:t>).</w:t>
      </w:r>
    </w:p>
    <w:p w14:paraId="07315710" w14:textId="77777777" w:rsidR="007D2184" w:rsidRPr="00DE2BB5" w:rsidRDefault="007D2184" w:rsidP="00DE2BB5">
      <w:pPr>
        <w:pStyle w:val="ListParagraph"/>
        <w:ind w:left="0"/>
      </w:pPr>
    </w:p>
    <w:p w14:paraId="0AE5B9FD" w14:textId="68A6237F" w:rsidR="007D2184" w:rsidRPr="00DE2BB5" w:rsidRDefault="003B74EB" w:rsidP="00DE2BB5">
      <w:pPr>
        <w:pStyle w:val="ListParagraph"/>
        <w:numPr>
          <w:ilvl w:val="1"/>
          <w:numId w:val="4"/>
        </w:numPr>
        <w:ind w:left="0" w:firstLine="0"/>
      </w:pPr>
      <w:r w:rsidRPr="00DE2BB5">
        <w:t>To make the gas lines</w:t>
      </w:r>
      <w:r w:rsidR="00997007" w:rsidRPr="00DE2BB5">
        <w:t>,</w:t>
      </w:r>
      <w:r w:rsidRPr="00DE2BB5">
        <w:t xml:space="preserve"> cut three 1000 mm lengths of 3.18 mm OD flexible tubing.</w:t>
      </w:r>
    </w:p>
    <w:p w14:paraId="2A1CC2BA" w14:textId="77777777" w:rsidR="007D2184" w:rsidRPr="00DE2BB5" w:rsidRDefault="007D2184" w:rsidP="00DE2BB5">
      <w:pPr>
        <w:pStyle w:val="ListParagraph"/>
        <w:ind w:left="0"/>
      </w:pPr>
    </w:p>
    <w:p w14:paraId="2C672CAB" w14:textId="48ACB1B4" w:rsidR="007D2184" w:rsidRPr="00DE2BB5" w:rsidRDefault="003B74EB" w:rsidP="00DE2BB5">
      <w:pPr>
        <w:pStyle w:val="ListParagraph"/>
        <w:numPr>
          <w:ilvl w:val="1"/>
          <w:numId w:val="4"/>
        </w:numPr>
        <w:ind w:left="0" w:firstLine="0"/>
      </w:pPr>
      <w:r w:rsidRPr="00DE2BB5">
        <w:t xml:space="preserve">Drill three </w:t>
      </w:r>
      <w:r w:rsidR="00597467" w:rsidRPr="00DE2BB5">
        <w:t xml:space="preserve">4 mm diameter </w:t>
      </w:r>
      <w:r w:rsidRPr="00DE2BB5">
        <w:t>holes in the rear PVC pipe</w:t>
      </w:r>
      <w:r w:rsidR="00D303C4" w:rsidRPr="00DE2BB5">
        <w:t xml:space="preserve">. </w:t>
      </w:r>
      <w:r w:rsidR="00B1685C" w:rsidRPr="00DE2BB5">
        <w:t>Position</w:t>
      </w:r>
      <w:r w:rsidR="00597467" w:rsidRPr="00DE2BB5">
        <w:t xml:space="preserve"> holes</w:t>
      </w:r>
      <w:r w:rsidR="004C1C5F" w:rsidRPr="00DE2BB5">
        <w:t xml:space="preserve"> next to the hinge</w:t>
      </w:r>
      <w:r w:rsidR="00597467" w:rsidRPr="00DE2BB5">
        <w:t xml:space="preserve"> </w:t>
      </w:r>
      <w:r w:rsidRPr="00DE2BB5">
        <w:t>at bottle neck height. Thread gas lines through</w:t>
      </w:r>
      <w:r w:rsidR="000B5243" w:rsidRPr="00DE2BB5">
        <w:t xml:space="preserve"> </w:t>
      </w:r>
      <w:r w:rsidRPr="00DE2BB5">
        <w:t>these holes (</w:t>
      </w:r>
      <w:r w:rsidRPr="00DE2BB5">
        <w:rPr>
          <w:b/>
          <w:bCs/>
        </w:rPr>
        <w:t>Figure 4A</w:t>
      </w:r>
      <w:r w:rsidRPr="00DE2BB5">
        <w:t>).</w:t>
      </w:r>
    </w:p>
    <w:p w14:paraId="0D296076" w14:textId="77777777" w:rsidR="007D2184" w:rsidRPr="00DE2BB5" w:rsidRDefault="007D2184" w:rsidP="00DE2BB5">
      <w:pPr>
        <w:pStyle w:val="ListParagraph"/>
        <w:ind w:left="0"/>
      </w:pPr>
    </w:p>
    <w:p w14:paraId="07663529" w14:textId="242A15D1" w:rsidR="007D2184" w:rsidRPr="00DE2BB5" w:rsidRDefault="003B74EB" w:rsidP="00DE2BB5">
      <w:pPr>
        <w:pStyle w:val="ListParagraph"/>
        <w:numPr>
          <w:ilvl w:val="1"/>
          <w:numId w:val="4"/>
        </w:numPr>
        <w:ind w:left="0" w:firstLine="0"/>
      </w:pPr>
      <w:r w:rsidRPr="00DE2BB5">
        <w:t>To the end of the gas line inside the PVC pipe</w:t>
      </w:r>
      <w:r w:rsidR="002941B0" w:rsidRPr="00DE2BB5">
        <w:t>,</w:t>
      </w:r>
      <w:r w:rsidRPr="00DE2BB5">
        <w:t xml:space="preserve"> add a </w:t>
      </w:r>
      <w:r w:rsidR="002941B0" w:rsidRPr="00DE2BB5">
        <w:t>L</w:t>
      </w:r>
      <w:r w:rsidRPr="00DE2BB5">
        <w:t>uer fitting (e.g.</w:t>
      </w:r>
      <w:r w:rsidR="00CF56A3" w:rsidRPr="00DE2BB5">
        <w:t>,</w:t>
      </w:r>
      <w:r w:rsidRPr="00DE2BB5">
        <w:t xml:space="preserve"> hose barb to male </w:t>
      </w:r>
      <w:r w:rsidR="002941B0" w:rsidRPr="00DE2BB5">
        <w:t>L</w:t>
      </w:r>
      <w:r w:rsidRPr="00DE2BB5">
        <w:t xml:space="preserve">uer) and connect a one-way stopcock valve (e.g., port 1 = female </w:t>
      </w:r>
      <w:r w:rsidR="002941B0" w:rsidRPr="00DE2BB5">
        <w:t>L</w:t>
      </w:r>
      <w:r w:rsidRPr="00DE2BB5">
        <w:t xml:space="preserve">uer, port 2 = male </w:t>
      </w:r>
      <w:r w:rsidR="002941B0" w:rsidRPr="00DE2BB5">
        <w:t>L</w:t>
      </w:r>
      <w:r w:rsidRPr="00DE2BB5">
        <w:t>uer).</w:t>
      </w:r>
    </w:p>
    <w:p w14:paraId="77121266" w14:textId="77777777" w:rsidR="007D2184" w:rsidRPr="00DE2BB5" w:rsidRDefault="007D2184" w:rsidP="00DE2BB5"/>
    <w:p w14:paraId="0B58CF37" w14:textId="77777777" w:rsidR="007D2184" w:rsidRPr="00DE2BB5" w:rsidRDefault="003B74EB" w:rsidP="00DE2BB5">
      <w:r w:rsidRPr="00DE2BB5">
        <w:t>NOTE: The valve is only required when liquid sampling ports are also installed.</w:t>
      </w:r>
    </w:p>
    <w:p w14:paraId="691223B4" w14:textId="77777777" w:rsidR="007D2184" w:rsidRPr="00DE2BB5" w:rsidRDefault="007D2184" w:rsidP="00DE2BB5"/>
    <w:p w14:paraId="77F0AF77" w14:textId="7D93BB14" w:rsidR="007D2184" w:rsidRPr="00DE2BB5" w:rsidRDefault="003B74EB" w:rsidP="00DE2BB5">
      <w:pPr>
        <w:pStyle w:val="ListParagraph"/>
        <w:numPr>
          <w:ilvl w:val="1"/>
          <w:numId w:val="4"/>
        </w:numPr>
        <w:ind w:left="0" w:firstLine="0"/>
      </w:pPr>
      <w:r w:rsidRPr="00DE2BB5">
        <w:t>Join the other end of the gas line to the inlet port of the gas sensor using a straight reducer. Secure this connection with a zip tie.</w:t>
      </w:r>
    </w:p>
    <w:p w14:paraId="67886AD4" w14:textId="77777777" w:rsidR="007D2184" w:rsidRPr="00DE2BB5" w:rsidRDefault="007D2184" w:rsidP="00DE2BB5">
      <w:pPr>
        <w:pStyle w:val="ListParagraph"/>
        <w:ind w:left="0"/>
      </w:pPr>
    </w:p>
    <w:p w14:paraId="0D833613" w14:textId="25DACEAD" w:rsidR="007D2184" w:rsidRPr="00DE2BB5" w:rsidRDefault="003B74EB" w:rsidP="00DE2BB5">
      <w:pPr>
        <w:pStyle w:val="ListParagraph"/>
        <w:numPr>
          <w:ilvl w:val="1"/>
          <w:numId w:val="4"/>
        </w:numPr>
        <w:ind w:left="0" w:firstLine="0"/>
      </w:pPr>
      <w:r w:rsidRPr="00DE2BB5">
        <w:t>Connect all gas sensors to the digital input module (DIM) with jack plug cables and the DIM to a nearby computer.</w:t>
      </w:r>
    </w:p>
    <w:p w14:paraId="56378801" w14:textId="77777777" w:rsidR="00495FDD" w:rsidRPr="00DE2BB5" w:rsidRDefault="00495FDD" w:rsidP="00DE2BB5">
      <w:pPr>
        <w:pStyle w:val="ListParagraph"/>
        <w:ind w:left="0"/>
      </w:pPr>
    </w:p>
    <w:p w14:paraId="7DBE2FEB" w14:textId="25FC2539" w:rsidR="007D2184" w:rsidRPr="00DE2BB5" w:rsidRDefault="003B74EB" w:rsidP="00DE2BB5">
      <w:pPr>
        <w:pStyle w:val="ListParagraph"/>
        <w:numPr>
          <w:ilvl w:val="1"/>
          <w:numId w:val="4"/>
        </w:numPr>
        <w:ind w:left="0" w:firstLine="0"/>
      </w:pPr>
      <w:r w:rsidRPr="00DE2BB5">
        <w:t>Install the data acquisition software</w:t>
      </w:r>
      <w:r w:rsidR="00495FDD" w:rsidRPr="00DE2BB5">
        <w:t xml:space="preserve"> (see </w:t>
      </w:r>
      <w:r w:rsidR="00495FDD" w:rsidRPr="00DE2BB5">
        <w:rPr>
          <w:b/>
          <w:bCs/>
        </w:rPr>
        <w:t>Table of Materials</w:t>
      </w:r>
      <w:r w:rsidR="00495FDD" w:rsidRPr="00DE2BB5">
        <w:t xml:space="preserve">) </w:t>
      </w:r>
      <w:r w:rsidRPr="00DE2BB5">
        <w:t>on a Windows operating system and plug in</w:t>
      </w:r>
      <w:r w:rsidR="006424C3" w:rsidRPr="00DE2BB5">
        <w:t xml:space="preserve"> the</w:t>
      </w:r>
      <w:r w:rsidRPr="00DE2BB5">
        <w:t xml:space="preserve"> licensing key dongle. Add sensor calibration files to the </w:t>
      </w:r>
      <w:r w:rsidR="006C790C" w:rsidRPr="00DE2BB5">
        <w:t>software</w:t>
      </w:r>
      <w:r w:rsidR="004A13EF" w:rsidRPr="00DE2BB5">
        <w:t>'</w:t>
      </w:r>
      <w:r w:rsidR="006C790C" w:rsidRPr="00DE2BB5">
        <w:t xml:space="preserve">s </w:t>
      </w:r>
      <w:r w:rsidRPr="00DE2BB5">
        <w:t>calibration directory.</w:t>
      </w:r>
    </w:p>
    <w:p w14:paraId="04415358" w14:textId="77777777" w:rsidR="007D2184" w:rsidRPr="00DE2BB5" w:rsidRDefault="007D2184" w:rsidP="00DE2BB5"/>
    <w:p w14:paraId="59270BF1" w14:textId="19AD3B83" w:rsidR="007D2184" w:rsidRPr="00DE2BB5" w:rsidRDefault="003B74EB" w:rsidP="00DE2BB5">
      <w:pPr>
        <w:pStyle w:val="ListParagraph"/>
        <w:numPr>
          <w:ilvl w:val="0"/>
          <w:numId w:val="4"/>
        </w:numPr>
        <w:ind w:left="0" w:firstLine="0"/>
        <w:rPr>
          <w:b/>
          <w:bCs/>
        </w:rPr>
      </w:pPr>
      <w:r w:rsidRPr="00DE2BB5">
        <w:rPr>
          <w:b/>
          <w:bCs/>
        </w:rPr>
        <w:t>Program</w:t>
      </w:r>
      <w:r w:rsidR="0046315A" w:rsidRPr="00DE2BB5">
        <w:rPr>
          <w:b/>
          <w:bCs/>
        </w:rPr>
        <w:t>ming of</w:t>
      </w:r>
      <w:r w:rsidRPr="00DE2BB5">
        <w:rPr>
          <w:b/>
          <w:bCs/>
        </w:rPr>
        <w:t xml:space="preserve"> the light regime</w:t>
      </w:r>
    </w:p>
    <w:p w14:paraId="4A020680" w14:textId="77777777" w:rsidR="007D2184" w:rsidRPr="00DE2BB5" w:rsidRDefault="007D2184" w:rsidP="00DE2BB5">
      <w:pPr>
        <w:rPr>
          <w:b/>
          <w:bCs/>
        </w:rPr>
      </w:pPr>
    </w:p>
    <w:p w14:paraId="4AC03032" w14:textId="6EB64F9F" w:rsidR="007D2184" w:rsidRPr="00DE2BB5" w:rsidRDefault="003B74EB" w:rsidP="00DE2BB5">
      <w:pPr>
        <w:pStyle w:val="ListParagraph"/>
        <w:numPr>
          <w:ilvl w:val="1"/>
          <w:numId w:val="4"/>
        </w:numPr>
        <w:ind w:left="0" w:firstLine="0"/>
      </w:pPr>
      <w:r w:rsidRPr="00DE2BB5">
        <w:t>Using the rear on/off switch</w:t>
      </w:r>
      <w:r w:rsidR="007C77A8" w:rsidRPr="00DE2BB5">
        <w:t>,</w:t>
      </w:r>
      <w:r w:rsidRPr="00DE2BB5">
        <w:t xml:space="preserve"> turn on the PBR and connect the DMX lighting controller to </w:t>
      </w:r>
      <w:r w:rsidR="0006614C" w:rsidRPr="00DE2BB5">
        <w:t xml:space="preserve">a </w:t>
      </w:r>
      <w:r w:rsidRPr="00DE2BB5">
        <w:t xml:space="preserve">computer </w:t>
      </w:r>
      <w:r w:rsidRPr="00DE2BB5">
        <w:rPr>
          <w:i/>
          <w:iCs/>
        </w:rPr>
        <w:t>via</w:t>
      </w:r>
      <w:r w:rsidRPr="00DE2BB5">
        <w:t xml:space="preserve"> a micro-USB cable.</w:t>
      </w:r>
    </w:p>
    <w:p w14:paraId="4A05C3E2" w14:textId="77777777" w:rsidR="007D2184" w:rsidRPr="00DE2BB5" w:rsidRDefault="007D2184" w:rsidP="00DE2BB5">
      <w:pPr>
        <w:pStyle w:val="ListParagraph"/>
        <w:ind w:left="0"/>
      </w:pPr>
    </w:p>
    <w:p w14:paraId="5A388726" w14:textId="1E09FB83" w:rsidR="007D2184" w:rsidRPr="00DE2BB5" w:rsidRDefault="003B74EB" w:rsidP="00DE2BB5">
      <w:pPr>
        <w:pStyle w:val="ListParagraph"/>
        <w:numPr>
          <w:ilvl w:val="1"/>
          <w:numId w:val="4"/>
        </w:numPr>
        <w:ind w:left="0" w:firstLine="0"/>
      </w:pPr>
      <w:r w:rsidRPr="00DE2BB5">
        <w:t xml:space="preserve">Download Store Upgrade Tools (SUT) </w:t>
      </w:r>
      <w:hyperlink w:history="1"/>
      <w:r w:rsidRPr="00DE2BB5">
        <w:t xml:space="preserve">and </w:t>
      </w:r>
      <w:r w:rsidR="005756BA" w:rsidRPr="00DE2BB5">
        <w:t xml:space="preserve">the </w:t>
      </w:r>
      <w:r w:rsidR="00576583" w:rsidRPr="00DE2BB5">
        <w:t>LED</w:t>
      </w:r>
      <w:r w:rsidR="0082320A" w:rsidRPr="00DE2BB5">
        <w:t xml:space="preserve"> control software </w:t>
      </w:r>
      <w:r w:rsidR="0005200F">
        <w:t xml:space="preserve">(see </w:t>
      </w:r>
      <w:r w:rsidR="0005200F">
        <w:rPr>
          <w:b/>
          <w:bCs/>
        </w:rPr>
        <w:t>Table of Materials</w:t>
      </w:r>
      <w:r w:rsidR="0005200F">
        <w:t>)</w:t>
      </w:r>
      <w:r w:rsidRPr="00DE2BB5">
        <w:t>. Register the DMX</w:t>
      </w:r>
      <w:r w:rsidR="00CA2D67" w:rsidRPr="00DE2BB5">
        <w:t xml:space="preserve"> lighting controller</w:t>
      </w:r>
      <w:r w:rsidRPr="00DE2BB5">
        <w:t xml:space="preserve"> online.</w:t>
      </w:r>
    </w:p>
    <w:p w14:paraId="45A592AC" w14:textId="77777777" w:rsidR="007D2184" w:rsidRPr="00DE2BB5" w:rsidRDefault="007D2184" w:rsidP="00DE2BB5">
      <w:pPr>
        <w:pStyle w:val="ListParagraph"/>
        <w:ind w:left="0"/>
      </w:pPr>
    </w:p>
    <w:p w14:paraId="7BF8B077" w14:textId="09E6B36F" w:rsidR="007D2184" w:rsidRPr="00DE2BB5" w:rsidRDefault="003B74EB" w:rsidP="00DE2BB5">
      <w:pPr>
        <w:pStyle w:val="ListParagraph"/>
        <w:numPr>
          <w:ilvl w:val="1"/>
          <w:numId w:val="4"/>
        </w:numPr>
        <w:ind w:left="0" w:firstLine="0"/>
      </w:pPr>
      <w:r w:rsidRPr="00DE2BB5">
        <w:t xml:space="preserve">Open </w:t>
      </w:r>
      <w:r w:rsidR="00D800D3" w:rsidRPr="00DE2BB5">
        <w:t>the LED control software</w:t>
      </w:r>
      <w:r w:rsidRPr="00DE2BB5">
        <w:t xml:space="preserve"> and select </w:t>
      </w:r>
      <w:r w:rsidRPr="00DE2BB5">
        <w:rPr>
          <w:b/>
          <w:bCs/>
        </w:rPr>
        <w:t>Click here to work with the USB-DMX interface: SUSHI-RB-RJ</w:t>
      </w:r>
      <w:r w:rsidRPr="00DE2BB5">
        <w:t>.</w:t>
      </w:r>
    </w:p>
    <w:p w14:paraId="0E96B939" w14:textId="77777777" w:rsidR="007D2184" w:rsidRPr="00DE2BB5" w:rsidRDefault="007D2184" w:rsidP="00DE2BB5">
      <w:pPr>
        <w:pStyle w:val="ListParagraph"/>
        <w:ind w:left="0"/>
      </w:pPr>
    </w:p>
    <w:p w14:paraId="474C7A13" w14:textId="6E3231D9" w:rsidR="007D2184" w:rsidRPr="00DE2BB5" w:rsidRDefault="003B74EB" w:rsidP="00DE2BB5">
      <w:pPr>
        <w:pStyle w:val="ListParagraph"/>
        <w:numPr>
          <w:ilvl w:val="1"/>
          <w:numId w:val="4"/>
        </w:numPr>
        <w:ind w:left="0" w:firstLine="0"/>
      </w:pPr>
      <w:r w:rsidRPr="00DE2BB5">
        <w:t xml:space="preserve">Under the </w:t>
      </w:r>
      <w:r w:rsidRPr="00DE2BB5">
        <w:rPr>
          <w:b/>
          <w:bCs/>
        </w:rPr>
        <w:t>Set</w:t>
      </w:r>
      <w:r w:rsidR="008F1ED3" w:rsidRPr="00DE2BB5">
        <w:rPr>
          <w:b/>
          <w:bCs/>
        </w:rPr>
        <w:t>-</w:t>
      </w:r>
      <w:r w:rsidRPr="00DE2BB5">
        <w:rPr>
          <w:b/>
          <w:bCs/>
        </w:rPr>
        <w:t>up</w:t>
      </w:r>
      <w:r w:rsidRPr="00DE2BB5">
        <w:t xml:space="preserve"> tab in the </w:t>
      </w:r>
      <w:r w:rsidRPr="00DE2BB5">
        <w:rPr>
          <w:b/>
          <w:bCs/>
        </w:rPr>
        <w:t>ScanLibrary</w:t>
      </w:r>
      <w:r w:rsidRPr="00DE2BB5">
        <w:t xml:space="preserve"> box</w:t>
      </w:r>
      <w:r w:rsidR="00A4705C" w:rsidRPr="00DE2BB5">
        <w:t>,</w:t>
      </w:r>
      <w:r w:rsidRPr="00DE2BB5">
        <w:t xml:space="preserve"> select the </w:t>
      </w:r>
      <w:r w:rsidR="009F5885">
        <w:rPr>
          <w:b/>
          <w:bCs/>
        </w:rPr>
        <w:t>G</w:t>
      </w:r>
      <w:r w:rsidR="009F5885" w:rsidRPr="00DE2BB5">
        <w:rPr>
          <w:b/>
          <w:bCs/>
        </w:rPr>
        <w:t>eneric</w:t>
      </w:r>
      <w:r w:rsidR="009F5885" w:rsidRPr="00DE2BB5">
        <w:t xml:space="preserve"> </w:t>
      </w:r>
      <w:r w:rsidRPr="00DE2BB5">
        <w:t xml:space="preserve">folder and </w:t>
      </w:r>
      <w:r w:rsidR="009F5885">
        <w:rPr>
          <w:b/>
          <w:bCs/>
        </w:rPr>
        <w:t>S</w:t>
      </w:r>
      <w:r w:rsidR="009F5885" w:rsidRPr="00DE2BB5">
        <w:rPr>
          <w:b/>
          <w:bCs/>
        </w:rPr>
        <w:t xml:space="preserve">ingle </w:t>
      </w:r>
      <w:r w:rsidR="009F5885">
        <w:rPr>
          <w:b/>
          <w:bCs/>
        </w:rPr>
        <w:t>C</w:t>
      </w:r>
      <w:r w:rsidR="009F5885" w:rsidRPr="00DE2BB5">
        <w:rPr>
          <w:b/>
          <w:bCs/>
        </w:rPr>
        <w:t>hannel</w:t>
      </w:r>
      <w:r w:rsidRPr="00DE2BB5">
        <w:t xml:space="preserve">. </w:t>
      </w:r>
      <w:r w:rsidRPr="00DE2BB5">
        <w:lastRenderedPageBreak/>
        <w:t xml:space="preserve">Change </w:t>
      </w:r>
      <w:r w:rsidRPr="00DE2BB5">
        <w:rPr>
          <w:b/>
          <w:bCs/>
        </w:rPr>
        <w:t>ScanLibrary</w:t>
      </w:r>
      <w:r w:rsidRPr="00DE2BB5">
        <w:t xml:space="preserve"> settings to DMX universe 1, </w:t>
      </w:r>
      <w:r w:rsidR="00FE4325" w:rsidRPr="00DE2BB5">
        <w:t xml:space="preserve">the </w:t>
      </w:r>
      <w:r w:rsidR="008104FD" w:rsidRPr="00DE2BB5">
        <w:t>nu</w:t>
      </w:r>
      <w:r w:rsidRPr="00DE2BB5">
        <w:t xml:space="preserve">mber of fixtures </w:t>
      </w:r>
      <w:r w:rsidR="00B80EFF" w:rsidRPr="00DE2BB5">
        <w:t>to</w:t>
      </w:r>
      <w:r w:rsidRPr="00DE2BB5">
        <w:t xml:space="preserve"> 4, and </w:t>
      </w:r>
      <w:r w:rsidR="00FE4325" w:rsidRPr="00DE2BB5">
        <w:t xml:space="preserve">the </w:t>
      </w:r>
      <w:r w:rsidR="008104FD" w:rsidRPr="00DE2BB5">
        <w:t>i</w:t>
      </w:r>
      <w:r w:rsidRPr="00DE2BB5">
        <w:t xml:space="preserve">ndex number </w:t>
      </w:r>
      <w:r w:rsidR="00B80EFF" w:rsidRPr="00DE2BB5">
        <w:t>to</w:t>
      </w:r>
      <w:r w:rsidRPr="00DE2BB5">
        <w:t xml:space="preserve"> 1. In the upper</w:t>
      </w:r>
      <w:r w:rsidR="009F5885">
        <w:t>-</w:t>
      </w:r>
      <w:r w:rsidRPr="00DE2BB5">
        <w:t>right corner</w:t>
      </w:r>
      <w:r w:rsidR="00FE4325" w:rsidRPr="00DE2BB5">
        <w:t>,</w:t>
      </w:r>
      <w:r w:rsidRPr="00DE2BB5">
        <w:t xml:space="preserve"> change the drop-down box to </w:t>
      </w:r>
      <w:r w:rsidRPr="00DE2BB5">
        <w:rPr>
          <w:b/>
          <w:bCs/>
        </w:rPr>
        <w:t xml:space="preserve">List </w:t>
      </w:r>
      <w:r w:rsidR="009F5885">
        <w:rPr>
          <w:b/>
          <w:bCs/>
        </w:rPr>
        <w:t>V</w:t>
      </w:r>
      <w:r w:rsidR="009F5885" w:rsidRPr="00DE2BB5">
        <w:rPr>
          <w:b/>
          <w:bCs/>
        </w:rPr>
        <w:t>iew</w:t>
      </w:r>
      <w:r w:rsidRPr="00DE2BB5">
        <w:t>. Lastly, click</w:t>
      </w:r>
      <w:r w:rsidR="009F5885">
        <w:t xml:space="preserve"> on</w:t>
      </w:r>
      <w:r w:rsidRPr="00DE2BB5">
        <w:t xml:space="preserve"> </w:t>
      </w:r>
      <w:r w:rsidRPr="00DE2BB5">
        <w:rPr>
          <w:b/>
          <w:bCs/>
        </w:rPr>
        <w:t xml:space="preserve">Patch </w:t>
      </w:r>
      <w:r w:rsidRPr="00DE2BB5">
        <w:t>(</w:t>
      </w:r>
      <w:r w:rsidRPr="00DE2BB5">
        <w:rPr>
          <w:b/>
          <w:bCs/>
        </w:rPr>
        <w:t>Supplementary Figure 1</w:t>
      </w:r>
      <w:r w:rsidRPr="00DE2BB5">
        <w:t>).</w:t>
      </w:r>
    </w:p>
    <w:p w14:paraId="0B5221F8" w14:textId="77777777" w:rsidR="00F867FC" w:rsidRPr="00DE2BB5" w:rsidRDefault="00F867FC" w:rsidP="00DE2BB5">
      <w:pPr>
        <w:pStyle w:val="ListParagraph"/>
        <w:ind w:left="0"/>
      </w:pPr>
    </w:p>
    <w:p w14:paraId="3E43BDB8" w14:textId="5C950FEA" w:rsidR="007D2184" w:rsidRPr="00DE2BB5" w:rsidRDefault="00F867FC" w:rsidP="00DE2BB5">
      <w:pPr>
        <w:pStyle w:val="ListParagraph"/>
        <w:ind w:left="0"/>
      </w:pPr>
      <w:r w:rsidRPr="00DE2BB5">
        <w:t xml:space="preserve">NOTE: </w:t>
      </w:r>
      <w:r w:rsidR="003B74EB" w:rsidRPr="00DE2BB5">
        <w:t>In the DMX universe</w:t>
      </w:r>
      <w:r w:rsidR="00404235" w:rsidRPr="00DE2BB5">
        <w:t>,</w:t>
      </w:r>
      <w:r w:rsidR="003B74EB" w:rsidRPr="00DE2BB5">
        <w:t xml:space="preserve"> </w:t>
      </w:r>
      <w:r w:rsidR="009F5885">
        <w:t>one</w:t>
      </w:r>
      <w:r w:rsidR="009F5885" w:rsidRPr="00DE2BB5">
        <w:t xml:space="preserve"> </w:t>
      </w:r>
      <w:r w:rsidR="003B74EB" w:rsidRPr="00DE2BB5">
        <w:t>box test</w:t>
      </w:r>
      <w:r w:rsidR="00404235" w:rsidRPr="00DE2BB5">
        <w:t>s each LED strip's control</w:t>
      </w:r>
      <w:r w:rsidR="003B74EB" w:rsidRPr="00DE2BB5">
        <w:t xml:space="preserve"> by sliding the dimmer buttons or entering a numerical value into the text box.</w:t>
      </w:r>
    </w:p>
    <w:p w14:paraId="47D2062C" w14:textId="77777777" w:rsidR="007D2184" w:rsidRPr="00DE2BB5" w:rsidRDefault="007D2184" w:rsidP="00DE2BB5">
      <w:pPr>
        <w:pStyle w:val="ListParagraph"/>
        <w:ind w:left="0"/>
      </w:pPr>
    </w:p>
    <w:p w14:paraId="08B30336" w14:textId="2066F077" w:rsidR="00B5733E" w:rsidRPr="00DE2BB5" w:rsidRDefault="003B74EB" w:rsidP="00DE2BB5">
      <w:pPr>
        <w:pStyle w:val="ListParagraph"/>
        <w:numPr>
          <w:ilvl w:val="1"/>
          <w:numId w:val="4"/>
        </w:numPr>
        <w:ind w:left="0" w:firstLine="0"/>
      </w:pPr>
      <w:r w:rsidRPr="00DE2BB5">
        <w:t xml:space="preserve">Make a standard curve that </w:t>
      </w:r>
      <w:r w:rsidR="00BE3686" w:rsidRPr="00DE2BB5">
        <w:t xml:space="preserve">relates </w:t>
      </w:r>
      <w:r w:rsidRPr="00DE2BB5">
        <w:t xml:space="preserve">the digital light setting in </w:t>
      </w:r>
      <w:r w:rsidR="00B5733E" w:rsidRPr="00DE2BB5">
        <w:t>the lighting control software</w:t>
      </w:r>
      <w:r w:rsidRPr="00DE2BB5">
        <w:t xml:space="preserve"> to the light intensity experienced in the center of the PVC tube</w:t>
      </w:r>
      <w:r w:rsidR="00B304E2" w:rsidRPr="00DE2BB5">
        <w:t xml:space="preserve"> (</w:t>
      </w:r>
      <w:r w:rsidR="00B304E2" w:rsidRPr="00DE2BB5">
        <w:rPr>
          <w:b/>
          <w:bCs/>
        </w:rPr>
        <w:t>Figure 5</w:t>
      </w:r>
      <w:r w:rsidR="00B304E2" w:rsidRPr="00DE2BB5">
        <w:t>)</w:t>
      </w:r>
      <w:r w:rsidRPr="00DE2BB5">
        <w:t xml:space="preserve">. </w:t>
      </w:r>
      <w:r w:rsidR="00C22699" w:rsidRPr="00DE2BB5">
        <w:t>Measure internal light intensity with a small spherical probe</w:t>
      </w:r>
      <w:r w:rsidR="00B40B17" w:rsidRPr="00DE2BB5">
        <w:t xml:space="preserve"> </w:t>
      </w:r>
      <w:r w:rsidR="009D3AA9" w:rsidRPr="00DE2BB5">
        <w:t xml:space="preserve">(see </w:t>
      </w:r>
      <w:r w:rsidR="009D3AA9" w:rsidRPr="00DE2BB5">
        <w:rPr>
          <w:b/>
          <w:bCs/>
        </w:rPr>
        <w:t>Table of Materials</w:t>
      </w:r>
      <w:r w:rsidR="009D3AA9" w:rsidRPr="00DE2BB5">
        <w:t xml:space="preserve">) </w:t>
      </w:r>
      <w:r w:rsidR="00B40B17" w:rsidRPr="00DE2BB5">
        <w:t>suspended in the center of the PVC pipe.</w:t>
      </w:r>
    </w:p>
    <w:p w14:paraId="416B26E9" w14:textId="77777777" w:rsidR="007D2184" w:rsidRPr="00DE2BB5" w:rsidRDefault="007D2184" w:rsidP="00DE2BB5">
      <w:pPr>
        <w:pStyle w:val="ListParagraph"/>
        <w:ind w:left="0"/>
      </w:pPr>
    </w:p>
    <w:p w14:paraId="46C0860C" w14:textId="6DB53A7F" w:rsidR="007D2184" w:rsidRPr="00DE2BB5" w:rsidRDefault="003B74EB" w:rsidP="00DE2BB5">
      <w:pPr>
        <w:pStyle w:val="ListParagraph"/>
        <w:numPr>
          <w:ilvl w:val="1"/>
          <w:numId w:val="4"/>
        </w:numPr>
        <w:ind w:left="0" w:firstLine="0"/>
      </w:pPr>
      <w:r w:rsidRPr="00DE2BB5">
        <w:t xml:space="preserve">Advance to the </w:t>
      </w:r>
      <w:r w:rsidRPr="00DE2BB5">
        <w:rPr>
          <w:b/>
          <w:bCs/>
        </w:rPr>
        <w:t>Editor</w:t>
      </w:r>
      <w:r w:rsidRPr="00DE2BB5">
        <w:t xml:space="preserve"> tab. </w:t>
      </w:r>
      <w:r w:rsidR="00185C83" w:rsidRPr="00DE2BB5">
        <w:t>To build a custom light program, c</w:t>
      </w:r>
      <w:r w:rsidRPr="00DE2BB5">
        <w:t xml:space="preserve">reate a new </w:t>
      </w:r>
      <w:r w:rsidR="009F5885">
        <w:rPr>
          <w:b/>
          <w:bCs/>
        </w:rPr>
        <w:t>S</w:t>
      </w:r>
      <w:r w:rsidR="009F5885" w:rsidRPr="00DE2BB5">
        <w:rPr>
          <w:b/>
          <w:bCs/>
        </w:rPr>
        <w:t>cene</w:t>
      </w:r>
      <w:r w:rsidR="009F5885" w:rsidRPr="00DE2BB5">
        <w:t xml:space="preserve"> </w:t>
      </w:r>
      <w:r w:rsidRPr="00DE2BB5">
        <w:t xml:space="preserve">and begin adding </w:t>
      </w:r>
      <w:r w:rsidR="009F5885">
        <w:rPr>
          <w:b/>
          <w:bCs/>
        </w:rPr>
        <w:t>S</w:t>
      </w:r>
      <w:r w:rsidR="009F5885" w:rsidRPr="00DE2BB5">
        <w:rPr>
          <w:b/>
          <w:bCs/>
        </w:rPr>
        <w:t>teps</w:t>
      </w:r>
      <w:r w:rsidRPr="00DE2BB5">
        <w:t xml:space="preserve">. Refer to </w:t>
      </w:r>
      <w:r w:rsidRPr="00DE2BB5">
        <w:rPr>
          <w:b/>
          <w:bCs/>
        </w:rPr>
        <w:t>Supplementary Table 1</w:t>
      </w:r>
      <w:r w:rsidRPr="00DE2BB5">
        <w:t xml:space="preserve"> for an example 16:8</w:t>
      </w:r>
      <w:r w:rsidR="00254BE7" w:rsidRPr="00DE2BB5">
        <w:t xml:space="preserve"> </w:t>
      </w:r>
      <w:r w:rsidRPr="00DE2BB5">
        <w:t xml:space="preserve">h </w:t>
      </w:r>
      <w:r w:rsidR="005F5873" w:rsidRPr="00DE2BB5">
        <w:t>diurnal</w:t>
      </w:r>
      <w:r w:rsidRPr="00DE2BB5">
        <w:t xml:space="preserve"> program. Set the scene to loop.</w:t>
      </w:r>
    </w:p>
    <w:p w14:paraId="62E3462F" w14:textId="77777777" w:rsidR="007D2184" w:rsidRPr="00DE2BB5" w:rsidRDefault="007D2184" w:rsidP="00DE2BB5"/>
    <w:p w14:paraId="44087262" w14:textId="5C91FE2A" w:rsidR="007D2184" w:rsidRPr="00DE2BB5" w:rsidRDefault="003B74EB" w:rsidP="00DE2BB5">
      <w:r w:rsidRPr="00DE2BB5">
        <w:t>NOTE: Steps break down scenes into blocks of time, each of which can be set to different light intensity. Steps range from 1</w:t>
      </w:r>
      <w:r w:rsidR="008E3B78" w:rsidRPr="00DE2BB5">
        <w:t xml:space="preserve"> </w:t>
      </w:r>
      <w:r w:rsidRPr="00DE2BB5">
        <w:t>s to 43 min. Here</w:t>
      </w:r>
      <w:r w:rsidR="009F5885">
        <w:t>,</w:t>
      </w:r>
      <w:r w:rsidRPr="00DE2BB5">
        <w:t xml:space="preserve"> 30</w:t>
      </w:r>
      <w:r w:rsidR="005B65DE" w:rsidRPr="00DE2BB5">
        <w:t xml:space="preserve"> </w:t>
      </w:r>
      <w:r w:rsidRPr="00DE2BB5">
        <w:t xml:space="preserve">min steps are most convenient. Multiple scenes can be loaded onto one DMX </w:t>
      </w:r>
      <w:r w:rsidR="00785940" w:rsidRPr="00DE2BB5">
        <w:t xml:space="preserve">lighting </w:t>
      </w:r>
      <w:r w:rsidRPr="00DE2BB5">
        <w:t>controller device.</w:t>
      </w:r>
    </w:p>
    <w:p w14:paraId="1318F65E" w14:textId="77777777" w:rsidR="007D2184" w:rsidRPr="00DE2BB5" w:rsidRDefault="007D2184" w:rsidP="00DE2BB5"/>
    <w:p w14:paraId="3FB022AE" w14:textId="447DCF2A" w:rsidR="007D2184" w:rsidRPr="00DE2BB5" w:rsidRDefault="003B74EB" w:rsidP="00DE2BB5">
      <w:pPr>
        <w:pStyle w:val="ListParagraph"/>
        <w:numPr>
          <w:ilvl w:val="1"/>
          <w:numId w:val="4"/>
        </w:numPr>
        <w:ind w:left="0" w:firstLine="0"/>
      </w:pPr>
      <w:r w:rsidRPr="00DE2BB5">
        <w:t xml:space="preserve">Create an additional helper scene </w:t>
      </w:r>
      <w:r w:rsidR="00A1024F" w:rsidRPr="00DE2BB5">
        <w:t>that</w:t>
      </w:r>
      <w:r w:rsidRPr="00DE2BB5">
        <w:t xml:space="preserve"> is immediately recogni</w:t>
      </w:r>
      <w:r w:rsidR="00356719" w:rsidRPr="00DE2BB5">
        <w:t>z</w:t>
      </w:r>
      <w:r w:rsidRPr="00DE2BB5">
        <w:t xml:space="preserve">able, e.g., </w:t>
      </w:r>
      <w:r w:rsidR="00EC4FAC" w:rsidRPr="00DE2BB5">
        <w:t>two of the four LEDs on.</w:t>
      </w:r>
    </w:p>
    <w:p w14:paraId="632F3F55" w14:textId="77777777" w:rsidR="007D2184" w:rsidRPr="00DE2BB5" w:rsidRDefault="007D2184" w:rsidP="00DE2BB5"/>
    <w:p w14:paraId="269D7CB8" w14:textId="709D5392" w:rsidR="007D2184" w:rsidRPr="00DE2BB5" w:rsidRDefault="003B74EB" w:rsidP="00DE2BB5">
      <w:r w:rsidRPr="00DE2BB5">
        <w:t xml:space="preserve">NOTE: Scenes can be cycled through manually using the button on the side of the DMX </w:t>
      </w:r>
      <w:r w:rsidR="00785940" w:rsidRPr="00DE2BB5">
        <w:t xml:space="preserve">lighting </w:t>
      </w:r>
      <w:r w:rsidRPr="00DE2BB5">
        <w:t xml:space="preserve">controller. If the desired light </w:t>
      </w:r>
      <w:r w:rsidR="00BC02D7" w:rsidRPr="00DE2BB5">
        <w:t xml:space="preserve">program </w:t>
      </w:r>
      <w:r w:rsidRPr="00DE2BB5">
        <w:t>begins during the night</w:t>
      </w:r>
      <w:r w:rsidR="00A603AB" w:rsidRPr="00DE2BB5">
        <w:t>,</w:t>
      </w:r>
      <w:r w:rsidRPr="00DE2BB5">
        <w:t xml:space="preserve"> it will be impossible to distinguish </w:t>
      </w:r>
      <w:r w:rsidR="009F5885">
        <w:t>whether</w:t>
      </w:r>
      <w:r w:rsidR="009F5885" w:rsidRPr="00DE2BB5">
        <w:t xml:space="preserve"> </w:t>
      </w:r>
      <w:r w:rsidRPr="00DE2BB5">
        <w:t xml:space="preserve">the </w:t>
      </w:r>
      <w:r w:rsidR="00AA6A9C" w:rsidRPr="00DE2BB5">
        <w:t>light program</w:t>
      </w:r>
      <w:r w:rsidRPr="00DE2BB5">
        <w:t xml:space="preserve"> has </w:t>
      </w:r>
      <w:r w:rsidR="00A603AB" w:rsidRPr="00DE2BB5">
        <w:t>already started</w:t>
      </w:r>
      <w:r w:rsidRPr="00DE2BB5">
        <w:t xml:space="preserve">. The helper scene serves as an indicator that the DMX </w:t>
      </w:r>
      <w:r w:rsidR="00785940" w:rsidRPr="00DE2BB5">
        <w:t xml:space="preserve">lighting </w:t>
      </w:r>
      <w:r w:rsidRPr="00DE2BB5">
        <w:t>controller is functioning correctly.</w:t>
      </w:r>
    </w:p>
    <w:p w14:paraId="02C65459" w14:textId="77777777" w:rsidR="007D2184" w:rsidRPr="00DE2BB5" w:rsidRDefault="007D2184" w:rsidP="00DE2BB5"/>
    <w:p w14:paraId="0D9E81F9" w14:textId="2003E628" w:rsidR="007D2184" w:rsidRPr="00DE2BB5" w:rsidRDefault="003B74EB" w:rsidP="00DE2BB5">
      <w:pPr>
        <w:pStyle w:val="ListParagraph"/>
        <w:numPr>
          <w:ilvl w:val="1"/>
          <w:numId w:val="4"/>
        </w:numPr>
        <w:ind w:left="0" w:firstLine="0"/>
      </w:pPr>
      <w:r w:rsidRPr="00DE2BB5">
        <w:t xml:space="preserve">Save the scenes and advance to the </w:t>
      </w:r>
      <w:r w:rsidRPr="00DE2BB5">
        <w:rPr>
          <w:b/>
          <w:bCs/>
        </w:rPr>
        <w:t xml:space="preserve">Stand </w:t>
      </w:r>
      <w:r w:rsidR="00E44924">
        <w:rPr>
          <w:b/>
          <w:bCs/>
        </w:rPr>
        <w:t>A</w:t>
      </w:r>
      <w:r w:rsidR="00E44924" w:rsidRPr="00DE2BB5">
        <w:rPr>
          <w:b/>
          <w:bCs/>
        </w:rPr>
        <w:t>lone</w:t>
      </w:r>
      <w:r w:rsidR="00E44924" w:rsidRPr="00DE2BB5">
        <w:t xml:space="preserve"> </w:t>
      </w:r>
      <w:r w:rsidRPr="00DE2BB5">
        <w:t xml:space="preserve">tab. Write the memory of the DMX </w:t>
      </w:r>
      <w:r w:rsidR="00785940" w:rsidRPr="00DE2BB5">
        <w:t xml:space="preserve">lighting </w:t>
      </w:r>
      <w:r w:rsidRPr="00DE2BB5">
        <w:t>controller and disconnect the device from the computer.</w:t>
      </w:r>
    </w:p>
    <w:p w14:paraId="14ECE44F" w14:textId="77777777" w:rsidR="007D2184" w:rsidRPr="00DE2BB5" w:rsidRDefault="007D2184" w:rsidP="00DE2BB5">
      <w:pPr>
        <w:pStyle w:val="ListParagraph"/>
        <w:ind w:left="0"/>
      </w:pPr>
    </w:p>
    <w:p w14:paraId="5EFF73AE" w14:textId="50A14C12" w:rsidR="007D2184" w:rsidRPr="00DE2BB5" w:rsidRDefault="003B74EB" w:rsidP="00DE2BB5">
      <w:pPr>
        <w:pStyle w:val="ListParagraph"/>
        <w:numPr>
          <w:ilvl w:val="1"/>
          <w:numId w:val="4"/>
        </w:numPr>
        <w:ind w:left="0" w:firstLine="0"/>
      </w:pPr>
      <w:r w:rsidRPr="00DE2BB5">
        <w:t xml:space="preserve">Connect the DMX </w:t>
      </w:r>
      <w:r w:rsidR="00941BA5" w:rsidRPr="00DE2BB5">
        <w:t xml:space="preserve">lighting </w:t>
      </w:r>
      <w:r w:rsidRPr="00DE2BB5">
        <w:t xml:space="preserve">controller to its power source using </w:t>
      </w:r>
      <w:r w:rsidR="00B76C6B" w:rsidRPr="00DE2BB5">
        <w:t>a</w:t>
      </w:r>
      <w:r w:rsidRPr="00DE2BB5">
        <w:t xml:space="preserve"> micro-USB.</w:t>
      </w:r>
    </w:p>
    <w:p w14:paraId="0905B0E8" w14:textId="77777777" w:rsidR="007D2184" w:rsidRPr="00DE2BB5" w:rsidRDefault="007D2184" w:rsidP="00DE2BB5">
      <w:pPr>
        <w:pStyle w:val="ListParagraph"/>
        <w:ind w:left="0"/>
      </w:pPr>
    </w:p>
    <w:p w14:paraId="3A606DD4" w14:textId="56F02993" w:rsidR="007D2184" w:rsidRPr="00DE2BB5" w:rsidRDefault="00B76C6B" w:rsidP="00DE2BB5">
      <w:pPr>
        <w:pStyle w:val="ListParagraph"/>
        <w:numPr>
          <w:ilvl w:val="1"/>
          <w:numId w:val="4"/>
        </w:numPr>
        <w:ind w:left="0" w:firstLine="0"/>
      </w:pPr>
      <w:r w:rsidRPr="00DE2BB5">
        <w:t>Before</w:t>
      </w:r>
      <w:r w:rsidR="003B74EB" w:rsidRPr="00DE2BB5">
        <w:t xml:space="preserve"> starting an experiment</w:t>
      </w:r>
      <w:r w:rsidR="00156293" w:rsidRPr="00DE2BB5">
        <w:t>,</w:t>
      </w:r>
      <w:r w:rsidR="003B74EB" w:rsidRPr="00DE2BB5">
        <w:t xml:space="preserve"> test the light </w:t>
      </w:r>
      <w:r w:rsidRPr="00DE2BB5">
        <w:t>program</w:t>
      </w:r>
      <w:r w:rsidR="003B74EB" w:rsidRPr="00DE2BB5">
        <w:t xml:space="preserve"> by logging the internal light intensity for a 24</w:t>
      </w:r>
      <w:r w:rsidR="007D7AF5" w:rsidRPr="00DE2BB5">
        <w:t xml:space="preserve"> h</w:t>
      </w:r>
      <w:r w:rsidR="003B74EB" w:rsidRPr="00DE2BB5">
        <w:t xml:space="preserve"> duration. If </w:t>
      </w:r>
      <w:r w:rsidR="007D7AF5" w:rsidRPr="00DE2BB5">
        <w:t xml:space="preserve">the </w:t>
      </w:r>
      <w:r w:rsidR="00B30C3A" w:rsidRPr="00DE2BB5">
        <w:t xml:space="preserve">liquid </w:t>
      </w:r>
      <w:r w:rsidR="003B74EB" w:rsidRPr="00DE2BB5">
        <w:t>temperature is of interest</w:t>
      </w:r>
      <w:r w:rsidR="00FE394E" w:rsidRPr="00DE2BB5">
        <w:t>,</w:t>
      </w:r>
      <w:r w:rsidR="003B74EB" w:rsidRPr="00DE2BB5">
        <w:t xml:space="preserve"> </w:t>
      </w:r>
      <w:r w:rsidR="006620B9" w:rsidRPr="00DE2BB5">
        <w:t>log this</w:t>
      </w:r>
      <w:r w:rsidR="00F702D3" w:rsidRPr="00DE2BB5">
        <w:t xml:space="preserve"> </w:t>
      </w:r>
      <w:r w:rsidR="00FE394E" w:rsidRPr="00DE2BB5">
        <w:t xml:space="preserve">simultaneously </w:t>
      </w:r>
      <w:r w:rsidR="00F702D3" w:rsidRPr="00DE2BB5">
        <w:t>with a submerged temperature probe</w:t>
      </w:r>
      <w:r w:rsidR="003B74EB" w:rsidRPr="00DE2BB5">
        <w:t xml:space="preserve"> (</w:t>
      </w:r>
      <w:r w:rsidR="003B74EB" w:rsidRPr="00DE2BB5">
        <w:rPr>
          <w:b/>
          <w:bCs/>
        </w:rPr>
        <w:t>Figure 6</w:t>
      </w:r>
      <w:r w:rsidR="003B74EB" w:rsidRPr="00DE2BB5">
        <w:t>).</w:t>
      </w:r>
    </w:p>
    <w:p w14:paraId="206224AD" w14:textId="77777777" w:rsidR="007D2184" w:rsidRPr="00DE2BB5" w:rsidRDefault="007D2184" w:rsidP="00DE2BB5"/>
    <w:p w14:paraId="7025BF56" w14:textId="45445FAB" w:rsidR="007D2184" w:rsidRPr="00DE2BB5" w:rsidRDefault="003B74EB" w:rsidP="00DE2BB5">
      <w:pPr>
        <w:pStyle w:val="ListParagraph"/>
        <w:numPr>
          <w:ilvl w:val="0"/>
          <w:numId w:val="4"/>
        </w:numPr>
        <w:ind w:left="0" w:firstLine="0"/>
        <w:rPr>
          <w:b/>
          <w:bCs/>
        </w:rPr>
      </w:pPr>
      <w:r w:rsidRPr="00DE2BB5">
        <w:rPr>
          <w:b/>
          <w:bCs/>
        </w:rPr>
        <w:t>Start</w:t>
      </w:r>
      <w:r w:rsidR="00330D7F" w:rsidRPr="00DE2BB5">
        <w:rPr>
          <w:b/>
          <w:bCs/>
        </w:rPr>
        <w:t>ing</w:t>
      </w:r>
      <w:r w:rsidRPr="00DE2BB5">
        <w:rPr>
          <w:b/>
          <w:bCs/>
        </w:rPr>
        <w:t xml:space="preserve"> an experiment</w:t>
      </w:r>
    </w:p>
    <w:p w14:paraId="732A32CF" w14:textId="77777777" w:rsidR="007D2184" w:rsidRPr="00DE2BB5" w:rsidRDefault="007D2184" w:rsidP="00DE2BB5"/>
    <w:p w14:paraId="6DFF24F7" w14:textId="71A01677" w:rsidR="007A3490" w:rsidRPr="00DE2BB5" w:rsidRDefault="00330D7F" w:rsidP="00DE2BB5">
      <w:pPr>
        <w:pStyle w:val="ListParagraph"/>
        <w:numPr>
          <w:ilvl w:val="1"/>
          <w:numId w:val="4"/>
        </w:numPr>
        <w:ind w:left="0" w:firstLine="0"/>
      </w:pPr>
      <w:r w:rsidRPr="00DE2BB5">
        <w:t xml:space="preserve">Sterilize </w:t>
      </w:r>
      <w:r w:rsidR="00577EE5" w:rsidRPr="00DE2BB5">
        <w:t xml:space="preserve">media, </w:t>
      </w:r>
      <w:r w:rsidR="006D2111" w:rsidRPr="00DE2BB5">
        <w:t>bottles</w:t>
      </w:r>
      <w:r w:rsidR="00577EE5" w:rsidRPr="00DE2BB5">
        <w:t>,</w:t>
      </w:r>
      <w:r w:rsidR="006D2111" w:rsidRPr="00DE2BB5">
        <w:t xml:space="preserve"> </w:t>
      </w:r>
      <w:r w:rsidR="00D0110C" w:rsidRPr="00DE2BB5">
        <w:t xml:space="preserve">stir bars, </w:t>
      </w:r>
      <w:r w:rsidR="00577EE5" w:rsidRPr="00DE2BB5">
        <w:t>rubber stoppers</w:t>
      </w:r>
      <w:r w:rsidR="00FC1E95" w:rsidRPr="00DE2BB5">
        <w:t xml:space="preserve">, </w:t>
      </w:r>
      <w:r w:rsidR="00D03DAE" w:rsidRPr="00DE2BB5">
        <w:t xml:space="preserve">sampling ports, </w:t>
      </w:r>
      <w:r w:rsidR="00D8666A" w:rsidRPr="00DE2BB5">
        <w:t xml:space="preserve">threaded aperture screw caps, </w:t>
      </w:r>
      <w:r w:rsidR="00D0110C" w:rsidRPr="00DE2BB5">
        <w:t>and tubing.</w:t>
      </w:r>
    </w:p>
    <w:p w14:paraId="219BD95F" w14:textId="77777777" w:rsidR="007A3490" w:rsidRPr="00DE2BB5" w:rsidRDefault="007A3490" w:rsidP="00DE2BB5"/>
    <w:p w14:paraId="72189A4C" w14:textId="07EAC974" w:rsidR="008F3F6D" w:rsidRPr="00DE2BB5" w:rsidRDefault="007A3490" w:rsidP="00DE2BB5">
      <w:r w:rsidRPr="00DE2BB5">
        <w:t xml:space="preserve">NOTE: </w:t>
      </w:r>
      <w:r w:rsidR="00E3498B" w:rsidRPr="00DE2BB5">
        <w:t xml:space="preserve">All </w:t>
      </w:r>
      <w:r w:rsidR="009E402C" w:rsidRPr="00DE2BB5">
        <w:t xml:space="preserve">components used in this design are autoclavable </w:t>
      </w:r>
      <w:r w:rsidR="004D6596" w:rsidRPr="00DE2BB5">
        <w:t xml:space="preserve">except the valves and </w:t>
      </w:r>
      <w:r w:rsidR="000A338F" w:rsidRPr="00DE2BB5">
        <w:t>L</w:t>
      </w:r>
      <w:r w:rsidR="004D6596" w:rsidRPr="00DE2BB5">
        <w:t>uer fittings</w:t>
      </w:r>
      <w:r w:rsidR="00FC1E95" w:rsidRPr="00DE2BB5">
        <w:t>—there are autoclavable alternatives from other manufacturers.</w:t>
      </w:r>
    </w:p>
    <w:p w14:paraId="7BBCE226" w14:textId="77777777" w:rsidR="008F3F6D" w:rsidRPr="00DE2BB5" w:rsidRDefault="008F3F6D" w:rsidP="00DE2BB5">
      <w:pPr>
        <w:rPr>
          <w:highlight w:val="yellow"/>
        </w:rPr>
      </w:pPr>
    </w:p>
    <w:p w14:paraId="34EC370C" w14:textId="5677E0D7" w:rsidR="007D2184" w:rsidRPr="00D5629A" w:rsidRDefault="003B74EB" w:rsidP="00DE2BB5">
      <w:pPr>
        <w:pStyle w:val="ListParagraph"/>
        <w:numPr>
          <w:ilvl w:val="1"/>
          <w:numId w:val="4"/>
        </w:numPr>
        <w:ind w:left="0" w:firstLine="0"/>
        <w:rPr>
          <w:highlight w:val="yellow"/>
        </w:rPr>
      </w:pPr>
      <w:r w:rsidRPr="00D5629A">
        <w:rPr>
          <w:highlight w:val="yellow"/>
        </w:rPr>
        <w:t xml:space="preserve">Open </w:t>
      </w:r>
      <w:r w:rsidR="00FE394E" w:rsidRPr="00D5629A">
        <w:rPr>
          <w:highlight w:val="yellow"/>
        </w:rPr>
        <w:t xml:space="preserve">the </w:t>
      </w:r>
      <w:r w:rsidR="006C790C" w:rsidRPr="00D5629A">
        <w:rPr>
          <w:highlight w:val="yellow"/>
        </w:rPr>
        <w:t xml:space="preserve">data acquisition </w:t>
      </w:r>
      <w:r w:rsidRPr="00D5629A">
        <w:rPr>
          <w:highlight w:val="yellow"/>
        </w:rPr>
        <w:t>software and fill in the configuration page (</w:t>
      </w:r>
      <w:r w:rsidRPr="00D5629A">
        <w:rPr>
          <w:b/>
          <w:bCs/>
          <w:highlight w:val="yellow"/>
        </w:rPr>
        <w:t>Supplementary Figure 2</w:t>
      </w:r>
      <w:r w:rsidRPr="00D5629A">
        <w:rPr>
          <w:highlight w:val="yellow"/>
        </w:rPr>
        <w:t>). Assign calibration files to their respective sensors.</w:t>
      </w:r>
    </w:p>
    <w:p w14:paraId="650886F9" w14:textId="77777777" w:rsidR="007D2184" w:rsidRPr="00D5629A" w:rsidRDefault="007D2184" w:rsidP="00DE2BB5">
      <w:pPr>
        <w:pStyle w:val="ListParagraph"/>
        <w:ind w:left="0"/>
        <w:rPr>
          <w:highlight w:val="yellow"/>
        </w:rPr>
      </w:pPr>
    </w:p>
    <w:p w14:paraId="0865FF30" w14:textId="4FF97C49" w:rsidR="007D2184" w:rsidRPr="00D5629A" w:rsidRDefault="003B74EB" w:rsidP="00DE2BB5">
      <w:pPr>
        <w:pStyle w:val="ListParagraph"/>
        <w:numPr>
          <w:ilvl w:val="1"/>
          <w:numId w:val="4"/>
        </w:numPr>
        <w:ind w:left="0" w:firstLine="0"/>
        <w:rPr>
          <w:highlight w:val="yellow"/>
        </w:rPr>
      </w:pPr>
      <w:r w:rsidRPr="00D5629A">
        <w:rPr>
          <w:highlight w:val="yellow"/>
        </w:rPr>
        <w:t xml:space="preserve">Under </w:t>
      </w:r>
      <w:r w:rsidRPr="00D5629A">
        <w:rPr>
          <w:b/>
          <w:bCs/>
          <w:highlight w:val="yellow"/>
        </w:rPr>
        <w:t>Directory File Name</w:t>
      </w:r>
      <w:r w:rsidRPr="00D5629A">
        <w:rPr>
          <w:highlight w:val="yellow"/>
        </w:rPr>
        <w:t xml:space="preserve"> select the corresponding DIM port number folder. Click</w:t>
      </w:r>
      <w:r w:rsidR="00E44924">
        <w:rPr>
          <w:highlight w:val="yellow"/>
        </w:rPr>
        <w:t xml:space="preserve"> on</w:t>
      </w:r>
      <w:r w:rsidRPr="00D5629A">
        <w:rPr>
          <w:highlight w:val="yellow"/>
        </w:rPr>
        <w:t xml:space="preserve"> </w:t>
      </w:r>
      <w:r w:rsidR="00E44924">
        <w:rPr>
          <w:b/>
          <w:bCs/>
          <w:highlight w:val="yellow"/>
        </w:rPr>
        <w:t>S</w:t>
      </w:r>
      <w:r w:rsidR="00E44924" w:rsidRPr="00D5629A">
        <w:rPr>
          <w:b/>
          <w:bCs/>
          <w:highlight w:val="yellow"/>
        </w:rPr>
        <w:t xml:space="preserve">ave </w:t>
      </w:r>
      <w:r w:rsidRPr="00D5629A">
        <w:rPr>
          <w:highlight w:val="yellow"/>
        </w:rPr>
        <w:t>and repeat for all ports.</w:t>
      </w:r>
    </w:p>
    <w:p w14:paraId="6040D5D0" w14:textId="77777777" w:rsidR="00B97757" w:rsidRPr="00D5629A" w:rsidRDefault="00B97757" w:rsidP="00DE2BB5">
      <w:pPr>
        <w:pStyle w:val="ListParagraph"/>
        <w:ind w:left="0"/>
        <w:rPr>
          <w:highlight w:val="yellow"/>
        </w:rPr>
      </w:pPr>
    </w:p>
    <w:p w14:paraId="4BFB92A1" w14:textId="0A241B76" w:rsidR="007D2184" w:rsidRPr="00D5629A" w:rsidRDefault="003B74EB" w:rsidP="00DE2BB5">
      <w:pPr>
        <w:pStyle w:val="ListParagraph"/>
        <w:numPr>
          <w:ilvl w:val="1"/>
          <w:numId w:val="4"/>
        </w:numPr>
        <w:ind w:left="0" w:firstLine="0"/>
        <w:rPr>
          <w:highlight w:val="yellow"/>
        </w:rPr>
      </w:pPr>
      <w:r w:rsidRPr="00D5629A">
        <w:rPr>
          <w:highlight w:val="yellow"/>
        </w:rPr>
        <w:t>Click</w:t>
      </w:r>
      <w:r w:rsidR="00E44924">
        <w:rPr>
          <w:highlight w:val="yellow"/>
        </w:rPr>
        <w:t xml:space="preserve"> on</w:t>
      </w:r>
      <w:r w:rsidRPr="00D5629A">
        <w:rPr>
          <w:highlight w:val="yellow"/>
        </w:rPr>
        <w:t xml:space="preserve"> </w:t>
      </w:r>
      <w:r w:rsidRPr="00D5629A">
        <w:rPr>
          <w:b/>
          <w:bCs/>
          <w:highlight w:val="yellow"/>
        </w:rPr>
        <w:t>OK</w:t>
      </w:r>
      <w:r w:rsidR="00FA3CFC" w:rsidRPr="00D5629A">
        <w:rPr>
          <w:highlight w:val="yellow"/>
        </w:rPr>
        <w:t xml:space="preserve"> </w:t>
      </w:r>
      <w:r w:rsidRPr="00D5629A">
        <w:rPr>
          <w:highlight w:val="yellow"/>
        </w:rPr>
        <w:t>to move on to the logging page.</w:t>
      </w:r>
    </w:p>
    <w:p w14:paraId="0D34FB31" w14:textId="77777777" w:rsidR="007D2184" w:rsidRPr="00D5629A" w:rsidRDefault="007D2184" w:rsidP="00DE2BB5">
      <w:pPr>
        <w:pStyle w:val="ListParagraph"/>
        <w:ind w:left="0"/>
        <w:rPr>
          <w:highlight w:val="yellow"/>
        </w:rPr>
      </w:pPr>
    </w:p>
    <w:p w14:paraId="0B2863FD" w14:textId="7A613ACF" w:rsidR="00DA2E58" w:rsidRPr="00D5629A" w:rsidRDefault="00EA4409" w:rsidP="00DE2BB5">
      <w:pPr>
        <w:pStyle w:val="ListParagraph"/>
        <w:numPr>
          <w:ilvl w:val="1"/>
          <w:numId w:val="4"/>
        </w:numPr>
        <w:ind w:left="0" w:firstLine="0"/>
        <w:rPr>
          <w:highlight w:val="yellow"/>
        </w:rPr>
      </w:pPr>
      <w:r w:rsidRPr="00D5629A">
        <w:rPr>
          <w:highlight w:val="yellow"/>
        </w:rPr>
        <w:t>F</w:t>
      </w:r>
      <w:r w:rsidR="003B74EB" w:rsidRPr="00D5629A">
        <w:rPr>
          <w:highlight w:val="yellow"/>
        </w:rPr>
        <w:t xml:space="preserve">ill </w:t>
      </w:r>
      <w:r w:rsidRPr="00D5629A">
        <w:rPr>
          <w:highlight w:val="yellow"/>
        </w:rPr>
        <w:t xml:space="preserve">bottles </w:t>
      </w:r>
      <w:r w:rsidR="003B74EB" w:rsidRPr="00D5629A">
        <w:rPr>
          <w:highlight w:val="yellow"/>
        </w:rPr>
        <w:t>to the desired volume with cultivation medium (</w:t>
      </w:r>
      <w:r w:rsidR="003B74EB" w:rsidRPr="00D5629A">
        <w:rPr>
          <w:b/>
          <w:bCs/>
          <w:highlight w:val="yellow"/>
        </w:rPr>
        <w:t>Supplementary Table</w:t>
      </w:r>
      <w:r w:rsidR="00E44924">
        <w:rPr>
          <w:b/>
          <w:bCs/>
          <w:highlight w:val="yellow"/>
        </w:rPr>
        <w:t>s</w:t>
      </w:r>
      <w:r w:rsidR="003B74EB" w:rsidRPr="00D5629A">
        <w:rPr>
          <w:b/>
          <w:bCs/>
          <w:highlight w:val="yellow"/>
        </w:rPr>
        <w:t xml:space="preserve"> 2,3</w:t>
      </w:r>
      <w:r w:rsidR="003B74EB" w:rsidRPr="00D5629A">
        <w:rPr>
          <w:highlight w:val="yellow"/>
        </w:rPr>
        <w:t>).</w:t>
      </w:r>
    </w:p>
    <w:p w14:paraId="212072F2" w14:textId="77777777" w:rsidR="00DA2E58" w:rsidRPr="00DE2BB5" w:rsidRDefault="00DA2E58" w:rsidP="00B10C2B"/>
    <w:p w14:paraId="44952BF7" w14:textId="6D772275" w:rsidR="007D2184" w:rsidRPr="00DE2BB5" w:rsidRDefault="00DA2E58" w:rsidP="00DE2BB5">
      <w:pPr>
        <w:pStyle w:val="ListParagraph"/>
        <w:ind w:left="0"/>
      </w:pPr>
      <w:r w:rsidRPr="00DE2BB5">
        <w:t>NOTE: Each of t</w:t>
      </w:r>
      <w:r w:rsidR="003B74EB" w:rsidRPr="00DE2BB5">
        <w:t>hese bottles will hold a maximum of ~1.1 L with a small headspace (~80 mL</w:t>
      </w:r>
      <w:r w:rsidRPr="00DE2BB5">
        <w:t>,</w:t>
      </w:r>
      <w:r w:rsidR="003B74EB" w:rsidRPr="00DE2BB5">
        <w:t xml:space="preserve"> including the gas line).</w:t>
      </w:r>
    </w:p>
    <w:p w14:paraId="29340043" w14:textId="77777777" w:rsidR="007D2184" w:rsidRPr="00DE2BB5" w:rsidRDefault="007D2184" w:rsidP="00DE2BB5">
      <w:pPr>
        <w:pStyle w:val="ListParagraph"/>
        <w:ind w:left="0"/>
      </w:pPr>
    </w:p>
    <w:p w14:paraId="443A0804" w14:textId="7951C2CA" w:rsidR="00B27A43" w:rsidRPr="00D5629A" w:rsidRDefault="003B74EB" w:rsidP="00DE2BB5">
      <w:pPr>
        <w:pStyle w:val="ListParagraph"/>
        <w:numPr>
          <w:ilvl w:val="1"/>
          <w:numId w:val="4"/>
        </w:numPr>
        <w:ind w:left="0" w:firstLine="0"/>
        <w:rPr>
          <w:highlight w:val="yellow"/>
        </w:rPr>
      </w:pPr>
      <w:r w:rsidRPr="00D5629A">
        <w:rPr>
          <w:highlight w:val="yellow"/>
        </w:rPr>
        <w:t xml:space="preserve">Centrifuge the stock culture in </w:t>
      </w:r>
      <w:r w:rsidR="003F3769">
        <w:rPr>
          <w:highlight w:val="yellow"/>
        </w:rPr>
        <w:t>three</w:t>
      </w:r>
      <w:r w:rsidR="003F3769" w:rsidRPr="00D5629A">
        <w:rPr>
          <w:highlight w:val="yellow"/>
        </w:rPr>
        <w:t xml:space="preserve"> </w:t>
      </w:r>
      <w:r w:rsidR="00596958" w:rsidRPr="00D5629A">
        <w:rPr>
          <w:highlight w:val="yellow"/>
        </w:rPr>
        <w:t xml:space="preserve">balanced </w:t>
      </w:r>
      <w:r w:rsidRPr="00D5629A">
        <w:rPr>
          <w:highlight w:val="yellow"/>
        </w:rPr>
        <w:t xml:space="preserve">50 mL tubes for 15 min at 4500 x </w:t>
      </w:r>
      <w:r w:rsidRPr="00D5629A">
        <w:rPr>
          <w:i/>
          <w:iCs/>
          <w:highlight w:val="yellow"/>
        </w:rPr>
        <w:t>g</w:t>
      </w:r>
      <w:r w:rsidRPr="00D5629A">
        <w:rPr>
          <w:highlight w:val="yellow"/>
        </w:rPr>
        <w:t xml:space="preserve"> to yield </w:t>
      </w:r>
      <w:r w:rsidR="00635B33" w:rsidRPr="00D5629A">
        <w:rPr>
          <w:highlight w:val="yellow"/>
        </w:rPr>
        <w:t xml:space="preserve">three </w:t>
      </w:r>
      <w:r w:rsidRPr="00D5629A">
        <w:rPr>
          <w:highlight w:val="yellow"/>
        </w:rPr>
        <w:t xml:space="preserve">pellets. </w:t>
      </w:r>
      <w:r w:rsidR="0046616F" w:rsidRPr="00D5629A">
        <w:rPr>
          <w:highlight w:val="yellow"/>
        </w:rPr>
        <w:t>Add</w:t>
      </w:r>
      <w:r w:rsidRPr="00D5629A">
        <w:rPr>
          <w:highlight w:val="yellow"/>
        </w:rPr>
        <w:t xml:space="preserve"> one pellet </w:t>
      </w:r>
      <w:r w:rsidR="00D25CE8" w:rsidRPr="00D5629A">
        <w:rPr>
          <w:highlight w:val="yellow"/>
        </w:rPr>
        <w:t>to</w:t>
      </w:r>
      <w:r w:rsidR="00484B6E" w:rsidRPr="00D5629A">
        <w:rPr>
          <w:highlight w:val="yellow"/>
        </w:rPr>
        <w:t xml:space="preserve"> </w:t>
      </w:r>
      <w:r w:rsidRPr="00D5629A">
        <w:rPr>
          <w:highlight w:val="yellow"/>
        </w:rPr>
        <w:t>each bottle.</w:t>
      </w:r>
    </w:p>
    <w:p w14:paraId="1148017B" w14:textId="77777777" w:rsidR="007D2184" w:rsidRPr="00DE2BB5" w:rsidRDefault="007D2184" w:rsidP="00DE2BB5">
      <w:pPr>
        <w:rPr>
          <w:highlight w:val="yellow"/>
        </w:rPr>
      </w:pPr>
    </w:p>
    <w:p w14:paraId="126D7592" w14:textId="50AAC14F" w:rsidR="007D2184" w:rsidRPr="00D5629A" w:rsidRDefault="003B74EB" w:rsidP="00DE2BB5">
      <w:r w:rsidRPr="00D5629A">
        <w:t xml:space="preserve">NOTE: </w:t>
      </w:r>
      <w:r w:rsidR="006466E7" w:rsidRPr="00D5629A">
        <w:t>T</w:t>
      </w:r>
      <w:r w:rsidR="00314F20" w:rsidRPr="00D5629A">
        <w:t xml:space="preserve">he </w:t>
      </w:r>
      <w:r w:rsidR="001C3DC9" w:rsidRPr="00D5629A">
        <w:t>culture density o</w:t>
      </w:r>
      <w:r w:rsidR="006466E7" w:rsidRPr="00D5629A">
        <w:t>f</w:t>
      </w:r>
      <w:r w:rsidR="001C3DC9" w:rsidRPr="00D5629A">
        <w:t xml:space="preserve"> day 0</w:t>
      </w:r>
      <w:r w:rsidR="006466E7" w:rsidRPr="00D5629A">
        <w:t xml:space="preserve"> is also known as </w:t>
      </w:r>
      <w:r w:rsidR="00113504" w:rsidRPr="00D5629A">
        <w:t xml:space="preserve">the </w:t>
      </w:r>
      <w:r w:rsidR="00314F20" w:rsidRPr="00D5629A">
        <w:t>initial biomass concentration (IBC)</w:t>
      </w:r>
      <w:r w:rsidR="006466E7" w:rsidRPr="00D5629A">
        <w:t xml:space="preserve">. </w:t>
      </w:r>
      <w:r w:rsidR="0061716A" w:rsidRPr="00D5629A">
        <w:t>For</w:t>
      </w:r>
      <w:r w:rsidR="006466E7" w:rsidRPr="00D5629A">
        <w:t xml:space="preserve"> measur</w:t>
      </w:r>
      <w:r w:rsidR="0061716A" w:rsidRPr="00D5629A">
        <w:t>ing</w:t>
      </w:r>
      <w:r w:rsidR="006466E7" w:rsidRPr="00D5629A">
        <w:t xml:space="preserve"> the IBC</w:t>
      </w:r>
      <w:r w:rsidR="00F945B1" w:rsidRPr="00D5629A">
        <w:t xml:space="preserve"> in g</w:t>
      </w:r>
      <w:r w:rsidR="00F945B1" w:rsidRPr="00D5629A">
        <w:rPr>
          <w:vertAlign w:val="subscript"/>
        </w:rPr>
        <w:t>AFDW</w:t>
      </w:r>
      <w:r w:rsidR="00F945B1" w:rsidRPr="00D5629A">
        <w:t>.L</w:t>
      </w:r>
      <w:r w:rsidR="00F945B1" w:rsidRPr="00D5629A">
        <w:rPr>
          <w:vertAlign w:val="superscript"/>
        </w:rPr>
        <w:t>-1</w:t>
      </w:r>
      <w:r w:rsidR="006466E7" w:rsidRPr="00D5629A">
        <w:t>,</w:t>
      </w:r>
      <w:r w:rsidR="00314F20" w:rsidRPr="00D5629A">
        <w:t xml:space="preserve"> an additional </w:t>
      </w:r>
      <w:r w:rsidR="007D21B2" w:rsidRPr="00D5629A">
        <w:t xml:space="preserve">50 mL </w:t>
      </w:r>
      <w:r w:rsidR="00F149C1" w:rsidRPr="00D5629A">
        <w:t xml:space="preserve">tube </w:t>
      </w:r>
      <w:r w:rsidR="007D21B2" w:rsidRPr="00D5629A">
        <w:t>may be centrifuged in step 7.</w:t>
      </w:r>
      <w:r w:rsidR="00DD1819" w:rsidRPr="00D5629A">
        <w:t>6</w:t>
      </w:r>
      <w:r w:rsidR="007D21B2" w:rsidRPr="00D5629A">
        <w:t xml:space="preserve">. </w:t>
      </w:r>
      <w:r w:rsidR="00533CF9" w:rsidRPr="00D5629A">
        <w:t>T</w:t>
      </w:r>
      <w:r w:rsidR="007D21B2" w:rsidRPr="00D5629A">
        <w:t>h</w:t>
      </w:r>
      <w:r w:rsidR="002B7E09" w:rsidRPr="00D5629A">
        <w:t xml:space="preserve">e resulting </w:t>
      </w:r>
      <w:r w:rsidR="007D21B2" w:rsidRPr="00D5629A">
        <w:t>pellet can then be dried and combusted</w:t>
      </w:r>
      <w:r w:rsidR="009C67D1">
        <w:rPr>
          <w:vertAlign w:val="superscript"/>
        </w:rPr>
        <w:t>15</w:t>
      </w:r>
      <w:r w:rsidR="00E208B0" w:rsidRPr="00D5629A">
        <w:rPr>
          <w:vertAlign w:val="superscript"/>
        </w:rPr>
        <w:t>,</w:t>
      </w:r>
      <w:r w:rsidR="009C67D1">
        <w:rPr>
          <w:vertAlign w:val="superscript"/>
        </w:rPr>
        <w:t>19</w:t>
      </w:r>
      <w:r w:rsidR="007D21B2" w:rsidRPr="00D5629A">
        <w:t>.</w:t>
      </w:r>
      <w:r w:rsidR="003D30D2" w:rsidRPr="00D5629A">
        <w:t xml:space="preserve"> </w:t>
      </w:r>
      <w:r w:rsidR="00F149C1" w:rsidRPr="00D5629A">
        <w:t>Step 7.6 will likely</w:t>
      </w:r>
      <w:r w:rsidRPr="00D5629A">
        <w:t xml:space="preserve"> require modification based on the individual aims of users and their experiments.</w:t>
      </w:r>
    </w:p>
    <w:p w14:paraId="0C442A20" w14:textId="77777777" w:rsidR="007D2184" w:rsidRPr="00DE2BB5" w:rsidRDefault="007D2184" w:rsidP="00DE2BB5">
      <w:pPr>
        <w:rPr>
          <w:highlight w:val="yellow"/>
        </w:rPr>
      </w:pPr>
    </w:p>
    <w:p w14:paraId="2E10B710" w14:textId="77F8D297" w:rsidR="007D2184" w:rsidRPr="00D5629A" w:rsidRDefault="003B74EB" w:rsidP="00DE2BB5">
      <w:pPr>
        <w:pStyle w:val="ListParagraph"/>
        <w:numPr>
          <w:ilvl w:val="1"/>
          <w:numId w:val="4"/>
        </w:numPr>
        <w:ind w:left="0" w:firstLine="0"/>
        <w:rPr>
          <w:highlight w:val="yellow"/>
        </w:rPr>
      </w:pPr>
      <w:r w:rsidRPr="00D5629A">
        <w:rPr>
          <w:highlight w:val="yellow"/>
        </w:rPr>
        <w:t>Drop a magnetic stirrer</w:t>
      </w:r>
      <w:r w:rsidR="00E77AE8" w:rsidRPr="00D5629A">
        <w:rPr>
          <w:highlight w:val="yellow"/>
        </w:rPr>
        <w:t>, 25 x 8 mm,</w:t>
      </w:r>
      <w:r w:rsidRPr="00D5629A">
        <w:rPr>
          <w:highlight w:val="yellow"/>
        </w:rPr>
        <w:t xml:space="preserve"> into each bottle.</w:t>
      </w:r>
    </w:p>
    <w:p w14:paraId="72097103" w14:textId="77777777" w:rsidR="00D03DAE" w:rsidRPr="00D5629A" w:rsidRDefault="00D03DAE" w:rsidP="00DE2BB5">
      <w:pPr>
        <w:pStyle w:val="ListParagraph"/>
        <w:ind w:left="0"/>
        <w:rPr>
          <w:highlight w:val="yellow"/>
        </w:rPr>
      </w:pPr>
    </w:p>
    <w:p w14:paraId="21C2AF7B" w14:textId="103F156A" w:rsidR="007D2184" w:rsidRPr="00D5629A" w:rsidRDefault="004C6B17" w:rsidP="00DE2BB5">
      <w:pPr>
        <w:pStyle w:val="ListParagraph"/>
        <w:numPr>
          <w:ilvl w:val="1"/>
          <w:numId w:val="4"/>
        </w:numPr>
        <w:ind w:left="0" w:firstLine="0"/>
        <w:rPr>
          <w:highlight w:val="yellow"/>
        </w:rPr>
      </w:pPr>
      <w:r w:rsidRPr="00D5629A">
        <w:rPr>
          <w:highlight w:val="yellow"/>
        </w:rPr>
        <w:t>Seal each bottle opening with a rubber stopper and threaded aperture screw cap (</w:t>
      </w:r>
      <w:r w:rsidRPr="00D5629A">
        <w:rPr>
          <w:b/>
          <w:bCs/>
          <w:highlight w:val="yellow"/>
        </w:rPr>
        <w:t>Figure 4A</w:t>
      </w:r>
      <w:r w:rsidRPr="00D5629A">
        <w:rPr>
          <w:highlight w:val="yellow"/>
        </w:rPr>
        <w:t>).</w:t>
      </w:r>
      <w:r w:rsidR="009C3B1E" w:rsidRPr="00D5629A">
        <w:rPr>
          <w:highlight w:val="yellow"/>
        </w:rPr>
        <w:t xml:space="preserve"> </w:t>
      </w:r>
      <w:r w:rsidR="003B74EB" w:rsidRPr="00D5629A">
        <w:rPr>
          <w:highlight w:val="yellow"/>
        </w:rPr>
        <w:t>If optional sampling port</w:t>
      </w:r>
      <w:r w:rsidR="009C3B1E" w:rsidRPr="00D5629A">
        <w:rPr>
          <w:highlight w:val="yellow"/>
        </w:rPr>
        <w:t>s</w:t>
      </w:r>
      <w:r w:rsidR="003B74EB" w:rsidRPr="00D5629A">
        <w:rPr>
          <w:highlight w:val="yellow"/>
        </w:rPr>
        <w:t xml:space="preserve"> </w:t>
      </w:r>
      <w:r w:rsidR="009C3B1E" w:rsidRPr="00D5629A">
        <w:rPr>
          <w:highlight w:val="yellow"/>
        </w:rPr>
        <w:t>are</w:t>
      </w:r>
      <w:r w:rsidR="003B74EB" w:rsidRPr="00D5629A">
        <w:rPr>
          <w:highlight w:val="yellow"/>
        </w:rPr>
        <w:t xml:space="preserve"> installed</w:t>
      </w:r>
      <w:r w:rsidR="009C3B1E" w:rsidRPr="00D5629A">
        <w:rPr>
          <w:highlight w:val="yellow"/>
        </w:rPr>
        <w:t xml:space="preserve">, close </w:t>
      </w:r>
      <w:r w:rsidR="00BD1481" w:rsidRPr="00D5629A">
        <w:rPr>
          <w:highlight w:val="yellow"/>
        </w:rPr>
        <w:t xml:space="preserve">the </w:t>
      </w:r>
      <w:r w:rsidR="009C3B1E" w:rsidRPr="00D5629A">
        <w:rPr>
          <w:highlight w:val="yellow"/>
        </w:rPr>
        <w:t>valves.</w:t>
      </w:r>
    </w:p>
    <w:p w14:paraId="44D2CCB0" w14:textId="77777777" w:rsidR="007D2184" w:rsidRPr="00D5629A" w:rsidRDefault="007D2184" w:rsidP="00DE2BB5">
      <w:pPr>
        <w:pStyle w:val="ListParagraph"/>
        <w:ind w:left="0"/>
        <w:rPr>
          <w:highlight w:val="yellow"/>
        </w:rPr>
      </w:pPr>
    </w:p>
    <w:p w14:paraId="66034EF5" w14:textId="1EB5B645" w:rsidR="007D2184" w:rsidRPr="00D5629A" w:rsidRDefault="003B74EB" w:rsidP="00DE2BB5">
      <w:pPr>
        <w:pStyle w:val="ListParagraph"/>
        <w:numPr>
          <w:ilvl w:val="1"/>
          <w:numId w:val="4"/>
        </w:numPr>
        <w:ind w:left="0" w:firstLine="0"/>
        <w:rPr>
          <w:highlight w:val="yellow"/>
        </w:rPr>
      </w:pPr>
      <w:r w:rsidRPr="00D5629A">
        <w:rPr>
          <w:highlight w:val="yellow"/>
        </w:rPr>
        <w:t>Locate the end of each gas line inside the PVC pipe (built</w:t>
      </w:r>
      <w:r w:rsidR="000E15DB" w:rsidRPr="00D5629A">
        <w:rPr>
          <w:highlight w:val="yellow"/>
        </w:rPr>
        <w:t xml:space="preserve"> </w:t>
      </w:r>
      <w:r w:rsidRPr="00D5629A">
        <w:rPr>
          <w:highlight w:val="yellow"/>
        </w:rPr>
        <w:t>in step 5.4) and attach a needle to the valve</w:t>
      </w:r>
      <w:r w:rsidR="004A13EF" w:rsidRPr="00D5629A">
        <w:rPr>
          <w:highlight w:val="yellow"/>
        </w:rPr>
        <w:t>'</w:t>
      </w:r>
      <w:r w:rsidRPr="00D5629A">
        <w:rPr>
          <w:highlight w:val="yellow"/>
        </w:rPr>
        <w:t xml:space="preserve">s male </w:t>
      </w:r>
      <w:r w:rsidR="000E15DB" w:rsidRPr="00D5629A">
        <w:rPr>
          <w:highlight w:val="yellow"/>
        </w:rPr>
        <w:t>L</w:t>
      </w:r>
      <w:r w:rsidRPr="00D5629A">
        <w:rPr>
          <w:highlight w:val="yellow"/>
        </w:rPr>
        <w:t>uer port.</w:t>
      </w:r>
    </w:p>
    <w:p w14:paraId="27F8F0BC" w14:textId="77777777" w:rsidR="007D2184" w:rsidRPr="00D5629A" w:rsidRDefault="007D2184" w:rsidP="00DE2BB5">
      <w:pPr>
        <w:pStyle w:val="ListParagraph"/>
        <w:ind w:left="0"/>
        <w:rPr>
          <w:highlight w:val="yellow"/>
        </w:rPr>
      </w:pPr>
    </w:p>
    <w:p w14:paraId="14382D13" w14:textId="7AF06776" w:rsidR="007D2184" w:rsidRPr="00D5629A" w:rsidRDefault="005A1FED" w:rsidP="00DE2BB5">
      <w:pPr>
        <w:pStyle w:val="ListParagraph"/>
        <w:numPr>
          <w:ilvl w:val="1"/>
          <w:numId w:val="4"/>
        </w:numPr>
        <w:ind w:left="0" w:firstLine="0"/>
        <w:rPr>
          <w:highlight w:val="yellow"/>
        </w:rPr>
      </w:pPr>
      <w:r w:rsidRPr="00D5629A">
        <w:rPr>
          <w:highlight w:val="yellow"/>
        </w:rPr>
        <w:t>Connect each bottle to its gas sensor by p</w:t>
      </w:r>
      <w:r w:rsidR="003B74EB" w:rsidRPr="00D5629A">
        <w:rPr>
          <w:highlight w:val="yellow"/>
        </w:rPr>
        <w:t>ierc</w:t>
      </w:r>
      <w:r w:rsidRPr="00D5629A">
        <w:rPr>
          <w:highlight w:val="yellow"/>
        </w:rPr>
        <w:t>ing</w:t>
      </w:r>
      <w:r w:rsidR="003B74EB" w:rsidRPr="00D5629A">
        <w:rPr>
          <w:highlight w:val="yellow"/>
        </w:rPr>
        <w:t xml:space="preserve"> </w:t>
      </w:r>
      <w:r w:rsidR="00BC2BF3" w:rsidRPr="00D5629A">
        <w:rPr>
          <w:highlight w:val="yellow"/>
        </w:rPr>
        <w:t>each</w:t>
      </w:r>
      <w:r w:rsidR="00C8683D" w:rsidRPr="00D5629A">
        <w:rPr>
          <w:highlight w:val="yellow"/>
        </w:rPr>
        <w:t xml:space="preserve"> </w:t>
      </w:r>
      <w:r w:rsidR="003B74EB" w:rsidRPr="00D5629A">
        <w:rPr>
          <w:highlight w:val="yellow"/>
        </w:rPr>
        <w:t>rubber stopper with the corresponding needle.</w:t>
      </w:r>
    </w:p>
    <w:p w14:paraId="4A25DE09" w14:textId="77777777" w:rsidR="007D2184" w:rsidRPr="00D5629A" w:rsidRDefault="007D2184" w:rsidP="00DE2BB5">
      <w:pPr>
        <w:pStyle w:val="ListParagraph"/>
        <w:ind w:left="0"/>
        <w:rPr>
          <w:highlight w:val="yellow"/>
        </w:rPr>
      </w:pPr>
    </w:p>
    <w:p w14:paraId="29C3D896" w14:textId="683A31F9" w:rsidR="007D2184" w:rsidRPr="00D5629A" w:rsidRDefault="003B74EB" w:rsidP="00DE2BB5">
      <w:pPr>
        <w:pStyle w:val="ListParagraph"/>
        <w:numPr>
          <w:ilvl w:val="1"/>
          <w:numId w:val="4"/>
        </w:numPr>
        <w:ind w:left="0" w:firstLine="0"/>
        <w:rPr>
          <w:highlight w:val="yellow"/>
        </w:rPr>
      </w:pPr>
      <w:r w:rsidRPr="00D5629A">
        <w:rPr>
          <w:highlight w:val="yellow"/>
        </w:rPr>
        <w:t xml:space="preserve">Launch </w:t>
      </w:r>
      <w:r w:rsidR="00C8683D" w:rsidRPr="00D5629A">
        <w:rPr>
          <w:highlight w:val="yellow"/>
        </w:rPr>
        <w:t xml:space="preserve">gas </w:t>
      </w:r>
      <w:r w:rsidRPr="00D5629A">
        <w:rPr>
          <w:highlight w:val="yellow"/>
        </w:rPr>
        <w:t>sensor</w:t>
      </w:r>
      <w:r w:rsidR="00A80CBA" w:rsidRPr="00D5629A">
        <w:rPr>
          <w:highlight w:val="yellow"/>
        </w:rPr>
        <w:t>s</w:t>
      </w:r>
      <w:r w:rsidRPr="00D5629A">
        <w:rPr>
          <w:highlight w:val="yellow"/>
        </w:rPr>
        <w:t xml:space="preserve"> by checking the tick box</w:t>
      </w:r>
      <w:r w:rsidR="00A80CBA" w:rsidRPr="00D5629A">
        <w:rPr>
          <w:highlight w:val="yellow"/>
        </w:rPr>
        <w:t>es</w:t>
      </w:r>
      <w:r w:rsidRPr="00D5629A">
        <w:rPr>
          <w:highlight w:val="yellow"/>
        </w:rPr>
        <w:t xml:space="preserve"> on the left side of the screen and clicking </w:t>
      </w:r>
      <w:r w:rsidR="00E44924">
        <w:rPr>
          <w:highlight w:val="yellow"/>
        </w:rPr>
        <w:t xml:space="preserve">on </w:t>
      </w:r>
      <w:r w:rsidR="00E44924">
        <w:rPr>
          <w:b/>
          <w:bCs/>
          <w:highlight w:val="yellow"/>
        </w:rPr>
        <w:t>S</w:t>
      </w:r>
      <w:r w:rsidR="00E44924" w:rsidRPr="00D5629A">
        <w:rPr>
          <w:b/>
          <w:bCs/>
          <w:highlight w:val="yellow"/>
        </w:rPr>
        <w:t>tart</w:t>
      </w:r>
      <w:r w:rsidR="00E44924" w:rsidRPr="00D5629A">
        <w:rPr>
          <w:highlight w:val="yellow"/>
        </w:rPr>
        <w:t xml:space="preserve"> </w:t>
      </w:r>
      <w:r w:rsidRPr="00D5629A">
        <w:rPr>
          <w:highlight w:val="yellow"/>
        </w:rPr>
        <w:t>(</w:t>
      </w:r>
      <w:r w:rsidRPr="00D5629A">
        <w:rPr>
          <w:b/>
          <w:bCs/>
          <w:highlight w:val="yellow"/>
        </w:rPr>
        <w:t>Supplementary Figure 3</w:t>
      </w:r>
      <w:r w:rsidRPr="00D5629A">
        <w:rPr>
          <w:highlight w:val="yellow"/>
        </w:rPr>
        <w:t>).</w:t>
      </w:r>
    </w:p>
    <w:p w14:paraId="5958B9BF" w14:textId="77777777" w:rsidR="007D2184" w:rsidRPr="00DE2BB5" w:rsidRDefault="007D2184" w:rsidP="00DE2BB5">
      <w:pPr>
        <w:rPr>
          <w:highlight w:val="yellow"/>
        </w:rPr>
      </w:pPr>
    </w:p>
    <w:p w14:paraId="3BDACAA0" w14:textId="1656F470" w:rsidR="007D2184" w:rsidRPr="00003E67" w:rsidRDefault="003B74EB" w:rsidP="00DE2BB5">
      <w:r w:rsidRPr="00003E67">
        <w:t>NOTE: While logging</w:t>
      </w:r>
      <w:r w:rsidR="005B71D8" w:rsidRPr="00003E67">
        <w:t>,</w:t>
      </w:r>
      <w:r w:rsidRPr="00003E67">
        <w:t xml:space="preserve"> do not exit the </w:t>
      </w:r>
      <w:r w:rsidR="006C790C" w:rsidRPr="00003E67">
        <w:t xml:space="preserve">data </w:t>
      </w:r>
      <w:r w:rsidR="001A5A53" w:rsidRPr="00003E67">
        <w:t xml:space="preserve">acquisition </w:t>
      </w:r>
      <w:r w:rsidRPr="00003E67">
        <w:t xml:space="preserve">window. Set power and sleep settings of the computer to </w:t>
      </w:r>
      <w:r w:rsidRPr="00003E67">
        <w:rPr>
          <w:b/>
          <w:bCs/>
        </w:rPr>
        <w:t>never</w:t>
      </w:r>
      <w:r w:rsidRPr="00003E67">
        <w:t xml:space="preserve"> and postpone computer updates for the duration of the experiment.</w:t>
      </w:r>
    </w:p>
    <w:p w14:paraId="539C27BA" w14:textId="77777777" w:rsidR="007D2184" w:rsidRPr="00DE2BB5" w:rsidRDefault="007D2184" w:rsidP="00DE2BB5">
      <w:pPr>
        <w:rPr>
          <w:highlight w:val="yellow"/>
        </w:rPr>
      </w:pPr>
    </w:p>
    <w:p w14:paraId="28ACEEFA" w14:textId="2A67B989" w:rsidR="007D2184" w:rsidRPr="00003E67" w:rsidRDefault="003B74EB" w:rsidP="00DE2BB5">
      <w:pPr>
        <w:pStyle w:val="ListParagraph"/>
        <w:numPr>
          <w:ilvl w:val="1"/>
          <w:numId w:val="4"/>
        </w:numPr>
        <w:ind w:left="0" w:firstLine="0"/>
        <w:rPr>
          <w:highlight w:val="yellow"/>
        </w:rPr>
      </w:pPr>
      <w:r w:rsidRPr="00003E67">
        <w:rPr>
          <w:highlight w:val="yellow"/>
        </w:rPr>
        <w:t xml:space="preserve">Switch on the </w:t>
      </w:r>
      <w:r w:rsidR="00EB7C3E" w:rsidRPr="00003E67">
        <w:rPr>
          <w:highlight w:val="yellow"/>
        </w:rPr>
        <w:t xml:space="preserve">PBR </w:t>
      </w:r>
      <w:r w:rsidRPr="00003E67">
        <w:rPr>
          <w:highlight w:val="yellow"/>
        </w:rPr>
        <w:t xml:space="preserve">and ensure </w:t>
      </w:r>
      <w:r w:rsidR="003F3769">
        <w:rPr>
          <w:highlight w:val="yellow"/>
        </w:rPr>
        <w:t xml:space="preserve">that </w:t>
      </w:r>
      <w:r w:rsidRPr="00003E67">
        <w:rPr>
          <w:highlight w:val="yellow"/>
        </w:rPr>
        <w:t xml:space="preserve">the DMX </w:t>
      </w:r>
      <w:r w:rsidR="00941BA5" w:rsidRPr="00003E67">
        <w:rPr>
          <w:highlight w:val="yellow"/>
        </w:rPr>
        <w:t xml:space="preserve">lighting </w:t>
      </w:r>
      <w:r w:rsidRPr="00003E67">
        <w:rPr>
          <w:highlight w:val="yellow"/>
        </w:rPr>
        <w:t>controller is plugged into a power supply. The first progra</w:t>
      </w:r>
      <w:r w:rsidR="0068471B" w:rsidRPr="00003E67">
        <w:rPr>
          <w:highlight w:val="yellow"/>
        </w:rPr>
        <w:t>m</w:t>
      </w:r>
      <w:r w:rsidRPr="00003E67">
        <w:rPr>
          <w:highlight w:val="yellow"/>
        </w:rPr>
        <w:t xml:space="preserve">med scene will automatically commence. Refer to step 6.8 to confirm </w:t>
      </w:r>
      <w:r w:rsidR="003F3769">
        <w:rPr>
          <w:highlight w:val="yellow"/>
        </w:rPr>
        <w:t xml:space="preserve">that </w:t>
      </w:r>
      <w:r w:rsidRPr="00003E67">
        <w:rPr>
          <w:highlight w:val="yellow"/>
        </w:rPr>
        <w:t xml:space="preserve">the DMX </w:t>
      </w:r>
      <w:r w:rsidR="00F34FAA" w:rsidRPr="00003E67">
        <w:rPr>
          <w:highlight w:val="yellow"/>
        </w:rPr>
        <w:t xml:space="preserve">lighting </w:t>
      </w:r>
      <w:r w:rsidRPr="00003E67">
        <w:rPr>
          <w:highlight w:val="yellow"/>
        </w:rPr>
        <w:t>controller is functioning correctly.</w:t>
      </w:r>
    </w:p>
    <w:p w14:paraId="0D58AF96" w14:textId="77777777" w:rsidR="007D2184" w:rsidRPr="00DE2BB5" w:rsidRDefault="007D2184" w:rsidP="00DE2BB5">
      <w:pPr>
        <w:rPr>
          <w:highlight w:val="yellow"/>
        </w:rPr>
      </w:pPr>
    </w:p>
    <w:p w14:paraId="1E54BAE7" w14:textId="5A63F3EE" w:rsidR="007D2184" w:rsidRPr="00DE2BB5" w:rsidRDefault="003B74EB" w:rsidP="00DE2BB5">
      <w:pPr>
        <w:pStyle w:val="ListParagraph"/>
        <w:numPr>
          <w:ilvl w:val="0"/>
          <w:numId w:val="4"/>
        </w:numPr>
        <w:ind w:left="0" w:firstLine="0"/>
        <w:rPr>
          <w:b/>
          <w:bCs/>
        </w:rPr>
      </w:pPr>
      <w:r w:rsidRPr="00DE2BB5">
        <w:rPr>
          <w:b/>
          <w:bCs/>
        </w:rPr>
        <w:t>Bottle sampling (optional)</w:t>
      </w:r>
    </w:p>
    <w:p w14:paraId="3392E63E" w14:textId="77777777" w:rsidR="007D2184" w:rsidRPr="00DE2BB5" w:rsidRDefault="007D2184" w:rsidP="00DE2BB5">
      <w:pPr>
        <w:rPr>
          <w:highlight w:val="yellow"/>
        </w:rPr>
      </w:pPr>
    </w:p>
    <w:p w14:paraId="2597A673" w14:textId="692FB3AE" w:rsidR="007D2184" w:rsidRPr="00DE2BB5" w:rsidRDefault="003B74EB" w:rsidP="00DE2BB5">
      <w:pPr>
        <w:pStyle w:val="ListParagraph"/>
        <w:numPr>
          <w:ilvl w:val="1"/>
          <w:numId w:val="4"/>
        </w:numPr>
        <w:ind w:left="0" w:firstLine="0"/>
        <w:rPr>
          <w:highlight w:val="yellow"/>
        </w:rPr>
      </w:pPr>
      <w:r w:rsidRPr="00DE2BB5">
        <w:rPr>
          <w:highlight w:val="yellow"/>
        </w:rPr>
        <w:t xml:space="preserve">Prepare </w:t>
      </w:r>
      <w:r w:rsidR="00271F23" w:rsidRPr="00DE2BB5">
        <w:rPr>
          <w:highlight w:val="yellow"/>
        </w:rPr>
        <w:t xml:space="preserve">an additional </w:t>
      </w:r>
      <w:r w:rsidRPr="00DE2BB5">
        <w:rPr>
          <w:highlight w:val="yellow"/>
        </w:rPr>
        <w:t xml:space="preserve">500 mL of </w:t>
      </w:r>
      <w:r w:rsidR="00B41586" w:rsidRPr="00DE2BB5">
        <w:rPr>
          <w:highlight w:val="yellow"/>
        </w:rPr>
        <w:t xml:space="preserve">the </w:t>
      </w:r>
      <w:r w:rsidRPr="00DE2BB5">
        <w:rPr>
          <w:highlight w:val="yellow"/>
        </w:rPr>
        <w:t>fresh medium before commencing the experiment (</w:t>
      </w:r>
      <w:r w:rsidRPr="00DE2BB5">
        <w:rPr>
          <w:b/>
          <w:bCs/>
          <w:highlight w:val="yellow"/>
        </w:rPr>
        <w:t>Supplementary Table 2</w:t>
      </w:r>
      <w:r w:rsidRPr="00DE2BB5">
        <w:rPr>
          <w:highlight w:val="yellow"/>
        </w:rPr>
        <w:t>).</w:t>
      </w:r>
    </w:p>
    <w:p w14:paraId="45D96005" w14:textId="77777777" w:rsidR="007D2184" w:rsidRPr="00DE2BB5" w:rsidRDefault="007D2184" w:rsidP="00DE2BB5"/>
    <w:p w14:paraId="3F457C47" w14:textId="052D0F22" w:rsidR="007D2184" w:rsidRPr="00003E67" w:rsidRDefault="003B74EB" w:rsidP="00DE2BB5">
      <w:r w:rsidRPr="00003E67">
        <w:t>NOTE: If a 2</w:t>
      </w:r>
      <w:r w:rsidR="00FF410E" w:rsidRPr="00003E67">
        <w:t xml:space="preserve">4 </w:t>
      </w:r>
      <w:r w:rsidR="00F96B89" w:rsidRPr="00003E67">
        <w:t>h</w:t>
      </w:r>
      <w:r w:rsidRPr="00003E67">
        <w:t xml:space="preserve"> light </w:t>
      </w:r>
      <w:r w:rsidR="00DA7019" w:rsidRPr="00003E67">
        <w:t>program with a 16:8</w:t>
      </w:r>
      <w:r w:rsidR="00F96B89" w:rsidRPr="00003E67">
        <w:t xml:space="preserve"> </w:t>
      </w:r>
      <w:r w:rsidR="00DA7019" w:rsidRPr="00003E67">
        <w:t xml:space="preserve">h diurnal cycle </w:t>
      </w:r>
      <w:r w:rsidRPr="00003E67">
        <w:t>w</w:t>
      </w:r>
      <w:r w:rsidR="00F96B89" w:rsidRPr="00003E67">
        <w:t>ere</w:t>
      </w:r>
      <w:r w:rsidRPr="00003E67">
        <w:t xml:space="preserve"> started at 9</w:t>
      </w:r>
      <w:r w:rsidR="00EB7C3E" w:rsidRPr="00003E67">
        <w:t xml:space="preserve"> </w:t>
      </w:r>
      <w:r w:rsidR="003F3769">
        <w:t>am</w:t>
      </w:r>
      <w:r w:rsidR="00DA7019" w:rsidRPr="00003E67">
        <w:t>, then</w:t>
      </w:r>
      <w:r w:rsidRPr="00003E67">
        <w:t xml:space="preserve"> sampling times before dusk and dawn would fall at 8</w:t>
      </w:r>
      <w:r w:rsidR="00FC433E" w:rsidRPr="00003E67">
        <w:t xml:space="preserve"> </w:t>
      </w:r>
      <w:r w:rsidR="003F3769">
        <w:t>am</w:t>
      </w:r>
      <w:r w:rsidR="003F3769" w:rsidRPr="00003E67">
        <w:t xml:space="preserve"> </w:t>
      </w:r>
      <w:r w:rsidRPr="00003E67">
        <w:t>and 4</w:t>
      </w:r>
      <w:r w:rsidR="00FC433E" w:rsidRPr="00003E67">
        <w:t xml:space="preserve"> </w:t>
      </w:r>
      <w:r w:rsidR="003F3769">
        <w:t>pm</w:t>
      </w:r>
      <w:r w:rsidR="003F3769" w:rsidRPr="00003E67">
        <w:t xml:space="preserve"> </w:t>
      </w:r>
      <w:r w:rsidRPr="00003E67">
        <w:t>(</w:t>
      </w:r>
      <w:r w:rsidRPr="00003E67">
        <w:rPr>
          <w:b/>
        </w:rPr>
        <w:t>Supplementary Table 1</w:t>
      </w:r>
      <w:r w:rsidRPr="00003E67">
        <w:t>). Here</w:t>
      </w:r>
      <w:r w:rsidR="003F3769">
        <w:t>,</w:t>
      </w:r>
      <w:r w:rsidRPr="00003E67">
        <w:t xml:space="preserve"> dawn and dusk refer to 30</w:t>
      </w:r>
      <w:r w:rsidR="00F96B89" w:rsidRPr="00003E67">
        <w:t xml:space="preserve"> </w:t>
      </w:r>
      <w:r w:rsidRPr="00003E67">
        <w:t xml:space="preserve">min steps </w:t>
      </w:r>
      <w:r w:rsidR="00F96B89" w:rsidRPr="00003E67">
        <w:t>that</w:t>
      </w:r>
      <w:r w:rsidRPr="00003E67">
        <w:t xml:space="preserve"> transition lights from ON to OFF and vice versa.</w:t>
      </w:r>
    </w:p>
    <w:p w14:paraId="67BD8F2D" w14:textId="77777777" w:rsidR="007D2184" w:rsidRPr="00DE2BB5" w:rsidRDefault="007D2184" w:rsidP="00DE2BB5">
      <w:pPr>
        <w:rPr>
          <w:highlight w:val="yellow"/>
        </w:rPr>
      </w:pPr>
    </w:p>
    <w:p w14:paraId="6E2A93F3" w14:textId="21738FD9" w:rsidR="007D2184" w:rsidRPr="00DE2BB5" w:rsidRDefault="003B74EB" w:rsidP="00DE2BB5">
      <w:pPr>
        <w:pStyle w:val="ListParagraph"/>
        <w:numPr>
          <w:ilvl w:val="1"/>
          <w:numId w:val="4"/>
        </w:numPr>
        <w:ind w:left="0" w:firstLine="0"/>
        <w:rPr>
          <w:highlight w:val="yellow"/>
        </w:rPr>
      </w:pPr>
      <w:r w:rsidRPr="00DE2BB5">
        <w:rPr>
          <w:highlight w:val="yellow"/>
        </w:rPr>
        <w:t>Close the valve on the gas line.</w:t>
      </w:r>
    </w:p>
    <w:p w14:paraId="727AD2FA" w14:textId="77777777" w:rsidR="007D2184" w:rsidRPr="00DE2BB5" w:rsidRDefault="007D2184" w:rsidP="00DE2BB5">
      <w:pPr>
        <w:pStyle w:val="ListParagraph"/>
        <w:ind w:left="0"/>
        <w:rPr>
          <w:highlight w:val="yellow"/>
        </w:rPr>
      </w:pPr>
    </w:p>
    <w:p w14:paraId="6CFCAAD7" w14:textId="2CAA3FE1" w:rsidR="007D2184" w:rsidRPr="00DE2BB5" w:rsidRDefault="003B74EB" w:rsidP="00DE2BB5">
      <w:pPr>
        <w:pStyle w:val="ListParagraph"/>
        <w:numPr>
          <w:ilvl w:val="1"/>
          <w:numId w:val="4"/>
        </w:numPr>
        <w:ind w:left="0" w:firstLine="0"/>
        <w:rPr>
          <w:highlight w:val="yellow"/>
        </w:rPr>
      </w:pPr>
      <w:r w:rsidRPr="00DE2BB5">
        <w:rPr>
          <w:highlight w:val="yellow"/>
        </w:rPr>
        <w:t>Connect a syringe (10 mL) to the sampling port valve (</w:t>
      </w:r>
      <w:r w:rsidRPr="00DE2BB5">
        <w:rPr>
          <w:b/>
          <w:bCs/>
          <w:highlight w:val="yellow"/>
        </w:rPr>
        <w:t>Figure 4A</w:t>
      </w:r>
      <w:r w:rsidRPr="00DE2BB5">
        <w:rPr>
          <w:highlight w:val="yellow"/>
        </w:rPr>
        <w:t>).</w:t>
      </w:r>
    </w:p>
    <w:p w14:paraId="3432FB35" w14:textId="77777777" w:rsidR="007D2184" w:rsidRPr="00DE2BB5" w:rsidRDefault="007D2184" w:rsidP="00DE2BB5">
      <w:pPr>
        <w:pStyle w:val="ListParagraph"/>
        <w:ind w:left="0"/>
        <w:rPr>
          <w:highlight w:val="yellow"/>
        </w:rPr>
      </w:pPr>
    </w:p>
    <w:p w14:paraId="22DBF8E5" w14:textId="366AC4EB" w:rsidR="007D2184" w:rsidRPr="00DE2BB5" w:rsidRDefault="003B74EB" w:rsidP="00DE2BB5">
      <w:pPr>
        <w:pStyle w:val="ListParagraph"/>
        <w:numPr>
          <w:ilvl w:val="1"/>
          <w:numId w:val="4"/>
        </w:numPr>
        <w:ind w:left="0" w:firstLine="0"/>
        <w:rPr>
          <w:highlight w:val="yellow"/>
        </w:rPr>
      </w:pPr>
      <w:r w:rsidRPr="00DE2BB5">
        <w:rPr>
          <w:highlight w:val="yellow"/>
        </w:rPr>
        <w:t>Open the sampling port valve and withdraw 8 mL of culture.</w:t>
      </w:r>
    </w:p>
    <w:p w14:paraId="6BE83E75" w14:textId="77777777" w:rsidR="007D2184" w:rsidRPr="00DE2BB5" w:rsidRDefault="007D2184" w:rsidP="00DE2BB5">
      <w:pPr>
        <w:rPr>
          <w:highlight w:val="yellow"/>
        </w:rPr>
      </w:pPr>
    </w:p>
    <w:p w14:paraId="47B10378" w14:textId="23E82FCC" w:rsidR="007D2184" w:rsidRPr="00003E67" w:rsidRDefault="003B74EB" w:rsidP="00DE2BB5">
      <w:r w:rsidRPr="00003E67">
        <w:t>NOTE: Between 5</w:t>
      </w:r>
      <w:r w:rsidR="003F3769">
        <w:t>–</w:t>
      </w:r>
      <w:r w:rsidRPr="00003E67">
        <w:t>10 mL is recommended. Removing liquid generates a vacuum in the headspace</w:t>
      </w:r>
      <w:r w:rsidR="00FF410E" w:rsidRPr="00003E67">
        <w:t>,</w:t>
      </w:r>
      <w:r w:rsidR="004827A5" w:rsidRPr="00003E67">
        <w:t xml:space="preserve"> making</w:t>
      </w:r>
      <w:r w:rsidRPr="00003E67">
        <w:t xml:space="preserve"> volumes </w:t>
      </w:r>
      <w:r w:rsidR="004827A5" w:rsidRPr="00003E67">
        <w:t>&gt;</w:t>
      </w:r>
      <w:r w:rsidRPr="00003E67">
        <w:t>10 mL difficult to extract.</w:t>
      </w:r>
    </w:p>
    <w:p w14:paraId="6CDEDAE6" w14:textId="77777777" w:rsidR="007D2184" w:rsidRPr="00DE2BB5" w:rsidRDefault="007D2184" w:rsidP="00DE2BB5">
      <w:pPr>
        <w:pStyle w:val="ListParagraph"/>
        <w:ind w:left="0"/>
        <w:rPr>
          <w:highlight w:val="yellow"/>
        </w:rPr>
      </w:pPr>
    </w:p>
    <w:p w14:paraId="3C808E42" w14:textId="7BDD0EC1" w:rsidR="007D2184" w:rsidRPr="00DE2BB5" w:rsidRDefault="003B74EB" w:rsidP="00DE2BB5">
      <w:pPr>
        <w:pStyle w:val="ListParagraph"/>
        <w:numPr>
          <w:ilvl w:val="1"/>
          <w:numId w:val="4"/>
        </w:numPr>
        <w:ind w:left="0" w:firstLine="0"/>
        <w:rPr>
          <w:highlight w:val="yellow"/>
        </w:rPr>
      </w:pPr>
      <w:r w:rsidRPr="00DE2BB5">
        <w:rPr>
          <w:highlight w:val="yellow"/>
        </w:rPr>
        <w:t xml:space="preserve">Close the sampling port valve </w:t>
      </w:r>
      <w:r w:rsidR="00615C43" w:rsidRPr="00DE2BB5">
        <w:rPr>
          <w:highlight w:val="yellow"/>
        </w:rPr>
        <w:t xml:space="preserve">and </w:t>
      </w:r>
      <w:r w:rsidRPr="00DE2BB5">
        <w:rPr>
          <w:highlight w:val="yellow"/>
        </w:rPr>
        <w:t>disconnect the syringe.</w:t>
      </w:r>
    </w:p>
    <w:p w14:paraId="2ADE589D" w14:textId="77777777" w:rsidR="007D2184" w:rsidRPr="00DE2BB5" w:rsidRDefault="007D2184" w:rsidP="00DE2BB5">
      <w:pPr>
        <w:pStyle w:val="ListParagraph"/>
        <w:ind w:left="0"/>
        <w:rPr>
          <w:highlight w:val="yellow"/>
        </w:rPr>
      </w:pPr>
    </w:p>
    <w:p w14:paraId="2EFA4252" w14:textId="7A816107" w:rsidR="007D2184" w:rsidRPr="00DE2BB5" w:rsidRDefault="003B74EB" w:rsidP="00DE2BB5">
      <w:pPr>
        <w:pStyle w:val="ListParagraph"/>
        <w:numPr>
          <w:ilvl w:val="1"/>
          <w:numId w:val="4"/>
        </w:numPr>
        <w:ind w:left="0" w:firstLine="0"/>
        <w:rPr>
          <w:highlight w:val="yellow"/>
        </w:rPr>
      </w:pPr>
      <w:r w:rsidRPr="00DE2BB5">
        <w:rPr>
          <w:highlight w:val="yellow"/>
        </w:rPr>
        <w:t xml:space="preserve">Connect a syringe containing 8 mL of fresh medium </w:t>
      </w:r>
      <w:r w:rsidR="00341C10" w:rsidRPr="00DE2BB5">
        <w:rPr>
          <w:highlight w:val="yellow"/>
        </w:rPr>
        <w:t xml:space="preserve">(from step 8.1) </w:t>
      </w:r>
      <w:r w:rsidRPr="00DE2BB5">
        <w:rPr>
          <w:highlight w:val="yellow"/>
        </w:rPr>
        <w:t>to the sampling port valve.</w:t>
      </w:r>
    </w:p>
    <w:p w14:paraId="51CF21F9" w14:textId="77777777" w:rsidR="007D2184" w:rsidRPr="00DE2BB5" w:rsidRDefault="007D2184" w:rsidP="00DE2BB5">
      <w:pPr>
        <w:pStyle w:val="ListParagraph"/>
        <w:ind w:left="0"/>
        <w:rPr>
          <w:highlight w:val="yellow"/>
        </w:rPr>
      </w:pPr>
    </w:p>
    <w:p w14:paraId="125733AA" w14:textId="505B09CB" w:rsidR="007D2184" w:rsidRPr="00DE2BB5" w:rsidRDefault="003B74EB" w:rsidP="00DE2BB5">
      <w:pPr>
        <w:pStyle w:val="ListParagraph"/>
        <w:numPr>
          <w:ilvl w:val="1"/>
          <w:numId w:val="4"/>
        </w:numPr>
        <w:ind w:left="0" w:firstLine="0"/>
        <w:rPr>
          <w:highlight w:val="yellow"/>
        </w:rPr>
      </w:pPr>
      <w:r w:rsidRPr="00DE2BB5">
        <w:rPr>
          <w:highlight w:val="yellow"/>
        </w:rPr>
        <w:t>Open the sampling port valve and inject fresh medium</w:t>
      </w:r>
      <w:r w:rsidR="00615C43" w:rsidRPr="00DE2BB5">
        <w:rPr>
          <w:highlight w:val="yellow"/>
        </w:rPr>
        <w:t>.</w:t>
      </w:r>
    </w:p>
    <w:p w14:paraId="3665AAF1" w14:textId="77777777" w:rsidR="007D2184" w:rsidRPr="00DE2BB5" w:rsidRDefault="007D2184" w:rsidP="00DE2BB5">
      <w:pPr>
        <w:rPr>
          <w:highlight w:val="yellow"/>
        </w:rPr>
      </w:pPr>
    </w:p>
    <w:p w14:paraId="755BC381" w14:textId="5BE60F85" w:rsidR="007D2184" w:rsidRPr="00DE2BB5" w:rsidRDefault="003B74EB" w:rsidP="00DE2BB5">
      <w:pPr>
        <w:rPr>
          <w:highlight w:val="yellow"/>
        </w:rPr>
      </w:pPr>
      <w:r w:rsidRPr="00DE2BB5">
        <w:rPr>
          <w:highlight w:val="yellow"/>
        </w:rPr>
        <w:t xml:space="preserve">NOTE: Replacing </w:t>
      </w:r>
      <w:r w:rsidR="008D455E">
        <w:rPr>
          <w:highlight w:val="yellow"/>
        </w:rPr>
        <w:t xml:space="preserve">the volume of </w:t>
      </w:r>
      <w:r w:rsidRPr="00DE2BB5">
        <w:rPr>
          <w:highlight w:val="yellow"/>
        </w:rPr>
        <w:t xml:space="preserve">sampled culture with fresh medium </w:t>
      </w:r>
      <w:r w:rsidR="00D877BE">
        <w:rPr>
          <w:highlight w:val="yellow"/>
        </w:rPr>
        <w:t xml:space="preserve">serves to </w:t>
      </w:r>
      <w:r w:rsidR="00426049" w:rsidRPr="00DE2BB5">
        <w:rPr>
          <w:highlight w:val="yellow"/>
        </w:rPr>
        <w:t xml:space="preserve">maintain an equal headspace volume and pressure </w:t>
      </w:r>
      <w:r w:rsidR="008D455E">
        <w:rPr>
          <w:highlight w:val="yellow"/>
        </w:rPr>
        <w:t>and</w:t>
      </w:r>
      <w:r w:rsidR="00D877BE">
        <w:rPr>
          <w:highlight w:val="yellow"/>
        </w:rPr>
        <w:t xml:space="preserve"> </w:t>
      </w:r>
      <w:r w:rsidRPr="00DE2BB5">
        <w:rPr>
          <w:highlight w:val="yellow"/>
        </w:rPr>
        <w:t>flush the sampling port line.</w:t>
      </w:r>
    </w:p>
    <w:p w14:paraId="5C68118A" w14:textId="77777777" w:rsidR="007D2184" w:rsidRPr="00DE2BB5" w:rsidRDefault="007D2184" w:rsidP="00DE2BB5">
      <w:pPr>
        <w:rPr>
          <w:highlight w:val="yellow"/>
        </w:rPr>
      </w:pPr>
    </w:p>
    <w:p w14:paraId="1F75C7B5" w14:textId="25234562" w:rsidR="007D2184" w:rsidRPr="00DE2BB5" w:rsidRDefault="003B74EB" w:rsidP="00DE2BB5">
      <w:pPr>
        <w:pStyle w:val="ListParagraph"/>
        <w:numPr>
          <w:ilvl w:val="1"/>
          <w:numId w:val="4"/>
        </w:numPr>
        <w:ind w:left="0" w:firstLine="0"/>
        <w:rPr>
          <w:highlight w:val="yellow"/>
        </w:rPr>
      </w:pPr>
      <w:r w:rsidRPr="00DE2BB5">
        <w:rPr>
          <w:highlight w:val="yellow"/>
        </w:rPr>
        <w:t>Close the sampling port valve before disconnecting the syringe.</w:t>
      </w:r>
    </w:p>
    <w:p w14:paraId="047B25CD" w14:textId="77777777" w:rsidR="007D2184" w:rsidRPr="00DE2BB5" w:rsidRDefault="007D2184" w:rsidP="00DE2BB5">
      <w:pPr>
        <w:pStyle w:val="ListParagraph"/>
        <w:ind w:left="0"/>
        <w:rPr>
          <w:highlight w:val="yellow"/>
        </w:rPr>
      </w:pPr>
    </w:p>
    <w:p w14:paraId="0365E20C" w14:textId="1D7E7895" w:rsidR="007D2184" w:rsidRPr="00003E67" w:rsidRDefault="003B74EB" w:rsidP="00DE2BB5">
      <w:pPr>
        <w:pStyle w:val="ListParagraph"/>
        <w:numPr>
          <w:ilvl w:val="1"/>
          <w:numId w:val="4"/>
        </w:numPr>
        <w:ind w:left="0" w:firstLine="0"/>
      </w:pPr>
      <w:r w:rsidRPr="00003E67">
        <w:t>Repeat steps 8.2</w:t>
      </w:r>
      <w:r w:rsidR="003F3769">
        <w:t>–</w:t>
      </w:r>
      <w:r w:rsidRPr="00003E67">
        <w:t>8.8 at each sampling time.</w:t>
      </w:r>
    </w:p>
    <w:p w14:paraId="769D9F27" w14:textId="77777777" w:rsidR="007D2184" w:rsidRPr="00DE2BB5" w:rsidRDefault="007D2184" w:rsidP="00DE2BB5">
      <w:pPr>
        <w:rPr>
          <w:b/>
          <w:bCs/>
        </w:rPr>
      </w:pPr>
    </w:p>
    <w:p w14:paraId="378C3A9B" w14:textId="4B0522F0" w:rsidR="00A768AA" w:rsidRPr="00DE2BB5" w:rsidRDefault="003B74EB" w:rsidP="00DE2BB5">
      <w:pPr>
        <w:pStyle w:val="ListParagraph"/>
        <w:numPr>
          <w:ilvl w:val="0"/>
          <w:numId w:val="4"/>
        </w:numPr>
        <w:ind w:left="0" w:firstLine="0"/>
        <w:rPr>
          <w:b/>
          <w:bCs/>
        </w:rPr>
      </w:pPr>
      <w:r w:rsidRPr="00DE2BB5">
        <w:rPr>
          <w:b/>
          <w:bCs/>
        </w:rPr>
        <w:t>End</w:t>
      </w:r>
      <w:r w:rsidR="00FA39A5" w:rsidRPr="00DE2BB5">
        <w:rPr>
          <w:b/>
          <w:bCs/>
        </w:rPr>
        <w:t>ing</w:t>
      </w:r>
      <w:r w:rsidRPr="00DE2BB5">
        <w:rPr>
          <w:b/>
          <w:bCs/>
        </w:rPr>
        <w:t xml:space="preserve"> an experiment</w:t>
      </w:r>
    </w:p>
    <w:p w14:paraId="4AF12CF1" w14:textId="77777777" w:rsidR="00A768AA" w:rsidRPr="00DE2BB5" w:rsidRDefault="00A768AA" w:rsidP="00DE2BB5"/>
    <w:p w14:paraId="4FF09B58" w14:textId="6CF2EFC0" w:rsidR="001F550A" w:rsidRPr="00003E67" w:rsidRDefault="002114EF" w:rsidP="00DE2BB5">
      <w:pPr>
        <w:pStyle w:val="ListParagraph"/>
        <w:numPr>
          <w:ilvl w:val="1"/>
          <w:numId w:val="4"/>
        </w:numPr>
        <w:ind w:left="0" w:firstLine="0"/>
        <w:rPr>
          <w:highlight w:val="yellow"/>
        </w:rPr>
      </w:pPr>
      <w:r w:rsidRPr="00003E67">
        <w:rPr>
          <w:highlight w:val="yellow"/>
        </w:rPr>
        <w:t>Check all active port</w:t>
      </w:r>
      <w:r w:rsidR="00145DD9" w:rsidRPr="00003E67">
        <w:rPr>
          <w:highlight w:val="yellow"/>
        </w:rPr>
        <w:t xml:space="preserve"> </w:t>
      </w:r>
      <w:r w:rsidRPr="00003E67">
        <w:rPr>
          <w:highlight w:val="yellow"/>
        </w:rPr>
        <w:t xml:space="preserve">tick boxes in the data acquisition window </w:t>
      </w:r>
      <w:r w:rsidR="003B74EB" w:rsidRPr="00003E67">
        <w:rPr>
          <w:highlight w:val="yellow"/>
        </w:rPr>
        <w:t>and click</w:t>
      </w:r>
      <w:r w:rsidR="00E44924">
        <w:rPr>
          <w:highlight w:val="yellow"/>
        </w:rPr>
        <w:t xml:space="preserve"> on</w:t>
      </w:r>
      <w:r w:rsidR="003B74EB" w:rsidRPr="00003E67">
        <w:rPr>
          <w:highlight w:val="yellow"/>
        </w:rPr>
        <w:t xml:space="preserve"> </w:t>
      </w:r>
      <w:r w:rsidR="003B74EB" w:rsidRPr="00003E67">
        <w:rPr>
          <w:b/>
          <w:bCs/>
          <w:highlight w:val="yellow"/>
        </w:rPr>
        <w:t>Stop</w:t>
      </w:r>
      <w:r w:rsidR="003B74EB" w:rsidRPr="00003E67">
        <w:rPr>
          <w:highlight w:val="yellow"/>
        </w:rPr>
        <w:t>.</w:t>
      </w:r>
    </w:p>
    <w:p w14:paraId="1F188879" w14:textId="77777777" w:rsidR="001F550A" w:rsidRPr="00003E67" w:rsidRDefault="001F550A" w:rsidP="00DE2BB5">
      <w:pPr>
        <w:pStyle w:val="ListParagraph"/>
        <w:ind w:left="0"/>
        <w:rPr>
          <w:highlight w:val="yellow"/>
        </w:rPr>
      </w:pPr>
    </w:p>
    <w:p w14:paraId="675966AE" w14:textId="17E4ACF2" w:rsidR="007D2184" w:rsidRPr="00003E67" w:rsidRDefault="003B74EB" w:rsidP="00DE2BB5">
      <w:pPr>
        <w:pStyle w:val="ListParagraph"/>
        <w:numPr>
          <w:ilvl w:val="1"/>
          <w:numId w:val="4"/>
        </w:numPr>
        <w:ind w:left="0" w:firstLine="0"/>
        <w:rPr>
          <w:highlight w:val="yellow"/>
        </w:rPr>
      </w:pPr>
      <w:r w:rsidRPr="00003E67">
        <w:rPr>
          <w:highlight w:val="yellow"/>
        </w:rPr>
        <w:t xml:space="preserve">To export data, select </w:t>
      </w:r>
      <w:r w:rsidRPr="00003E67">
        <w:rPr>
          <w:b/>
          <w:bCs/>
          <w:highlight w:val="yellow"/>
        </w:rPr>
        <w:t>File</w:t>
      </w:r>
      <w:r w:rsidRPr="00003E67">
        <w:rPr>
          <w:highlight w:val="yellow"/>
        </w:rPr>
        <w:t xml:space="preserve"> and </w:t>
      </w:r>
      <w:r w:rsidRPr="00003E67">
        <w:rPr>
          <w:b/>
          <w:bCs/>
          <w:highlight w:val="yellow"/>
        </w:rPr>
        <w:t xml:space="preserve">Offline </w:t>
      </w:r>
      <w:r w:rsidR="003F3769">
        <w:rPr>
          <w:b/>
          <w:bCs/>
          <w:highlight w:val="yellow"/>
        </w:rPr>
        <w:t>D</w:t>
      </w:r>
      <w:r w:rsidR="003F3769" w:rsidRPr="00003E67">
        <w:rPr>
          <w:b/>
          <w:bCs/>
          <w:highlight w:val="yellow"/>
        </w:rPr>
        <w:t>ata</w:t>
      </w:r>
      <w:r w:rsidRPr="00003E67">
        <w:rPr>
          <w:highlight w:val="yellow"/>
        </w:rPr>
        <w:t xml:space="preserve">. Select all relevant log files. Export the data to </w:t>
      </w:r>
      <w:r w:rsidR="00AF4790" w:rsidRPr="00003E67">
        <w:rPr>
          <w:highlight w:val="yellow"/>
        </w:rPr>
        <w:t xml:space="preserve">spreadsheet software </w:t>
      </w:r>
      <w:r w:rsidRPr="00003E67">
        <w:rPr>
          <w:highlight w:val="yellow"/>
        </w:rPr>
        <w:t>and save.</w:t>
      </w:r>
    </w:p>
    <w:p w14:paraId="6BC5107A" w14:textId="77777777" w:rsidR="007D2184" w:rsidRPr="00DE2BB5" w:rsidRDefault="007D2184" w:rsidP="00DE2BB5">
      <w:pPr>
        <w:pStyle w:val="ListParagraph"/>
        <w:ind w:left="0"/>
      </w:pPr>
    </w:p>
    <w:p w14:paraId="02160E69" w14:textId="32471547" w:rsidR="007D2184" w:rsidRPr="00DE2BB5" w:rsidRDefault="003B74EB" w:rsidP="00DE2BB5">
      <w:pPr>
        <w:pStyle w:val="ListParagraph"/>
        <w:numPr>
          <w:ilvl w:val="1"/>
          <w:numId w:val="4"/>
        </w:numPr>
        <w:ind w:left="0" w:firstLine="0"/>
      </w:pPr>
      <w:r w:rsidRPr="00DE2BB5">
        <w:t>For each bottle</w:t>
      </w:r>
      <w:r w:rsidR="00C63C97" w:rsidRPr="00DE2BB5">
        <w:t>,</w:t>
      </w:r>
      <w:r w:rsidRPr="00DE2BB5">
        <w:t xml:space="preserve"> convert the total volume of oxygen</w:t>
      </w:r>
      <w:r w:rsidR="001A0878" w:rsidRPr="00DE2BB5">
        <w:t xml:space="preserve"> </w:t>
      </w:r>
      <w:r w:rsidR="00000A9F" w:rsidRPr="00DE2BB5">
        <w:t>measured</w:t>
      </w:r>
      <w:r w:rsidRPr="00DE2BB5">
        <w:t xml:space="preserve"> </w:t>
      </w:r>
      <w:r w:rsidR="00000A9F" w:rsidRPr="00DE2BB5">
        <w:t xml:space="preserve">in mL </w:t>
      </w:r>
      <w:r w:rsidRPr="00DE2BB5">
        <w:t xml:space="preserve">to moles using the ideal gas law. Predict the </w:t>
      </w:r>
      <w:r w:rsidR="00000A9F" w:rsidRPr="00DE2BB5">
        <w:t xml:space="preserve">weight </w:t>
      </w:r>
      <w:r w:rsidRPr="00DE2BB5">
        <w:t>of biomass grown (gAFDW) if 1.05 mol</w:t>
      </w:r>
      <w:r w:rsidR="007B339C" w:rsidRPr="00DE2BB5">
        <w:t>e</w:t>
      </w:r>
      <w:r w:rsidRPr="00DE2BB5">
        <w:t xml:space="preserve"> of O</w:t>
      </w:r>
      <w:r w:rsidRPr="00DE2BB5">
        <w:rPr>
          <w:vertAlign w:val="subscript"/>
        </w:rPr>
        <w:t>2</w:t>
      </w:r>
      <w:r w:rsidRPr="00DE2BB5">
        <w:t xml:space="preserve"> </w:t>
      </w:r>
      <w:r w:rsidR="00C63C97" w:rsidRPr="00DE2BB5">
        <w:t>is</w:t>
      </w:r>
      <w:r w:rsidRPr="00DE2BB5">
        <w:t xml:space="preserve"> generated for each mol</w:t>
      </w:r>
      <w:r w:rsidR="00C63C97" w:rsidRPr="00DE2BB5">
        <w:t>e</w:t>
      </w:r>
      <w:r w:rsidRPr="00DE2BB5">
        <w:t xml:space="preserve"> of biomass produced. </w:t>
      </w:r>
      <w:r w:rsidR="00AF4790" w:rsidRPr="00DE2BB5">
        <w:t xml:space="preserve">Take the </w:t>
      </w:r>
      <w:r w:rsidRPr="00DE2BB5">
        <w:t>molar weight of biomass as 24.6 g</w:t>
      </w:r>
      <w:r w:rsidR="007B339C" w:rsidRPr="00DE2BB5">
        <w:t xml:space="preserve"> </w:t>
      </w:r>
      <w:r w:rsidRPr="00DE2BB5">
        <w:t>mol</w:t>
      </w:r>
      <w:r w:rsidRPr="00DE2BB5">
        <w:rPr>
          <w:vertAlign w:val="superscript"/>
        </w:rPr>
        <w:t>-1</w:t>
      </w:r>
      <w:r w:rsidRPr="00DE2BB5">
        <w:t>.</w:t>
      </w:r>
    </w:p>
    <w:p w14:paraId="23338FD0" w14:textId="77777777" w:rsidR="007D2184" w:rsidRPr="00DE2BB5" w:rsidRDefault="007D2184" w:rsidP="00DE2BB5">
      <w:pPr>
        <w:pStyle w:val="ListParagraph"/>
        <w:ind w:left="0"/>
      </w:pPr>
    </w:p>
    <w:p w14:paraId="0C20E4DA" w14:textId="271AD481" w:rsidR="007D2184" w:rsidRPr="00DE2BB5" w:rsidRDefault="003B74EB" w:rsidP="00DE2BB5">
      <w:pPr>
        <w:pStyle w:val="ListParagraph"/>
        <w:numPr>
          <w:ilvl w:val="1"/>
          <w:numId w:val="4"/>
        </w:numPr>
        <w:ind w:left="0" w:firstLine="0"/>
      </w:pPr>
      <w:r w:rsidRPr="00DE2BB5">
        <w:t xml:space="preserve">Manually curate the flow rate data. </w:t>
      </w:r>
      <w:r w:rsidR="007A14C7" w:rsidRPr="00DE2BB5">
        <w:t>Use</w:t>
      </w:r>
      <w:r w:rsidRPr="00DE2BB5">
        <w:t xml:space="preserve"> units </w:t>
      </w:r>
      <w:r w:rsidR="007A14C7" w:rsidRPr="00DE2BB5">
        <w:t>of</w:t>
      </w:r>
      <w:r w:rsidRPr="00DE2BB5">
        <w:t xml:space="preserve"> mL/h and a 3-point moving average</w:t>
      </w:r>
      <w:r w:rsidR="007A14C7" w:rsidRPr="00DE2BB5">
        <w:t>.</w:t>
      </w:r>
    </w:p>
    <w:p w14:paraId="64F831D8" w14:textId="77777777" w:rsidR="007D2184" w:rsidRPr="00DE2BB5" w:rsidRDefault="007D2184" w:rsidP="00DE2BB5">
      <w:pPr>
        <w:rPr>
          <w:color w:val="000000"/>
        </w:rPr>
      </w:pPr>
    </w:p>
    <w:p w14:paraId="463B14D7" w14:textId="5EE1BCCB" w:rsidR="00FE74DF" w:rsidRPr="00DE2BB5" w:rsidRDefault="003B74EB" w:rsidP="00DE2BB5">
      <w:pPr>
        <w:pStyle w:val="Heading2"/>
      </w:pPr>
      <w:r w:rsidRPr="00DE2BB5">
        <w:lastRenderedPageBreak/>
        <w:t>REPRESENTATIVE RESULTS:</w:t>
      </w:r>
    </w:p>
    <w:p w14:paraId="661926BA" w14:textId="2AC5ED1D" w:rsidR="007D2184" w:rsidRPr="00856883" w:rsidRDefault="003B74EB" w:rsidP="00DE2BB5">
      <w:pPr>
        <w:rPr>
          <w:rFonts w:cstheme="majorHAnsi"/>
        </w:rPr>
      </w:pPr>
      <w:r w:rsidRPr="00DE2BB5">
        <w:t>Here the oxygen flow rate is a measure of the culture</w:t>
      </w:r>
      <w:r w:rsidR="004A13EF" w:rsidRPr="00DE2BB5">
        <w:t>'</w:t>
      </w:r>
      <w:r w:rsidRPr="00DE2BB5">
        <w:t>s photosynthetic rate. Higher rates of photosynthesis, and hence carbon fixation, translate to higher growth rates. This means the user can compare oxygen flow rates between different treatments and operational days as a proxy for growth. Briefly, the gas sensor works by trapping and releasing gas bubbles in a dual-chamber measurement cell (</w:t>
      </w:r>
      <w:r w:rsidRPr="00DE2BB5">
        <w:rPr>
          <w:b/>
          <w:bCs/>
        </w:rPr>
        <w:t>Figure 4B</w:t>
      </w:r>
      <w:r w:rsidRPr="00DE2BB5">
        <w:t>). Gas bubbles from the inlet at the base of the sensor travel up through the packing liquid. Bubbles accumulate in one chamber of the measurement cell to a volume of ~3</w:t>
      </w:r>
      <w:r w:rsidR="0044588E" w:rsidRPr="00DE2BB5">
        <w:t>.2</w:t>
      </w:r>
      <w:r w:rsidRPr="00DE2BB5">
        <w:t xml:space="preserve"> mL. </w:t>
      </w:r>
      <w:r w:rsidR="00856883">
        <w:rPr>
          <w:rFonts w:cstheme="majorHAnsi"/>
        </w:rPr>
        <w:t>Once this threshold is reached the measurement cell tips. This releases the gas and resets the system. Each tip is recorded by the data acquisition software</w:t>
      </w:r>
      <w:r w:rsidRPr="00DE2BB5">
        <w:t>.</w:t>
      </w:r>
    </w:p>
    <w:p w14:paraId="6DEFA00F" w14:textId="77777777" w:rsidR="007D2184" w:rsidRPr="00DE2BB5" w:rsidRDefault="007D2184" w:rsidP="00DE2BB5"/>
    <w:p w14:paraId="26D57367" w14:textId="062635B9" w:rsidR="00F153A6" w:rsidRPr="00DE2BB5" w:rsidRDefault="003B74EB" w:rsidP="00DE2BB5">
      <w:r w:rsidRPr="00DE2BB5">
        <w:t xml:space="preserve">In </w:t>
      </w:r>
      <w:r w:rsidR="00F61098" w:rsidRPr="00DE2BB5">
        <w:t>the</w:t>
      </w:r>
      <w:r w:rsidRPr="00DE2BB5">
        <w:t xml:space="preserve"> example data</w:t>
      </w:r>
      <w:r w:rsidR="00AD39C1" w:rsidRPr="00DE2BB5">
        <w:t>,</w:t>
      </w:r>
      <w:r w:rsidRPr="00DE2BB5">
        <w:t xml:space="preserve"> the growth rate of three treatments with varying daytime light intensities and initial</w:t>
      </w:r>
      <w:r w:rsidR="001742CD" w:rsidRPr="00DE2BB5">
        <w:t xml:space="preserve"> </w:t>
      </w:r>
      <w:r w:rsidRPr="00DE2BB5">
        <w:t>biomass concentrations (IBCs)</w:t>
      </w:r>
      <w:r w:rsidR="00F61098" w:rsidRPr="00DE2BB5">
        <w:t xml:space="preserve"> were compared</w:t>
      </w:r>
      <w:r w:rsidRPr="00DE2BB5">
        <w:t xml:space="preserve">. </w:t>
      </w:r>
      <w:r w:rsidR="00DE7DDC" w:rsidRPr="00DE2BB5">
        <w:t>These treatments were c</w:t>
      </w:r>
      <w:r w:rsidR="00E40D67" w:rsidRPr="00DE2BB5">
        <w:t>hosen arbitrarily for demonstrative purposes.</w:t>
      </w:r>
      <w:r w:rsidR="008C2A1D" w:rsidRPr="00DE2BB5">
        <w:t xml:space="preserve"> </w:t>
      </w:r>
      <w:r w:rsidRPr="00DE2BB5">
        <w:t>They were (A) 300 µmol</w:t>
      </w:r>
      <w:r w:rsidRPr="00DE2BB5">
        <w:rPr>
          <w:vertAlign w:val="subscript"/>
        </w:rPr>
        <w:t>photons</w:t>
      </w:r>
      <w:r w:rsidR="00AD39C1" w:rsidRPr="00DE2BB5">
        <w:t xml:space="preserve"> </w:t>
      </w:r>
      <w:r w:rsidRPr="00DE2BB5">
        <w:t>m</w:t>
      </w:r>
      <w:r w:rsidRPr="00DE2BB5">
        <w:rPr>
          <w:vertAlign w:val="superscript"/>
        </w:rPr>
        <w:t>-2</w:t>
      </w:r>
      <w:r w:rsidR="00AD39C1" w:rsidRPr="00DE2BB5">
        <w:t xml:space="preserve"> </w:t>
      </w:r>
      <w:r w:rsidRPr="00DE2BB5">
        <w:t>s</w:t>
      </w:r>
      <w:r w:rsidRPr="00DE2BB5">
        <w:rPr>
          <w:vertAlign w:val="superscript"/>
        </w:rPr>
        <w:t xml:space="preserve">-1 </w:t>
      </w:r>
      <w:r w:rsidRPr="00DE2BB5">
        <w:t>and 0.03 g</w:t>
      </w:r>
      <w:r w:rsidRPr="00DE2BB5">
        <w:rPr>
          <w:vertAlign w:val="subscript"/>
        </w:rPr>
        <w:t>AFDW</w:t>
      </w:r>
      <w:r w:rsidR="00AD39C1" w:rsidRPr="00DE2BB5">
        <w:t xml:space="preserve"> </w:t>
      </w:r>
      <w:r w:rsidRPr="00DE2BB5">
        <w:t>L</w:t>
      </w:r>
      <w:r w:rsidRPr="00DE2BB5">
        <w:rPr>
          <w:vertAlign w:val="superscript"/>
        </w:rPr>
        <w:t>-1</w:t>
      </w:r>
      <w:r w:rsidRPr="00DE2BB5">
        <w:t>, (B) 600 µmol</w:t>
      </w:r>
      <w:r w:rsidRPr="00DE2BB5">
        <w:rPr>
          <w:vertAlign w:val="subscript"/>
        </w:rPr>
        <w:t>photons</w:t>
      </w:r>
      <w:r w:rsidR="00AD39C1" w:rsidRPr="00DE2BB5">
        <w:t xml:space="preserve"> </w:t>
      </w:r>
      <w:r w:rsidRPr="00DE2BB5">
        <w:t>m</w:t>
      </w:r>
      <w:r w:rsidRPr="00DE2BB5">
        <w:rPr>
          <w:vertAlign w:val="superscript"/>
        </w:rPr>
        <w:t>-2</w:t>
      </w:r>
      <w:r w:rsidR="00AD39C1" w:rsidRPr="00DE2BB5">
        <w:t xml:space="preserve"> </w:t>
      </w:r>
      <w:r w:rsidRPr="00DE2BB5">
        <w:t>s</w:t>
      </w:r>
      <w:r w:rsidRPr="00DE2BB5">
        <w:rPr>
          <w:vertAlign w:val="superscript"/>
        </w:rPr>
        <w:t xml:space="preserve">-1 </w:t>
      </w:r>
      <w:r w:rsidRPr="00DE2BB5">
        <w:t>and 0.13 g</w:t>
      </w:r>
      <w:r w:rsidRPr="00DE2BB5">
        <w:rPr>
          <w:vertAlign w:val="subscript"/>
        </w:rPr>
        <w:t>AFDW</w:t>
      </w:r>
      <w:r w:rsidR="00AD39C1" w:rsidRPr="00DE2BB5">
        <w:t xml:space="preserve"> </w:t>
      </w:r>
      <w:r w:rsidRPr="00DE2BB5">
        <w:t>L</w:t>
      </w:r>
      <w:r w:rsidRPr="00DE2BB5">
        <w:rPr>
          <w:vertAlign w:val="superscript"/>
        </w:rPr>
        <w:t>-1</w:t>
      </w:r>
      <w:r w:rsidR="003F3769" w:rsidRPr="00B10C2B">
        <w:t>,</w:t>
      </w:r>
      <w:r w:rsidRPr="00DE2BB5">
        <w:t xml:space="preserve"> and (C) 600 µmol</w:t>
      </w:r>
      <w:r w:rsidRPr="00DE2BB5">
        <w:rPr>
          <w:vertAlign w:val="subscript"/>
        </w:rPr>
        <w:t>photons</w:t>
      </w:r>
      <w:r w:rsidR="00AD39C1" w:rsidRPr="00DE2BB5">
        <w:t xml:space="preserve"> </w:t>
      </w:r>
      <w:r w:rsidRPr="00DE2BB5">
        <w:t>m</w:t>
      </w:r>
      <w:r w:rsidRPr="00DE2BB5">
        <w:rPr>
          <w:vertAlign w:val="superscript"/>
        </w:rPr>
        <w:t>-2</w:t>
      </w:r>
      <w:r w:rsidR="00AD39C1" w:rsidRPr="00DE2BB5">
        <w:t xml:space="preserve"> </w:t>
      </w:r>
      <w:r w:rsidRPr="00DE2BB5">
        <w:t>s</w:t>
      </w:r>
      <w:r w:rsidRPr="00DE2BB5">
        <w:rPr>
          <w:vertAlign w:val="superscript"/>
        </w:rPr>
        <w:t xml:space="preserve">-1 </w:t>
      </w:r>
      <w:r w:rsidRPr="00DE2BB5">
        <w:t>and 0.40 g</w:t>
      </w:r>
      <w:r w:rsidRPr="00DE2BB5">
        <w:rPr>
          <w:vertAlign w:val="subscript"/>
        </w:rPr>
        <w:t>AFDW</w:t>
      </w:r>
      <w:r w:rsidR="00AD39C1" w:rsidRPr="00DE2BB5">
        <w:t xml:space="preserve"> </w:t>
      </w:r>
      <w:r w:rsidRPr="00DE2BB5">
        <w:t>L</w:t>
      </w:r>
      <w:r w:rsidRPr="00DE2BB5">
        <w:rPr>
          <w:vertAlign w:val="superscript"/>
        </w:rPr>
        <w:t>-1</w:t>
      </w:r>
      <w:r w:rsidRPr="00DE2BB5">
        <w:t xml:space="preserve">. These irradiances were measured with a spherical probe in the center of the PVC pipe before bottles were placed on </w:t>
      </w:r>
      <w:r w:rsidR="003F3769">
        <w:t xml:space="preserve">the </w:t>
      </w:r>
      <w:r w:rsidRPr="00DE2BB5">
        <w:t xml:space="preserve">platforms. Culture depth and density </w:t>
      </w:r>
      <w:r w:rsidR="009A69DA" w:rsidRPr="00DE2BB5">
        <w:t>a</w:t>
      </w:r>
      <w:r w:rsidRPr="00DE2BB5">
        <w:t xml:space="preserve">ffect light attenuation. Hence the actual light intensity experienced by </w:t>
      </w:r>
      <w:r w:rsidR="00C41BE3" w:rsidRPr="00DE2BB5">
        <w:t xml:space="preserve">microalgae </w:t>
      </w:r>
      <w:r w:rsidRPr="00DE2BB5">
        <w:t>can vary from th</w:t>
      </w:r>
      <w:r w:rsidR="00BE569D" w:rsidRPr="00DE2BB5">
        <w:t>ose</w:t>
      </w:r>
      <w:r w:rsidRPr="00DE2BB5">
        <w:t xml:space="preserve"> reported. Each treatment was performed</w:t>
      </w:r>
      <w:r w:rsidR="00C14C76" w:rsidRPr="00DE2BB5">
        <w:t xml:space="preserve"> in triplicate—</w:t>
      </w:r>
      <w:r w:rsidR="009E020F" w:rsidRPr="00DE2BB5">
        <w:t>within one PBR containing three bottles</w:t>
      </w:r>
      <w:r w:rsidR="00C14C76" w:rsidRPr="00DE2BB5">
        <w:t>.</w:t>
      </w:r>
    </w:p>
    <w:p w14:paraId="439EABBE" w14:textId="77777777" w:rsidR="00F153A6" w:rsidRPr="00DE2BB5" w:rsidRDefault="00F153A6" w:rsidP="00DE2BB5"/>
    <w:p w14:paraId="3CB61D7D" w14:textId="2E586D70" w:rsidR="0091238A" w:rsidRPr="00DE2BB5" w:rsidRDefault="003B74EB" w:rsidP="00DE2BB5">
      <w:r w:rsidRPr="00DE2BB5">
        <w:t>Here, a successful experiment was characterized by closely replicated diurnal patterns of gas production (</w:t>
      </w:r>
      <w:r w:rsidRPr="00DE2BB5">
        <w:rPr>
          <w:b/>
          <w:bCs/>
        </w:rPr>
        <w:t>Figure 7A</w:t>
      </w:r>
      <w:r w:rsidR="003F3769">
        <w:rPr>
          <w:b/>
          <w:bCs/>
        </w:rPr>
        <w:t>–</w:t>
      </w:r>
      <w:r w:rsidRPr="00DE2BB5">
        <w:rPr>
          <w:b/>
          <w:bCs/>
        </w:rPr>
        <w:t>C</w:t>
      </w:r>
      <w:r w:rsidRPr="00DE2BB5">
        <w:t>). During illuminated hours (day)</w:t>
      </w:r>
      <w:r w:rsidR="004F2B15" w:rsidRPr="00DE2BB5">
        <w:t>,</w:t>
      </w:r>
      <w:r w:rsidRPr="00DE2BB5">
        <w:t xml:space="preserve"> gas production steadily increased</w:t>
      </w:r>
      <w:r w:rsidR="004F2B15" w:rsidRPr="00DE2BB5">
        <w:t>,</w:t>
      </w:r>
      <w:r w:rsidRPr="00DE2BB5">
        <w:t xml:space="preserve"> and over non-illuminated hours (night)</w:t>
      </w:r>
      <w:r w:rsidR="004F2B15" w:rsidRPr="00DE2BB5">
        <w:t>,</w:t>
      </w:r>
      <w:r w:rsidRPr="00DE2BB5">
        <w:t xml:space="preserve"> gas production stopped (</w:t>
      </w:r>
      <w:r w:rsidRPr="00DE2BB5">
        <w:rPr>
          <w:b/>
          <w:bCs/>
        </w:rPr>
        <w:t>Figure 7A</w:t>
      </w:r>
      <w:r w:rsidR="003F3769">
        <w:rPr>
          <w:b/>
          <w:bCs/>
        </w:rPr>
        <w:t>–</w:t>
      </w:r>
      <w:r w:rsidRPr="00DE2BB5">
        <w:rPr>
          <w:b/>
          <w:bCs/>
        </w:rPr>
        <w:t>C</w:t>
      </w:r>
      <w:r w:rsidRPr="00DE2BB5">
        <w:t>).</w:t>
      </w:r>
      <w:r w:rsidR="004C5BB1" w:rsidRPr="00DE2BB5">
        <w:t xml:space="preserve"> </w:t>
      </w:r>
      <w:r w:rsidR="005839A7" w:rsidRPr="00DE2BB5">
        <w:t>T</w:t>
      </w:r>
      <w:r w:rsidRPr="00DE2BB5">
        <w:t xml:space="preserve">wo gases are produced by </w:t>
      </w:r>
      <w:r w:rsidR="00A14C2C" w:rsidRPr="00DE2BB5">
        <w:t>microalgae</w:t>
      </w:r>
      <w:r w:rsidR="009174AD" w:rsidRPr="00DE2BB5">
        <w:t xml:space="preserve">, </w:t>
      </w:r>
      <w:r w:rsidRPr="00DE2BB5">
        <w:t>oxygen from photosynthesis and carbon dioxide from respiration</w:t>
      </w:r>
      <w:r w:rsidR="00722542" w:rsidRPr="00DE2BB5">
        <w:rPr>
          <w:vertAlign w:val="superscript"/>
        </w:rPr>
        <w:t>2</w:t>
      </w:r>
      <w:r w:rsidR="00E27897">
        <w:rPr>
          <w:vertAlign w:val="superscript"/>
        </w:rPr>
        <w:t>8</w:t>
      </w:r>
      <w:r w:rsidRPr="00DE2BB5">
        <w:t xml:space="preserve">. </w:t>
      </w:r>
      <w:r w:rsidR="008C2308" w:rsidRPr="00DE2BB5">
        <w:t>P</w:t>
      </w:r>
      <w:r w:rsidRPr="00DE2BB5">
        <w:t>hotosynthesis is restricted to illuminated hours</w:t>
      </w:r>
      <w:r w:rsidR="008A292E" w:rsidRPr="00DE2BB5">
        <w:t>,</w:t>
      </w:r>
      <w:r w:rsidR="008C2308" w:rsidRPr="00DE2BB5">
        <w:t xml:space="preserve"> whereas</w:t>
      </w:r>
      <w:r w:rsidRPr="00DE2BB5">
        <w:t xml:space="preserve"> respiration occurs continuously but is most active at night</w:t>
      </w:r>
      <w:r w:rsidR="00722542" w:rsidRPr="00DE2BB5">
        <w:rPr>
          <w:vertAlign w:val="superscript"/>
        </w:rPr>
        <w:t>2</w:t>
      </w:r>
      <w:r w:rsidR="00E27897">
        <w:rPr>
          <w:vertAlign w:val="superscript"/>
        </w:rPr>
        <w:t>8</w:t>
      </w:r>
      <w:r w:rsidRPr="00DE2BB5">
        <w:t>. Photosynthesis builds, where</w:t>
      </w:r>
      <w:r w:rsidR="004921EA" w:rsidRPr="00DE2BB5">
        <w:t>as</w:t>
      </w:r>
      <w:r w:rsidRPr="00DE2BB5">
        <w:t xml:space="preserve"> respiration catabolizes biomass</w:t>
      </w:r>
      <w:r w:rsidR="004F4029" w:rsidRPr="00DE2BB5">
        <w:rPr>
          <w:vertAlign w:val="superscript"/>
        </w:rPr>
        <w:t>2</w:t>
      </w:r>
      <w:r w:rsidR="00E27897">
        <w:rPr>
          <w:vertAlign w:val="superscript"/>
        </w:rPr>
        <w:t>8</w:t>
      </w:r>
      <w:r w:rsidRPr="00DE2BB5">
        <w:t xml:space="preserve">. </w:t>
      </w:r>
      <w:r w:rsidR="004C2A9D" w:rsidRPr="00DE2BB5">
        <w:t>Initially</w:t>
      </w:r>
      <w:r w:rsidR="00EF3424" w:rsidRPr="00DE2BB5">
        <w:t>, the composition of headspace gas is identical to that of the atmosphere. With each flip of the measurement cell, O</w:t>
      </w:r>
      <w:r w:rsidR="00EF3424" w:rsidRPr="00DE2BB5">
        <w:rPr>
          <w:vertAlign w:val="subscript"/>
        </w:rPr>
        <w:t>2</w:t>
      </w:r>
      <w:r w:rsidR="00EF3424" w:rsidRPr="00DE2BB5">
        <w:t xml:space="preserve"> displaces atmospheric gas. </w:t>
      </w:r>
      <w:r w:rsidR="008A292E" w:rsidRPr="00DE2BB5">
        <w:t>Therefore, gas sensor readings we</w:t>
      </w:r>
      <w:r w:rsidR="00FC2112" w:rsidRPr="00DE2BB5">
        <w:t>re attributed to the production of O</w:t>
      </w:r>
      <w:r w:rsidR="00FC2112" w:rsidRPr="00DE2BB5">
        <w:rPr>
          <w:vertAlign w:val="subscript"/>
        </w:rPr>
        <w:t>2</w:t>
      </w:r>
      <w:r w:rsidR="00FC2112" w:rsidRPr="00DE2BB5">
        <w:t xml:space="preserve"> even if the outgoing gas was not pure O</w:t>
      </w:r>
      <w:r w:rsidR="00FC2112" w:rsidRPr="00DE2BB5">
        <w:rPr>
          <w:vertAlign w:val="subscript"/>
        </w:rPr>
        <w:t>2</w:t>
      </w:r>
      <w:r w:rsidR="00FC2112" w:rsidRPr="00DE2BB5">
        <w:t>.</w:t>
      </w:r>
      <w:r w:rsidR="00C77610" w:rsidRPr="00DE2BB5">
        <w:t xml:space="preserve"> </w:t>
      </w:r>
      <w:r w:rsidR="0091238A" w:rsidRPr="00DE2BB5">
        <w:t>The minimum gas inlet pressure for the gas sensor is extremely low, 8</w:t>
      </w:r>
      <w:r w:rsidR="00584C4C">
        <w:t>–</w:t>
      </w:r>
      <w:r w:rsidR="0091238A" w:rsidRPr="00DE2BB5">
        <w:t>9 mbar, rendering bottle headspace pressure only slightly over atmospheric (1.01 bar at sea level). Hence</w:t>
      </w:r>
      <w:r w:rsidR="00CC4A02">
        <w:t>,</w:t>
      </w:r>
      <w:r w:rsidR="0091238A" w:rsidRPr="00DE2BB5">
        <w:t xml:space="preserve"> gas sensor readings commence shortly after O</w:t>
      </w:r>
      <w:r w:rsidR="0091238A" w:rsidRPr="00DE2BB5">
        <w:rPr>
          <w:vertAlign w:val="subscript"/>
        </w:rPr>
        <w:t>2</w:t>
      </w:r>
      <w:r w:rsidR="0091238A" w:rsidRPr="00DE2BB5">
        <w:t xml:space="preserve"> bubbles leave the medium.</w:t>
      </w:r>
    </w:p>
    <w:p w14:paraId="30394D12" w14:textId="31960AFE" w:rsidR="0091238A" w:rsidRPr="00DE2BB5" w:rsidRDefault="0091238A" w:rsidP="00DE2BB5"/>
    <w:p w14:paraId="12333F7D" w14:textId="00B4CDBE" w:rsidR="0034119A" w:rsidRPr="00DE2BB5" w:rsidRDefault="004C2A9D" w:rsidP="00DE2BB5">
      <w:r w:rsidRPr="00DE2BB5">
        <w:t>CO</w:t>
      </w:r>
      <w:r w:rsidRPr="00DE2BB5">
        <w:rPr>
          <w:vertAlign w:val="subscript"/>
        </w:rPr>
        <w:t>2</w:t>
      </w:r>
      <w:r w:rsidRPr="00DE2BB5">
        <w:t xml:space="preserve"> released from respiration does not contribute to gas sensor readings for two reasons. Firstly, </w:t>
      </w:r>
      <w:r w:rsidR="00333ACA">
        <w:t xml:space="preserve">in the alkaline medium, </w:t>
      </w:r>
      <w:r w:rsidR="00D23020" w:rsidRPr="00DE2BB5">
        <w:t>CO</w:t>
      </w:r>
      <w:r w:rsidR="00D23020" w:rsidRPr="00DE2BB5">
        <w:rPr>
          <w:vertAlign w:val="subscript"/>
        </w:rPr>
        <w:t>2</w:t>
      </w:r>
      <w:r w:rsidR="00D23020" w:rsidRPr="00DE2BB5">
        <w:t xml:space="preserve"> reacts to bicarbonate</w:t>
      </w:r>
      <w:r w:rsidRPr="00DE2BB5">
        <w:t>, decreasing the pH (</w:t>
      </w:r>
      <w:r w:rsidRPr="00DE2BB5">
        <w:rPr>
          <w:b/>
          <w:bCs/>
        </w:rPr>
        <w:t>Figure 8</w:t>
      </w:r>
      <w:r w:rsidRPr="00DE2BB5">
        <w:t>). Secondly, if CO</w:t>
      </w:r>
      <w:r w:rsidRPr="00DE2BB5">
        <w:rPr>
          <w:vertAlign w:val="subscript"/>
        </w:rPr>
        <w:t>2</w:t>
      </w:r>
      <w:r w:rsidRPr="00DE2BB5">
        <w:t xml:space="preserve"> does escape, the gas sensor packing liquid, Silox, dissolves CO</w:t>
      </w:r>
      <w:r w:rsidRPr="00DE2BB5">
        <w:rPr>
          <w:vertAlign w:val="subscript"/>
        </w:rPr>
        <w:t>2</w:t>
      </w:r>
      <w:r w:rsidRPr="00DE2BB5">
        <w:t xml:space="preserve"> bubbles before they can reach the measurement cell, outgassing CO</w:t>
      </w:r>
      <w:r w:rsidRPr="00DE2BB5">
        <w:rPr>
          <w:vertAlign w:val="subscript"/>
        </w:rPr>
        <w:t>2</w:t>
      </w:r>
      <w:r w:rsidRPr="00DE2BB5">
        <w:t xml:space="preserve"> at the liquid surface</w:t>
      </w:r>
      <w:r w:rsidR="00ED301D">
        <w:rPr>
          <w:vertAlign w:val="superscript"/>
        </w:rPr>
        <w:t>29</w:t>
      </w:r>
      <w:r w:rsidRPr="00DE2BB5">
        <w:t xml:space="preserve">. This is supported by the lack of overnight gas sensor readings. Those that did occur were recorded shortly after lights were turned off, indicating </w:t>
      </w:r>
      <w:r w:rsidR="00D23020" w:rsidRPr="00DE2BB5">
        <w:t>that readings represented residual daytime oxygen release</w:t>
      </w:r>
      <w:r w:rsidR="004E7B29" w:rsidRPr="00DE2BB5">
        <w:t xml:space="preserve"> (</w:t>
      </w:r>
      <w:r w:rsidR="004E7B29" w:rsidRPr="00DE2BB5">
        <w:rPr>
          <w:b/>
          <w:bCs/>
        </w:rPr>
        <w:t>Figure 7</w:t>
      </w:r>
      <w:r w:rsidR="004E7B29" w:rsidRPr="00DE2BB5">
        <w:t>)</w:t>
      </w:r>
      <w:r w:rsidRPr="00DE2BB5">
        <w:t>.</w:t>
      </w:r>
    </w:p>
    <w:p w14:paraId="13A09726" w14:textId="77777777" w:rsidR="004C2A9D" w:rsidRPr="00DE2BB5" w:rsidRDefault="004C2A9D" w:rsidP="00DE2BB5"/>
    <w:p w14:paraId="4CA3B9A2" w14:textId="116B2D38" w:rsidR="007D2184" w:rsidRPr="00DE2BB5" w:rsidRDefault="003B74EB" w:rsidP="00DE2BB5">
      <w:r w:rsidRPr="00DE2BB5">
        <w:t>In</w:t>
      </w:r>
      <w:r w:rsidR="00B84FB8" w:rsidRPr="00DE2BB5">
        <w:t xml:space="preserve"> the</w:t>
      </w:r>
      <w:r w:rsidRPr="00DE2BB5">
        <w:t xml:space="preserve"> experimental set</w:t>
      </w:r>
      <w:r w:rsidR="008F1ED3" w:rsidRPr="00DE2BB5">
        <w:t>-</w:t>
      </w:r>
      <w:r w:rsidRPr="00DE2BB5">
        <w:t>up</w:t>
      </w:r>
      <w:r w:rsidR="008D78F0" w:rsidRPr="00DE2BB5">
        <w:t xml:space="preserve"> (using local temperature and pressure </w:t>
      </w:r>
      <w:r w:rsidR="009F6CBB" w:rsidRPr="00DE2BB5">
        <w:t>data</w:t>
      </w:r>
      <w:r w:rsidR="008D78F0" w:rsidRPr="00DE2BB5">
        <w:t>)</w:t>
      </w:r>
      <w:r w:rsidR="00E920D5" w:rsidRPr="00DE2BB5">
        <w:t xml:space="preserve">, an 80 mL headspace </w:t>
      </w:r>
      <w:r w:rsidR="00C83A39">
        <w:t>at</w:t>
      </w:r>
      <w:r w:rsidR="00E920D5" w:rsidRPr="00DE2BB5">
        <w:t xml:space="preserve"> ambient pressure</w:t>
      </w:r>
      <w:r w:rsidR="00AD2687" w:rsidRPr="00DE2BB5">
        <w:t xml:space="preserve"> </w:t>
      </w:r>
      <w:r w:rsidRPr="00DE2BB5">
        <w:t>required 340 mL of exsolved O</w:t>
      </w:r>
      <w:r w:rsidRPr="00DE2BB5">
        <w:rPr>
          <w:vertAlign w:val="subscript"/>
        </w:rPr>
        <w:t>2</w:t>
      </w:r>
      <w:r w:rsidRPr="00DE2BB5">
        <w:t xml:space="preserve"> to establish</w:t>
      </w:r>
      <w:r w:rsidR="001C6EA2" w:rsidRPr="00DE2BB5">
        <w:t xml:space="preserve"> </w:t>
      </w:r>
      <w:r w:rsidRPr="00DE2BB5">
        <w:t>an O</w:t>
      </w:r>
      <w:r w:rsidRPr="00DE2BB5">
        <w:rPr>
          <w:vertAlign w:val="subscript"/>
        </w:rPr>
        <w:t xml:space="preserve">2 </w:t>
      </w:r>
      <w:r w:rsidRPr="00DE2BB5">
        <w:t>partial pressure of 99%.</w:t>
      </w:r>
      <w:r w:rsidR="009F5F58" w:rsidRPr="00DE2BB5">
        <w:t xml:space="preserve"> </w:t>
      </w:r>
      <w:r w:rsidR="008D78F0" w:rsidRPr="00DE2BB5">
        <w:t>Here</w:t>
      </w:r>
      <w:r w:rsidR="004E7B29" w:rsidRPr="00DE2BB5">
        <w:t xml:space="preserve">, </w:t>
      </w:r>
      <w:r w:rsidR="008D78F0" w:rsidRPr="00DE2BB5">
        <w:t>t</w:t>
      </w:r>
      <w:r w:rsidRPr="00DE2BB5">
        <w:t xml:space="preserve">he total volume of oxygen produced </w:t>
      </w:r>
      <w:r w:rsidR="001C6EA2" w:rsidRPr="00DE2BB5">
        <w:t xml:space="preserve">over 4 days </w:t>
      </w:r>
      <w:r w:rsidRPr="00DE2BB5">
        <w:t>ranged from 316 (SEM ± 11)</w:t>
      </w:r>
      <w:r w:rsidR="00C80D31" w:rsidRPr="00DE2BB5">
        <w:t xml:space="preserve"> mL</w:t>
      </w:r>
      <w:r w:rsidRPr="00DE2BB5">
        <w:t xml:space="preserve"> </w:t>
      </w:r>
      <w:r w:rsidR="009F6CBB" w:rsidRPr="00DE2BB5">
        <w:t xml:space="preserve">in treatment A </w:t>
      </w:r>
      <w:r w:rsidRPr="00DE2BB5">
        <w:t>to 902 (SEM ± 51) mL</w:t>
      </w:r>
      <w:r w:rsidR="009F6CBB" w:rsidRPr="00DE2BB5">
        <w:t xml:space="preserve"> in treatment C (</w:t>
      </w:r>
      <w:r w:rsidR="009F6CBB" w:rsidRPr="00DE2BB5">
        <w:rPr>
          <w:b/>
          <w:bCs/>
        </w:rPr>
        <w:t>Table 1</w:t>
      </w:r>
      <w:r w:rsidR="009F6CBB" w:rsidRPr="00DE2BB5">
        <w:t>)</w:t>
      </w:r>
      <w:r w:rsidRPr="00DE2BB5">
        <w:t xml:space="preserve">. </w:t>
      </w:r>
      <w:r w:rsidR="00EF3D4B" w:rsidRPr="00DE2BB5">
        <w:t xml:space="preserve">Therefore, </w:t>
      </w:r>
      <w:r w:rsidR="00AE714F" w:rsidRPr="00DE2BB5">
        <w:t>by the end of the experiment, the headspace of all bottles</w:t>
      </w:r>
      <w:r w:rsidR="00E76FA5" w:rsidRPr="00DE2BB5">
        <w:t xml:space="preserve"> </w:t>
      </w:r>
      <w:r w:rsidR="001A29E1" w:rsidRPr="00DE2BB5">
        <w:t xml:space="preserve">would have </w:t>
      </w:r>
      <w:r w:rsidR="00E76FA5" w:rsidRPr="00DE2BB5">
        <w:t xml:space="preserve">contained </w:t>
      </w:r>
      <w:r w:rsidR="0013293A">
        <w:t xml:space="preserve">primarily </w:t>
      </w:r>
      <w:r w:rsidR="00F17A97" w:rsidRPr="00DE2BB5">
        <w:t>O</w:t>
      </w:r>
      <w:r w:rsidR="00F17A97" w:rsidRPr="00DE2BB5">
        <w:rPr>
          <w:vertAlign w:val="subscript"/>
        </w:rPr>
        <w:t>2</w:t>
      </w:r>
      <w:r w:rsidR="00E76FA5" w:rsidRPr="00DE2BB5">
        <w:t>.</w:t>
      </w:r>
      <w:r w:rsidR="00EF3D4B" w:rsidRPr="00DE2BB5">
        <w:t xml:space="preserve"> </w:t>
      </w:r>
      <w:r w:rsidR="008D78F0" w:rsidRPr="00DE2BB5">
        <w:t>The i</w:t>
      </w:r>
      <w:r w:rsidRPr="00DE2BB5">
        <w:t>ncreas</w:t>
      </w:r>
      <w:r w:rsidR="008D78F0" w:rsidRPr="00DE2BB5">
        <w:t>ed</w:t>
      </w:r>
      <w:r w:rsidRPr="00DE2BB5">
        <w:t xml:space="preserve"> concentration of </w:t>
      </w:r>
      <w:r w:rsidRPr="00DE2BB5">
        <w:lastRenderedPageBreak/>
        <w:t>headspace O</w:t>
      </w:r>
      <w:r w:rsidRPr="00DE2BB5">
        <w:rPr>
          <w:vertAlign w:val="subscript"/>
        </w:rPr>
        <w:t>2</w:t>
      </w:r>
      <w:r w:rsidRPr="00DE2BB5">
        <w:t xml:space="preserve">, and thus </w:t>
      </w:r>
      <w:r w:rsidR="008D78F0" w:rsidRPr="00DE2BB5">
        <w:t>decreased concentration</w:t>
      </w:r>
      <w:r w:rsidRPr="00DE2BB5">
        <w:t xml:space="preserve"> of N</w:t>
      </w:r>
      <w:r w:rsidRPr="00DE2BB5">
        <w:rPr>
          <w:vertAlign w:val="subscript"/>
        </w:rPr>
        <w:t>2</w:t>
      </w:r>
      <w:r w:rsidRPr="00DE2BB5">
        <w:t>, w</w:t>
      </w:r>
      <w:r w:rsidR="008D78F0" w:rsidRPr="00DE2BB5">
        <w:t>ould have</w:t>
      </w:r>
      <w:r w:rsidRPr="00DE2BB5">
        <w:t xml:space="preserve"> impact</w:t>
      </w:r>
      <w:r w:rsidR="008D78F0" w:rsidRPr="00DE2BB5">
        <w:t>ed</w:t>
      </w:r>
      <w:r w:rsidRPr="00DE2BB5">
        <w:t xml:space="preserve"> the</w:t>
      </w:r>
      <w:r w:rsidR="001C2C89" w:rsidRPr="00DE2BB5">
        <w:t>se gases' partial pressure and saturation</w:t>
      </w:r>
      <w:r w:rsidRPr="00DE2BB5">
        <w:t>. With a 99% O</w:t>
      </w:r>
      <w:r w:rsidRPr="00DE2BB5">
        <w:rPr>
          <w:vertAlign w:val="subscript"/>
        </w:rPr>
        <w:t>2</w:t>
      </w:r>
      <w:r w:rsidRPr="00DE2BB5">
        <w:t xml:space="preserve"> headspace</w:t>
      </w:r>
      <w:r w:rsidR="003E7D47" w:rsidRPr="00DE2BB5">
        <w:t>,</w:t>
      </w:r>
      <w:r w:rsidRPr="00DE2BB5">
        <w:t xml:space="preserve"> </w:t>
      </w:r>
      <w:r w:rsidR="003F6F1B" w:rsidRPr="00DE2BB5">
        <w:t>a 5</w:t>
      </w:r>
      <w:r w:rsidR="003E7D47" w:rsidRPr="00DE2BB5">
        <w:t>x</w:t>
      </w:r>
      <w:r w:rsidR="003F6F1B" w:rsidRPr="00DE2BB5">
        <w:t xml:space="preserve"> </w:t>
      </w:r>
      <w:r w:rsidR="00C630E2" w:rsidRPr="00DE2BB5">
        <w:t>increase in DO was calculated.</w:t>
      </w:r>
      <w:r w:rsidR="006B08D5" w:rsidRPr="00DE2BB5">
        <w:t xml:space="preserve"> </w:t>
      </w:r>
      <w:r w:rsidRPr="00DE2BB5">
        <w:t xml:space="preserve">For </w:t>
      </w:r>
      <w:r w:rsidR="00B84FB8" w:rsidRPr="00DE2BB5">
        <w:t>the</w:t>
      </w:r>
      <w:r w:rsidRPr="00DE2BB5">
        <w:t xml:space="preserve"> 1.1 L cultures</w:t>
      </w:r>
      <w:r w:rsidR="003E7D47" w:rsidRPr="00DE2BB5">
        <w:t>,</w:t>
      </w:r>
      <w:r w:rsidRPr="00DE2BB5">
        <w:t xml:space="preserve"> this translate</w:t>
      </w:r>
      <w:r w:rsidR="000C4810" w:rsidRPr="00DE2BB5">
        <w:t>d</w:t>
      </w:r>
      <w:r w:rsidRPr="00DE2BB5">
        <w:t xml:space="preserve"> to an additional 23 mL of DO.</w:t>
      </w:r>
      <w:r w:rsidR="003E7D47" w:rsidRPr="00DE2BB5">
        <w:t xml:space="preserve"> </w:t>
      </w:r>
      <w:r w:rsidRPr="00DE2BB5">
        <w:t xml:space="preserve">Conversely, </w:t>
      </w:r>
      <w:r w:rsidR="00B84FB8" w:rsidRPr="00DE2BB5">
        <w:t>it was</w:t>
      </w:r>
      <w:r w:rsidR="008D78F0" w:rsidRPr="00DE2BB5">
        <w:t xml:space="preserve"> </w:t>
      </w:r>
      <w:r w:rsidR="003E7D47" w:rsidRPr="00DE2BB5">
        <w:t>estim</w:t>
      </w:r>
      <w:r w:rsidR="008D78F0" w:rsidRPr="00DE2BB5">
        <w:t>ated that t</w:t>
      </w:r>
      <w:r w:rsidRPr="00DE2BB5">
        <w:t>he shift to a 1% N</w:t>
      </w:r>
      <w:r w:rsidRPr="00DE2BB5">
        <w:rPr>
          <w:vertAlign w:val="subscript"/>
        </w:rPr>
        <w:t>2</w:t>
      </w:r>
      <w:r w:rsidRPr="00DE2BB5">
        <w:t xml:space="preserve"> headspace </w:t>
      </w:r>
      <w:r w:rsidR="008D78F0" w:rsidRPr="00DE2BB5">
        <w:t xml:space="preserve">would have caused </w:t>
      </w:r>
      <w:r w:rsidRPr="00DE2BB5">
        <w:t>15 mL of N</w:t>
      </w:r>
      <w:r w:rsidRPr="00DE2BB5">
        <w:rPr>
          <w:vertAlign w:val="subscript"/>
        </w:rPr>
        <w:t>2</w:t>
      </w:r>
      <w:r w:rsidR="008D78F0" w:rsidRPr="00DE2BB5">
        <w:rPr>
          <w:vertAlign w:val="subscript"/>
        </w:rPr>
        <w:t xml:space="preserve"> </w:t>
      </w:r>
      <w:r w:rsidR="008D78F0" w:rsidRPr="00DE2BB5">
        <w:t>to exsolve</w:t>
      </w:r>
      <w:r w:rsidRPr="00DE2BB5">
        <w:t xml:space="preserve">. </w:t>
      </w:r>
      <w:r w:rsidR="006B08D5" w:rsidRPr="00DE2BB5">
        <w:t>This means that u</w:t>
      </w:r>
      <w:r w:rsidRPr="00DE2BB5">
        <w:t>nder a near pure oxygen headspace</w:t>
      </w:r>
      <w:r w:rsidR="003E7D47" w:rsidRPr="00DE2BB5">
        <w:t>,</w:t>
      </w:r>
      <w:r w:rsidRPr="00DE2BB5">
        <w:t xml:space="preserve"> more O</w:t>
      </w:r>
      <w:r w:rsidRPr="00DE2BB5">
        <w:rPr>
          <w:vertAlign w:val="subscript"/>
        </w:rPr>
        <w:t>2</w:t>
      </w:r>
      <w:r w:rsidRPr="00DE2BB5">
        <w:t xml:space="preserve"> dissolve</w:t>
      </w:r>
      <w:r w:rsidR="009F6CBB" w:rsidRPr="00DE2BB5">
        <w:t>d</w:t>
      </w:r>
      <w:r w:rsidRPr="00DE2BB5">
        <w:t xml:space="preserve"> than N</w:t>
      </w:r>
      <w:r w:rsidRPr="00DE2BB5">
        <w:rPr>
          <w:vertAlign w:val="subscript"/>
        </w:rPr>
        <w:t>2</w:t>
      </w:r>
      <w:r w:rsidRPr="00DE2BB5">
        <w:t xml:space="preserve"> </w:t>
      </w:r>
      <w:r w:rsidR="009F6CBB" w:rsidRPr="00DE2BB5">
        <w:t>was</w:t>
      </w:r>
      <w:r w:rsidRPr="00DE2BB5">
        <w:t xml:space="preserve"> displaced. Thus, </w:t>
      </w:r>
      <w:r w:rsidR="002337DE" w:rsidRPr="00DE2BB5">
        <w:t>because more O</w:t>
      </w:r>
      <w:r w:rsidR="002337DE" w:rsidRPr="00DE2BB5">
        <w:rPr>
          <w:vertAlign w:val="subscript"/>
        </w:rPr>
        <w:t>2</w:t>
      </w:r>
      <w:r w:rsidR="002337DE" w:rsidRPr="00DE2BB5">
        <w:t xml:space="preserve"> remains in the medium, </w:t>
      </w:r>
      <w:r w:rsidRPr="00DE2BB5">
        <w:t>this effect w</w:t>
      </w:r>
      <w:r w:rsidR="00D702AC" w:rsidRPr="00DE2BB5">
        <w:t>ould have</w:t>
      </w:r>
      <w:r w:rsidRPr="00DE2BB5">
        <w:t xml:space="preserve"> </w:t>
      </w:r>
      <w:r w:rsidR="00E94403" w:rsidRPr="00DE2BB5">
        <w:t>led</w:t>
      </w:r>
      <w:r w:rsidRPr="00DE2BB5">
        <w:t xml:space="preserve"> to slight underestimations </w:t>
      </w:r>
      <w:r w:rsidR="00E94403" w:rsidRPr="00DE2BB5">
        <w:t>in</w:t>
      </w:r>
      <w:r w:rsidRPr="00DE2BB5">
        <w:t xml:space="preserve"> the amount of photosynthetic oxygen produced.</w:t>
      </w:r>
    </w:p>
    <w:p w14:paraId="40155BAF" w14:textId="77777777" w:rsidR="007D2184" w:rsidRPr="00DE2BB5" w:rsidRDefault="007D2184" w:rsidP="00DE2BB5"/>
    <w:p w14:paraId="576F01FE" w14:textId="57B2746A" w:rsidR="0044122B" w:rsidRDefault="003B74EB" w:rsidP="00DE2BB5">
      <w:r w:rsidRPr="00DE2BB5">
        <w:t xml:space="preserve">The principal challenge </w:t>
      </w:r>
      <w:r w:rsidR="009F6CBB" w:rsidRPr="00DE2BB5">
        <w:t xml:space="preserve">of this method </w:t>
      </w:r>
      <w:r w:rsidR="00A231C3" w:rsidRPr="00DE2BB5">
        <w:t xml:space="preserve">arose </w:t>
      </w:r>
      <w:r w:rsidR="009F6CBB" w:rsidRPr="00DE2BB5">
        <w:t>when cultures bec</w:t>
      </w:r>
      <w:r w:rsidR="00A231C3" w:rsidRPr="00DE2BB5">
        <w:t>a</w:t>
      </w:r>
      <w:r w:rsidR="009F6CBB" w:rsidRPr="00DE2BB5">
        <w:t xml:space="preserve">me dense. </w:t>
      </w:r>
      <w:r w:rsidR="00D702AC" w:rsidRPr="00DE2BB5">
        <w:t>With m</w:t>
      </w:r>
      <w:r w:rsidR="00A231C3" w:rsidRPr="00DE2BB5">
        <w:t>ore biomass</w:t>
      </w:r>
      <w:r w:rsidR="001703C9" w:rsidRPr="00DE2BB5">
        <w:t>,</w:t>
      </w:r>
      <w:r w:rsidR="00A231C3" w:rsidRPr="00DE2BB5">
        <w:t xml:space="preserve"> </w:t>
      </w:r>
      <w:r w:rsidR="00D672FB">
        <w:t>and hence more</w:t>
      </w:r>
      <w:r w:rsidR="00A231C3" w:rsidRPr="00DE2BB5">
        <w:t xml:space="preserve"> respiration</w:t>
      </w:r>
      <w:r w:rsidR="00D672FB">
        <w:t>, the demand</w:t>
      </w:r>
      <w:r w:rsidR="00A231C3" w:rsidRPr="00DE2BB5">
        <w:t xml:space="preserve"> for O</w:t>
      </w:r>
      <w:r w:rsidR="00A231C3" w:rsidRPr="00DE2BB5">
        <w:rPr>
          <w:vertAlign w:val="subscript"/>
        </w:rPr>
        <w:t>2</w:t>
      </w:r>
      <w:r w:rsidR="00D702AC" w:rsidRPr="00DE2BB5">
        <w:rPr>
          <w:vertAlign w:val="subscript"/>
        </w:rPr>
        <w:t xml:space="preserve"> </w:t>
      </w:r>
      <w:r w:rsidR="00D702AC" w:rsidRPr="00DE2BB5">
        <w:t>increased</w:t>
      </w:r>
      <w:r w:rsidR="00A231C3" w:rsidRPr="00DE2BB5">
        <w:t xml:space="preserve">. </w:t>
      </w:r>
      <w:r w:rsidR="00D702AC" w:rsidRPr="00DE2BB5">
        <w:t>N</w:t>
      </w:r>
      <w:r w:rsidR="00A231C3" w:rsidRPr="00DE2BB5">
        <w:t>ighttime O</w:t>
      </w:r>
      <w:r w:rsidR="00A231C3" w:rsidRPr="00DE2BB5">
        <w:rPr>
          <w:vertAlign w:val="subscript"/>
        </w:rPr>
        <w:t>2</w:t>
      </w:r>
      <w:r w:rsidR="00A231C3" w:rsidRPr="00DE2BB5">
        <w:t xml:space="preserve"> consumption generated a headspace </w:t>
      </w:r>
      <w:r w:rsidR="00E91BA0">
        <w:t>under-pressure</w:t>
      </w:r>
      <w:r w:rsidR="00A231C3" w:rsidRPr="00DE2BB5">
        <w:t xml:space="preserve">. </w:t>
      </w:r>
      <w:r w:rsidRPr="00DE2BB5">
        <w:t xml:space="preserve">This </w:t>
      </w:r>
      <w:r w:rsidR="00A231C3" w:rsidRPr="00DE2BB5">
        <w:t>caused</w:t>
      </w:r>
      <w:r w:rsidRPr="00DE2BB5">
        <w:t xml:space="preserve"> </w:t>
      </w:r>
      <w:r w:rsidR="009F6CBB" w:rsidRPr="00DE2BB5">
        <w:t xml:space="preserve">gas sensor </w:t>
      </w:r>
      <w:r w:rsidRPr="00DE2BB5">
        <w:t>packing liquid to travel up through the gas line. When O</w:t>
      </w:r>
      <w:r w:rsidRPr="00DE2BB5">
        <w:rPr>
          <w:vertAlign w:val="subscript"/>
        </w:rPr>
        <w:t>2</w:t>
      </w:r>
      <w:r w:rsidRPr="00DE2BB5">
        <w:t xml:space="preserve"> production </w:t>
      </w:r>
      <w:r w:rsidR="009F6CBB" w:rsidRPr="00DE2BB5">
        <w:t>resumed</w:t>
      </w:r>
      <w:r w:rsidR="00947FE9" w:rsidRPr="00DE2BB5">
        <w:t>,</w:t>
      </w:r>
      <w:r w:rsidRPr="00DE2BB5">
        <w:t xml:space="preserve"> packing liquid </w:t>
      </w:r>
      <w:r w:rsidR="009F6CBB" w:rsidRPr="00DE2BB5">
        <w:t xml:space="preserve">had to </w:t>
      </w:r>
      <w:r w:rsidRPr="00DE2BB5">
        <w:t xml:space="preserve">be </w:t>
      </w:r>
      <w:r w:rsidR="00947FE9" w:rsidRPr="00DE2BB5">
        <w:t>driven</w:t>
      </w:r>
      <w:r w:rsidRPr="00DE2BB5">
        <w:t xml:space="preserve"> back into</w:t>
      </w:r>
      <w:r w:rsidR="00B80006">
        <w:t xml:space="preserve"> the</w:t>
      </w:r>
      <w:r w:rsidRPr="00DE2BB5">
        <w:t xml:space="preserve"> gas sensor</w:t>
      </w:r>
      <w:r w:rsidR="00D702AC" w:rsidRPr="00DE2BB5">
        <w:t>s.</w:t>
      </w:r>
      <w:r w:rsidR="009F6CBB" w:rsidRPr="00DE2BB5">
        <w:t xml:space="preserve"> </w:t>
      </w:r>
      <w:r w:rsidR="00D702AC" w:rsidRPr="00DE2BB5">
        <w:t>This caused a delay in the first gas sensor reading. However, on the fourth night</w:t>
      </w:r>
      <w:r w:rsidR="006E1A86" w:rsidRPr="00DE2BB5">
        <w:t>,</w:t>
      </w:r>
      <w:r w:rsidR="00D702AC" w:rsidRPr="00DE2BB5">
        <w:t xml:space="preserve"> the magnitude of this </w:t>
      </w:r>
      <w:r w:rsidR="00C968E3">
        <w:t>under-pressure</w:t>
      </w:r>
      <w:r w:rsidR="00D702AC" w:rsidRPr="00DE2BB5">
        <w:t xml:space="preserve"> caused packing liquid to reach and drip into two of the t</w:t>
      </w:r>
      <w:r w:rsidR="00E94403" w:rsidRPr="00DE2BB5">
        <w:t>h</w:t>
      </w:r>
      <w:r w:rsidR="00D702AC" w:rsidRPr="00DE2BB5">
        <w:t>ree replicates of treatment B</w:t>
      </w:r>
      <w:r w:rsidR="006E1A86" w:rsidRPr="00DE2BB5">
        <w:t>,</w:t>
      </w:r>
      <w:r w:rsidR="00D702AC" w:rsidRPr="00DE2BB5">
        <w:t xml:space="preserve"> generating a surface oil slick. </w:t>
      </w:r>
      <w:r w:rsidR="00946DA7">
        <w:t>Due to</w:t>
      </w:r>
      <w:r w:rsidR="00954228">
        <w:t xml:space="preserve"> the</w:t>
      </w:r>
      <w:r w:rsidR="0044122B">
        <w:t xml:space="preserve"> reduced packing liquid</w:t>
      </w:r>
      <w:r w:rsidR="00954228">
        <w:t xml:space="preserve"> level</w:t>
      </w:r>
      <w:r w:rsidR="0044122B">
        <w:t xml:space="preserve">, the gas sensors short-circuited, releasing </w:t>
      </w:r>
      <w:r w:rsidR="0044122B" w:rsidRPr="00DE2BB5">
        <w:t>unmeasured O</w:t>
      </w:r>
      <w:r w:rsidR="0044122B" w:rsidRPr="00DE2BB5">
        <w:rPr>
          <w:vertAlign w:val="subscript"/>
        </w:rPr>
        <w:t>2</w:t>
      </w:r>
      <w:r w:rsidR="0044122B" w:rsidRPr="00DE2BB5">
        <w:t xml:space="preserve"> directly to the atmosphere. This caused data collection to flatline (</w:t>
      </w:r>
      <w:r w:rsidR="0044122B" w:rsidRPr="00DE2BB5">
        <w:rPr>
          <w:b/>
          <w:bCs/>
        </w:rPr>
        <w:t>Figure 7B</w:t>
      </w:r>
      <w:r w:rsidR="0044122B" w:rsidRPr="00DE2BB5">
        <w:t>).</w:t>
      </w:r>
    </w:p>
    <w:p w14:paraId="40E8991A" w14:textId="77777777" w:rsidR="007D2184" w:rsidRPr="00DE2BB5" w:rsidRDefault="007D2184" w:rsidP="00DE2BB5"/>
    <w:p w14:paraId="36464048" w14:textId="7428F3C0" w:rsidR="007D2184" w:rsidRPr="00DE2BB5" w:rsidRDefault="003B74EB" w:rsidP="00DE2BB5">
      <w:r w:rsidRPr="00DE2BB5">
        <w:t>Under-pressure can also be caused by a temperature-induced contraction of headspace volume. However, the effect here was minimal. Heat sink channels and airflow adequately dissipated excess heat. Of the two light regimes trialed</w:t>
      </w:r>
      <w:r w:rsidR="00A93FC2" w:rsidRPr="00DE2BB5">
        <w:t>,</w:t>
      </w:r>
      <w:r w:rsidRPr="00DE2BB5">
        <w:t xml:space="preserve"> the maximum temperature change reduced the headspace volume by 1% or less, equivalent to an 800 µL packing liquid displacement in an 80 mL headspace. The maximum d</w:t>
      </w:r>
      <w:r w:rsidR="005F5873" w:rsidRPr="00DE2BB5">
        <w:t>iurnal</w:t>
      </w:r>
      <w:r w:rsidRPr="00DE2BB5">
        <w:t xml:space="preserve"> temperature swing was 1.4 °C for the 300 µ</w:t>
      </w:r>
      <w:r w:rsidR="00C92F5A">
        <w:t>mol</w:t>
      </w:r>
      <w:r w:rsidRPr="00DE2BB5">
        <w:rPr>
          <w:vertAlign w:val="subscript"/>
        </w:rPr>
        <w:t>photons</w:t>
      </w:r>
      <w:r w:rsidR="00A93FC2" w:rsidRPr="00DE2BB5">
        <w:t xml:space="preserve"> </w:t>
      </w:r>
      <w:r w:rsidRPr="00DE2BB5">
        <w:t>m</w:t>
      </w:r>
      <w:r w:rsidRPr="00DE2BB5">
        <w:rPr>
          <w:vertAlign w:val="superscript"/>
        </w:rPr>
        <w:t>-2</w:t>
      </w:r>
      <w:r w:rsidR="00A93FC2" w:rsidRPr="00DE2BB5">
        <w:t xml:space="preserve"> </w:t>
      </w:r>
      <w:r w:rsidRPr="00DE2BB5">
        <w:t>s</w:t>
      </w:r>
      <w:r w:rsidRPr="00DE2BB5">
        <w:rPr>
          <w:vertAlign w:val="superscript"/>
        </w:rPr>
        <w:t>-1</w:t>
      </w:r>
      <w:r w:rsidRPr="00DE2BB5">
        <w:t xml:space="preserve"> regime</w:t>
      </w:r>
      <w:r w:rsidR="00A93FC2" w:rsidRPr="00DE2BB5">
        <w:t>s</w:t>
      </w:r>
      <w:r w:rsidRPr="00DE2BB5">
        <w:t xml:space="preserve"> (</w:t>
      </w:r>
      <w:r w:rsidRPr="00DE2BB5">
        <w:rPr>
          <w:b/>
          <w:bCs/>
        </w:rPr>
        <w:t>Figure 6</w:t>
      </w:r>
      <w:r w:rsidRPr="00DE2BB5">
        <w:t>)</w:t>
      </w:r>
      <w:r w:rsidRPr="00DE2BB5">
        <w:rPr>
          <w:b/>
          <w:bCs/>
        </w:rPr>
        <w:t xml:space="preserve"> </w:t>
      </w:r>
      <w:r w:rsidRPr="00DE2BB5">
        <w:t>and 3.2 °C for the 600 µ</w:t>
      </w:r>
      <w:r w:rsidR="00C92F5A">
        <w:t>mol</w:t>
      </w:r>
      <w:r w:rsidRPr="00DE2BB5">
        <w:rPr>
          <w:vertAlign w:val="subscript"/>
        </w:rPr>
        <w:t>photons</w:t>
      </w:r>
      <w:r w:rsidR="00A93FC2" w:rsidRPr="00DE2BB5">
        <w:t xml:space="preserve"> </w:t>
      </w:r>
      <w:r w:rsidRPr="00DE2BB5">
        <w:t>m</w:t>
      </w:r>
      <w:r w:rsidRPr="00DE2BB5">
        <w:rPr>
          <w:vertAlign w:val="superscript"/>
        </w:rPr>
        <w:t>-2</w:t>
      </w:r>
      <w:r w:rsidR="00A93FC2" w:rsidRPr="00DE2BB5">
        <w:t xml:space="preserve"> </w:t>
      </w:r>
      <w:r w:rsidRPr="00DE2BB5">
        <w:t>s</w:t>
      </w:r>
      <w:r w:rsidRPr="00DE2BB5">
        <w:rPr>
          <w:vertAlign w:val="superscript"/>
        </w:rPr>
        <w:t>-1</w:t>
      </w:r>
      <w:r w:rsidRPr="00DE2BB5">
        <w:t xml:space="preserve"> regime</w:t>
      </w:r>
      <w:r w:rsidR="00A93FC2" w:rsidRPr="00DE2BB5">
        <w:t>s</w:t>
      </w:r>
      <w:r w:rsidRPr="00DE2BB5">
        <w:t>. The average daytime temperature rise for the 300 and 600 µ</w:t>
      </w:r>
      <w:r w:rsidR="00C92F5A">
        <w:t>mol</w:t>
      </w:r>
      <w:r w:rsidRPr="00DE2BB5">
        <w:rPr>
          <w:vertAlign w:val="subscript"/>
        </w:rPr>
        <w:t>photons</w:t>
      </w:r>
      <w:r w:rsidR="00A93FC2" w:rsidRPr="00DE2BB5">
        <w:t xml:space="preserve"> </w:t>
      </w:r>
      <w:r w:rsidRPr="00DE2BB5">
        <w:t>m</w:t>
      </w:r>
      <w:r w:rsidRPr="00DE2BB5">
        <w:rPr>
          <w:vertAlign w:val="superscript"/>
        </w:rPr>
        <w:t>-2</w:t>
      </w:r>
      <w:r w:rsidR="00A93FC2" w:rsidRPr="00DE2BB5">
        <w:t xml:space="preserve"> </w:t>
      </w:r>
      <w:r w:rsidRPr="00DE2BB5">
        <w:t>s</w:t>
      </w:r>
      <w:r w:rsidRPr="00DE2BB5">
        <w:rPr>
          <w:vertAlign w:val="superscript"/>
        </w:rPr>
        <w:t>-1</w:t>
      </w:r>
      <w:r w:rsidRPr="00DE2BB5">
        <w:t xml:space="preserve"> regime</w:t>
      </w:r>
      <w:r w:rsidR="00A93FC2" w:rsidRPr="00DE2BB5">
        <w:t>s</w:t>
      </w:r>
      <w:r w:rsidRPr="00DE2BB5">
        <w:t xml:space="preserve"> was 0.7 and 1.8 °C</w:t>
      </w:r>
      <w:r w:rsidR="00A93FC2" w:rsidRPr="00DE2BB5">
        <w:t>,</w:t>
      </w:r>
      <w:r w:rsidRPr="00DE2BB5">
        <w:t xml:space="preserve"> respectively. Culture temperatures returned to baseline overnight (</w:t>
      </w:r>
      <w:r w:rsidRPr="00DE2BB5">
        <w:rPr>
          <w:b/>
          <w:bCs/>
        </w:rPr>
        <w:t>Figure 6</w:t>
      </w:r>
      <w:r w:rsidRPr="00DE2BB5">
        <w:t>)</w:t>
      </w:r>
      <w:r w:rsidRPr="00B10C2B">
        <w:t>.</w:t>
      </w:r>
    </w:p>
    <w:p w14:paraId="401CC8B9" w14:textId="77777777" w:rsidR="007D2184" w:rsidRPr="00DE2BB5" w:rsidRDefault="007D2184" w:rsidP="00DE2BB5"/>
    <w:p w14:paraId="6E83F0C0" w14:textId="621C0682" w:rsidR="00C5324C" w:rsidRPr="00DE2BB5" w:rsidRDefault="003B74EB" w:rsidP="00DE2BB5">
      <w:r w:rsidRPr="00DE2BB5">
        <w:t>High</w:t>
      </w:r>
      <w:r w:rsidR="00E554FF" w:rsidRPr="00DE2BB5">
        <w:t>-</w:t>
      </w:r>
      <w:r w:rsidRPr="00DE2BB5">
        <w:t>resolution growth rate data can reveal trends that otherwise may go unnoticed. Consider treatments B and C. Despite their differing IBCs</w:t>
      </w:r>
      <w:r w:rsidR="00E554FF" w:rsidRPr="00DE2BB5">
        <w:t>,</w:t>
      </w:r>
      <w:r w:rsidRPr="00DE2BB5">
        <w:t xml:space="preserve"> both generated the same amount of total biomass (g</w:t>
      </w:r>
      <w:r w:rsidRPr="00DE2BB5">
        <w:softHyphen/>
      </w:r>
      <w:r w:rsidRPr="00DE2BB5">
        <w:rPr>
          <w:vertAlign w:val="subscript"/>
        </w:rPr>
        <w:t>AFDW</w:t>
      </w:r>
      <w:r w:rsidRPr="00DE2BB5">
        <w:t>)</w:t>
      </w:r>
      <w:r w:rsidR="00E554FF" w:rsidRPr="00DE2BB5">
        <w:t>,</w:t>
      </w:r>
      <w:r w:rsidRPr="00DE2BB5">
        <w:t xml:space="preserve"> which caused an identical shift in medium pH (</w:t>
      </w:r>
      <w:r w:rsidRPr="00DE2BB5">
        <w:rPr>
          <w:b/>
          <w:bCs/>
        </w:rPr>
        <w:t>Table 1</w:t>
      </w:r>
      <w:r w:rsidRPr="00DE2BB5">
        <w:t>). Given only starting and final data points</w:t>
      </w:r>
      <w:r w:rsidR="00E554FF" w:rsidRPr="00DE2BB5">
        <w:t>,</w:t>
      </w:r>
      <w:r w:rsidRPr="00DE2BB5">
        <w:t xml:space="preserve"> an individual may rightly assume no difference in the average growth rate between the two treatments (</w:t>
      </w:r>
      <w:r w:rsidRPr="00DE2BB5">
        <w:rPr>
          <w:b/>
          <w:bCs/>
        </w:rPr>
        <w:t>Table 1</w:t>
      </w:r>
      <w:r w:rsidRPr="00DE2BB5">
        <w:t>). However</w:t>
      </w:r>
      <w:r w:rsidR="0094284D" w:rsidRPr="00DE2BB5">
        <w:t>,</w:t>
      </w:r>
      <w:r w:rsidRPr="00DE2BB5">
        <w:t xml:space="preserve"> online oxygen flow rate data revealed that each treatment had varying daily growth rates. These variations were also reflected in twice</w:t>
      </w:r>
      <w:r w:rsidR="00E554FF" w:rsidRPr="00DE2BB5">
        <w:t>-</w:t>
      </w:r>
      <w:r w:rsidRPr="00DE2BB5">
        <w:t>daily pH measurements (</w:t>
      </w:r>
      <w:r w:rsidRPr="00DE2BB5">
        <w:rPr>
          <w:b/>
          <w:bCs/>
        </w:rPr>
        <w:t>Figure 8</w:t>
      </w:r>
      <w:r w:rsidRPr="00DE2BB5">
        <w:t>). On day one</w:t>
      </w:r>
      <w:r w:rsidR="00E554FF" w:rsidRPr="00DE2BB5">
        <w:t>,</w:t>
      </w:r>
      <w:r w:rsidRPr="00DE2BB5">
        <w:t xml:space="preserve"> treatment B</w:t>
      </w:r>
      <w:r w:rsidR="004A13EF" w:rsidRPr="00DE2BB5">
        <w:t>'</w:t>
      </w:r>
      <w:r w:rsidRPr="00DE2BB5">
        <w:t>s growth rate was lower than that of treatment C. By day three</w:t>
      </w:r>
      <w:r w:rsidR="004A5196" w:rsidRPr="00DE2BB5">
        <w:t>,</w:t>
      </w:r>
      <w:r w:rsidRPr="00DE2BB5">
        <w:t xml:space="preserve"> this reversed with treatment B</w:t>
      </w:r>
      <w:r w:rsidR="004A13EF" w:rsidRPr="00DE2BB5">
        <w:t>'</w:t>
      </w:r>
      <w:r w:rsidRPr="00DE2BB5">
        <w:t>s growth rate surpassing that of treatment C (</w:t>
      </w:r>
      <w:r w:rsidRPr="00DE2BB5">
        <w:rPr>
          <w:b/>
          <w:bCs/>
        </w:rPr>
        <w:t>Figure 7B,C</w:t>
      </w:r>
      <w:r w:rsidRPr="00DE2BB5">
        <w:t xml:space="preserve">). </w:t>
      </w:r>
      <w:r w:rsidR="00C5324C" w:rsidRPr="00DE2BB5">
        <w:t xml:space="preserve">Oxygen flow rate data indicated </w:t>
      </w:r>
      <w:r w:rsidR="00817EE8" w:rsidRPr="00DE2BB5">
        <w:t>that the highest growth rate occurred on day three in treatment B (</w:t>
      </w:r>
      <w:r w:rsidR="00817EE8" w:rsidRPr="00DE2BB5">
        <w:rPr>
          <w:b/>
          <w:bCs/>
        </w:rPr>
        <w:t>Figure 7B</w:t>
      </w:r>
      <w:r w:rsidR="00817EE8" w:rsidRPr="00DE2BB5">
        <w:t>).</w:t>
      </w:r>
    </w:p>
    <w:p w14:paraId="4AF942E3" w14:textId="77777777" w:rsidR="007D2184" w:rsidRPr="00DE2BB5" w:rsidRDefault="007D2184" w:rsidP="00DE2BB5"/>
    <w:p w14:paraId="00188437" w14:textId="44350472" w:rsidR="007E186B" w:rsidRPr="00DE2BB5" w:rsidRDefault="003B74EB" w:rsidP="00DE2BB5">
      <w:r w:rsidRPr="00DE2BB5">
        <w:t xml:space="preserve">The total volume of oxygen generated by each bottle in </w:t>
      </w:r>
      <w:r w:rsidR="00742BD0">
        <w:t>the</w:t>
      </w:r>
      <w:r w:rsidRPr="00DE2BB5">
        <w:t xml:space="preserve"> three treatments was used to estimate their respective change in total biomass (g</w:t>
      </w:r>
      <w:r w:rsidRPr="00DE2BB5">
        <w:rPr>
          <w:vertAlign w:val="subscript"/>
        </w:rPr>
        <w:t>AFDW</w:t>
      </w:r>
      <w:r w:rsidRPr="00DE2BB5">
        <w:t>). This was achieved using a generic equation for photosynthetic biomass synthesis: CO</w:t>
      </w:r>
      <w:r w:rsidRPr="00DE2BB5">
        <w:rPr>
          <w:vertAlign w:val="subscript"/>
        </w:rPr>
        <w:t>2</w:t>
      </w:r>
      <w:r w:rsidRPr="00DE2BB5">
        <w:t xml:space="preserve"> + 0.2 NH</w:t>
      </w:r>
      <w:r w:rsidRPr="00DE2BB5">
        <w:rPr>
          <w:vertAlign w:val="subscript"/>
        </w:rPr>
        <w:t>3</w:t>
      </w:r>
      <w:r w:rsidRPr="00DE2BB5">
        <w:t xml:space="preserve"> + 0.6 H</w:t>
      </w:r>
      <w:r w:rsidRPr="00DE2BB5">
        <w:rPr>
          <w:vertAlign w:val="subscript"/>
        </w:rPr>
        <w:t>2</w:t>
      </w:r>
      <w:r w:rsidRPr="00DE2BB5">
        <w:t>O = CH</w:t>
      </w:r>
      <w:r w:rsidRPr="00DE2BB5">
        <w:rPr>
          <w:vertAlign w:val="subscript"/>
        </w:rPr>
        <w:t xml:space="preserve">1.8 </w:t>
      </w:r>
      <w:r w:rsidRPr="00DE2BB5">
        <w:t>O</w:t>
      </w:r>
      <w:r w:rsidRPr="00DE2BB5">
        <w:rPr>
          <w:vertAlign w:val="subscript"/>
        </w:rPr>
        <w:t>0.5</w:t>
      </w:r>
      <w:r w:rsidRPr="00DE2BB5">
        <w:t xml:space="preserve"> N</w:t>
      </w:r>
      <w:r w:rsidRPr="00DE2BB5">
        <w:rPr>
          <w:vertAlign w:val="subscript"/>
        </w:rPr>
        <w:t xml:space="preserve">0.2 </w:t>
      </w:r>
      <w:r w:rsidRPr="00DE2BB5">
        <w:t>+ 1.05 O</w:t>
      </w:r>
      <w:r w:rsidRPr="00DE2BB5">
        <w:rPr>
          <w:vertAlign w:val="subscript"/>
        </w:rPr>
        <w:t>2</w:t>
      </w:r>
      <w:r w:rsidRPr="00DE2BB5">
        <w:t>. The increase in headspace O</w:t>
      </w:r>
      <w:r w:rsidRPr="00DE2BB5">
        <w:rPr>
          <w:vertAlign w:val="subscript"/>
        </w:rPr>
        <w:t>2</w:t>
      </w:r>
      <w:r w:rsidRPr="00DE2BB5">
        <w:t xml:space="preserve"> partial pressure and subsequent rise in DO saturation was expected to cause a slight underestimation </w:t>
      </w:r>
      <w:r w:rsidR="007E186B" w:rsidRPr="00DE2BB5">
        <w:t xml:space="preserve">of </w:t>
      </w:r>
      <w:r w:rsidRPr="00DE2BB5">
        <w:t>biomass growth. This was true for five out of seven examples (</w:t>
      </w:r>
      <w:r w:rsidRPr="00DE2BB5">
        <w:rPr>
          <w:b/>
          <w:bCs/>
        </w:rPr>
        <w:t>Table 2</w:t>
      </w:r>
      <w:r w:rsidRPr="00DE2BB5">
        <w:t>).</w:t>
      </w:r>
      <w:r w:rsidR="007E186B" w:rsidRPr="00DE2BB5">
        <w:t xml:space="preserve"> On average</w:t>
      </w:r>
      <w:r w:rsidR="008A437C" w:rsidRPr="00DE2BB5">
        <w:t>,</w:t>
      </w:r>
      <w:r w:rsidR="007E186B" w:rsidRPr="00DE2BB5">
        <w:t xml:space="preserve"> estimated biomass growth was within 10% of measured biomass </w:t>
      </w:r>
      <w:r w:rsidR="007E186B" w:rsidRPr="00DE2BB5">
        <w:lastRenderedPageBreak/>
        <w:t>growth. Some estimates differed by only 1</w:t>
      </w:r>
      <w:r w:rsidR="00E44924">
        <w:t>–</w:t>
      </w:r>
      <w:r w:rsidR="007E186B" w:rsidRPr="00DE2BB5">
        <w:t>3 mg from measured growth. Two examples overestimated growth, i.e., more oxygen was produced than biomass growth could account for.</w:t>
      </w:r>
      <w:r w:rsidR="00CC4A02">
        <w:t xml:space="preserve"> </w:t>
      </w:r>
      <w:r w:rsidR="00B50F20" w:rsidRPr="00DE2BB5">
        <w:t>Any O</w:t>
      </w:r>
      <w:r w:rsidR="00B50F20" w:rsidRPr="00DE2BB5">
        <w:rPr>
          <w:vertAlign w:val="subscript"/>
        </w:rPr>
        <w:t>2</w:t>
      </w:r>
      <w:r w:rsidR="00B50F20" w:rsidRPr="00DE2BB5">
        <w:t xml:space="preserve"> consumed by respiration overnight should be reflected in the lag in O</w:t>
      </w:r>
      <w:r w:rsidR="00B50F20" w:rsidRPr="00DE2BB5">
        <w:rPr>
          <w:vertAlign w:val="subscript"/>
        </w:rPr>
        <w:t>2</w:t>
      </w:r>
      <w:r w:rsidR="00B50F20" w:rsidRPr="00DE2BB5">
        <w:t xml:space="preserve"> production the following day. Here, experiments were terminated at night</w:t>
      </w:r>
      <w:r w:rsidR="004A13EF" w:rsidRPr="00DE2BB5">
        <w:t>'</w:t>
      </w:r>
      <w:r w:rsidR="00B50F20" w:rsidRPr="00DE2BB5">
        <w:t>s end. In this way</w:t>
      </w:r>
      <w:r w:rsidR="00C966AF" w:rsidRPr="00DE2BB5">
        <w:t>,</w:t>
      </w:r>
      <w:r w:rsidR="00B50F20" w:rsidRPr="00DE2BB5">
        <w:t xml:space="preserve"> overnight biomass catabolism during the final 8 h of each experiment goes unmeasured. This may cause overestimation</w:t>
      </w:r>
      <w:r w:rsidR="00864E80" w:rsidRPr="00DE2BB5">
        <w:t>s</w:t>
      </w:r>
      <w:r w:rsidR="00B50F20" w:rsidRPr="00DE2BB5">
        <w:t xml:space="preserve"> of biomass growth, especially in dense cultures. As such</w:t>
      </w:r>
      <w:r w:rsidR="00817EE8" w:rsidRPr="00DE2BB5">
        <w:t>,</w:t>
      </w:r>
      <w:r w:rsidR="00B50F20" w:rsidRPr="00DE2BB5">
        <w:t xml:space="preserve"> </w:t>
      </w:r>
      <w:r w:rsidR="00817EE8" w:rsidRPr="00DE2BB5">
        <w:t>it is</w:t>
      </w:r>
      <w:r w:rsidR="00B50F20" w:rsidRPr="00DE2BB5">
        <w:t xml:space="preserve"> recommend</w:t>
      </w:r>
      <w:r w:rsidR="00F92220" w:rsidRPr="00DE2BB5">
        <w:t>ed</w:t>
      </w:r>
      <w:r w:rsidR="00B50F20" w:rsidRPr="00DE2BB5">
        <w:t xml:space="preserve"> </w:t>
      </w:r>
      <w:r w:rsidR="00817EE8" w:rsidRPr="00DE2BB5">
        <w:t xml:space="preserve">that </w:t>
      </w:r>
      <w:r w:rsidR="00B50F20" w:rsidRPr="00DE2BB5">
        <w:t>experiments</w:t>
      </w:r>
      <w:r w:rsidR="00817EE8" w:rsidRPr="00DE2BB5">
        <w:t xml:space="preserve"> are terminated</w:t>
      </w:r>
      <w:r w:rsidR="00B50F20" w:rsidRPr="00DE2BB5">
        <w:t xml:space="preserve"> at the end of illuminated hours.</w:t>
      </w:r>
    </w:p>
    <w:p w14:paraId="1253D092" w14:textId="77777777" w:rsidR="007D2184" w:rsidRPr="00DE2BB5" w:rsidRDefault="007D2184" w:rsidP="00DE2BB5"/>
    <w:p w14:paraId="34752A23" w14:textId="77777777" w:rsidR="007D2184" w:rsidRPr="00DE2BB5" w:rsidRDefault="003B74EB" w:rsidP="00DE2BB5">
      <w:pPr>
        <w:pStyle w:val="Heading2"/>
        <w:rPr>
          <w:color w:val="808080"/>
        </w:rPr>
      </w:pPr>
      <w:r w:rsidRPr="00DE2BB5">
        <w:t>FIGURE AND TABLE LEGENDS:</w:t>
      </w:r>
    </w:p>
    <w:p w14:paraId="0DDE43EE" w14:textId="77777777" w:rsidR="007D2184" w:rsidRPr="00DE2BB5" w:rsidRDefault="007D2184" w:rsidP="00DE2BB5">
      <w:pPr>
        <w:rPr>
          <w:color w:val="808080"/>
        </w:rPr>
      </w:pPr>
    </w:p>
    <w:p w14:paraId="22E0B251" w14:textId="5D24275F" w:rsidR="007D2184" w:rsidRPr="00DE2BB5" w:rsidRDefault="003B74EB" w:rsidP="00DE2BB5">
      <w:r w:rsidRPr="00DE2BB5">
        <w:rPr>
          <w:b/>
          <w:bCs/>
        </w:rPr>
        <w:t xml:space="preserve">Figure 1: Reactor stand base. </w:t>
      </w:r>
      <w:r w:rsidRPr="00DE2BB5">
        <w:t>(</w:t>
      </w:r>
      <w:r w:rsidRPr="00DE2BB5">
        <w:rPr>
          <w:b/>
          <w:bCs/>
        </w:rPr>
        <w:t>A</w:t>
      </w:r>
      <w:r w:rsidRPr="00DE2BB5">
        <w:t>) Dimensions of base components in mm. (</w:t>
      </w:r>
      <w:r w:rsidRPr="00DE2BB5">
        <w:rPr>
          <w:b/>
          <w:bCs/>
        </w:rPr>
        <w:t>B</w:t>
      </w:r>
      <w:r w:rsidRPr="00DE2BB5">
        <w:t>) Orientation of metal corner gussets that secure the two vertical supports. (</w:t>
      </w:r>
      <w:r w:rsidRPr="00DE2BB5">
        <w:rPr>
          <w:b/>
          <w:bCs/>
        </w:rPr>
        <w:t>C</w:t>
      </w:r>
      <w:r w:rsidRPr="00DE2BB5">
        <w:t xml:space="preserve">) One of four short steel lengths </w:t>
      </w:r>
      <w:r w:rsidR="009B2046" w:rsidRPr="00DE2BB5">
        <w:t>connects</w:t>
      </w:r>
      <w:r w:rsidRPr="00DE2BB5">
        <w:t xml:space="preserve"> the back half of the PVC pipe to the reactor stand.</w:t>
      </w:r>
    </w:p>
    <w:p w14:paraId="21259163" w14:textId="77777777" w:rsidR="007D2184" w:rsidRPr="00DE2BB5" w:rsidRDefault="007D2184" w:rsidP="00DE2BB5"/>
    <w:p w14:paraId="39475324" w14:textId="40F8602E" w:rsidR="007D2184" w:rsidRPr="00DE2BB5" w:rsidRDefault="003B74EB" w:rsidP="00DE2BB5">
      <w:r w:rsidRPr="00DE2BB5">
        <w:rPr>
          <w:b/>
          <w:bCs/>
        </w:rPr>
        <w:t xml:space="preserve">Figure 2: Electrical components. </w:t>
      </w:r>
      <w:r w:rsidRPr="00DE2BB5">
        <w:t>(</w:t>
      </w:r>
      <w:r w:rsidRPr="00DE2BB5">
        <w:rPr>
          <w:b/>
          <w:bCs/>
        </w:rPr>
        <w:t>A</w:t>
      </w:r>
      <w:r w:rsidRPr="00DE2BB5">
        <w:t xml:space="preserve">) Rearview of the </w:t>
      </w:r>
      <w:r w:rsidR="00AC7386" w:rsidRPr="00DE2BB5">
        <w:t>PBR</w:t>
      </w:r>
      <w:r w:rsidRPr="00DE2BB5">
        <w:t xml:space="preserve"> showing top cross beam and configuration of electrical components. (</w:t>
      </w:r>
      <w:r w:rsidRPr="00DE2BB5">
        <w:rPr>
          <w:b/>
          <w:bCs/>
        </w:rPr>
        <w:t>B</w:t>
      </w:r>
      <w:r w:rsidRPr="00DE2BB5">
        <w:t xml:space="preserve">) Front view of </w:t>
      </w:r>
      <w:r w:rsidR="00AC7386" w:rsidRPr="00DE2BB5">
        <w:t xml:space="preserve">PBR </w:t>
      </w:r>
      <w:r w:rsidRPr="00DE2BB5">
        <w:t>after light installation.</w:t>
      </w:r>
    </w:p>
    <w:p w14:paraId="004D4D32" w14:textId="77777777" w:rsidR="007D2184" w:rsidRPr="00DE2BB5" w:rsidRDefault="007D2184" w:rsidP="00DE2BB5">
      <w:pPr>
        <w:rPr>
          <w:b/>
          <w:bCs/>
        </w:rPr>
      </w:pPr>
    </w:p>
    <w:p w14:paraId="309724B9" w14:textId="138EAB97" w:rsidR="007D2184" w:rsidRPr="00DE2BB5" w:rsidRDefault="003B74EB" w:rsidP="00DE2BB5">
      <w:r w:rsidRPr="00DE2BB5">
        <w:rPr>
          <w:b/>
          <w:bCs/>
        </w:rPr>
        <w:t xml:space="preserve">Figure 3: Bottle platform details. </w:t>
      </w:r>
      <w:r w:rsidRPr="00DE2BB5">
        <w:t>(</w:t>
      </w:r>
      <w:r w:rsidRPr="00DE2BB5">
        <w:rPr>
          <w:b/>
          <w:bCs/>
        </w:rPr>
        <w:t>A</w:t>
      </w:r>
      <w:r w:rsidRPr="00DE2BB5">
        <w:t>) Dimensions of top and bottom layer in mm. (</w:t>
      </w:r>
      <w:r w:rsidRPr="00DE2BB5">
        <w:rPr>
          <w:b/>
          <w:bCs/>
        </w:rPr>
        <w:t>B</w:t>
      </w:r>
      <w:r w:rsidRPr="00DE2BB5">
        <w:t>) Recessing bolt heads into both layers</w:t>
      </w:r>
      <w:r w:rsidR="0089134E">
        <w:t>.</w:t>
      </w:r>
      <w:r w:rsidRPr="00DE2BB5">
        <w:t xml:space="preserve"> (</w:t>
      </w:r>
      <w:r w:rsidRPr="00DE2BB5">
        <w:rPr>
          <w:b/>
          <w:bCs/>
        </w:rPr>
        <w:t>C</w:t>
      </w:r>
      <w:r w:rsidRPr="00DE2BB5">
        <w:t xml:space="preserve">) Braces connect the bottom layer directly to the rear half of </w:t>
      </w:r>
      <w:r w:rsidR="00ED07A0">
        <w:t xml:space="preserve">the </w:t>
      </w:r>
      <w:r w:rsidRPr="00DE2BB5">
        <w:t>PVC pipe. (</w:t>
      </w:r>
      <w:r w:rsidRPr="00DE2BB5">
        <w:rPr>
          <w:b/>
          <w:bCs/>
        </w:rPr>
        <w:t>D</w:t>
      </w:r>
      <w:r w:rsidRPr="00DE2BB5">
        <w:t xml:space="preserve">) Five short pieces of rigid tubing fitted over narrow bolts hold the top and bottom </w:t>
      </w:r>
      <w:r w:rsidR="00CC4A02" w:rsidRPr="00DE2BB5">
        <w:t>laye</w:t>
      </w:r>
      <w:r w:rsidR="00CC4A02">
        <w:t>rs</w:t>
      </w:r>
      <w:r w:rsidR="00CC4A02" w:rsidRPr="00DE2BB5">
        <w:t xml:space="preserve"> </w:t>
      </w:r>
      <w:r w:rsidRPr="00DE2BB5">
        <w:t>apart. (</w:t>
      </w:r>
      <w:r w:rsidRPr="00DE2BB5">
        <w:rPr>
          <w:b/>
          <w:bCs/>
        </w:rPr>
        <w:t>E</w:t>
      </w:r>
      <w:r w:rsidRPr="00DE2BB5">
        <w:t>) When the bottle platform is complete</w:t>
      </w:r>
      <w:r w:rsidR="0089134E">
        <w:t>,</w:t>
      </w:r>
      <w:r w:rsidRPr="00DE2BB5">
        <w:t xml:space="preserve"> the surface should be flush.</w:t>
      </w:r>
    </w:p>
    <w:p w14:paraId="31689178" w14:textId="77777777" w:rsidR="007D2184" w:rsidRPr="00DE2BB5" w:rsidRDefault="007D2184" w:rsidP="00DE2BB5"/>
    <w:p w14:paraId="13A17CAB" w14:textId="3C5C5ACC" w:rsidR="007D2184" w:rsidRPr="00DE2BB5" w:rsidRDefault="003B74EB" w:rsidP="00DE2BB5">
      <w:r w:rsidRPr="00DE2BB5">
        <w:rPr>
          <w:b/>
          <w:bCs/>
        </w:rPr>
        <w:t xml:space="preserve">Figure 4: Gas line and optional sampling port. </w:t>
      </w:r>
      <w:r w:rsidRPr="00623B51">
        <w:t>(</w:t>
      </w:r>
      <w:r w:rsidRPr="00DE2BB5">
        <w:rPr>
          <w:b/>
          <w:bCs/>
        </w:rPr>
        <w:t>A</w:t>
      </w:r>
      <w:r w:rsidRPr="00623B51">
        <w:t>)</w:t>
      </w:r>
      <w:r w:rsidRPr="00DE2BB5">
        <w:rPr>
          <w:b/>
          <w:bCs/>
        </w:rPr>
        <w:t xml:space="preserve"> </w:t>
      </w:r>
      <w:r w:rsidR="00AC7386" w:rsidRPr="00DE2BB5">
        <w:t>G</w:t>
      </w:r>
      <w:r w:rsidRPr="00DE2BB5">
        <w:t>as line</w:t>
      </w:r>
      <w:r w:rsidR="00AC7386" w:rsidRPr="00DE2BB5">
        <w:t>s</w:t>
      </w:r>
      <w:r w:rsidRPr="00DE2BB5">
        <w:t xml:space="preserve"> connect </w:t>
      </w:r>
      <w:r w:rsidR="00AC7386" w:rsidRPr="00DE2BB5">
        <w:t>each</w:t>
      </w:r>
      <w:r w:rsidRPr="00DE2BB5">
        <w:t xml:space="preserve"> bottle headspace to exterior gas sensor</w:t>
      </w:r>
      <w:r w:rsidR="004D7152" w:rsidRPr="00DE2BB5">
        <w:t>s</w:t>
      </w:r>
      <w:r w:rsidRPr="00DE2BB5">
        <w:t>. If the sampling port is required, gas line</w:t>
      </w:r>
      <w:r w:rsidR="004D7152" w:rsidRPr="00DE2BB5">
        <w:t>s</w:t>
      </w:r>
      <w:r w:rsidRPr="00DE2BB5">
        <w:t xml:space="preserve"> should include a one-way valve immediately downstream of the needle. </w:t>
      </w:r>
      <w:r w:rsidRPr="00B10C2B">
        <w:t>(</w:t>
      </w:r>
      <w:r w:rsidRPr="00DE2BB5">
        <w:rPr>
          <w:b/>
          <w:bCs/>
        </w:rPr>
        <w:t>B</w:t>
      </w:r>
      <w:r w:rsidRPr="00B10C2B">
        <w:t xml:space="preserve">) </w:t>
      </w:r>
      <w:r w:rsidRPr="00DE2BB5">
        <w:t xml:space="preserve">Volumetric gas sensor. The </w:t>
      </w:r>
      <w:r w:rsidR="003235EF">
        <w:t>liquid packing</w:t>
      </w:r>
      <w:r w:rsidRPr="00DE2BB5">
        <w:t xml:space="preserve"> level should touch the tracing screw.</w:t>
      </w:r>
    </w:p>
    <w:p w14:paraId="353857F5" w14:textId="77777777" w:rsidR="007D2184" w:rsidRPr="00DE2BB5" w:rsidRDefault="007D2184" w:rsidP="00DE2BB5"/>
    <w:p w14:paraId="4D930F72" w14:textId="7BEC1B8E" w:rsidR="007D2184" w:rsidRPr="00DE2BB5" w:rsidRDefault="003B74EB" w:rsidP="00DE2BB5">
      <w:r w:rsidRPr="00DE2BB5">
        <w:rPr>
          <w:b/>
          <w:bCs/>
        </w:rPr>
        <w:t>Figure 5</w:t>
      </w:r>
      <w:r w:rsidR="00E44924">
        <w:rPr>
          <w:b/>
          <w:bCs/>
        </w:rPr>
        <w:t>:</w:t>
      </w:r>
      <w:r w:rsidRPr="00DE2BB5">
        <w:rPr>
          <w:b/>
          <w:bCs/>
        </w:rPr>
        <w:t xml:space="preserve"> Standard curve relating </w:t>
      </w:r>
      <w:r w:rsidR="00390778" w:rsidRPr="00DE2BB5">
        <w:rPr>
          <w:b/>
          <w:bCs/>
        </w:rPr>
        <w:t xml:space="preserve">LED control software </w:t>
      </w:r>
      <w:r w:rsidRPr="00DE2BB5">
        <w:rPr>
          <w:b/>
          <w:bCs/>
        </w:rPr>
        <w:t xml:space="preserve">settings to internal light intensity. </w:t>
      </w:r>
      <w:r w:rsidRPr="00DE2BB5">
        <w:t xml:space="preserve">White circles and </w:t>
      </w:r>
      <w:r w:rsidR="00CC4A02" w:rsidRPr="00DE2BB5">
        <w:t>gr</w:t>
      </w:r>
      <w:r w:rsidR="00CC4A02">
        <w:t>a</w:t>
      </w:r>
      <w:r w:rsidR="00CC4A02" w:rsidRPr="00DE2BB5">
        <w:t xml:space="preserve">y </w:t>
      </w:r>
      <w:r w:rsidRPr="00DE2BB5">
        <w:t>triangles each represent an individual PBR. For each light setting</w:t>
      </w:r>
      <w:r w:rsidR="008E5CE9">
        <w:t>,</w:t>
      </w:r>
      <w:r w:rsidRPr="00DE2BB5">
        <w:t xml:space="preserve"> all four fixtures were set to an identical value.</w:t>
      </w:r>
    </w:p>
    <w:p w14:paraId="1DC46028" w14:textId="77777777" w:rsidR="007D2184" w:rsidRPr="00DE2BB5" w:rsidRDefault="007D2184" w:rsidP="00DE2BB5">
      <w:pPr>
        <w:rPr>
          <w:b/>
          <w:bCs/>
        </w:rPr>
      </w:pPr>
    </w:p>
    <w:p w14:paraId="11A9ACE9" w14:textId="4B00DD2A" w:rsidR="007D2184" w:rsidRPr="00DE2BB5" w:rsidRDefault="003B74EB" w:rsidP="00DE2BB5">
      <w:r w:rsidRPr="00DE2BB5">
        <w:rPr>
          <w:b/>
          <w:bCs/>
        </w:rPr>
        <w:t>Figure 6</w:t>
      </w:r>
      <w:r w:rsidR="00E44924">
        <w:rPr>
          <w:b/>
          <w:bCs/>
        </w:rPr>
        <w:t>:</w:t>
      </w:r>
      <w:r w:rsidRPr="00DE2BB5">
        <w:rPr>
          <w:b/>
          <w:bCs/>
        </w:rPr>
        <w:t xml:space="preserve"> Culture temperature change for the 300 µmol</w:t>
      </w:r>
      <w:r w:rsidRPr="00DE2BB5">
        <w:rPr>
          <w:b/>
          <w:bCs/>
          <w:vertAlign w:val="subscript"/>
        </w:rPr>
        <w:t>photons</w:t>
      </w:r>
      <w:r w:rsidR="00AE47B6">
        <w:rPr>
          <w:b/>
          <w:bCs/>
        </w:rPr>
        <w:t xml:space="preserve"> </w:t>
      </w:r>
      <w:r w:rsidRPr="00DE2BB5">
        <w:rPr>
          <w:b/>
          <w:bCs/>
        </w:rPr>
        <w:t>m</w:t>
      </w:r>
      <w:r w:rsidRPr="00DE2BB5">
        <w:rPr>
          <w:b/>
          <w:bCs/>
          <w:vertAlign w:val="superscript"/>
        </w:rPr>
        <w:t>-2</w:t>
      </w:r>
      <w:r w:rsidR="00AE47B6">
        <w:rPr>
          <w:b/>
          <w:bCs/>
        </w:rPr>
        <w:t xml:space="preserve"> </w:t>
      </w:r>
      <w:r w:rsidRPr="00DE2BB5">
        <w:rPr>
          <w:b/>
          <w:bCs/>
        </w:rPr>
        <w:t>s</w:t>
      </w:r>
      <w:r w:rsidRPr="00DE2BB5">
        <w:rPr>
          <w:b/>
          <w:bCs/>
          <w:vertAlign w:val="superscript"/>
        </w:rPr>
        <w:t>-1</w:t>
      </w:r>
      <w:r w:rsidRPr="00DE2BB5">
        <w:rPr>
          <w:b/>
          <w:bCs/>
        </w:rPr>
        <w:t xml:space="preserve"> light regime</w:t>
      </w:r>
      <w:r w:rsidR="009170BE">
        <w:rPr>
          <w:b/>
          <w:bCs/>
        </w:rPr>
        <w:t>s</w:t>
      </w:r>
      <w:r w:rsidRPr="00DE2BB5">
        <w:rPr>
          <w:b/>
          <w:bCs/>
        </w:rPr>
        <w:t xml:space="preserve">. </w:t>
      </w:r>
      <w:r w:rsidRPr="00DE2BB5">
        <w:t>During the 24</w:t>
      </w:r>
      <w:r w:rsidR="00AE47B6">
        <w:t xml:space="preserve"> h,</w:t>
      </w:r>
      <w:r w:rsidRPr="00DE2BB5">
        <w:t xml:space="preserve"> 16:8-h d</w:t>
      </w:r>
      <w:r w:rsidR="005F5873" w:rsidRPr="00DE2BB5">
        <w:t>iurnal</w:t>
      </w:r>
      <w:r w:rsidRPr="00DE2BB5">
        <w:t xml:space="preserve"> </w:t>
      </w:r>
      <w:r w:rsidR="005449A8" w:rsidRPr="00DE2BB5">
        <w:t>program</w:t>
      </w:r>
      <w:r w:rsidR="009170BE">
        <w:t>,</w:t>
      </w:r>
      <w:r w:rsidR="005449A8" w:rsidRPr="00DE2BB5">
        <w:t xml:space="preserve"> </w:t>
      </w:r>
      <w:r w:rsidRPr="00DE2BB5">
        <w:t xml:space="preserve">LEDs increased the daytime culture temperature. The blue arrow indicates the difference between the minimum and maximum temperature. </w:t>
      </w:r>
      <w:r w:rsidR="009170BE">
        <w:t>A light program error caused the temperature dip before dusk</w:t>
      </w:r>
      <w:r w:rsidR="00CC4A02">
        <w:t>;</w:t>
      </w:r>
      <w:r w:rsidR="00660384">
        <w:t xml:space="preserve"> this was</w:t>
      </w:r>
      <w:r w:rsidRPr="00DE2BB5">
        <w:t xml:space="preserve"> corrected before the experiment commenced.</w:t>
      </w:r>
    </w:p>
    <w:p w14:paraId="355B19F9" w14:textId="77777777" w:rsidR="007D2184" w:rsidRPr="00DE2BB5" w:rsidRDefault="007D2184" w:rsidP="00DE2BB5">
      <w:pPr>
        <w:rPr>
          <w:b/>
          <w:bCs/>
        </w:rPr>
      </w:pPr>
    </w:p>
    <w:p w14:paraId="03002932" w14:textId="7F3171D2" w:rsidR="007D2184" w:rsidRPr="00DE2BB5" w:rsidRDefault="003B74EB" w:rsidP="00DE2BB5">
      <w:r w:rsidRPr="00DE2BB5">
        <w:rPr>
          <w:b/>
          <w:bCs/>
        </w:rPr>
        <w:t xml:space="preserve">Figure 7: Oxygen production for three unique experimental conditions. </w:t>
      </w:r>
      <w:r w:rsidRPr="00DE2BB5">
        <w:t>Each reactor received a different combination of light intensity and initial biomass concentration (IBC);</w:t>
      </w:r>
      <w:r w:rsidRPr="00DE2BB5">
        <w:rPr>
          <w:b/>
          <w:bCs/>
        </w:rPr>
        <w:t xml:space="preserve"> </w:t>
      </w:r>
      <w:r w:rsidRPr="00DE2BB5">
        <w:t>(</w:t>
      </w:r>
      <w:r w:rsidRPr="00DE2BB5">
        <w:rPr>
          <w:b/>
          <w:bCs/>
        </w:rPr>
        <w:t>A</w:t>
      </w:r>
      <w:r w:rsidRPr="00DE2BB5">
        <w:t>) 300 µmol</w:t>
      </w:r>
      <w:r w:rsidRPr="00DE2BB5">
        <w:rPr>
          <w:vertAlign w:val="subscript"/>
        </w:rPr>
        <w:t>photons</w:t>
      </w:r>
      <w:r w:rsidR="009A71F2">
        <w:t xml:space="preserve"> </w:t>
      </w:r>
      <w:r w:rsidRPr="00DE2BB5">
        <w:t>m</w:t>
      </w:r>
      <w:r w:rsidRPr="00DE2BB5">
        <w:rPr>
          <w:vertAlign w:val="superscript"/>
        </w:rPr>
        <w:t>-2</w:t>
      </w:r>
      <w:r w:rsidR="009A71F2">
        <w:t xml:space="preserve"> </w:t>
      </w:r>
      <w:r w:rsidRPr="00DE2BB5">
        <w:t>s</w:t>
      </w:r>
      <w:r w:rsidRPr="00DE2BB5">
        <w:rPr>
          <w:vertAlign w:val="superscript"/>
        </w:rPr>
        <w:t>-1</w:t>
      </w:r>
      <w:r w:rsidRPr="00DE2BB5">
        <w:t xml:space="preserve"> and IBC 0.03 g</w:t>
      </w:r>
      <w:r w:rsidRPr="00DE2BB5">
        <w:rPr>
          <w:vertAlign w:val="subscript"/>
        </w:rPr>
        <w:t>AFDW</w:t>
      </w:r>
      <w:r w:rsidR="009A71F2">
        <w:t xml:space="preserve"> L</w:t>
      </w:r>
      <w:r w:rsidRPr="00DE2BB5">
        <w:rPr>
          <w:vertAlign w:val="superscript"/>
        </w:rPr>
        <w:t>-1</w:t>
      </w:r>
      <w:r w:rsidRPr="00DE2BB5">
        <w:t>, (</w:t>
      </w:r>
      <w:r w:rsidRPr="00DE2BB5">
        <w:rPr>
          <w:b/>
          <w:bCs/>
        </w:rPr>
        <w:t>B</w:t>
      </w:r>
      <w:r w:rsidRPr="00DE2BB5">
        <w:t>) 600 µmol</w:t>
      </w:r>
      <w:r w:rsidRPr="00DE2BB5">
        <w:rPr>
          <w:vertAlign w:val="subscript"/>
        </w:rPr>
        <w:t>photons</w:t>
      </w:r>
      <w:r w:rsidR="009A71F2">
        <w:t xml:space="preserve"> </w:t>
      </w:r>
      <w:r w:rsidRPr="00DE2BB5">
        <w:t>m</w:t>
      </w:r>
      <w:r w:rsidRPr="00DE2BB5">
        <w:rPr>
          <w:vertAlign w:val="superscript"/>
        </w:rPr>
        <w:t>-2</w:t>
      </w:r>
      <w:r w:rsidR="009A71F2">
        <w:t xml:space="preserve"> </w:t>
      </w:r>
      <w:r w:rsidRPr="00DE2BB5">
        <w:t>s</w:t>
      </w:r>
      <w:r w:rsidRPr="00DE2BB5">
        <w:rPr>
          <w:vertAlign w:val="superscript"/>
        </w:rPr>
        <w:t>-1</w:t>
      </w:r>
      <w:r w:rsidRPr="00DE2BB5">
        <w:t xml:space="preserve"> and IBC 0.13 g</w:t>
      </w:r>
      <w:r w:rsidRPr="00DE2BB5">
        <w:rPr>
          <w:vertAlign w:val="subscript"/>
        </w:rPr>
        <w:t>AFDW</w:t>
      </w:r>
      <w:r w:rsidR="009A71F2">
        <w:t xml:space="preserve"> L</w:t>
      </w:r>
      <w:r w:rsidRPr="00DE2BB5">
        <w:rPr>
          <w:vertAlign w:val="superscript"/>
        </w:rPr>
        <w:t>-1</w:t>
      </w:r>
      <w:r w:rsidRPr="00DE2BB5">
        <w:t>, (</w:t>
      </w:r>
      <w:r w:rsidRPr="00DE2BB5">
        <w:rPr>
          <w:b/>
          <w:bCs/>
        </w:rPr>
        <w:t>C</w:t>
      </w:r>
      <w:r w:rsidRPr="00DE2BB5">
        <w:t>) 600 µmol</w:t>
      </w:r>
      <w:r w:rsidRPr="00DE2BB5">
        <w:rPr>
          <w:vertAlign w:val="subscript"/>
        </w:rPr>
        <w:t>photons</w:t>
      </w:r>
      <w:r w:rsidR="0057291A">
        <w:t xml:space="preserve"> </w:t>
      </w:r>
      <w:r w:rsidRPr="00DE2BB5">
        <w:t>m</w:t>
      </w:r>
      <w:r w:rsidRPr="00DE2BB5">
        <w:rPr>
          <w:vertAlign w:val="superscript"/>
        </w:rPr>
        <w:t>-2</w:t>
      </w:r>
      <w:r w:rsidR="0057291A">
        <w:t xml:space="preserve"> </w:t>
      </w:r>
      <w:r w:rsidRPr="00DE2BB5">
        <w:t>s</w:t>
      </w:r>
      <w:r w:rsidRPr="00DE2BB5">
        <w:rPr>
          <w:vertAlign w:val="superscript"/>
        </w:rPr>
        <w:t>-1</w:t>
      </w:r>
      <w:r w:rsidRPr="00DE2BB5">
        <w:t xml:space="preserve"> and IBC 0.40 g</w:t>
      </w:r>
      <w:r w:rsidRPr="00DE2BB5">
        <w:rPr>
          <w:vertAlign w:val="subscript"/>
        </w:rPr>
        <w:t>AFDW</w:t>
      </w:r>
      <w:r w:rsidR="0057291A">
        <w:t xml:space="preserve"> L</w:t>
      </w:r>
      <w:r w:rsidRPr="00DE2BB5">
        <w:rPr>
          <w:vertAlign w:val="superscript"/>
        </w:rPr>
        <w:t>-1</w:t>
      </w:r>
      <w:r w:rsidRPr="00DE2BB5">
        <w:t xml:space="preserve">. Top graphs display cumulative oxygen production (mL) </w:t>
      </w:r>
      <w:r w:rsidR="002E0510">
        <w:t>and</w:t>
      </w:r>
      <w:r w:rsidRPr="00DE2BB5">
        <w:t xml:space="preserve"> the gas flow rate (mL/h). Solid black lines, dashed blue lines, and dotted red lines are replicates. The runtime for each experiment was 104 h</w:t>
      </w:r>
      <w:r w:rsidR="007D7BE4">
        <w:t>,</w:t>
      </w:r>
      <w:r w:rsidRPr="00DE2BB5">
        <w:t xml:space="preserve"> which included four complete 16:</w:t>
      </w:r>
      <w:r w:rsidR="006E1468" w:rsidRPr="00DE2BB5">
        <w:t>8</w:t>
      </w:r>
      <w:r w:rsidR="002E0510">
        <w:t xml:space="preserve"> h</w:t>
      </w:r>
      <w:r w:rsidRPr="00DE2BB5">
        <w:t xml:space="preserve"> day</w:t>
      </w:r>
      <w:r w:rsidR="00034E01" w:rsidRPr="00DE2BB5">
        <w:t>-</w:t>
      </w:r>
      <w:r w:rsidRPr="00DE2BB5">
        <w:t xml:space="preserve">night cycles. Dark orange shading represents nighttime hours and light orange daytime hours. Note </w:t>
      </w:r>
      <w:r w:rsidR="008A6E07">
        <w:t xml:space="preserve">that </w:t>
      </w:r>
      <w:r w:rsidRPr="00DE2BB5">
        <w:t xml:space="preserve">in </w:t>
      </w:r>
      <w:r w:rsidRPr="00DE2BB5">
        <w:lastRenderedPageBreak/>
        <w:t>treatment B</w:t>
      </w:r>
      <w:r w:rsidR="008A6E07">
        <w:t>,</w:t>
      </w:r>
      <w:r w:rsidRPr="00DE2BB5">
        <w:t xml:space="preserve"> oxygen production flatlines on day 4 for two of the three replicates.</w:t>
      </w:r>
    </w:p>
    <w:p w14:paraId="38391E6F" w14:textId="77777777" w:rsidR="007D2184" w:rsidRPr="00DE2BB5" w:rsidRDefault="007D2184" w:rsidP="00DE2BB5"/>
    <w:p w14:paraId="025155CE" w14:textId="12BFE98C" w:rsidR="007D2184" w:rsidRPr="00DE2BB5" w:rsidRDefault="003B74EB" w:rsidP="00DE2BB5">
      <w:r w:rsidRPr="00DE2BB5">
        <w:rPr>
          <w:b/>
          <w:bCs/>
        </w:rPr>
        <w:t xml:space="preserve">Figure 8: pH response. </w:t>
      </w:r>
      <w:r w:rsidRPr="00DE2BB5">
        <w:t>Each reactor received a different combination of light intensity and IBC;</w:t>
      </w:r>
      <w:r w:rsidRPr="00DE2BB5">
        <w:rPr>
          <w:b/>
          <w:bCs/>
        </w:rPr>
        <w:t xml:space="preserve"> </w:t>
      </w:r>
      <w:r w:rsidRPr="00DE2BB5">
        <w:t>(</w:t>
      </w:r>
      <w:r w:rsidRPr="00DE2BB5">
        <w:rPr>
          <w:b/>
          <w:bCs/>
        </w:rPr>
        <w:t>green diamonds</w:t>
      </w:r>
      <w:r w:rsidRPr="00DE2BB5">
        <w:t>) 300 µmol</w:t>
      </w:r>
      <w:r w:rsidRPr="00DE2BB5">
        <w:rPr>
          <w:vertAlign w:val="subscript"/>
        </w:rPr>
        <w:t>photons</w:t>
      </w:r>
      <w:r w:rsidR="006411EA">
        <w:t xml:space="preserve"> </w:t>
      </w:r>
      <w:r w:rsidRPr="00DE2BB5">
        <w:t>m</w:t>
      </w:r>
      <w:r w:rsidRPr="00DE2BB5">
        <w:rPr>
          <w:vertAlign w:val="superscript"/>
        </w:rPr>
        <w:t>-2</w:t>
      </w:r>
      <w:r w:rsidR="006411EA">
        <w:t xml:space="preserve"> </w:t>
      </w:r>
      <w:r w:rsidRPr="00DE2BB5">
        <w:t>s</w:t>
      </w:r>
      <w:r w:rsidRPr="00DE2BB5">
        <w:rPr>
          <w:vertAlign w:val="superscript"/>
        </w:rPr>
        <w:t>-1</w:t>
      </w:r>
      <w:r w:rsidRPr="00DE2BB5">
        <w:t xml:space="preserve"> and IBC 0.03 g</w:t>
      </w:r>
      <w:r w:rsidRPr="00DE2BB5">
        <w:rPr>
          <w:vertAlign w:val="subscript"/>
        </w:rPr>
        <w:t>AFDW</w:t>
      </w:r>
      <w:r w:rsidR="006411EA">
        <w:t xml:space="preserve"> L</w:t>
      </w:r>
      <w:r w:rsidRPr="00DE2BB5">
        <w:rPr>
          <w:vertAlign w:val="superscript"/>
        </w:rPr>
        <w:t>-1</w:t>
      </w:r>
      <w:r w:rsidRPr="00DE2BB5">
        <w:t>, (</w:t>
      </w:r>
      <w:r w:rsidRPr="00DE2BB5">
        <w:rPr>
          <w:b/>
          <w:bCs/>
        </w:rPr>
        <w:t>red triangles</w:t>
      </w:r>
      <w:r w:rsidRPr="00DE2BB5">
        <w:t>) 600 µmol</w:t>
      </w:r>
      <w:r w:rsidRPr="00DE2BB5">
        <w:rPr>
          <w:vertAlign w:val="subscript"/>
        </w:rPr>
        <w:t>photons</w:t>
      </w:r>
      <w:r w:rsidR="006411EA">
        <w:t xml:space="preserve"> </w:t>
      </w:r>
      <w:r w:rsidRPr="00DE2BB5">
        <w:t>m</w:t>
      </w:r>
      <w:r w:rsidRPr="00DE2BB5">
        <w:rPr>
          <w:vertAlign w:val="superscript"/>
        </w:rPr>
        <w:t>2</w:t>
      </w:r>
      <w:r w:rsidR="006411EA">
        <w:t xml:space="preserve"> </w:t>
      </w:r>
      <w:r w:rsidRPr="00DE2BB5">
        <w:t>s</w:t>
      </w:r>
      <w:r w:rsidRPr="00DE2BB5">
        <w:rPr>
          <w:vertAlign w:val="superscript"/>
        </w:rPr>
        <w:t>-1</w:t>
      </w:r>
      <w:r w:rsidRPr="00DE2BB5">
        <w:t xml:space="preserve"> and IBC 0.13 g</w:t>
      </w:r>
      <w:r w:rsidRPr="00DE2BB5">
        <w:rPr>
          <w:vertAlign w:val="subscript"/>
        </w:rPr>
        <w:t>AFDW</w:t>
      </w:r>
      <w:r w:rsidR="006411EA">
        <w:t xml:space="preserve"> L</w:t>
      </w:r>
      <w:r w:rsidRPr="00DE2BB5">
        <w:rPr>
          <w:vertAlign w:val="superscript"/>
        </w:rPr>
        <w:t>-1</w:t>
      </w:r>
      <w:r w:rsidRPr="00DE2BB5">
        <w:t>, (</w:t>
      </w:r>
      <w:r w:rsidRPr="00DE2BB5">
        <w:rPr>
          <w:b/>
          <w:bCs/>
        </w:rPr>
        <w:t>purple circles</w:t>
      </w:r>
      <w:r w:rsidRPr="00DE2BB5">
        <w:t>) 600 µmol</w:t>
      </w:r>
      <w:r w:rsidRPr="00DE2BB5">
        <w:rPr>
          <w:vertAlign w:val="subscript"/>
        </w:rPr>
        <w:t>photons</w:t>
      </w:r>
      <w:r w:rsidR="006411EA">
        <w:rPr>
          <w:vertAlign w:val="subscript"/>
        </w:rPr>
        <w:t xml:space="preserve"> </w:t>
      </w:r>
      <w:r w:rsidRPr="00DE2BB5">
        <w:t>m</w:t>
      </w:r>
      <w:r w:rsidRPr="00DE2BB5">
        <w:rPr>
          <w:vertAlign w:val="superscript"/>
        </w:rPr>
        <w:t>-2</w:t>
      </w:r>
      <w:r w:rsidR="006411EA">
        <w:t xml:space="preserve"> </w:t>
      </w:r>
      <w:r w:rsidRPr="00DE2BB5">
        <w:t>s</w:t>
      </w:r>
      <w:r w:rsidRPr="00DE2BB5">
        <w:rPr>
          <w:vertAlign w:val="superscript"/>
        </w:rPr>
        <w:t>-1</w:t>
      </w:r>
      <w:r w:rsidRPr="00DE2BB5">
        <w:t xml:space="preserve"> and IBC 0.40 g</w:t>
      </w:r>
      <w:r w:rsidRPr="00DE2BB5">
        <w:rPr>
          <w:vertAlign w:val="subscript"/>
        </w:rPr>
        <w:t>AFDW</w:t>
      </w:r>
      <w:r w:rsidR="006411EA">
        <w:t xml:space="preserve"> L</w:t>
      </w:r>
      <w:r w:rsidRPr="00DE2BB5">
        <w:rPr>
          <w:vertAlign w:val="superscript"/>
        </w:rPr>
        <w:t>-1</w:t>
      </w:r>
      <w:r w:rsidRPr="00DE2BB5">
        <w:t>. Dark orange shading represents nighttime hours and light orange daytime hours.</w:t>
      </w:r>
      <w:r w:rsidR="00412FB1" w:rsidRPr="00DE2BB5">
        <w:t xml:space="preserve"> Error bars represent </w:t>
      </w:r>
      <w:r w:rsidR="006411EA">
        <w:t xml:space="preserve">the </w:t>
      </w:r>
      <w:r w:rsidR="00412FB1" w:rsidRPr="00DE2BB5">
        <w:t>standard error of the mean.</w:t>
      </w:r>
    </w:p>
    <w:p w14:paraId="05558346" w14:textId="77777777" w:rsidR="007D2184" w:rsidRPr="00DE2BB5" w:rsidRDefault="007D2184" w:rsidP="00DE2BB5"/>
    <w:p w14:paraId="3C99DA31" w14:textId="4FB67940" w:rsidR="007D2184" w:rsidRPr="00DE2BB5" w:rsidRDefault="003B74EB" w:rsidP="00DE2BB5">
      <w:r w:rsidRPr="00DE2BB5">
        <w:rPr>
          <w:b/>
          <w:bCs/>
        </w:rPr>
        <w:t xml:space="preserve">Table 1: Growth metric shift from hour 0 to 104. </w:t>
      </w:r>
      <w:r w:rsidRPr="00DE2BB5">
        <w:t xml:space="preserve">Brackets represent </w:t>
      </w:r>
      <w:r w:rsidR="00AE507D">
        <w:t xml:space="preserve">the </w:t>
      </w:r>
      <w:r w:rsidRPr="00DE2BB5">
        <w:t>standard error of the mean</w:t>
      </w:r>
      <w:r w:rsidR="00AE507D">
        <w:t xml:space="preserve">. </w:t>
      </w:r>
    </w:p>
    <w:p w14:paraId="75545863" w14:textId="77777777" w:rsidR="007D2184" w:rsidRPr="00DE2BB5" w:rsidRDefault="007D2184" w:rsidP="00DE2BB5"/>
    <w:p w14:paraId="3FCFD3A3" w14:textId="4379F860" w:rsidR="007D2184" w:rsidRPr="00DE2BB5" w:rsidRDefault="003B74EB" w:rsidP="00DE2BB5">
      <w:r w:rsidRPr="00DE2BB5">
        <w:rPr>
          <w:b/>
          <w:bCs/>
        </w:rPr>
        <w:t xml:space="preserve">Table 2: Growth </w:t>
      </w:r>
      <w:r w:rsidR="002F079C" w:rsidRPr="00DE2BB5">
        <w:rPr>
          <w:b/>
          <w:bCs/>
        </w:rPr>
        <w:t>estimate</w:t>
      </w:r>
      <w:r w:rsidRPr="00DE2BB5">
        <w:rPr>
          <w:b/>
          <w:bCs/>
        </w:rPr>
        <w:t xml:space="preserve">s based on total measured oxygen. </w:t>
      </w:r>
      <w:r w:rsidRPr="00DE2BB5">
        <w:t xml:space="preserve">Only one replicate from the 300 </w:t>
      </w:r>
      <w:r w:rsidRPr="00DE2BB5">
        <w:rPr>
          <w:rFonts w:eastAsia="Times New Roman"/>
          <w:color w:val="000000"/>
          <w:lang w:val="en-CA" w:eastAsia="en-CA"/>
        </w:rPr>
        <w:t>µmol</w:t>
      </w:r>
      <w:r w:rsidRPr="00DE2BB5">
        <w:rPr>
          <w:rFonts w:eastAsia="Times New Roman"/>
          <w:color w:val="000000"/>
          <w:vertAlign w:val="subscript"/>
          <w:lang w:val="en-CA" w:eastAsia="en-CA"/>
        </w:rPr>
        <w:t>photons</w:t>
      </w:r>
      <w:r w:rsidR="00556579">
        <w:rPr>
          <w:rFonts w:eastAsia="Times New Roman"/>
          <w:color w:val="000000"/>
          <w:lang w:val="en-CA" w:eastAsia="en-CA"/>
        </w:rPr>
        <w:t xml:space="preserve"> </w:t>
      </w:r>
      <w:r w:rsidRPr="00DE2BB5">
        <w:rPr>
          <w:rFonts w:eastAsia="Times New Roman"/>
          <w:color w:val="000000"/>
          <w:lang w:val="en-CA" w:eastAsia="en-CA"/>
        </w:rPr>
        <w:t>m</w:t>
      </w:r>
      <w:r w:rsidRPr="00DE2BB5">
        <w:rPr>
          <w:rFonts w:eastAsia="Times New Roman"/>
          <w:color w:val="000000"/>
          <w:vertAlign w:val="superscript"/>
          <w:lang w:val="en-CA" w:eastAsia="en-CA"/>
        </w:rPr>
        <w:t>-2</w:t>
      </w:r>
      <w:r w:rsidR="00556579">
        <w:rPr>
          <w:rFonts w:eastAsia="Times New Roman"/>
          <w:color w:val="000000"/>
          <w:lang w:val="en-CA" w:eastAsia="en-CA"/>
        </w:rPr>
        <w:t xml:space="preserve"> </w:t>
      </w:r>
      <w:r w:rsidRPr="00DE2BB5">
        <w:rPr>
          <w:rFonts w:eastAsia="Times New Roman"/>
          <w:color w:val="000000"/>
          <w:lang w:val="en-CA" w:eastAsia="en-CA"/>
        </w:rPr>
        <w:t>s</w:t>
      </w:r>
      <w:r w:rsidRPr="00DE2BB5">
        <w:rPr>
          <w:rFonts w:eastAsia="Times New Roman"/>
          <w:color w:val="000000"/>
          <w:vertAlign w:val="superscript"/>
          <w:lang w:val="en-CA" w:eastAsia="en-CA"/>
        </w:rPr>
        <w:t>-1</w:t>
      </w:r>
      <w:r w:rsidRPr="00DE2BB5">
        <w:rPr>
          <w:rFonts w:eastAsia="Times New Roman"/>
          <w:color w:val="000000"/>
          <w:lang w:val="en-CA" w:eastAsia="en-CA"/>
        </w:rPr>
        <w:t xml:space="preserve"> and IBC = 0.13 g</w:t>
      </w:r>
      <w:r w:rsidRPr="00DE2BB5">
        <w:rPr>
          <w:rFonts w:eastAsia="Times New Roman"/>
          <w:color w:val="000000"/>
          <w:vertAlign w:val="subscript"/>
          <w:lang w:val="en-CA" w:eastAsia="en-CA"/>
        </w:rPr>
        <w:t>AFDW</w:t>
      </w:r>
      <w:r w:rsidR="00556579">
        <w:rPr>
          <w:rFonts w:eastAsia="Times New Roman"/>
          <w:color w:val="000000"/>
          <w:lang w:val="en-CA" w:eastAsia="en-CA"/>
        </w:rPr>
        <w:t xml:space="preserve"> </w:t>
      </w:r>
      <w:r w:rsidRPr="00DE2BB5">
        <w:rPr>
          <w:rFonts w:eastAsia="Times New Roman"/>
          <w:color w:val="000000"/>
          <w:lang w:val="en-CA" w:eastAsia="en-CA"/>
        </w:rPr>
        <w:t>L</w:t>
      </w:r>
      <w:r w:rsidRPr="00DE2BB5">
        <w:rPr>
          <w:rFonts w:eastAsia="Times New Roman"/>
          <w:color w:val="000000"/>
          <w:vertAlign w:val="superscript"/>
          <w:lang w:val="en-CA" w:eastAsia="en-CA"/>
        </w:rPr>
        <w:t>-1</w:t>
      </w:r>
      <w:r w:rsidRPr="00DE2BB5">
        <w:rPr>
          <w:rFonts w:eastAsia="Times New Roman"/>
          <w:color w:val="000000"/>
          <w:lang w:val="en-CA" w:eastAsia="en-CA"/>
        </w:rPr>
        <w:t xml:space="preserve"> treatment ran to completion.</w:t>
      </w:r>
    </w:p>
    <w:p w14:paraId="22F6EFDB" w14:textId="77777777" w:rsidR="007D2184" w:rsidRPr="00DE2BB5" w:rsidRDefault="007D2184" w:rsidP="00DE2BB5"/>
    <w:p w14:paraId="765C5DA7" w14:textId="33AC3167" w:rsidR="007D2184" w:rsidRPr="00DE2BB5" w:rsidRDefault="003B74EB" w:rsidP="00DE2BB5">
      <w:r w:rsidRPr="00DE2BB5">
        <w:rPr>
          <w:b/>
          <w:bCs/>
        </w:rPr>
        <w:t xml:space="preserve">Supplementary Figure 1: Screenshot from </w:t>
      </w:r>
      <w:r w:rsidR="005D5BC7" w:rsidRPr="00DE2BB5">
        <w:rPr>
          <w:b/>
          <w:bCs/>
        </w:rPr>
        <w:t>LED control</w:t>
      </w:r>
      <w:r w:rsidRPr="00DE2BB5">
        <w:rPr>
          <w:b/>
          <w:bCs/>
        </w:rPr>
        <w:t xml:space="preserve"> software. </w:t>
      </w:r>
      <w:r w:rsidRPr="00DE2BB5">
        <w:t>Each of the four light fixtures can be controlled independently by sliding the dimmer buttons or entering a numerical value into the text box.</w:t>
      </w:r>
    </w:p>
    <w:p w14:paraId="5081B93E" w14:textId="77777777" w:rsidR="007D2184" w:rsidRPr="00DE2BB5" w:rsidRDefault="007D2184" w:rsidP="00DE2BB5"/>
    <w:p w14:paraId="1BAC56D1" w14:textId="26565B27" w:rsidR="007D2184" w:rsidRPr="00DE2BB5" w:rsidRDefault="003B74EB" w:rsidP="00DE2BB5">
      <w:pPr>
        <w:rPr>
          <w:b/>
          <w:bCs/>
        </w:rPr>
      </w:pPr>
      <w:r w:rsidRPr="00DE2BB5">
        <w:rPr>
          <w:b/>
          <w:bCs/>
        </w:rPr>
        <w:t xml:space="preserve">Supplementary Figure 2: Screenshot of the </w:t>
      </w:r>
      <w:r w:rsidR="001F1D85" w:rsidRPr="00DE2BB5">
        <w:rPr>
          <w:b/>
          <w:bCs/>
        </w:rPr>
        <w:t>data acquisition</w:t>
      </w:r>
      <w:r w:rsidRPr="00DE2BB5">
        <w:rPr>
          <w:b/>
          <w:bCs/>
        </w:rPr>
        <w:t xml:space="preserve"> software configuration window.</w:t>
      </w:r>
    </w:p>
    <w:p w14:paraId="3D8B5ADB" w14:textId="77777777" w:rsidR="007D2184" w:rsidRPr="00DE2BB5" w:rsidRDefault="007D2184" w:rsidP="00DE2BB5">
      <w:pPr>
        <w:rPr>
          <w:b/>
          <w:bCs/>
        </w:rPr>
      </w:pPr>
    </w:p>
    <w:p w14:paraId="26294F9D" w14:textId="6C51ACBC" w:rsidR="007D2184" w:rsidRPr="00DE2BB5" w:rsidRDefault="003B74EB" w:rsidP="00DE2BB5">
      <w:r w:rsidRPr="00DE2BB5">
        <w:rPr>
          <w:b/>
          <w:bCs/>
        </w:rPr>
        <w:t xml:space="preserve">Supplementary Figure 3: Screenshot of the </w:t>
      </w:r>
      <w:r w:rsidR="007A395B" w:rsidRPr="00DE2BB5">
        <w:rPr>
          <w:b/>
          <w:bCs/>
        </w:rPr>
        <w:t>data acquisition</w:t>
      </w:r>
      <w:r w:rsidRPr="00DE2BB5">
        <w:rPr>
          <w:b/>
          <w:bCs/>
        </w:rPr>
        <w:t xml:space="preserve"> software logging window. </w:t>
      </w:r>
      <w:r w:rsidRPr="00DE2BB5">
        <w:t xml:space="preserve">Bright green rectangles indicate </w:t>
      </w:r>
      <w:r w:rsidR="002E4F84">
        <w:t>online gas sensors</w:t>
      </w:r>
      <w:r w:rsidRPr="00DE2BB5">
        <w:t>. Data is displayed in real-time.</w:t>
      </w:r>
    </w:p>
    <w:p w14:paraId="19DFFB86" w14:textId="77777777" w:rsidR="007D2184" w:rsidRPr="00DE2BB5" w:rsidRDefault="007D2184" w:rsidP="00DE2BB5"/>
    <w:p w14:paraId="40C11414" w14:textId="730A4BE5" w:rsidR="007D2184" w:rsidRPr="00DE2BB5" w:rsidRDefault="003B74EB" w:rsidP="00DE2BB5">
      <w:r w:rsidRPr="00DE2BB5">
        <w:rPr>
          <w:b/>
          <w:bCs/>
        </w:rPr>
        <w:t>Supplementary Table 1</w:t>
      </w:r>
      <w:r w:rsidR="00E44924">
        <w:rPr>
          <w:b/>
          <w:bCs/>
        </w:rPr>
        <w:t>:</w:t>
      </w:r>
      <w:r w:rsidRPr="00DE2BB5">
        <w:rPr>
          <w:b/>
          <w:bCs/>
        </w:rPr>
        <w:t xml:space="preserve"> Example 24</w:t>
      </w:r>
      <w:r w:rsidR="00EE7C25">
        <w:rPr>
          <w:b/>
          <w:bCs/>
        </w:rPr>
        <w:t xml:space="preserve"> </w:t>
      </w:r>
      <w:r w:rsidRPr="00DE2BB5">
        <w:rPr>
          <w:b/>
          <w:bCs/>
        </w:rPr>
        <w:t>h light regime</w:t>
      </w:r>
      <w:r w:rsidRPr="00DE2BB5">
        <w:t>. For a 16:8</w:t>
      </w:r>
      <w:r w:rsidR="00EE7C25">
        <w:t xml:space="preserve"> </w:t>
      </w:r>
      <w:r w:rsidRPr="00DE2BB5">
        <w:t>h d</w:t>
      </w:r>
      <w:r w:rsidR="005F5873" w:rsidRPr="00DE2BB5">
        <w:t>iurnal</w:t>
      </w:r>
      <w:r w:rsidRPr="00DE2BB5">
        <w:t xml:space="preserve"> </w:t>
      </w:r>
      <w:r w:rsidR="00A13EEA" w:rsidRPr="00DE2BB5">
        <w:t>program</w:t>
      </w:r>
      <w:r w:rsidR="00EE7C25">
        <w:t>,</w:t>
      </w:r>
      <w:r w:rsidR="00A13EEA" w:rsidRPr="00DE2BB5">
        <w:t xml:space="preserve"> </w:t>
      </w:r>
      <w:r w:rsidRPr="00DE2BB5">
        <w:t xml:space="preserve">there are 48 sets of 30 min each. </w:t>
      </w:r>
      <w:r w:rsidR="00376654" w:rsidRPr="00DE2BB5">
        <w:t>Asterisks</w:t>
      </w:r>
      <w:r w:rsidRPr="00DE2BB5">
        <w:t xml:space="preserve"> indicate suggested sampling times.</w:t>
      </w:r>
    </w:p>
    <w:p w14:paraId="4A2C1948" w14:textId="77777777" w:rsidR="007D2184" w:rsidRPr="00DE2BB5" w:rsidRDefault="007D2184" w:rsidP="00DE2BB5"/>
    <w:p w14:paraId="18D2CD14" w14:textId="6D0E7471" w:rsidR="007D2184" w:rsidRPr="00DE2BB5" w:rsidRDefault="003B74EB" w:rsidP="00DE2BB5">
      <w:pPr>
        <w:rPr>
          <w:b/>
          <w:bCs/>
        </w:rPr>
      </w:pPr>
      <w:r w:rsidRPr="00DE2BB5">
        <w:rPr>
          <w:b/>
          <w:bCs/>
        </w:rPr>
        <w:t>Supplementary Table 2</w:t>
      </w:r>
      <w:r w:rsidR="00E44924">
        <w:rPr>
          <w:b/>
          <w:bCs/>
        </w:rPr>
        <w:t>:</w:t>
      </w:r>
      <w:r w:rsidRPr="00DE2BB5">
        <w:rPr>
          <w:b/>
          <w:bCs/>
        </w:rPr>
        <w:t xml:space="preserve"> High alkalinity high pH medium composition.</w:t>
      </w:r>
    </w:p>
    <w:p w14:paraId="6A123DA6" w14:textId="77777777" w:rsidR="007D2184" w:rsidRPr="00DE2BB5" w:rsidRDefault="007D2184" w:rsidP="00DE2BB5">
      <w:pPr>
        <w:rPr>
          <w:b/>
          <w:bCs/>
        </w:rPr>
      </w:pPr>
    </w:p>
    <w:p w14:paraId="78B46971" w14:textId="5E9614C0" w:rsidR="006B2D56" w:rsidRDefault="003B74EB" w:rsidP="006B2D56">
      <w:r w:rsidRPr="00DE2BB5">
        <w:rPr>
          <w:b/>
          <w:bCs/>
        </w:rPr>
        <w:t>Supplementary Table 3</w:t>
      </w:r>
      <w:r w:rsidR="00E44924">
        <w:rPr>
          <w:b/>
          <w:bCs/>
        </w:rPr>
        <w:t>:</w:t>
      </w:r>
      <w:r w:rsidRPr="00DE2BB5">
        <w:rPr>
          <w:b/>
          <w:bCs/>
        </w:rPr>
        <w:t xml:space="preserve"> Trace element solution. </w:t>
      </w:r>
      <w:r w:rsidRPr="00DE2BB5">
        <w:t>Add to a final concentration of 1 mL/L to the base medium.</w:t>
      </w:r>
    </w:p>
    <w:p w14:paraId="33ECE3A6" w14:textId="77777777" w:rsidR="006B2D56" w:rsidRDefault="006B2D56" w:rsidP="006B2D56"/>
    <w:p w14:paraId="5FAC8801" w14:textId="379A4243" w:rsidR="007D2184" w:rsidRPr="006B2D56" w:rsidRDefault="003B74EB" w:rsidP="006B2D56">
      <w:pPr>
        <w:rPr>
          <w:b/>
          <w:bCs/>
        </w:rPr>
      </w:pPr>
      <w:r w:rsidRPr="006B2D56">
        <w:rPr>
          <w:b/>
          <w:bCs/>
        </w:rPr>
        <w:t>DISCUSSION:</w:t>
      </w:r>
    </w:p>
    <w:p w14:paraId="78EA728A" w14:textId="08F611D2" w:rsidR="007D2184" w:rsidRPr="00DE2BB5" w:rsidRDefault="00F910E3" w:rsidP="00DE2BB5">
      <w:r>
        <w:t>Within this protocol,</w:t>
      </w:r>
      <w:r w:rsidR="003B74EB" w:rsidRPr="00DE2BB5">
        <w:t xml:space="preserve"> focus on the following steps increases the likelihood of generating reproducible</w:t>
      </w:r>
      <w:r w:rsidR="00B8209A">
        <w:t>,</w:t>
      </w:r>
      <w:r w:rsidR="003B74EB" w:rsidRPr="00DE2BB5">
        <w:t xml:space="preserve"> high-quality data. When constructing the reactor stand (</w:t>
      </w:r>
      <w:r w:rsidR="00DE6EC3" w:rsidRPr="00DE6EC3">
        <w:t>s</w:t>
      </w:r>
      <w:r w:rsidR="003B74EB" w:rsidRPr="00DE6EC3">
        <w:t>tep 1</w:t>
      </w:r>
      <w:r w:rsidR="003B74EB" w:rsidRPr="00DE2BB5">
        <w:t>)</w:t>
      </w:r>
      <w:r w:rsidR="00DE6EC3">
        <w:t xml:space="preserve">, the base must be sturdy </w:t>
      </w:r>
      <w:r w:rsidR="00367FF7">
        <w:t>with well-alligned</w:t>
      </w:r>
      <w:r w:rsidR="00DE6EC3">
        <w:t xml:space="preserve"> vertical supports</w:t>
      </w:r>
      <w:r w:rsidR="003B74EB" w:rsidRPr="00DE2BB5">
        <w:t>. Slotted steel has sharp edges</w:t>
      </w:r>
      <w:r w:rsidR="007D06DA" w:rsidRPr="00DE2BB5">
        <w:t>,</w:t>
      </w:r>
      <w:r w:rsidR="003B74EB" w:rsidRPr="00DE2BB5">
        <w:t xml:space="preserve"> so the addition of safety caps is essential. Bottle platform surfaces need to be completely flat, the magnetic stirrer and bolt heads should both sit below the top layer surface (</w:t>
      </w:r>
      <w:r w:rsidR="00AD4652" w:rsidRPr="00AD4652">
        <w:t>s</w:t>
      </w:r>
      <w:r w:rsidR="003B74EB" w:rsidRPr="00AD4652">
        <w:t>tep</w:t>
      </w:r>
      <w:r w:rsidR="00F7557A">
        <w:t>s</w:t>
      </w:r>
      <w:r w:rsidR="003B74EB" w:rsidRPr="00AD4652">
        <w:t xml:space="preserve"> 3.2</w:t>
      </w:r>
      <w:r w:rsidR="007D7BE4">
        <w:t>–</w:t>
      </w:r>
      <w:r w:rsidR="003B74EB" w:rsidRPr="00AD4652">
        <w:t>3.6</w:t>
      </w:r>
      <w:r w:rsidR="003B74EB" w:rsidRPr="00DE2BB5">
        <w:t xml:space="preserve">). </w:t>
      </w:r>
      <w:r w:rsidR="00AD4652">
        <w:t>According to the manufacturer's instruction, the gas sensor packing liquid should be filled to the "tracing screw for liquid level" for accurate oxygen measurements</w:t>
      </w:r>
      <w:r w:rsidR="003B74EB" w:rsidRPr="00DE2BB5">
        <w:t xml:space="preserve">. This liquid level should be checked regularly as evaporation of the packing liquid can short-circuit the measurement cell. All three gas lines made in </w:t>
      </w:r>
      <w:r w:rsidR="00BE2BBF" w:rsidRPr="00BE2BBF">
        <w:t>s</w:t>
      </w:r>
      <w:r w:rsidR="003B74EB" w:rsidRPr="00BE2BBF">
        <w:t>tep 5.2</w:t>
      </w:r>
      <w:r w:rsidR="003B74EB" w:rsidRPr="00B10C2B">
        <w:t xml:space="preserve"> </w:t>
      </w:r>
      <w:r w:rsidR="003B74EB" w:rsidRPr="00DE2BB5">
        <w:t>should be the same length</w:t>
      </w:r>
      <w:r w:rsidR="00D40154">
        <w:t>;</w:t>
      </w:r>
      <w:r w:rsidR="00CB1D8E">
        <w:t xml:space="preserve"> </w:t>
      </w:r>
      <w:r w:rsidR="004C7049">
        <w:t>this enures that</w:t>
      </w:r>
      <w:r w:rsidR="00BE2BBF">
        <w:t xml:space="preserve"> replicates have identical headspace volume</w:t>
      </w:r>
      <w:r w:rsidR="00DF750C">
        <w:t>s</w:t>
      </w:r>
      <w:r w:rsidR="003B74EB" w:rsidRPr="00DE2BB5">
        <w:t xml:space="preserve">. Before commencing an </w:t>
      </w:r>
      <w:r w:rsidR="00C256CA" w:rsidRPr="00DE2BB5">
        <w:t>experiment,</w:t>
      </w:r>
      <w:r w:rsidR="003B74EB" w:rsidRPr="00DE2BB5">
        <w:t xml:space="preserve"> it is advisable to test the programmed light regime by logging light intensity over a 24</w:t>
      </w:r>
      <w:r w:rsidR="00B90B94">
        <w:t xml:space="preserve"> </w:t>
      </w:r>
      <w:r w:rsidR="003B74EB" w:rsidRPr="00DE2BB5">
        <w:t>h period (</w:t>
      </w:r>
      <w:r w:rsidR="00B90B94" w:rsidRPr="00B90B94">
        <w:t>s</w:t>
      </w:r>
      <w:r w:rsidR="003B74EB" w:rsidRPr="00B90B94">
        <w:t>tep 6.11</w:t>
      </w:r>
      <w:r w:rsidR="003B74EB" w:rsidRPr="00DE2BB5">
        <w:t>). If increases in liquid temperature are of concern</w:t>
      </w:r>
      <w:r w:rsidR="00B90B94">
        <w:t>,</w:t>
      </w:r>
      <w:r w:rsidR="003B74EB" w:rsidRPr="00DE2BB5">
        <w:t xml:space="preserve"> this test should also include a sealed bottle with </w:t>
      </w:r>
      <w:r w:rsidR="00B90B94">
        <w:t xml:space="preserve">an </w:t>
      </w:r>
      <w:r w:rsidR="003B74EB" w:rsidRPr="00DE2BB5">
        <w:t>internal temperature probe (</w:t>
      </w:r>
      <w:r w:rsidR="00B90B94" w:rsidRPr="00B90B94">
        <w:t>s</w:t>
      </w:r>
      <w:r w:rsidR="003B74EB" w:rsidRPr="00B90B94">
        <w:t xml:space="preserve">tep </w:t>
      </w:r>
      <w:r w:rsidR="003B74EB" w:rsidRPr="00B90B94">
        <w:lastRenderedPageBreak/>
        <w:t>6.11</w:t>
      </w:r>
      <w:r w:rsidR="003B74EB" w:rsidRPr="00DE2BB5">
        <w:t xml:space="preserve">). When logging, do not exit the </w:t>
      </w:r>
      <w:r w:rsidR="007A395B" w:rsidRPr="00DE2BB5">
        <w:t xml:space="preserve">data acquisition </w:t>
      </w:r>
      <w:r w:rsidR="003B74EB" w:rsidRPr="00DE2BB5">
        <w:t>software window</w:t>
      </w:r>
      <w:r w:rsidR="00B90B94">
        <w:t>;</w:t>
      </w:r>
      <w:r w:rsidR="003B74EB" w:rsidRPr="00DE2BB5">
        <w:t xml:space="preserve"> this will terminate logging. If taking culture samples, be careful not to release headspace gas by opening valves in the wrong sequence (</w:t>
      </w:r>
      <w:r w:rsidR="00F7557A" w:rsidRPr="00F7557A">
        <w:t>s</w:t>
      </w:r>
      <w:r w:rsidR="003B74EB" w:rsidRPr="00F7557A">
        <w:t>tep</w:t>
      </w:r>
      <w:r w:rsidR="00F7557A">
        <w:t>s</w:t>
      </w:r>
      <w:r w:rsidR="003B74EB" w:rsidRPr="00F7557A">
        <w:t xml:space="preserve"> 8.2</w:t>
      </w:r>
      <w:r w:rsidR="007D7BE4">
        <w:t>–</w:t>
      </w:r>
      <w:r w:rsidR="003B74EB" w:rsidRPr="00F7557A">
        <w:t>8.8</w:t>
      </w:r>
      <w:r w:rsidR="003B74EB" w:rsidRPr="00DE2BB5">
        <w:t>)</w:t>
      </w:r>
      <w:r w:rsidR="00B2691D">
        <w:t>.</w:t>
      </w:r>
      <w:r w:rsidR="00F7557A">
        <w:t xml:space="preserve"> </w:t>
      </w:r>
      <w:r w:rsidR="00B2691D">
        <w:t>W</w:t>
      </w:r>
      <w:r w:rsidR="003B74EB" w:rsidRPr="00DE2BB5">
        <w:t xml:space="preserve">hen </w:t>
      </w:r>
      <w:r w:rsidR="00C63496">
        <w:t>reviewing</w:t>
      </w:r>
      <w:r w:rsidR="00C63496" w:rsidRPr="00DE2BB5">
        <w:t xml:space="preserve"> </w:t>
      </w:r>
      <w:r w:rsidR="003B74EB" w:rsidRPr="00DE2BB5">
        <w:t>experimental data</w:t>
      </w:r>
      <w:r w:rsidR="00F7557A">
        <w:t xml:space="preserve"> </w:t>
      </w:r>
      <w:r w:rsidR="00FF02BE">
        <w:t xml:space="preserve">be advised </w:t>
      </w:r>
      <w:r w:rsidR="003B74EB" w:rsidRPr="00DE2BB5">
        <w:t xml:space="preserve">that </w:t>
      </w:r>
      <w:r w:rsidR="007D7A8F" w:rsidRPr="00DE2BB5">
        <w:t xml:space="preserve">the </w:t>
      </w:r>
      <w:r w:rsidR="007A395B" w:rsidRPr="00DE2BB5">
        <w:t>data acquisition</w:t>
      </w:r>
      <w:r w:rsidR="003B74EB" w:rsidRPr="00DE2BB5">
        <w:t xml:space="preserve"> software automatically </w:t>
      </w:r>
      <w:r w:rsidR="001C591F" w:rsidRPr="00DE2BB5">
        <w:t>generates</w:t>
      </w:r>
      <w:r w:rsidR="003B74EB" w:rsidRPr="00DE2BB5">
        <w:t xml:space="preserve"> a moving average of the flow rate. This inflates the value of the one or two flow rate readings generated overnight. Curate gas sensor logs manually to rectify this.</w:t>
      </w:r>
    </w:p>
    <w:p w14:paraId="553912B7" w14:textId="77777777" w:rsidR="007D2184" w:rsidRPr="00DE2BB5" w:rsidRDefault="007D2184" w:rsidP="00DE2BB5">
      <w:pPr>
        <w:rPr>
          <w:b/>
          <w:bCs/>
        </w:rPr>
      </w:pPr>
    </w:p>
    <w:p w14:paraId="6E292098" w14:textId="6A3B95AD" w:rsidR="007D2184" w:rsidRPr="00DE2BB5" w:rsidRDefault="003B74EB" w:rsidP="00DE2BB5">
      <w:r w:rsidRPr="00DE2BB5">
        <w:t xml:space="preserve">The most common setback with this method is the potential to short circuit the gas sensor if the </w:t>
      </w:r>
      <w:r w:rsidR="001A76B8">
        <w:t>liquid packing</w:t>
      </w:r>
      <w:r w:rsidRPr="00DE2BB5">
        <w:t xml:space="preserve"> level declines. There are two ways this can occur. Firstly, evaporation can slowly reduce the liquid level</w:t>
      </w:r>
      <w:r w:rsidR="00BC4E98">
        <w:t>.</w:t>
      </w:r>
      <w:r w:rsidRPr="00DE2BB5">
        <w:t xml:space="preserve"> </w:t>
      </w:r>
      <w:r w:rsidR="00BC4E98">
        <w:t>H</w:t>
      </w:r>
      <w:r w:rsidRPr="00DE2BB5">
        <w:t>owever</w:t>
      </w:r>
      <w:r w:rsidR="001A76B8">
        <w:t>,</w:t>
      </w:r>
      <w:r w:rsidRPr="00DE2BB5">
        <w:t xml:space="preserve"> this is unlikely over a short</w:t>
      </w:r>
      <w:r w:rsidR="007D7BE4">
        <w:t>-</w:t>
      </w:r>
      <w:r w:rsidRPr="00DE2BB5">
        <w:t>term (&lt;7 day) experiment</w:t>
      </w:r>
      <w:r w:rsidR="0041189C">
        <w:rPr>
          <w:vertAlign w:val="superscript"/>
        </w:rPr>
        <w:t>29</w:t>
      </w:r>
      <w:r w:rsidRPr="00DE2BB5">
        <w:t xml:space="preserve">. Secondly, high respiration rates can pull oxygen into </w:t>
      </w:r>
      <w:r w:rsidR="001A76B8">
        <w:t xml:space="preserve">the </w:t>
      </w:r>
      <w:r w:rsidRPr="00DE2BB5">
        <w:t>solution and generate a headspace under</w:t>
      </w:r>
      <w:r w:rsidR="00A546DB">
        <w:t>-</w:t>
      </w:r>
      <w:r w:rsidRPr="00DE2BB5">
        <w:t>pressure</w:t>
      </w:r>
      <w:r w:rsidR="00ED1B4C" w:rsidRPr="00DE2BB5">
        <w:t xml:space="preserve">. </w:t>
      </w:r>
      <w:r w:rsidR="008F5997" w:rsidRPr="00DE2BB5">
        <w:t>When light energy is unavailable, microalgae use aerobic respiration to supply the energy required for cellular maintenance and repair</w:t>
      </w:r>
      <w:r w:rsidR="00B1373E" w:rsidRPr="00DE2BB5">
        <w:rPr>
          <w:vertAlign w:val="superscript"/>
        </w:rPr>
        <w:t>2</w:t>
      </w:r>
      <w:r w:rsidR="0041189C">
        <w:rPr>
          <w:vertAlign w:val="superscript"/>
        </w:rPr>
        <w:t>8</w:t>
      </w:r>
      <w:r w:rsidR="008F5997" w:rsidRPr="00DE2BB5">
        <w:t xml:space="preserve">. </w:t>
      </w:r>
      <w:r w:rsidR="005D5A09" w:rsidRPr="00DE2BB5">
        <w:t>Hence</w:t>
      </w:r>
      <w:r w:rsidR="007D7BE4">
        <w:t>,</w:t>
      </w:r>
      <w:r w:rsidR="005D5A09" w:rsidRPr="00DE2BB5">
        <w:t xml:space="preserve"> in dense cultures during non-illuminated hours</w:t>
      </w:r>
      <w:r w:rsidR="009D5D2C" w:rsidRPr="00DE2BB5">
        <w:t>,</w:t>
      </w:r>
      <w:r w:rsidR="005D5A09" w:rsidRPr="00DE2BB5">
        <w:t xml:space="preserve"> oxygen</w:t>
      </w:r>
      <w:r w:rsidR="000F2C8C" w:rsidRPr="00DE2BB5">
        <w:t xml:space="preserve"> consumption</w:t>
      </w:r>
      <w:r w:rsidR="00CE2C33" w:rsidRPr="00DE2BB5">
        <w:t xml:space="preserve">, and </w:t>
      </w:r>
      <w:r w:rsidR="000F2C8C" w:rsidRPr="00DE2BB5">
        <w:t xml:space="preserve">the </w:t>
      </w:r>
      <w:r w:rsidR="00CE2C33" w:rsidRPr="00DE2BB5">
        <w:t>result</w:t>
      </w:r>
      <w:r w:rsidR="009D5D2C" w:rsidRPr="00DE2BB5">
        <w:t>ing</w:t>
      </w:r>
      <w:r w:rsidR="00CE2C33" w:rsidRPr="00DE2BB5">
        <w:t xml:space="preserve"> under-pressure</w:t>
      </w:r>
      <w:r w:rsidR="000F2C8C" w:rsidRPr="00DE2BB5">
        <w:t>,</w:t>
      </w:r>
      <w:r w:rsidR="00CE2C33" w:rsidRPr="00DE2BB5">
        <w:t xml:space="preserve"> can be substantial.</w:t>
      </w:r>
      <w:r w:rsidR="000F2C8C" w:rsidRPr="00DE2BB5">
        <w:t xml:space="preserve"> </w:t>
      </w:r>
      <w:r w:rsidR="00ED1B4C" w:rsidRPr="00DE2BB5">
        <w:t>This</w:t>
      </w:r>
      <w:r w:rsidRPr="00DE2BB5">
        <w:t xml:space="preserve"> </w:t>
      </w:r>
      <w:r w:rsidR="00ED1B4C" w:rsidRPr="00DE2BB5">
        <w:t xml:space="preserve">sucks </w:t>
      </w:r>
      <w:r w:rsidRPr="00DE2BB5">
        <w:t>packing liquid from the gas sensors into the gas line. The distance the packing liquid travels is proportional to</w:t>
      </w:r>
      <w:r w:rsidR="00DB641C" w:rsidRPr="00DE2BB5">
        <w:t xml:space="preserve"> the amount of</w:t>
      </w:r>
      <w:r w:rsidRPr="00DE2BB5">
        <w:t xml:space="preserve"> nighttime respiration. If the packing liquid enters the bottles</w:t>
      </w:r>
      <w:r w:rsidR="001A76B8">
        <w:t>,</w:t>
      </w:r>
      <w:r w:rsidRPr="00DE2BB5">
        <w:t xml:space="preserve"> this</w:t>
      </w:r>
      <w:r w:rsidR="00DB641C" w:rsidRPr="00DE2BB5">
        <w:t xml:space="preserve"> generates an oil slick on the liquid surface</w:t>
      </w:r>
      <w:r w:rsidR="00571E75" w:rsidRPr="00DE2BB5">
        <w:t>.</w:t>
      </w:r>
    </w:p>
    <w:p w14:paraId="3AD46613" w14:textId="77777777" w:rsidR="007D2184" w:rsidRPr="00DE2BB5" w:rsidRDefault="007D2184" w:rsidP="00DE2BB5"/>
    <w:p w14:paraId="015CAE50" w14:textId="0AE9FF98" w:rsidR="007D2184" w:rsidRPr="00DE2BB5" w:rsidRDefault="003B74EB" w:rsidP="00DE2BB5">
      <w:r w:rsidRPr="00DE2BB5">
        <w:t xml:space="preserve">If high nighttime respiration rates are expected, modifications to the protocol can be made. The simplest way to avoid under-pressure is to leave the bottle headspaces open overnight. This also has the advantage of easing DO levels by decreasing the </w:t>
      </w:r>
      <w:r w:rsidR="00CC4781">
        <w:t>partial headspace</w:t>
      </w:r>
      <w:r w:rsidRPr="00DE2BB5">
        <w:t xml:space="preserve"> pressure of O</w:t>
      </w:r>
      <w:r w:rsidRPr="00DE2BB5">
        <w:rPr>
          <w:vertAlign w:val="subscript"/>
        </w:rPr>
        <w:t>2</w:t>
      </w:r>
      <w:r w:rsidRPr="00DE2BB5">
        <w:t xml:space="preserve">. High DO concentrations are believed to </w:t>
      </w:r>
      <w:r w:rsidR="00CC4781">
        <w:t xml:space="preserve">be </w:t>
      </w:r>
      <w:r w:rsidRPr="00DE2BB5">
        <w:t>detrimental to growth as O</w:t>
      </w:r>
      <w:r w:rsidRPr="00DE2BB5">
        <w:rPr>
          <w:vertAlign w:val="subscript"/>
        </w:rPr>
        <w:t>2</w:t>
      </w:r>
      <w:r w:rsidRPr="00DE2BB5">
        <w:t xml:space="preserve"> can impede the activity of Rubisco and may trigger oxidative stress</w:t>
      </w:r>
      <w:r w:rsidR="00272791">
        <w:rPr>
          <w:vertAlign w:val="superscript"/>
        </w:rPr>
        <w:t>3</w:t>
      </w:r>
      <w:r w:rsidR="00652ACD">
        <w:rPr>
          <w:vertAlign w:val="superscript"/>
        </w:rPr>
        <w:t>0</w:t>
      </w:r>
      <w:r w:rsidR="00B50F20" w:rsidRPr="00DE2BB5">
        <w:rPr>
          <w:vertAlign w:val="superscript"/>
        </w:rPr>
        <w:t>,</w:t>
      </w:r>
      <w:r w:rsidR="00272791">
        <w:rPr>
          <w:vertAlign w:val="superscript"/>
        </w:rPr>
        <w:t>3</w:t>
      </w:r>
      <w:r w:rsidR="00652ACD">
        <w:rPr>
          <w:vertAlign w:val="superscript"/>
        </w:rPr>
        <w:t>1</w:t>
      </w:r>
      <w:r w:rsidRPr="00DE2BB5">
        <w:t xml:space="preserve">. It is not uncommon for </w:t>
      </w:r>
      <w:r w:rsidR="001C591F" w:rsidRPr="00DE2BB5">
        <w:t>culture</w:t>
      </w:r>
      <w:r w:rsidRPr="00DE2BB5">
        <w:t xml:space="preserve"> suspensions to reach 4</w:t>
      </w:r>
      <w:r w:rsidR="00CC4781">
        <w:t>x</w:t>
      </w:r>
      <w:r w:rsidRPr="00DE2BB5">
        <w:t xml:space="preserve"> oversaturation even when in contact with the atmosphere</w:t>
      </w:r>
      <w:r w:rsidR="003C035A">
        <w:rPr>
          <w:vertAlign w:val="superscript"/>
        </w:rPr>
        <w:t>25</w:t>
      </w:r>
      <w:r w:rsidR="00B50F20" w:rsidRPr="00DE2BB5">
        <w:rPr>
          <w:vertAlign w:val="superscript"/>
        </w:rPr>
        <w:t>,</w:t>
      </w:r>
      <w:r w:rsidR="003C035A">
        <w:rPr>
          <w:vertAlign w:val="superscript"/>
        </w:rPr>
        <w:t>3</w:t>
      </w:r>
      <w:r w:rsidR="00652ACD">
        <w:rPr>
          <w:vertAlign w:val="superscript"/>
        </w:rPr>
        <w:t>2</w:t>
      </w:r>
      <w:r w:rsidRPr="00DE2BB5">
        <w:t>. To open the headspace, disconnect the gas line from the needle spanning the rubber stopper. Nighttime hours can serve as a window to top up gas sensor packing liquid or manipulate continuous experiments with little impact on data collection. For example, one may alter the culture density, refresh nutrients, add an amendment, or introduce a pathogen. Bottles must be re-sealed, and the gas sensor line reconnected before lights turn back on. The oxygen measurements collected from experiments with closed v</w:t>
      </w:r>
      <w:r w:rsidR="00FE0CCA" w:rsidRPr="00DE2BB5">
        <w:t>ersus</w:t>
      </w:r>
      <w:r w:rsidRPr="00DE2BB5">
        <w:t xml:space="preserve"> open nighttime headspaces will differ.</w:t>
      </w:r>
    </w:p>
    <w:p w14:paraId="5B97EA82" w14:textId="77777777" w:rsidR="007D2184" w:rsidRPr="00DE2BB5" w:rsidRDefault="007D2184" w:rsidP="00DE2BB5"/>
    <w:p w14:paraId="6E0C66F3" w14:textId="611081F1" w:rsidR="007D2184" w:rsidRPr="00DE2BB5" w:rsidRDefault="003B74EB" w:rsidP="00DE2BB5">
      <w:r w:rsidRPr="00DE2BB5">
        <w:t>When bottles remain sealed</w:t>
      </w:r>
      <w:r w:rsidR="008E118B" w:rsidRPr="00DE2BB5">
        <w:t>,</w:t>
      </w:r>
      <w:r w:rsidRPr="00DE2BB5">
        <w:t xml:space="preserve"> nighttime oxygen consumption </w:t>
      </w:r>
      <w:r w:rsidR="00AA49C8">
        <w:t>reduces</w:t>
      </w:r>
      <w:r w:rsidRPr="00DE2BB5">
        <w:t xml:space="preserve"> the number of moles of O</w:t>
      </w:r>
      <w:r w:rsidRPr="00DE2BB5">
        <w:rPr>
          <w:vertAlign w:val="subscript"/>
        </w:rPr>
        <w:t>2</w:t>
      </w:r>
      <w:r w:rsidRPr="00DE2BB5">
        <w:t xml:space="preserve"> in the headspace. This causes packing liquid to creep up the gas sensor line to maintain headspace pressure. When lights turn on</w:t>
      </w:r>
      <w:r w:rsidR="003979B3">
        <w:t>,</w:t>
      </w:r>
      <w:r w:rsidRPr="00DE2BB5">
        <w:t xml:space="preserve"> </w:t>
      </w:r>
      <w:r w:rsidR="003979B3">
        <w:t>oxygen production resumes</w:t>
      </w:r>
      <w:r w:rsidR="00731483">
        <w:t>. P</w:t>
      </w:r>
      <w:r w:rsidR="003979B3">
        <w:t>acking liquid must be pushed back into the gas sensor before flow rate readings</w:t>
      </w:r>
      <w:r w:rsidR="0004076A">
        <w:t xml:space="preserve"> commence</w:t>
      </w:r>
      <w:r w:rsidRPr="00DE2BB5">
        <w:t>. This lag is therefore proportional to the degree of nighttime respiration.</w:t>
      </w:r>
      <w:r w:rsidR="00B23B3C" w:rsidRPr="00DE2BB5">
        <w:t xml:space="preserve"> </w:t>
      </w:r>
      <w:r w:rsidRPr="00DE2BB5">
        <w:t>In this way</w:t>
      </w:r>
      <w:r w:rsidR="00BC2AF3">
        <w:t>,</w:t>
      </w:r>
      <w:r w:rsidRPr="00DE2BB5">
        <w:t xml:space="preserve"> when the headspace remains closed</w:t>
      </w:r>
      <w:r w:rsidR="00BC2AF3">
        <w:t>,</w:t>
      </w:r>
      <w:r w:rsidRPr="00DE2BB5">
        <w:t xml:space="preserve"> O</w:t>
      </w:r>
      <w:r w:rsidRPr="00DE2BB5">
        <w:rPr>
          <w:vertAlign w:val="subscript"/>
        </w:rPr>
        <w:t>2</w:t>
      </w:r>
      <w:r w:rsidRPr="00DE2BB5">
        <w:t xml:space="preserve"> readings represent net O</w:t>
      </w:r>
      <w:r w:rsidRPr="00DE2BB5">
        <w:rPr>
          <w:vertAlign w:val="subscript"/>
        </w:rPr>
        <w:t>2</w:t>
      </w:r>
      <w:r w:rsidRPr="00DE2BB5">
        <w:t xml:space="preserve"> production (photosynthetic production – respiratory consumption).</w:t>
      </w:r>
      <w:r w:rsidR="00BC2AF3">
        <w:t xml:space="preserve"> </w:t>
      </w:r>
      <w:r w:rsidRPr="00DE2BB5">
        <w:t>Conversely</w:t>
      </w:r>
      <w:r w:rsidR="00FE2386" w:rsidRPr="00DE2BB5">
        <w:t>,</w:t>
      </w:r>
      <w:r w:rsidRPr="00DE2BB5">
        <w:t xml:space="preserve"> when the headspace is open at night</w:t>
      </w:r>
      <w:r w:rsidR="00BC2AF3">
        <w:t>,</w:t>
      </w:r>
      <w:r w:rsidRPr="00DE2BB5">
        <w:t xml:space="preserve"> atmospheric gas replaces what headspace O</w:t>
      </w:r>
      <w:r w:rsidRPr="00DE2BB5">
        <w:rPr>
          <w:vertAlign w:val="subscript"/>
        </w:rPr>
        <w:t>2</w:t>
      </w:r>
      <w:r w:rsidRPr="00DE2BB5">
        <w:t xml:space="preserve"> is consumed</w:t>
      </w:r>
      <w:r w:rsidR="00195F86" w:rsidRPr="00DE2BB5">
        <w:t>,</w:t>
      </w:r>
      <w:r w:rsidRPr="00DE2BB5">
        <w:t xml:space="preserve"> and no packing liquid enters the gas line. The result is that respiratory O</w:t>
      </w:r>
      <w:r w:rsidRPr="00DE2BB5">
        <w:rPr>
          <w:vertAlign w:val="subscript"/>
        </w:rPr>
        <w:t>2</w:t>
      </w:r>
      <w:r w:rsidRPr="00DE2BB5">
        <w:t xml:space="preserve"> consumption is not accounted for in O</w:t>
      </w:r>
      <w:r w:rsidRPr="00DE2BB5">
        <w:rPr>
          <w:vertAlign w:val="subscript"/>
        </w:rPr>
        <w:t>2</w:t>
      </w:r>
      <w:r w:rsidRPr="00DE2BB5">
        <w:t xml:space="preserve"> production data. This may reduce the accuracy of AFDW biomass growth </w:t>
      </w:r>
      <w:r w:rsidR="002F079C" w:rsidRPr="00DE2BB5">
        <w:t>estimates</w:t>
      </w:r>
      <w:r w:rsidR="00BF48A7" w:rsidRPr="00DE2BB5">
        <w:t>.</w:t>
      </w:r>
      <w:r w:rsidRPr="00DE2BB5">
        <w:t xml:space="preserve"> </w:t>
      </w:r>
      <w:r w:rsidR="00BF48A7" w:rsidRPr="00DE2BB5">
        <w:t>H</w:t>
      </w:r>
      <w:r w:rsidRPr="00DE2BB5">
        <w:t>owever, it should not impact the utility of using daytime O</w:t>
      </w:r>
      <w:r w:rsidRPr="00DE2BB5">
        <w:rPr>
          <w:vertAlign w:val="subscript"/>
        </w:rPr>
        <w:t>2</w:t>
      </w:r>
      <w:r w:rsidRPr="00DE2BB5">
        <w:t xml:space="preserve"> production as </w:t>
      </w:r>
      <w:r w:rsidR="00BC2AF3">
        <w:t xml:space="preserve">a </w:t>
      </w:r>
      <w:r w:rsidRPr="00DE2BB5">
        <w:t>metric to compare growth between treatments.</w:t>
      </w:r>
    </w:p>
    <w:p w14:paraId="6CD668E4" w14:textId="77777777" w:rsidR="007D2184" w:rsidRPr="00DE2BB5" w:rsidRDefault="007D2184" w:rsidP="00DE2BB5"/>
    <w:p w14:paraId="7882F354" w14:textId="35EEA419" w:rsidR="007D2184" w:rsidRPr="00DE2BB5" w:rsidRDefault="00947832" w:rsidP="00DE2BB5">
      <w:r w:rsidRPr="00DE2BB5">
        <w:t>A</w:t>
      </w:r>
      <w:r w:rsidR="003B74EB" w:rsidRPr="00DE2BB5">
        <w:t>ll laboratory PBRs</w:t>
      </w:r>
      <w:r w:rsidRPr="00DE2BB5">
        <w:t xml:space="preserve"> are afflicted by the same limitation</w:t>
      </w:r>
      <w:r w:rsidR="00B32089">
        <w:t>;</w:t>
      </w:r>
      <w:r w:rsidR="003B74EB" w:rsidRPr="00DE2BB5">
        <w:t xml:space="preserve"> artificial lights </w:t>
      </w:r>
      <w:r w:rsidRPr="00DE2BB5">
        <w:t>cannot replicate the</w:t>
      </w:r>
      <w:r w:rsidR="003B74EB" w:rsidRPr="00DE2BB5">
        <w:t xml:space="preserve"> </w:t>
      </w:r>
      <w:r w:rsidRPr="00DE2BB5">
        <w:t xml:space="preserve">solar </w:t>
      </w:r>
      <w:r w:rsidRPr="00DE2BB5">
        <w:lastRenderedPageBreak/>
        <w:t>spectrum</w:t>
      </w:r>
      <w:r w:rsidR="003B74EB" w:rsidRPr="00DE2BB5">
        <w:t>.</w:t>
      </w:r>
      <w:r w:rsidR="008718AD" w:rsidRPr="00DE2BB5">
        <w:t xml:space="preserve"> </w:t>
      </w:r>
      <w:r w:rsidR="00CA1398" w:rsidRPr="00DE2BB5">
        <w:t xml:space="preserve">Microalgae use </w:t>
      </w:r>
      <w:r w:rsidR="00466BF7" w:rsidRPr="00DE2BB5">
        <w:t>wavelengths of light between 400</w:t>
      </w:r>
      <w:r w:rsidR="007D7BE4">
        <w:t>–</w:t>
      </w:r>
      <w:r w:rsidR="00466BF7" w:rsidRPr="00DE2BB5">
        <w:t>700 nm for photosynthesis</w:t>
      </w:r>
      <w:r w:rsidR="009D14AE">
        <w:t>.</w:t>
      </w:r>
      <w:r w:rsidR="009E3F8F">
        <w:t xml:space="preserve"> </w:t>
      </w:r>
      <w:r w:rsidR="009D14AE">
        <w:t>T</w:t>
      </w:r>
      <w:r w:rsidR="00466BF7" w:rsidRPr="00DE2BB5">
        <w:t>h</w:t>
      </w:r>
      <w:r w:rsidR="009A11DE">
        <w:t>is region</w:t>
      </w:r>
      <w:r w:rsidR="00466BF7" w:rsidRPr="00DE2BB5">
        <w:t xml:space="preserve"> is referred to as </w:t>
      </w:r>
      <w:r w:rsidR="008718AD" w:rsidRPr="00DE2BB5">
        <w:t>photosynthetically active radiation (PAR)</w:t>
      </w:r>
      <w:r w:rsidR="00307629">
        <w:rPr>
          <w:vertAlign w:val="superscript"/>
        </w:rPr>
        <w:t>3</w:t>
      </w:r>
      <w:r w:rsidR="00652ACD">
        <w:rPr>
          <w:vertAlign w:val="superscript"/>
        </w:rPr>
        <w:t>3</w:t>
      </w:r>
      <w:r w:rsidR="003B74EB" w:rsidRPr="00DE2BB5">
        <w:t>. Sunlight and artificial light vary in their relative contribution of wavelengths within this range. This, alongside favorable temperatures and a constant light supply, mean</w:t>
      </w:r>
      <w:r w:rsidR="00B32089">
        <w:t>s</w:t>
      </w:r>
      <w:r w:rsidR="003B74EB" w:rsidRPr="00DE2BB5">
        <w:t xml:space="preserve"> that laboratory growth data often cannot be reliably extrapolated to outdoor conditions. These PBRs can</w:t>
      </w:r>
      <w:r w:rsidR="00B32089">
        <w:t>,</w:t>
      </w:r>
      <w:r w:rsidR="003B74EB" w:rsidRPr="00DE2BB5">
        <w:t xml:space="preserve"> however</w:t>
      </w:r>
      <w:r w:rsidR="00B32089">
        <w:t>,</w:t>
      </w:r>
      <w:r w:rsidR="003B74EB" w:rsidRPr="00DE2BB5">
        <w:t xml:space="preserve"> address one of the limitations of laboratory PBR light supply. Sunlight intensity is highly variable throughout the </w:t>
      </w:r>
      <w:r w:rsidR="00B32089">
        <w:t>day,</w:t>
      </w:r>
      <w:r w:rsidR="003B74EB" w:rsidRPr="00DE2BB5">
        <w:t xml:space="preserve"> with cloud cover generating transient fluctuations in incident PAR. </w:t>
      </w:r>
      <w:r w:rsidR="00583249">
        <w:t>T</w:t>
      </w:r>
      <w:r w:rsidR="003B74EB" w:rsidRPr="00DE2BB5">
        <w:t xml:space="preserve">he </w:t>
      </w:r>
      <w:r w:rsidR="00C042C8" w:rsidRPr="00DE2BB5">
        <w:t xml:space="preserve">lighting control </w:t>
      </w:r>
      <w:r w:rsidR="003B74EB" w:rsidRPr="00DE2BB5">
        <w:t xml:space="preserve">software and DMX </w:t>
      </w:r>
      <w:r w:rsidR="00941BA5" w:rsidRPr="00DE2BB5">
        <w:t xml:space="preserve">lighting </w:t>
      </w:r>
      <w:r w:rsidR="003B74EB" w:rsidRPr="00DE2BB5">
        <w:t>controller can provide light intensities from 0 to 2400 µmol</w:t>
      </w:r>
      <w:r w:rsidR="003B74EB" w:rsidRPr="00DE2BB5">
        <w:rPr>
          <w:vertAlign w:val="subscript"/>
        </w:rPr>
        <w:t>photons</w:t>
      </w:r>
      <w:r w:rsidR="00744D43">
        <w:t xml:space="preserve"> </w:t>
      </w:r>
      <w:r w:rsidR="003B74EB" w:rsidRPr="00DE2BB5">
        <w:t>m</w:t>
      </w:r>
      <w:r w:rsidR="003B74EB" w:rsidRPr="00DE2BB5">
        <w:rPr>
          <w:vertAlign w:val="superscript"/>
        </w:rPr>
        <w:t>-2</w:t>
      </w:r>
      <w:r w:rsidR="00744D43">
        <w:t xml:space="preserve"> </w:t>
      </w:r>
      <w:r w:rsidR="003B74EB" w:rsidRPr="00DE2BB5">
        <w:t>s</w:t>
      </w:r>
      <w:r w:rsidR="003B74EB" w:rsidRPr="00DE2BB5">
        <w:rPr>
          <w:vertAlign w:val="superscript"/>
        </w:rPr>
        <w:t>-1</w:t>
      </w:r>
      <w:r w:rsidR="003B74EB" w:rsidRPr="00DE2BB5">
        <w:t xml:space="preserve"> and beyond. Light regimes can be broken down into individual increments as short as </w:t>
      </w:r>
      <w:r w:rsidR="00FD2CCF">
        <w:t>1 s</w:t>
      </w:r>
      <w:r w:rsidR="003B74EB" w:rsidRPr="00DE2BB5">
        <w:t>. Tunable light intensity allows the user to mimic outdoor light patterns more closely than standard PBR set-ups. Here</w:t>
      </w:r>
      <w:r w:rsidR="00FD2CCF">
        <w:t>,</w:t>
      </w:r>
      <w:r w:rsidR="003B74EB" w:rsidRPr="00DE2BB5">
        <w:t xml:space="preserve"> simulated 30</w:t>
      </w:r>
      <w:r w:rsidR="00744D43">
        <w:t xml:space="preserve"> </w:t>
      </w:r>
      <w:r w:rsidR="003B74EB" w:rsidRPr="00DE2BB5">
        <w:t>min dawn and dusk intervals fade day and night cycles together (</w:t>
      </w:r>
      <w:r w:rsidR="003B74EB" w:rsidRPr="00DE2BB5">
        <w:rPr>
          <w:b/>
          <w:bCs/>
        </w:rPr>
        <w:t>Supplementary Table 1</w:t>
      </w:r>
      <w:r w:rsidR="003B74EB" w:rsidRPr="00DE2BB5">
        <w:t>).</w:t>
      </w:r>
    </w:p>
    <w:p w14:paraId="52BDCB23" w14:textId="77777777" w:rsidR="007D2184" w:rsidRPr="00DE2BB5" w:rsidRDefault="007D2184" w:rsidP="00DE2BB5"/>
    <w:p w14:paraId="5626CDAA" w14:textId="7E27F94F" w:rsidR="007D2184" w:rsidRPr="00DE2BB5" w:rsidRDefault="003B74EB" w:rsidP="00DE2BB5">
      <w:r w:rsidRPr="00DE2BB5">
        <w:t xml:space="preserve">Although </w:t>
      </w:r>
      <w:r w:rsidR="00A1560F" w:rsidRPr="00DE2BB5">
        <w:t xml:space="preserve">AFDW density has become the standard measure of </w:t>
      </w:r>
      <w:r w:rsidR="004817CE" w:rsidRPr="00DE2BB5">
        <w:t>growth</w:t>
      </w:r>
      <w:r w:rsidRPr="00DE2BB5">
        <w:t xml:space="preserve">, this method </w:t>
      </w:r>
      <w:r w:rsidR="004817CE" w:rsidRPr="00DE2BB5">
        <w:t>can require substantial</w:t>
      </w:r>
      <w:r w:rsidRPr="00DE2BB5">
        <w:t xml:space="preserve"> culture volumes, a </w:t>
      </w:r>
      <w:r w:rsidR="00F84061" w:rsidRPr="00DE2BB5">
        <w:t>2</w:t>
      </w:r>
      <w:r w:rsidR="00FD2CCF">
        <w:t>–</w:t>
      </w:r>
      <w:r w:rsidR="00F84061" w:rsidRPr="00DE2BB5">
        <w:t>3-day</w:t>
      </w:r>
      <w:r w:rsidRPr="00DE2BB5">
        <w:t xml:space="preserve"> processing period, and generates one data point at a time. Further, if conditions become unfavorable and cells die, AFDW density does not discriminate between </w:t>
      </w:r>
      <w:r w:rsidR="00CF3B0A">
        <w:t>actively photosynthesizing cells and those</w:t>
      </w:r>
      <w:r w:rsidRPr="00DE2BB5">
        <w:t xml:space="preserve"> that are de</w:t>
      </w:r>
      <w:r w:rsidR="00355080" w:rsidRPr="00DE2BB5">
        <w:t>composing</w:t>
      </w:r>
      <w:r w:rsidRPr="00DE2BB5">
        <w:t xml:space="preserve">. Quantifying the rate of photosynthetic oxygen production serves as an alternative growth proxy. This PBR design can record oxygen production continuously with </w:t>
      </w:r>
      <w:r w:rsidR="00FD2CCF" w:rsidRPr="00DE2BB5">
        <w:t>littl</w:t>
      </w:r>
      <w:r w:rsidR="00FD2CCF">
        <w:t>e</w:t>
      </w:r>
      <w:r w:rsidR="00FD2CCF" w:rsidRPr="00DE2BB5">
        <w:t xml:space="preserve"> </w:t>
      </w:r>
      <w:r w:rsidRPr="00DE2BB5">
        <w:t xml:space="preserve">user intervention while conserving culture volume. </w:t>
      </w:r>
      <w:r w:rsidR="00B756A7">
        <w:t>Data resolution</w:t>
      </w:r>
      <w:r w:rsidR="00EA68A8" w:rsidRPr="00DE2BB5">
        <w:t xml:space="preserve"> could be improved by </w:t>
      </w:r>
      <w:r w:rsidR="00B2671B" w:rsidRPr="00DE2BB5">
        <w:t xml:space="preserve">selecting a gas sensor with a </w:t>
      </w:r>
      <w:r w:rsidR="003C1F13" w:rsidRPr="00DE2BB5">
        <w:t>lower measurement cell volume, e.g., 1 mL.</w:t>
      </w:r>
      <w:r w:rsidR="00B756A7">
        <w:t xml:space="preserve"> </w:t>
      </w:r>
      <w:r w:rsidR="003C1F13" w:rsidRPr="00DE2BB5">
        <w:t>Further, i</w:t>
      </w:r>
      <w:r w:rsidR="006C66EF" w:rsidRPr="00DE2BB5">
        <w:t xml:space="preserve">f cultures </w:t>
      </w:r>
      <w:r w:rsidR="007C3A6F" w:rsidRPr="00DE2BB5">
        <w:t>are well-mixed</w:t>
      </w:r>
      <w:r w:rsidR="006C66EF" w:rsidRPr="00DE2BB5">
        <w:t xml:space="preserve">, users may decide to install a spectrophotometer for continuous </w:t>
      </w:r>
      <w:r w:rsidR="00EA68A8" w:rsidRPr="00DE2BB5">
        <w:t>optical density readings.</w:t>
      </w:r>
      <w:r w:rsidR="006608A1" w:rsidRPr="00DE2BB5">
        <w:t xml:space="preserve"> If temperature control of </w:t>
      </w:r>
      <w:r w:rsidR="00B756A7">
        <w:t xml:space="preserve">the </w:t>
      </w:r>
      <w:r w:rsidR="006608A1" w:rsidRPr="00DE2BB5">
        <w:t xml:space="preserve">medium is desired, a recirculating chiller could be added. </w:t>
      </w:r>
      <w:r w:rsidRPr="00DE2BB5">
        <w:t xml:space="preserve">These PBRs are a valuable addition to a laboratory </w:t>
      </w:r>
      <w:r w:rsidR="00877A06" w:rsidRPr="00DE2BB5">
        <w:t xml:space="preserve">looking to expand </w:t>
      </w:r>
      <w:r w:rsidR="00B756A7">
        <w:t>its</w:t>
      </w:r>
      <w:r w:rsidR="00877A06" w:rsidRPr="00DE2BB5">
        <w:t xml:space="preserve"> microalgal research capacity</w:t>
      </w:r>
      <w:r w:rsidR="0012027E" w:rsidRPr="00DE2BB5">
        <w:t xml:space="preserve"> without heavy financial investment</w:t>
      </w:r>
      <w:r w:rsidR="00F23859" w:rsidRPr="00DE2BB5">
        <w:t xml:space="preserve">. </w:t>
      </w:r>
      <w:r w:rsidRPr="00DE2BB5">
        <w:t>They are particularly suitable for those working with high alkalinity</w:t>
      </w:r>
      <w:r w:rsidR="00B756A7">
        <w:t>,</w:t>
      </w:r>
      <w:r w:rsidRPr="00DE2BB5">
        <w:t xml:space="preserve"> high pH species like </w:t>
      </w:r>
      <w:r w:rsidRPr="00DE2BB5">
        <w:rPr>
          <w:i/>
          <w:iCs/>
        </w:rPr>
        <w:t>Spirulina</w:t>
      </w:r>
      <w:r w:rsidRPr="00DE2BB5">
        <w:t>.</w:t>
      </w:r>
      <w:r w:rsidR="00E061C5" w:rsidRPr="00DE2BB5">
        <w:t xml:space="preserve"> </w:t>
      </w:r>
      <w:r w:rsidRPr="00DE2BB5">
        <w:t xml:space="preserve">These PBRs offer light regime flexibility and are </w:t>
      </w:r>
      <w:r w:rsidR="00B756A7">
        <w:t>valid</w:t>
      </w:r>
      <w:r w:rsidRPr="00DE2BB5">
        <w:t xml:space="preserve"> for rapid, replicated, laboratory growth comparisons.</w:t>
      </w:r>
    </w:p>
    <w:p w14:paraId="29ACC555" w14:textId="77777777" w:rsidR="007D2184" w:rsidRPr="00DE2BB5" w:rsidRDefault="007D2184" w:rsidP="00DE2BB5">
      <w:pPr>
        <w:rPr>
          <w:color w:val="000000"/>
        </w:rPr>
      </w:pPr>
    </w:p>
    <w:p w14:paraId="641B07CC" w14:textId="5E94539E" w:rsidR="007D2184" w:rsidRPr="00DE2BB5" w:rsidRDefault="003B74EB" w:rsidP="00DE2BB5">
      <w:pPr>
        <w:rPr>
          <w:color w:val="808080"/>
        </w:rPr>
      </w:pPr>
      <w:r w:rsidRPr="00DE2BB5">
        <w:rPr>
          <w:b/>
          <w:color w:val="000000"/>
        </w:rPr>
        <w:t>ACKNOWLEDGMENTS</w:t>
      </w:r>
      <w:r w:rsidR="00E94403" w:rsidRPr="00DE2BB5">
        <w:rPr>
          <w:b/>
          <w:color w:val="000000"/>
        </w:rPr>
        <w:t>:</w:t>
      </w:r>
    </w:p>
    <w:p w14:paraId="52DE4249" w14:textId="7B58C16A" w:rsidR="00244A41" w:rsidRPr="00DE2BB5" w:rsidRDefault="00FC4A85" w:rsidP="00DE2BB5">
      <w:pPr>
        <w:rPr>
          <w:bCs/>
        </w:rPr>
      </w:pPr>
      <w:r w:rsidRPr="00DE2BB5">
        <w:rPr>
          <w:bCs/>
        </w:rPr>
        <w:t xml:space="preserve">This study was supported by the Natural Sciences and Engineering Research Council (NSERC), Canada Foundation for Innovation (CFI), Canada First Research Excellence Fund (CFREF), Alberta Innovates, </w:t>
      </w:r>
      <w:r w:rsidR="00986C69" w:rsidRPr="00DE2BB5">
        <w:rPr>
          <w:bCs/>
        </w:rPr>
        <w:t xml:space="preserve">General Sir John Monash Foundation, </w:t>
      </w:r>
      <w:r w:rsidRPr="00DE2BB5">
        <w:rPr>
          <w:bCs/>
        </w:rPr>
        <w:t>the Government of Alberta, and the University of Calgary.</w:t>
      </w:r>
      <w:r w:rsidR="00244A41" w:rsidRPr="00DE2BB5">
        <w:rPr>
          <w:bCs/>
        </w:rPr>
        <w:t xml:space="preserve"> </w:t>
      </w:r>
      <w:r w:rsidR="00B6532D" w:rsidRPr="00DE2BB5">
        <w:rPr>
          <w:bCs/>
        </w:rPr>
        <w:t xml:space="preserve">Thanks </w:t>
      </w:r>
      <w:r w:rsidR="00F03946">
        <w:rPr>
          <w:bCs/>
        </w:rPr>
        <w:t>is</w:t>
      </w:r>
      <w:r w:rsidR="00F03946" w:rsidRPr="00DE2BB5">
        <w:rPr>
          <w:bCs/>
        </w:rPr>
        <w:t xml:space="preserve"> </w:t>
      </w:r>
      <w:r w:rsidR="00B6532D" w:rsidRPr="00DE2BB5">
        <w:rPr>
          <w:bCs/>
        </w:rPr>
        <w:t>extended to</w:t>
      </w:r>
      <w:r w:rsidR="00723556" w:rsidRPr="00DE2BB5">
        <w:rPr>
          <w:bCs/>
        </w:rPr>
        <w:t xml:space="preserve"> Mark Toonen for </w:t>
      </w:r>
      <w:r w:rsidR="000809CE" w:rsidRPr="00DE2BB5">
        <w:rPr>
          <w:bCs/>
        </w:rPr>
        <w:t xml:space="preserve">the electrical work and William Richardson for </w:t>
      </w:r>
      <w:r w:rsidR="007A6022" w:rsidRPr="00DE2BB5">
        <w:rPr>
          <w:bCs/>
        </w:rPr>
        <w:t>solubility calculations.</w:t>
      </w:r>
    </w:p>
    <w:p w14:paraId="7B461009" w14:textId="77777777" w:rsidR="00FC4A85" w:rsidRPr="00DE2BB5" w:rsidRDefault="00FC4A85" w:rsidP="00DE2BB5">
      <w:pPr>
        <w:rPr>
          <w:bCs/>
        </w:rPr>
      </w:pPr>
    </w:p>
    <w:p w14:paraId="26D5EE19" w14:textId="17010ABA" w:rsidR="007D2184" w:rsidRPr="00DE2BB5" w:rsidRDefault="003B74EB" w:rsidP="00DE2BB5">
      <w:pPr>
        <w:rPr>
          <w:color w:val="808080"/>
        </w:rPr>
      </w:pPr>
      <w:r w:rsidRPr="00DE2BB5">
        <w:rPr>
          <w:b/>
          <w:color w:val="000000"/>
        </w:rPr>
        <w:t>DISCLOSURES:</w:t>
      </w:r>
    </w:p>
    <w:p w14:paraId="781BF79E" w14:textId="77777777" w:rsidR="007D2184" w:rsidRPr="00DE2BB5" w:rsidRDefault="003B74EB" w:rsidP="00DE2BB5">
      <w:r w:rsidRPr="00DE2BB5">
        <w:t>The authors have nothing to disclose.</w:t>
      </w:r>
    </w:p>
    <w:p w14:paraId="63F74DA0" w14:textId="77777777" w:rsidR="007D2184" w:rsidRPr="00DE2BB5" w:rsidRDefault="007D2184" w:rsidP="00DE2BB5">
      <w:pPr>
        <w:rPr>
          <w:color w:val="000000"/>
        </w:rPr>
      </w:pPr>
    </w:p>
    <w:p w14:paraId="63432FC6" w14:textId="6E6C2E08" w:rsidR="00A6492B" w:rsidRPr="00B10C2B" w:rsidRDefault="003511EA" w:rsidP="00B10C2B">
      <w:pPr>
        <w:keepNext/>
        <w:outlineLvl w:val="1"/>
        <w:rPr>
          <w:b/>
          <w:color w:val="000000"/>
        </w:rPr>
      </w:pPr>
      <w:bookmarkStart w:id="0" w:name="30j0zll"/>
      <w:bookmarkStart w:id="1" w:name="3rdcrjn"/>
      <w:bookmarkStart w:id="2" w:name="2s8eyo1"/>
      <w:bookmarkStart w:id="3" w:name="4d34og8"/>
      <w:bookmarkStart w:id="4" w:name="3dy6vkm"/>
      <w:bookmarkEnd w:id="0"/>
      <w:bookmarkEnd w:id="1"/>
      <w:bookmarkEnd w:id="2"/>
      <w:bookmarkEnd w:id="3"/>
      <w:bookmarkEnd w:id="4"/>
      <w:r w:rsidRPr="00B10C2B">
        <w:rPr>
          <w:b/>
          <w:color w:val="000000"/>
        </w:rPr>
        <w:t>REFERENCES:</w:t>
      </w:r>
    </w:p>
    <w:p w14:paraId="339FBFAE" w14:textId="1E0547EE" w:rsidR="000E3C23" w:rsidRPr="00B10C2B" w:rsidRDefault="000E3C23" w:rsidP="00B10C2B">
      <w:r w:rsidRPr="00B10C2B">
        <w:t>1. Benemann, J. R. Opportunities and challenges in algae biofuels production. A position paper in line with Algae World (2008).</w:t>
      </w:r>
    </w:p>
    <w:p w14:paraId="128955F9" w14:textId="77777777" w:rsidR="000E3C23" w:rsidRPr="00B10C2B" w:rsidRDefault="000E3C23" w:rsidP="00B10C2B">
      <w:r w:rsidRPr="00B10C2B">
        <w:t xml:space="preserve">2. Laurens, L. M. L. State of technology review – algae bioenergy. An IEA bioenergy inter-task strategic project. </w:t>
      </w:r>
      <w:r w:rsidRPr="00B10C2B">
        <w:rPr>
          <w:i/>
          <w:iCs/>
        </w:rPr>
        <w:t>IEA Bioenergy</w:t>
      </w:r>
      <w:r w:rsidRPr="00B10C2B">
        <w:t xml:space="preserve"> (2017).</w:t>
      </w:r>
    </w:p>
    <w:p w14:paraId="39B3EA2E" w14:textId="1D594BBF" w:rsidR="000E3C23" w:rsidRPr="00B10C2B" w:rsidRDefault="000E3C23" w:rsidP="00B10C2B">
      <w:r w:rsidRPr="00B10C2B">
        <w:t>3. Robertson, D. E.</w:t>
      </w:r>
      <w:r w:rsidR="001804B0" w:rsidRPr="00B10C2B">
        <w:t xml:space="preserve"> et al</w:t>
      </w:r>
      <w:r w:rsidRPr="00B10C2B">
        <w:t xml:space="preserve">. A new dawn for industrial photosynthesis. </w:t>
      </w:r>
      <w:r w:rsidRPr="00B10C2B">
        <w:rPr>
          <w:i/>
          <w:iCs/>
        </w:rPr>
        <w:t>Photosynthesis Research</w:t>
      </w:r>
      <w:r w:rsidRPr="00B10C2B">
        <w:t xml:space="preserve">. </w:t>
      </w:r>
      <w:r w:rsidRPr="00B10C2B">
        <w:rPr>
          <w:b/>
          <w:bCs/>
        </w:rPr>
        <w:t>107</w:t>
      </w:r>
      <w:r w:rsidRPr="00B10C2B">
        <w:t xml:space="preserve">, </w:t>
      </w:r>
      <w:r w:rsidRPr="00B10C2B">
        <w:lastRenderedPageBreak/>
        <w:t>269</w:t>
      </w:r>
      <w:r w:rsidR="001804B0" w:rsidRPr="00B10C2B">
        <w:t>–</w:t>
      </w:r>
      <w:r w:rsidRPr="00B10C2B">
        <w:t>277 (2011).</w:t>
      </w:r>
    </w:p>
    <w:p w14:paraId="462BAD71" w14:textId="05BB97EF" w:rsidR="000E3C23" w:rsidRPr="00B10C2B" w:rsidRDefault="000E3C23" w:rsidP="00B10C2B">
      <w:r w:rsidRPr="00B10C2B">
        <w:t xml:space="preserve">4. Troschl, C., Meixner, K., Drosg, B. Cyanobacterial PHA production—review of recent advances and a summary of three years' working experience running a pilot plant. </w:t>
      </w:r>
      <w:r w:rsidRPr="00B10C2B">
        <w:rPr>
          <w:i/>
          <w:iCs/>
        </w:rPr>
        <w:t>Bioengineering</w:t>
      </w:r>
      <w:r w:rsidRPr="00B10C2B">
        <w:t xml:space="preserve">. </w:t>
      </w:r>
      <w:r w:rsidRPr="00B10C2B">
        <w:rPr>
          <w:b/>
          <w:bCs/>
        </w:rPr>
        <w:t>4</w:t>
      </w:r>
      <w:r w:rsidRPr="00B10C2B">
        <w:t xml:space="preserve"> (2) (2017).</w:t>
      </w:r>
    </w:p>
    <w:p w14:paraId="14A9B3E0" w14:textId="59F4BD89" w:rsidR="000E3C23" w:rsidRPr="00B10C2B" w:rsidRDefault="000E3C23" w:rsidP="00B10C2B">
      <w:r w:rsidRPr="00B10C2B">
        <w:t>5. Rizwan, M., Mujtaba, G., Memon, S.</w:t>
      </w:r>
      <w:r w:rsidR="00186D08">
        <w:t xml:space="preserve"> </w:t>
      </w:r>
      <w:r w:rsidRPr="00B10C2B">
        <w:t xml:space="preserve">A., Lee, K., Rashid, N. Exploring the potential of microalgae for new biotechnology applications and beyond: a review. </w:t>
      </w:r>
      <w:r w:rsidRPr="00B10C2B">
        <w:rPr>
          <w:i/>
          <w:iCs/>
        </w:rPr>
        <w:t>Renewable and Sustainable Energy Reviews</w:t>
      </w:r>
      <w:r w:rsidRPr="00B10C2B">
        <w:t xml:space="preserve">. </w:t>
      </w:r>
      <w:r w:rsidRPr="00B10C2B">
        <w:rPr>
          <w:b/>
          <w:bCs/>
        </w:rPr>
        <w:t>92</w:t>
      </w:r>
      <w:r w:rsidRPr="00B10C2B">
        <w:t>, 394–404 (2018).</w:t>
      </w:r>
    </w:p>
    <w:p w14:paraId="4D665A76" w14:textId="412A7403" w:rsidR="000E3C23" w:rsidRPr="00B10C2B" w:rsidRDefault="000E3C23" w:rsidP="00B10C2B">
      <w:pPr>
        <w:rPr>
          <w:b/>
          <w:bCs/>
        </w:rPr>
      </w:pPr>
      <w:r w:rsidRPr="00B10C2B">
        <w:t xml:space="preserve">6. Niesa, F. et al. Characterization of </w:t>
      </w:r>
      <w:r w:rsidRPr="00B10C2B">
        <w:rPr>
          <w:i/>
          <w:iCs/>
        </w:rPr>
        <w:t>Phormidium lacuna</w:t>
      </w:r>
      <w:r w:rsidRPr="00B10C2B">
        <w:t xml:space="preserve"> strains from the North Sea and the Mediterranean Sea for biotechnological applications. </w:t>
      </w:r>
      <w:r w:rsidRPr="00B10C2B">
        <w:rPr>
          <w:i/>
          <w:iCs/>
        </w:rPr>
        <w:t>Process Biochemistry</w:t>
      </w:r>
      <w:r w:rsidRPr="00B10C2B">
        <w:t xml:space="preserve">. </w:t>
      </w:r>
      <w:r w:rsidRPr="00B10C2B">
        <w:rPr>
          <w:b/>
          <w:bCs/>
        </w:rPr>
        <w:t>59</w:t>
      </w:r>
      <w:r w:rsidRPr="00B10C2B">
        <w:t>, 194</w:t>
      </w:r>
      <w:r w:rsidR="001804B0" w:rsidRPr="00B10C2B">
        <w:t>–</w:t>
      </w:r>
      <w:r w:rsidRPr="00B10C2B">
        <w:t>206 (2017).</w:t>
      </w:r>
    </w:p>
    <w:p w14:paraId="6AA942A5" w14:textId="7709A356" w:rsidR="000E3C23" w:rsidRPr="00B10C2B" w:rsidRDefault="000E3C23" w:rsidP="00B10C2B">
      <w:r w:rsidRPr="00B10C2B">
        <w:t xml:space="preserve">7. Laurens, L. M. L., Chen-Glasser, M., McMillan, J. D. A perspective on renewable bioenergy from photosynthetic algae as feedstock for biofuels and bioproducts. </w:t>
      </w:r>
      <w:r w:rsidRPr="00B10C2B">
        <w:rPr>
          <w:i/>
          <w:iCs/>
        </w:rPr>
        <w:t>Algal Research</w:t>
      </w:r>
      <w:r w:rsidRPr="00B10C2B">
        <w:t xml:space="preserve">. </w:t>
      </w:r>
      <w:r w:rsidRPr="00B10C2B">
        <w:rPr>
          <w:b/>
          <w:bCs/>
        </w:rPr>
        <w:t>24</w:t>
      </w:r>
      <w:r w:rsidRPr="00B10C2B">
        <w:t>, 261–264 (2017).</w:t>
      </w:r>
    </w:p>
    <w:p w14:paraId="7A6EB5B7" w14:textId="47CC0E4E" w:rsidR="000E3C23" w:rsidRPr="00B10C2B" w:rsidRDefault="000E3C23" w:rsidP="00B10C2B">
      <w:r w:rsidRPr="00B10C2B">
        <w:t xml:space="preserve">8. Barreiro-Vescovo, S., Barbera, E., Bertucco, A., Sforza, E. Integration of microalgae cultivation in a biogas production process from organic municipal solid waste: From laboratory to pilot scale. </w:t>
      </w:r>
      <w:r w:rsidRPr="00B10C2B">
        <w:rPr>
          <w:i/>
          <w:iCs/>
        </w:rPr>
        <w:t>ChemEngineering</w:t>
      </w:r>
      <w:r w:rsidRPr="00B10C2B">
        <w:t xml:space="preserve">. </w:t>
      </w:r>
      <w:r w:rsidRPr="00B10C2B">
        <w:rPr>
          <w:b/>
          <w:bCs/>
        </w:rPr>
        <w:t>4</w:t>
      </w:r>
      <w:r w:rsidRPr="00B10C2B">
        <w:t xml:space="preserve"> (2), 26 (2020).</w:t>
      </w:r>
    </w:p>
    <w:p w14:paraId="043E1E67" w14:textId="111D57F8" w:rsidR="000E3C23" w:rsidRPr="00B10C2B" w:rsidRDefault="000E3C23" w:rsidP="00B10C2B">
      <w:r w:rsidRPr="00B10C2B">
        <w:t xml:space="preserve">9. Zurano, A.S. et al. Year-long assessment of a pilot-scale thin-layer reactor for microalgae wastewater treatment. Variation in the microalgae-bacteria consortium and the impact of environmental conditions. </w:t>
      </w:r>
      <w:r w:rsidRPr="00B10C2B">
        <w:rPr>
          <w:i/>
          <w:iCs/>
        </w:rPr>
        <w:t>Algal Research</w:t>
      </w:r>
      <w:r w:rsidRPr="00B10C2B">
        <w:t xml:space="preserve">. </w:t>
      </w:r>
      <w:r w:rsidRPr="00B10C2B">
        <w:rPr>
          <w:b/>
          <w:bCs/>
        </w:rPr>
        <w:t>50</w:t>
      </w:r>
      <w:r w:rsidRPr="00B10C2B">
        <w:t xml:space="preserve"> (2020).</w:t>
      </w:r>
    </w:p>
    <w:p w14:paraId="5E20FEB4" w14:textId="2DC478DF" w:rsidR="000E3C23" w:rsidRPr="00B10C2B" w:rsidRDefault="000E3C23" w:rsidP="00B10C2B">
      <w:r w:rsidRPr="00B10C2B">
        <w:t xml:space="preserve">10. Deprá, M. C., Severo, I. A., Dias, R. R., Zepka, L. Q., Jacob-Lopes, E. Photobioreactor design for microalgae culture. In </w:t>
      </w:r>
      <w:r w:rsidRPr="00B10C2B">
        <w:rPr>
          <w:i/>
          <w:iCs/>
        </w:rPr>
        <w:t xml:space="preserve">Microalgae. </w:t>
      </w:r>
      <w:r w:rsidRPr="00B10C2B">
        <w:t>Elsevier, 35–61 (2021).</w:t>
      </w:r>
    </w:p>
    <w:p w14:paraId="32D81C74" w14:textId="5A22A911" w:rsidR="000E3C23" w:rsidRPr="00B10C2B" w:rsidRDefault="000E3C23" w:rsidP="00B10C2B">
      <w:r w:rsidRPr="00B10C2B">
        <w:t xml:space="preserve">11. Osburn, F. S., Wagner, N. D., Scott, J. T. Biological stoichiometry and growth dynamics of a diazotrophic cyanobacteria in nitrogen sufficient and deficient conditions. </w:t>
      </w:r>
      <w:r w:rsidRPr="00B10C2B">
        <w:rPr>
          <w:i/>
          <w:iCs/>
        </w:rPr>
        <w:t>Harmful Algae</w:t>
      </w:r>
      <w:r w:rsidRPr="00B10C2B">
        <w:t xml:space="preserve">. </w:t>
      </w:r>
      <w:r w:rsidRPr="00B10C2B">
        <w:rPr>
          <w:b/>
          <w:bCs/>
        </w:rPr>
        <w:t>103</w:t>
      </w:r>
      <w:r w:rsidRPr="00B10C2B">
        <w:t xml:space="preserve"> (2021).</w:t>
      </w:r>
    </w:p>
    <w:p w14:paraId="27C8588C" w14:textId="2B9FD7DF" w:rsidR="000E3C23" w:rsidRPr="00B10C2B" w:rsidRDefault="000E3C23" w:rsidP="00B10C2B">
      <w:r w:rsidRPr="00B10C2B">
        <w:t xml:space="preserve">12. Eustance, E., Badvipour, S., Wray, J. T., Sommerfeld, M. R. Biomass productivity of two Scenedesmus strains cultivated semi-continuously in outdoor raceway ponds and flat-panel photobioreactors. </w:t>
      </w:r>
      <w:r w:rsidRPr="00B10C2B">
        <w:rPr>
          <w:i/>
          <w:iCs/>
        </w:rPr>
        <w:t>Journal of Applied Phycology</w:t>
      </w:r>
      <w:r w:rsidRPr="00B10C2B">
        <w:t xml:space="preserve">. </w:t>
      </w:r>
      <w:r w:rsidRPr="00B10C2B">
        <w:rPr>
          <w:b/>
          <w:bCs/>
        </w:rPr>
        <w:t>28</w:t>
      </w:r>
      <w:r w:rsidRPr="00B10C2B">
        <w:t xml:space="preserve"> (3), 1471</w:t>
      </w:r>
      <w:r w:rsidR="00184739" w:rsidRPr="00B10C2B">
        <w:t>–</w:t>
      </w:r>
      <w:r w:rsidRPr="00B10C2B">
        <w:t>1483 (2016).</w:t>
      </w:r>
    </w:p>
    <w:p w14:paraId="4BF9B47F" w14:textId="01C83CF8" w:rsidR="000E3C23" w:rsidRPr="00B10C2B" w:rsidRDefault="000E3C23" w:rsidP="00B10C2B">
      <w:r w:rsidRPr="00B10C2B">
        <w:t xml:space="preserve">13. Qiang, H., Richmond, A., Zarmi, Y. Combined effects of light intensity, light-path and culture density on output rate of spirulina platensis (cyanobacteria). </w:t>
      </w:r>
      <w:r w:rsidRPr="00B10C2B">
        <w:rPr>
          <w:i/>
          <w:iCs/>
        </w:rPr>
        <w:t>European Journal of Phycology</w:t>
      </w:r>
      <w:r w:rsidR="00CF5771" w:rsidRPr="00B10C2B">
        <w:t>.</w:t>
      </w:r>
      <w:r w:rsidRPr="00B10C2B">
        <w:t xml:space="preserve"> </w:t>
      </w:r>
      <w:r w:rsidRPr="00B10C2B">
        <w:rPr>
          <w:b/>
          <w:bCs/>
        </w:rPr>
        <w:t>33</w:t>
      </w:r>
      <w:r w:rsidRPr="00B10C2B">
        <w:t xml:space="preserve"> (2), 165–171 (1998).</w:t>
      </w:r>
    </w:p>
    <w:p w14:paraId="458E4A79" w14:textId="6279ED3C" w:rsidR="000E3C23" w:rsidRPr="00B10C2B" w:rsidRDefault="000E3C23" w:rsidP="00B10C2B">
      <w:r w:rsidRPr="00B10C2B">
        <w:t xml:space="preserve">14. Ooms, M. D., Dinh, C. T., Sargent, E. H., Sinton, D. Photon management for augmented photosynthesis. </w:t>
      </w:r>
      <w:r w:rsidRPr="00B10C2B">
        <w:rPr>
          <w:i/>
          <w:iCs/>
        </w:rPr>
        <w:t>Nature Communications</w:t>
      </w:r>
      <w:r w:rsidRPr="00B10C2B">
        <w:t xml:space="preserve">. </w:t>
      </w:r>
      <w:r w:rsidRPr="00B10C2B">
        <w:rPr>
          <w:b/>
          <w:bCs/>
        </w:rPr>
        <w:t>7</w:t>
      </w:r>
      <w:r w:rsidRPr="00B10C2B">
        <w:t>, 1</w:t>
      </w:r>
      <w:r w:rsidR="00CF5771" w:rsidRPr="00B10C2B">
        <w:t>–</w:t>
      </w:r>
      <w:r w:rsidRPr="00B10C2B">
        <w:t>13 (2016).</w:t>
      </w:r>
    </w:p>
    <w:p w14:paraId="7ECBD1BB" w14:textId="5DCB742C" w:rsidR="000E3C23" w:rsidRPr="00B10C2B" w:rsidRDefault="000E3C23" w:rsidP="00B10C2B">
      <w:r w:rsidRPr="00B10C2B">
        <w:t>15. Moheimani, N. R., Borowitzka, M. A., Isdepsky, A., Sing, S. F. Standard methods for measuring growth of algae and their composition. In Algae for biofuels and energy. Springer, Dordrecht. 265</w:t>
      </w:r>
      <w:r w:rsidR="00CF5771" w:rsidRPr="00B10C2B">
        <w:t>–</w:t>
      </w:r>
      <w:r w:rsidRPr="00B10C2B">
        <w:t>284 (2013).</w:t>
      </w:r>
    </w:p>
    <w:p w14:paraId="6C39E19A" w14:textId="3AA682D7" w:rsidR="000E3C23" w:rsidRPr="00B10C2B" w:rsidRDefault="000E3C23" w:rsidP="00B10C2B">
      <w:r w:rsidRPr="00B10C2B">
        <w:t xml:space="preserve">16. Griffiths, M. J., Garcin, C., van Hille, R. P., Harrison, S. T. L. Interference by pigment in the estimation of microalgal biomass concentration by optical density. </w:t>
      </w:r>
      <w:r w:rsidRPr="00B10C2B">
        <w:rPr>
          <w:i/>
          <w:iCs/>
        </w:rPr>
        <w:t>Journal of Microbiological Methods</w:t>
      </w:r>
      <w:r w:rsidRPr="00B10C2B">
        <w:t xml:space="preserve">. </w:t>
      </w:r>
      <w:r w:rsidRPr="00B10C2B">
        <w:rPr>
          <w:b/>
          <w:bCs/>
        </w:rPr>
        <w:t>85</w:t>
      </w:r>
      <w:r w:rsidRPr="00B10C2B">
        <w:t xml:space="preserve"> (2), 119</w:t>
      </w:r>
      <w:r w:rsidR="00CF5771" w:rsidRPr="00B10C2B">
        <w:t>–</w:t>
      </w:r>
      <w:r w:rsidRPr="00B10C2B">
        <w:t>123 (2011).</w:t>
      </w:r>
    </w:p>
    <w:p w14:paraId="0390B5BA" w14:textId="20F64A4C" w:rsidR="000E3C23" w:rsidRPr="00B10C2B" w:rsidRDefault="000E3C23" w:rsidP="00B10C2B">
      <w:r w:rsidRPr="00B10C2B">
        <w:t xml:space="preserve">17. Schumann, R., Häubner, N., Klausch, S., Karsten, U. Chlorophyll extraction methods for the quantification of green microalgae colonizing building facades. </w:t>
      </w:r>
      <w:r w:rsidRPr="00B10C2B">
        <w:rPr>
          <w:i/>
          <w:iCs/>
        </w:rPr>
        <w:t>International Biodeterioration and Biodegradation</w:t>
      </w:r>
      <w:r w:rsidRPr="00B10C2B">
        <w:t xml:space="preserve">. </w:t>
      </w:r>
      <w:r w:rsidRPr="00B10C2B">
        <w:rPr>
          <w:b/>
          <w:bCs/>
        </w:rPr>
        <w:t>55</w:t>
      </w:r>
      <w:r w:rsidRPr="00B10C2B">
        <w:t xml:space="preserve"> (3), 213–222 (2005).</w:t>
      </w:r>
    </w:p>
    <w:p w14:paraId="61985FE2" w14:textId="238D176F" w:rsidR="000E3C23" w:rsidRPr="00B10C2B" w:rsidRDefault="000E3C23" w:rsidP="00B10C2B">
      <w:r w:rsidRPr="00B10C2B">
        <w:t xml:space="preserve">18. Pinckney, J. L., Richardson, T. L., Millie, D. F., Paerl, H. W. Application of photopigment biomarkers for quantifying microalgal community composition and in situ growth rates. </w:t>
      </w:r>
      <w:r w:rsidRPr="00B10C2B">
        <w:rPr>
          <w:i/>
          <w:iCs/>
        </w:rPr>
        <w:t>Organic Geochemistry</w:t>
      </w:r>
      <w:r w:rsidRPr="00B10C2B">
        <w:t xml:space="preserve">. </w:t>
      </w:r>
      <w:r w:rsidRPr="00B10C2B">
        <w:rPr>
          <w:b/>
          <w:bCs/>
        </w:rPr>
        <w:t>32</w:t>
      </w:r>
      <w:r w:rsidRPr="00B10C2B">
        <w:t xml:space="preserve"> (4), 585–595 (2001).</w:t>
      </w:r>
    </w:p>
    <w:p w14:paraId="6CE4C105" w14:textId="76C8BE49" w:rsidR="000E3C23" w:rsidRPr="00B10C2B" w:rsidRDefault="000E3C23" w:rsidP="00B10C2B">
      <w:r w:rsidRPr="00B10C2B">
        <w:t>19. Van Wychen, S.</w:t>
      </w:r>
      <w:r w:rsidR="00CF5771" w:rsidRPr="00B10C2B">
        <w:t>,</w:t>
      </w:r>
      <w:r w:rsidRPr="00B10C2B">
        <w:t xml:space="preserve"> Laurens, L.</w:t>
      </w:r>
      <w:r w:rsidR="00186D08">
        <w:t xml:space="preserve"> </w:t>
      </w:r>
      <w:r w:rsidRPr="00B10C2B">
        <w:t>M.</w:t>
      </w:r>
      <w:r w:rsidR="00186D08">
        <w:t xml:space="preserve"> </w:t>
      </w:r>
      <w:r w:rsidRPr="00B10C2B">
        <w:t>L. Determination of total solids and ash in algal biomass:</w:t>
      </w:r>
      <w:r w:rsidR="00496E34" w:rsidRPr="00B10C2B">
        <w:t xml:space="preserve"> </w:t>
      </w:r>
      <w:r w:rsidRPr="00B10C2B">
        <w:lastRenderedPageBreak/>
        <w:t>laboratory analytical procedure (LAP). National Renewable Energy Laboratory. Golden, CO. (2015).</w:t>
      </w:r>
    </w:p>
    <w:p w14:paraId="1ECDBFE0" w14:textId="0E38E2DF" w:rsidR="000E3C23" w:rsidRPr="00B10C2B" w:rsidRDefault="000E3C23" w:rsidP="00B10C2B">
      <w:r w:rsidRPr="00B10C2B">
        <w:t>20. Davis, R., Laurens, L. Algal biomass production via open pond algae farm cultivation: 2019 state of technology and future research. National Renewable Energy Laboratory. Golden, CO. (2020).</w:t>
      </w:r>
    </w:p>
    <w:p w14:paraId="5646ACF2" w14:textId="17136344" w:rsidR="000E3C23" w:rsidRPr="00B10C2B" w:rsidRDefault="000E3C23" w:rsidP="00B10C2B">
      <w:r w:rsidRPr="00B10C2B">
        <w:t xml:space="preserve">21. Borovkov, A. B., Gudvilovich, I. N., Avsiyan, A. L. Scale-up of Dunaliella salina cultivation: from strain selection to open ponds. </w:t>
      </w:r>
      <w:r w:rsidRPr="00B10C2B">
        <w:rPr>
          <w:i/>
          <w:iCs/>
        </w:rPr>
        <w:t>Journal of Applied Phycology</w:t>
      </w:r>
      <w:r w:rsidR="00CF5771" w:rsidRPr="00B10C2B">
        <w:t>.</w:t>
      </w:r>
      <w:r w:rsidRPr="00B10C2B">
        <w:t xml:space="preserve"> </w:t>
      </w:r>
      <w:r w:rsidRPr="00B10C2B">
        <w:rPr>
          <w:b/>
          <w:bCs/>
        </w:rPr>
        <w:t>32</w:t>
      </w:r>
      <w:r w:rsidRPr="00B10C2B">
        <w:t xml:space="preserve"> (3), 1545–1558 (2020).</w:t>
      </w:r>
    </w:p>
    <w:p w14:paraId="70659F12" w14:textId="1A480D32" w:rsidR="000E3C23" w:rsidRPr="00B10C2B" w:rsidRDefault="000E3C23" w:rsidP="00B10C2B">
      <w:r w:rsidRPr="00B10C2B">
        <w:t xml:space="preserve">22. Davies, F. K. et al. Microbiota associated with the large-scale outdoor cultivation of the cyanobacterium Synechococcus sp. PCC 7002. </w:t>
      </w:r>
      <w:r w:rsidRPr="00B10C2B">
        <w:rPr>
          <w:i/>
          <w:iCs/>
        </w:rPr>
        <w:t>Algal Research</w:t>
      </w:r>
      <w:r w:rsidRPr="00B10C2B">
        <w:t xml:space="preserve">. </w:t>
      </w:r>
      <w:r w:rsidRPr="00B10C2B">
        <w:rPr>
          <w:b/>
          <w:bCs/>
        </w:rPr>
        <w:t>58</w:t>
      </w:r>
      <w:r w:rsidRPr="00B10C2B">
        <w:t xml:space="preserve"> (2021).</w:t>
      </w:r>
    </w:p>
    <w:p w14:paraId="0594699B" w14:textId="5A52C69E" w:rsidR="000E3C23" w:rsidRPr="00B10C2B" w:rsidRDefault="000E3C23" w:rsidP="00B10C2B">
      <w:r w:rsidRPr="00B10C2B">
        <w:t>23. Ataeian, M.</w:t>
      </w:r>
      <w:r w:rsidR="00CF5771" w:rsidRPr="00B10C2B">
        <w:t xml:space="preserve"> et al</w:t>
      </w:r>
      <w:r w:rsidRPr="00B10C2B">
        <w:t>. Direct capture and conversion of CO</w:t>
      </w:r>
      <w:r w:rsidRPr="00B10C2B">
        <w:rPr>
          <w:vertAlign w:val="subscript"/>
        </w:rPr>
        <w:t>2</w:t>
      </w:r>
      <w:r w:rsidRPr="00B10C2B">
        <w:t xml:space="preserve"> from air by growing a cyanobacterial consortium at pH up to 11.2. </w:t>
      </w:r>
      <w:r w:rsidRPr="00B10C2B">
        <w:rPr>
          <w:i/>
          <w:iCs/>
        </w:rPr>
        <w:t xml:space="preserve">Biotechnology and </w:t>
      </w:r>
      <w:r w:rsidR="00CF5771" w:rsidRPr="00B10C2B">
        <w:rPr>
          <w:i/>
          <w:iCs/>
        </w:rPr>
        <w:t>B</w:t>
      </w:r>
      <w:r w:rsidRPr="00B10C2B">
        <w:rPr>
          <w:i/>
          <w:iCs/>
        </w:rPr>
        <w:t>ioengineering</w:t>
      </w:r>
      <w:r w:rsidRPr="00B10C2B">
        <w:t xml:space="preserve">. </w:t>
      </w:r>
      <w:r w:rsidRPr="00B10C2B">
        <w:rPr>
          <w:b/>
          <w:bCs/>
        </w:rPr>
        <w:t>116</w:t>
      </w:r>
      <w:r w:rsidRPr="00B10C2B">
        <w:t xml:space="preserve"> (7), 1604–1611 (2019).</w:t>
      </w:r>
    </w:p>
    <w:p w14:paraId="29A420B9" w14:textId="349A8E1D" w:rsidR="000E3C23" w:rsidRPr="00B10C2B" w:rsidRDefault="000E3C23" w:rsidP="00B10C2B">
      <w:r w:rsidRPr="00B10C2B">
        <w:t xml:space="preserve">24. Fu, F. et al. Sustained photosynthesis and oxygen generation of microalgae-embedded silk fibroin hydrogels. </w:t>
      </w:r>
      <w:r w:rsidRPr="00B10C2B">
        <w:rPr>
          <w:i/>
          <w:iCs/>
        </w:rPr>
        <w:t>ACS Biomaterials Science &amp; Engineering</w:t>
      </w:r>
      <w:r w:rsidRPr="00B10C2B">
        <w:t xml:space="preserve"> (2021).</w:t>
      </w:r>
    </w:p>
    <w:p w14:paraId="188822A4" w14:textId="284ACBE6" w:rsidR="000E3C23" w:rsidRPr="00B10C2B" w:rsidRDefault="000E3C23" w:rsidP="00B10C2B">
      <w:r w:rsidRPr="00B10C2B">
        <w:t xml:space="preserve">25. Rearte, T. A. et al. Photosynthetic performance of </w:t>
      </w:r>
      <w:r w:rsidRPr="00B10C2B">
        <w:rPr>
          <w:i/>
          <w:iCs/>
        </w:rPr>
        <w:t>Chlorella vulgaris</w:t>
      </w:r>
      <w:r w:rsidRPr="00B10C2B">
        <w:t xml:space="preserve"> R117 mass culture is moderated by diurnal oxygen gradients in an outdoor thin layer cascade. </w:t>
      </w:r>
      <w:r w:rsidRPr="00B10C2B">
        <w:rPr>
          <w:i/>
          <w:iCs/>
        </w:rPr>
        <w:t>Algal Research</w:t>
      </w:r>
      <w:r w:rsidRPr="00B10C2B">
        <w:t xml:space="preserve">. </w:t>
      </w:r>
      <w:r w:rsidRPr="00B10C2B">
        <w:rPr>
          <w:b/>
          <w:bCs/>
        </w:rPr>
        <w:t>54</w:t>
      </w:r>
      <w:r w:rsidRPr="00B10C2B">
        <w:t xml:space="preserve"> (2021).</w:t>
      </w:r>
    </w:p>
    <w:p w14:paraId="39A5A15B" w14:textId="0F880F6B" w:rsidR="000E3C23" w:rsidRPr="00B10C2B" w:rsidRDefault="000E3C23" w:rsidP="00B10C2B">
      <w:r w:rsidRPr="00B10C2B">
        <w:t xml:space="preserve">26. Poughon, L. et al. 2020. </w:t>
      </w:r>
      <w:r w:rsidRPr="00B10C2B">
        <w:rPr>
          <w:i/>
          <w:iCs/>
        </w:rPr>
        <w:t>Limnospira indica</w:t>
      </w:r>
      <w:r w:rsidRPr="00B10C2B">
        <w:t xml:space="preserve"> PCC8005 growth in photobioreactor: model and simulation of the ISS and ground experiments. </w:t>
      </w:r>
      <w:r w:rsidRPr="00B10C2B">
        <w:rPr>
          <w:i/>
          <w:iCs/>
        </w:rPr>
        <w:t xml:space="preserve">Life </w:t>
      </w:r>
      <w:r w:rsidR="00BC5DDE" w:rsidRPr="00B10C2B">
        <w:rPr>
          <w:i/>
          <w:iCs/>
        </w:rPr>
        <w:t>S</w:t>
      </w:r>
      <w:r w:rsidRPr="00B10C2B">
        <w:rPr>
          <w:i/>
          <w:iCs/>
        </w:rPr>
        <w:t xml:space="preserve">ciences in </w:t>
      </w:r>
      <w:r w:rsidR="00BC5DDE" w:rsidRPr="00B10C2B">
        <w:rPr>
          <w:i/>
          <w:iCs/>
        </w:rPr>
        <w:t>S</w:t>
      </w:r>
      <w:r w:rsidRPr="00B10C2B">
        <w:rPr>
          <w:i/>
          <w:iCs/>
        </w:rPr>
        <w:t xml:space="preserve">pace </w:t>
      </w:r>
      <w:r w:rsidR="00BC5DDE" w:rsidRPr="00B10C2B">
        <w:rPr>
          <w:i/>
          <w:iCs/>
        </w:rPr>
        <w:t>R</w:t>
      </w:r>
      <w:r w:rsidRPr="00B10C2B">
        <w:rPr>
          <w:i/>
          <w:iCs/>
        </w:rPr>
        <w:t>esearch</w:t>
      </w:r>
      <w:r w:rsidR="00BC5DDE" w:rsidRPr="00B10C2B">
        <w:t>.</w:t>
      </w:r>
      <w:r w:rsidRPr="00B10C2B">
        <w:t xml:space="preserve"> </w:t>
      </w:r>
      <w:r w:rsidRPr="00B10C2B">
        <w:rPr>
          <w:b/>
          <w:bCs/>
        </w:rPr>
        <w:t>25</w:t>
      </w:r>
      <w:r w:rsidRPr="00B10C2B">
        <w:t>, 53–65 (2020).</w:t>
      </w:r>
    </w:p>
    <w:p w14:paraId="222BE73E" w14:textId="109DE0E2" w:rsidR="000E3C23" w:rsidRPr="00B10C2B" w:rsidRDefault="000E3C23" w:rsidP="00B10C2B">
      <w:r w:rsidRPr="00B10C2B">
        <w:t>27. Yen, U.</w:t>
      </w:r>
      <w:r w:rsidR="00BC5DDE" w:rsidRPr="00B10C2B">
        <w:t xml:space="preserve"> </w:t>
      </w:r>
      <w:r w:rsidRPr="00B10C2B">
        <w:t>C., Huang, T.</w:t>
      </w:r>
      <w:r w:rsidR="00BC5DDE" w:rsidRPr="00B10C2B">
        <w:t xml:space="preserve"> </w:t>
      </w:r>
      <w:r w:rsidRPr="00B10C2B">
        <w:t>C.</w:t>
      </w:r>
      <w:r w:rsidR="00BC5DDE" w:rsidRPr="00B10C2B">
        <w:t>,</w:t>
      </w:r>
      <w:r w:rsidRPr="00B10C2B">
        <w:t xml:space="preserve"> Yen, T.</w:t>
      </w:r>
      <w:r w:rsidR="00BC5DDE" w:rsidRPr="00B10C2B">
        <w:t xml:space="preserve"> </w:t>
      </w:r>
      <w:r w:rsidRPr="00B10C2B">
        <w:t xml:space="preserve">C. Observation of the circadian photosynthetic rhythm in cyanobacteria with a dissolved-oxygen meter. </w:t>
      </w:r>
      <w:r w:rsidRPr="00B10C2B">
        <w:rPr>
          <w:i/>
          <w:iCs/>
        </w:rPr>
        <w:t>Plant Science</w:t>
      </w:r>
      <w:r w:rsidR="00BC5DDE" w:rsidRPr="00B10C2B">
        <w:t>.</w:t>
      </w:r>
      <w:r w:rsidRPr="00B10C2B">
        <w:t xml:space="preserve"> </w:t>
      </w:r>
      <w:r w:rsidRPr="00B10C2B">
        <w:rPr>
          <w:b/>
          <w:bCs/>
        </w:rPr>
        <w:t>166</w:t>
      </w:r>
      <w:r w:rsidRPr="00B10C2B">
        <w:t xml:space="preserve"> (4), 949–952 (2004).</w:t>
      </w:r>
    </w:p>
    <w:p w14:paraId="0952FE6F" w14:textId="13C8FCAB" w:rsidR="000E3C23" w:rsidRPr="00B10C2B" w:rsidRDefault="000E3C23" w:rsidP="00B10C2B">
      <w:r w:rsidRPr="00B10C2B">
        <w:t>28. Vermaas, W.</w:t>
      </w:r>
      <w:r w:rsidR="00BC5DDE" w:rsidRPr="00B10C2B">
        <w:t xml:space="preserve"> </w:t>
      </w:r>
      <w:r w:rsidRPr="00B10C2B">
        <w:t xml:space="preserve">F. Photosynthesis and respiration in cyanobacteria. </w:t>
      </w:r>
      <w:r w:rsidRPr="00B10C2B">
        <w:rPr>
          <w:i/>
          <w:iCs/>
        </w:rPr>
        <w:t>eLS</w:t>
      </w:r>
      <w:r w:rsidRPr="00B10C2B">
        <w:t xml:space="preserve"> (2001).</w:t>
      </w:r>
    </w:p>
    <w:p w14:paraId="4FF791AF" w14:textId="2091F94D" w:rsidR="000E3C23" w:rsidRPr="00B10C2B" w:rsidRDefault="000E3C23" w:rsidP="00B10C2B">
      <w:r w:rsidRPr="00B10C2B">
        <w:t>29. Ritter. MilliGascounter Type MGC-1 Operation Instructions V 3.4 (2017).</w:t>
      </w:r>
    </w:p>
    <w:p w14:paraId="679CCA9A" w14:textId="52109723" w:rsidR="000E3C23" w:rsidRPr="00B10C2B" w:rsidRDefault="000E3C23" w:rsidP="00B10C2B">
      <w:r w:rsidRPr="00B10C2B">
        <w:t>30. Sousa, C., De Winter, L., Janssen, M., Vermuë, M.</w:t>
      </w:r>
      <w:r w:rsidR="00BC5DDE" w:rsidRPr="00B10C2B">
        <w:t xml:space="preserve"> </w:t>
      </w:r>
      <w:r w:rsidRPr="00B10C2B">
        <w:t>H.</w:t>
      </w:r>
      <w:r w:rsidR="00BC5DDE" w:rsidRPr="00B10C2B">
        <w:t>,</w:t>
      </w:r>
      <w:r w:rsidRPr="00B10C2B">
        <w:t xml:space="preserve"> Wijffels, R.</w:t>
      </w:r>
      <w:r w:rsidR="00BC5DDE" w:rsidRPr="00B10C2B">
        <w:t xml:space="preserve"> </w:t>
      </w:r>
      <w:r w:rsidRPr="00B10C2B">
        <w:t xml:space="preserve">H. Growth of the microalgae </w:t>
      </w:r>
      <w:r w:rsidRPr="00B10C2B">
        <w:rPr>
          <w:i/>
          <w:iCs/>
        </w:rPr>
        <w:t>Neochloris oleoabundans</w:t>
      </w:r>
      <w:r w:rsidRPr="00B10C2B">
        <w:t xml:space="preserve"> at high partial oxygen pressures and sub-saturating light intensity. </w:t>
      </w:r>
      <w:r w:rsidRPr="00B10C2B">
        <w:rPr>
          <w:i/>
          <w:iCs/>
        </w:rPr>
        <w:t xml:space="preserve">Bioresource </w:t>
      </w:r>
      <w:r w:rsidR="00BC5DDE" w:rsidRPr="00B10C2B">
        <w:rPr>
          <w:i/>
          <w:iCs/>
        </w:rPr>
        <w:t>T</w:t>
      </w:r>
      <w:r w:rsidRPr="00B10C2B">
        <w:rPr>
          <w:i/>
          <w:iCs/>
        </w:rPr>
        <w:t>echnology</w:t>
      </w:r>
      <w:r w:rsidRPr="00B10C2B">
        <w:t xml:space="preserve">. </w:t>
      </w:r>
      <w:r w:rsidRPr="00B10C2B">
        <w:rPr>
          <w:b/>
          <w:bCs/>
        </w:rPr>
        <w:t>104</w:t>
      </w:r>
      <w:r w:rsidRPr="00B10C2B">
        <w:t>, 565</w:t>
      </w:r>
      <w:r w:rsidR="00BC5DDE" w:rsidRPr="00B10C2B">
        <w:t>–</w:t>
      </w:r>
      <w:r w:rsidRPr="00B10C2B">
        <w:t>570 (2012).</w:t>
      </w:r>
    </w:p>
    <w:p w14:paraId="05156298" w14:textId="6182F92C" w:rsidR="000E3C23" w:rsidRPr="00B10C2B" w:rsidRDefault="000E3C23" w:rsidP="00B10C2B">
      <w:r w:rsidRPr="00B10C2B">
        <w:t>31. Latifi, A., Ruiz, M.</w:t>
      </w:r>
      <w:r w:rsidR="00BC5DDE" w:rsidRPr="00B10C2B">
        <w:t>,</w:t>
      </w:r>
      <w:r w:rsidRPr="00B10C2B">
        <w:t xml:space="preserve"> Zhang, C.</w:t>
      </w:r>
      <w:r w:rsidR="00BC5DDE" w:rsidRPr="00B10C2B">
        <w:t xml:space="preserve"> </w:t>
      </w:r>
      <w:r w:rsidRPr="00B10C2B">
        <w:t xml:space="preserve">C. Oxidative stress in cyanobacteria. </w:t>
      </w:r>
      <w:r w:rsidRPr="00B10C2B">
        <w:rPr>
          <w:i/>
          <w:iCs/>
        </w:rPr>
        <w:t>FEMS microbiology reviews</w:t>
      </w:r>
      <w:r w:rsidRPr="00B10C2B">
        <w:t xml:space="preserve">, </w:t>
      </w:r>
      <w:r w:rsidRPr="00B10C2B">
        <w:rPr>
          <w:b/>
          <w:bCs/>
        </w:rPr>
        <w:t>33</w:t>
      </w:r>
      <w:r w:rsidRPr="00B10C2B">
        <w:t xml:space="preserve"> (2), 258–278 (2009).</w:t>
      </w:r>
    </w:p>
    <w:p w14:paraId="2074233C" w14:textId="69686C94" w:rsidR="000E3C23" w:rsidRPr="00B10C2B" w:rsidRDefault="000E3C23" w:rsidP="00B10C2B">
      <w:r w:rsidRPr="00B10C2B">
        <w:t>32. Morillas-España, A., Lafarga, T., Gómez-Serrano, C., Acién-Fernández, F.</w:t>
      </w:r>
      <w:r w:rsidR="00BC5DDE" w:rsidRPr="00B10C2B">
        <w:t xml:space="preserve"> </w:t>
      </w:r>
      <w:r w:rsidRPr="00B10C2B">
        <w:t>G.</w:t>
      </w:r>
      <w:r w:rsidR="00BC5DDE" w:rsidRPr="00B10C2B">
        <w:t>,</w:t>
      </w:r>
      <w:r w:rsidRPr="00B10C2B">
        <w:t xml:space="preserve"> González-López, C.</w:t>
      </w:r>
      <w:r w:rsidR="00BC5DDE" w:rsidRPr="00B10C2B">
        <w:t xml:space="preserve"> </w:t>
      </w:r>
      <w:r w:rsidRPr="00B10C2B">
        <w:t xml:space="preserve">V. Year-long production of </w:t>
      </w:r>
      <w:r w:rsidRPr="00B10C2B">
        <w:rPr>
          <w:i/>
          <w:iCs/>
        </w:rPr>
        <w:t>Scenedesmus almeriensis</w:t>
      </w:r>
      <w:r w:rsidRPr="00B10C2B">
        <w:t xml:space="preserve"> in pilot-scale raceway and thin-layer cascade photobioreactors. </w:t>
      </w:r>
      <w:r w:rsidRPr="00B10C2B">
        <w:rPr>
          <w:i/>
          <w:iCs/>
        </w:rPr>
        <w:t>Algal Research</w:t>
      </w:r>
      <w:r w:rsidR="00BC5DDE" w:rsidRPr="00B10C2B">
        <w:t>.</w:t>
      </w:r>
      <w:r w:rsidRPr="00B10C2B">
        <w:t xml:space="preserve"> </w:t>
      </w:r>
      <w:r w:rsidRPr="00B10C2B">
        <w:rPr>
          <w:b/>
          <w:bCs/>
        </w:rPr>
        <w:t>51</w:t>
      </w:r>
      <w:r w:rsidRPr="00B10C2B">
        <w:t xml:space="preserve"> (2020).</w:t>
      </w:r>
    </w:p>
    <w:p w14:paraId="472EE00B" w14:textId="1CED5173" w:rsidR="003511EA" w:rsidRPr="00B10C2B" w:rsidRDefault="000E3C23" w:rsidP="00B10C2B">
      <w:r w:rsidRPr="00B10C2B">
        <w:t xml:space="preserve">33. Melis, A. Solar energy conversion efficiencies in photosynthesis: minimizing the chlorophyll antennae to maximize efficiency. </w:t>
      </w:r>
      <w:r w:rsidRPr="00B10C2B">
        <w:rPr>
          <w:i/>
          <w:iCs/>
        </w:rPr>
        <w:t xml:space="preserve">Plant </w:t>
      </w:r>
      <w:r w:rsidR="00BC5DDE" w:rsidRPr="00B10C2B">
        <w:rPr>
          <w:i/>
          <w:iCs/>
        </w:rPr>
        <w:t>S</w:t>
      </w:r>
      <w:r w:rsidRPr="00B10C2B">
        <w:rPr>
          <w:i/>
          <w:iCs/>
        </w:rPr>
        <w:t>cience</w:t>
      </w:r>
      <w:r w:rsidR="00BC5DDE" w:rsidRPr="00B10C2B">
        <w:t>.</w:t>
      </w:r>
      <w:r w:rsidRPr="00B10C2B">
        <w:t xml:space="preserve"> </w:t>
      </w:r>
      <w:r w:rsidRPr="00B10C2B">
        <w:rPr>
          <w:b/>
          <w:bCs/>
        </w:rPr>
        <w:t>177</w:t>
      </w:r>
      <w:r w:rsidRPr="00B10C2B">
        <w:t xml:space="preserve"> (4), 272–280 (2009).</w:t>
      </w:r>
    </w:p>
    <w:sectPr w:rsidR="003511EA" w:rsidRPr="00B10C2B">
      <w:headerReference w:type="default" r:id="rId11"/>
      <w:headerReference w:type="first" r:id="rId12"/>
      <w:pgSz w:w="12240" w:h="15840"/>
      <w:pgMar w:top="1440" w:right="1440" w:bottom="1440" w:left="1440" w:header="720" w:footer="0" w:gutter="0"/>
      <w:lnNumType w:countBy="1" w:distance="283" w:restart="continuous"/>
      <w:pgNumType w:start="1"/>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D053C" w14:textId="77777777" w:rsidR="0092418A" w:rsidRDefault="0092418A">
      <w:r>
        <w:separator/>
      </w:r>
    </w:p>
  </w:endnote>
  <w:endnote w:type="continuationSeparator" w:id="0">
    <w:p w14:paraId="2A349E05" w14:textId="77777777" w:rsidR="0092418A" w:rsidRDefault="00924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1"/>
    <w:family w:val="roman"/>
    <w:pitch w:val="variable"/>
  </w:font>
  <w:font w:name="DejaVu Sans">
    <w:panose1 w:val="00000000000000000000"/>
    <w:charset w:val="00"/>
    <w:family w:val="roman"/>
    <w:notTrueType/>
    <w:pitch w:val="default"/>
  </w:font>
  <w:font w:name="FreeSans">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5082C" w14:textId="77777777" w:rsidR="0092418A" w:rsidRDefault="0092418A">
      <w:r>
        <w:separator/>
      </w:r>
    </w:p>
  </w:footnote>
  <w:footnote w:type="continuationSeparator" w:id="0">
    <w:p w14:paraId="58E6F805" w14:textId="77777777" w:rsidR="0092418A" w:rsidRDefault="009241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1AA7F" w14:textId="575A7CB2" w:rsidR="007D2184" w:rsidRDefault="007D2184">
    <w:pPr>
      <w:tabs>
        <w:tab w:val="center" w:pos="4680"/>
        <w:tab w:val="left" w:pos="5724"/>
        <w:tab w:val="right" w:pos="9360"/>
      </w:tabs>
      <w:rPr>
        <w:b/>
        <w:color w:val="1F497D"/>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19A56" w14:textId="77777777" w:rsidR="007D2184" w:rsidRDefault="007D2184" w:rsidP="00B10C2B">
    <w:pPr>
      <w:tabs>
        <w:tab w:val="center" w:pos="4680"/>
        <w:tab w:val="right" w:pos="9360"/>
      </w:tabs>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22882"/>
    <w:multiLevelType w:val="multilevel"/>
    <w:tmpl w:val="79DC78F6"/>
    <w:lvl w:ilvl="0">
      <w:start w:val="1"/>
      <w:numFmt w:val="decimal"/>
      <w:lvlText w:val="%1."/>
      <w:lvlJc w:val="left"/>
      <w:pPr>
        <w:ind w:left="720" w:hanging="360"/>
      </w:pPr>
      <w:rPr>
        <w:rFonts w:hint="default"/>
      </w:rPr>
    </w:lvl>
    <w:lvl w:ilvl="1">
      <w:start w:val="1"/>
      <w:numFmt w:val="decimal"/>
      <w:isLgl/>
      <w:lvlText w:val="%1.%2."/>
      <w:lvlJc w:val="left"/>
      <w:pPr>
        <w:ind w:left="768" w:hanging="4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ED744C7"/>
    <w:multiLevelType w:val="multilevel"/>
    <w:tmpl w:val="7DEAEAFE"/>
    <w:lvl w:ilvl="0">
      <w:start w:val="1"/>
      <w:numFmt w:val="bullet"/>
      <w:lvlText w:val="●"/>
      <w:lvlJc w:val="left"/>
      <w:pPr>
        <w:tabs>
          <w:tab w:val="num" w:pos="0"/>
        </w:tabs>
        <w:ind w:left="360" w:hanging="360"/>
      </w:pPr>
      <w:rPr>
        <w:rFonts w:ascii="Noto Sans Symbols" w:hAnsi="Noto Sans Symbols" w:cs="Noto Sans Symbols"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Noto Sans Symbols" w:hAnsi="Noto Sans Symbols" w:cs="Noto Sans Symbols" w:hint="default"/>
      </w:rPr>
    </w:lvl>
    <w:lvl w:ilvl="3">
      <w:start w:val="1"/>
      <w:numFmt w:val="bullet"/>
      <w:lvlText w:val="●"/>
      <w:lvlJc w:val="left"/>
      <w:pPr>
        <w:tabs>
          <w:tab w:val="num" w:pos="0"/>
        </w:tabs>
        <w:ind w:left="2520" w:hanging="360"/>
      </w:pPr>
      <w:rPr>
        <w:rFonts w:ascii="Noto Sans Symbols" w:hAnsi="Noto Sans Symbols" w:cs="Noto Sans Symbols"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Noto Sans Symbols" w:hAnsi="Noto Sans Symbols" w:cs="Noto Sans Symbols" w:hint="default"/>
      </w:rPr>
    </w:lvl>
    <w:lvl w:ilvl="6">
      <w:start w:val="1"/>
      <w:numFmt w:val="bullet"/>
      <w:lvlText w:val="●"/>
      <w:lvlJc w:val="left"/>
      <w:pPr>
        <w:tabs>
          <w:tab w:val="num" w:pos="0"/>
        </w:tabs>
        <w:ind w:left="4680" w:hanging="360"/>
      </w:pPr>
      <w:rPr>
        <w:rFonts w:ascii="Noto Sans Symbols" w:hAnsi="Noto Sans Symbols" w:cs="Noto Sans Symbols"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Noto Sans Symbols" w:hAnsi="Noto Sans Symbols" w:cs="Noto Sans Symbols" w:hint="default"/>
      </w:rPr>
    </w:lvl>
  </w:abstractNum>
  <w:abstractNum w:abstractNumId="2" w15:restartNumberingAfterBreak="0">
    <w:nsid w:val="50040081"/>
    <w:multiLevelType w:val="multilevel"/>
    <w:tmpl w:val="0F7691C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69A12164"/>
    <w:multiLevelType w:val="multilevel"/>
    <w:tmpl w:val="85A0D1BC"/>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hideSpellingErrors/>
  <w:hideGrammaticalErrors/>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2MTQzsLAwNTQztTRV0lEKTi0uzszPAykwrQUAdfVXgSwAAAA="/>
  </w:docVars>
  <w:rsids>
    <w:rsidRoot w:val="007D2184"/>
    <w:rsid w:val="00000A9F"/>
    <w:rsid w:val="00001402"/>
    <w:rsid w:val="00001FC8"/>
    <w:rsid w:val="0000231C"/>
    <w:rsid w:val="00002AD2"/>
    <w:rsid w:val="00002F6A"/>
    <w:rsid w:val="00003028"/>
    <w:rsid w:val="000031D1"/>
    <w:rsid w:val="00003E67"/>
    <w:rsid w:val="00005216"/>
    <w:rsid w:val="00010AEB"/>
    <w:rsid w:val="00011218"/>
    <w:rsid w:val="000116A1"/>
    <w:rsid w:val="00012C24"/>
    <w:rsid w:val="00012EEA"/>
    <w:rsid w:val="00013866"/>
    <w:rsid w:val="000141F5"/>
    <w:rsid w:val="00014424"/>
    <w:rsid w:val="00014BC3"/>
    <w:rsid w:val="00016C8B"/>
    <w:rsid w:val="0001737B"/>
    <w:rsid w:val="00017CBB"/>
    <w:rsid w:val="00023133"/>
    <w:rsid w:val="00023610"/>
    <w:rsid w:val="00024CF3"/>
    <w:rsid w:val="000256E9"/>
    <w:rsid w:val="00025C16"/>
    <w:rsid w:val="00026A3F"/>
    <w:rsid w:val="00030210"/>
    <w:rsid w:val="00030CC9"/>
    <w:rsid w:val="000318DD"/>
    <w:rsid w:val="000325C0"/>
    <w:rsid w:val="00034E01"/>
    <w:rsid w:val="00035393"/>
    <w:rsid w:val="00036571"/>
    <w:rsid w:val="00036C82"/>
    <w:rsid w:val="00037343"/>
    <w:rsid w:val="00037958"/>
    <w:rsid w:val="00040681"/>
    <w:rsid w:val="0004076A"/>
    <w:rsid w:val="00041537"/>
    <w:rsid w:val="00041795"/>
    <w:rsid w:val="00042A1A"/>
    <w:rsid w:val="00042A39"/>
    <w:rsid w:val="000432FC"/>
    <w:rsid w:val="000436C6"/>
    <w:rsid w:val="00043CC4"/>
    <w:rsid w:val="00043E51"/>
    <w:rsid w:val="0004405C"/>
    <w:rsid w:val="000444CB"/>
    <w:rsid w:val="00044FE3"/>
    <w:rsid w:val="000466EF"/>
    <w:rsid w:val="0004686F"/>
    <w:rsid w:val="000473E6"/>
    <w:rsid w:val="0004791C"/>
    <w:rsid w:val="00047C36"/>
    <w:rsid w:val="000504E0"/>
    <w:rsid w:val="0005200F"/>
    <w:rsid w:val="000521F3"/>
    <w:rsid w:val="000528F7"/>
    <w:rsid w:val="00053CA7"/>
    <w:rsid w:val="00054A2B"/>
    <w:rsid w:val="00054E3A"/>
    <w:rsid w:val="000560D1"/>
    <w:rsid w:val="00056ACE"/>
    <w:rsid w:val="00056F9C"/>
    <w:rsid w:val="00060984"/>
    <w:rsid w:val="00061915"/>
    <w:rsid w:val="00061BAD"/>
    <w:rsid w:val="000649ED"/>
    <w:rsid w:val="000659E3"/>
    <w:rsid w:val="00065FBC"/>
    <w:rsid w:val="0006614C"/>
    <w:rsid w:val="000662DC"/>
    <w:rsid w:val="00070561"/>
    <w:rsid w:val="000712BA"/>
    <w:rsid w:val="000715F1"/>
    <w:rsid w:val="000721D1"/>
    <w:rsid w:val="00073709"/>
    <w:rsid w:val="00073D27"/>
    <w:rsid w:val="0007456F"/>
    <w:rsid w:val="00076641"/>
    <w:rsid w:val="00076E8F"/>
    <w:rsid w:val="00077ADC"/>
    <w:rsid w:val="000804B5"/>
    <w:rsid w:val="000809CE"/>
    <w:rsid w:val="00081B72"/>
    <w:rsid w:val="00081D07"/>
    <w:rsid w:val="00083824"/>
    <w:rsid w:val="00083F0B"/>
    <w:rsid w:val="00083FAB"/>
    <w:rsid w:val="00084733"/>
    <w:rsid w:val="00084A51"/>
    <w:rsid w:val="00084A58"/>
    <w:rsid w:val="0008598A"/>
    <w:rsid w:val="00085AF9"/>
    <w:rsid w:val="000900A2"/>
    <w:rsid w:val="00091183"/>
    <w:rsid w:val="0009343E"/>
    <w:rsid w:val="000936DB"/>
    <w:rsid w:val="00093B6C"/>
    <w:rsid w:val="00094C26"/>
    <w:rsid w:val="00096E05"/>
    <w:rsid w:val="00097353"/>
    <w:rsid w:val="000A010D"/>
    <w:rsid w:val="000A0E67"/>
    <w:rsid w:val="000A0FBE"/>
    <w:rsid w:val="000A1846"/>
    <w:rsid w:val="000A186A"/>
    <w:rsid w:val="000A1C34"/>
    <w:rsid w:val="000A338F"/>
    <w:rsid w:val="000A3F43"/>
    <w:rsid w:val="000A4A74"/>
    <w:rsid w:val="000B0A05"/>
    <w:rsid w:val="000B178D"/>
    <w:rsid w:val="000B24E6"/>
    <w:rsid w:val="000B2CE2"/>
    <w:rsid w:val="000B303E"/>
    <w:rsid w:val="000B3C9D"/>
    <w:rsid w:val="000B5243"/>
    <w:rsid w:val="000B61B1"/>
    <w:rsid w:val="000B7506"/>
    <w:rsid w:val="000B7BE2"/>
    <w:rsid w:val="000C07DA"/>
    <w:rsid w:val="000C0FDB"/>
    <w:rsid w:val="000C1599"/>
    <w:rsid w:val="000C29B0"/>
    <w:rsid w:val="000C2EE1"/>
    <w:rsid w:val="000C31FA"/>
    <w:rsid w:val="000C32F4"/>
    <w:rsid w:val="000C3315"/>
    <w:rsid w:val="000C38BB"/>
    <w:rsid w:val="000C3BB7"/>
    <w:rsid w:val="000C4810"/>
    <w:rsid w:val="000C5691"/>
    <w:rsid w:val="000C6D89"/>
    <w:rsid w:val="000C7262"/>
    <w:rsid w:val="000C7F6D"/>
    <w:rsid w:val="000D01D0"/>
    <w:rsid w:val="000D2086"/>
    <w:rsid w:val="000D272B"/>
    <w:rsid w:val="000D2B60"/>
    <w:rsid w:val="000D4E27"/>
    <w:rsid w:val="000D5792"/>
    <w:rsid w:val="000D5ADD"/>
    <w:rsid w:val="000D6679"/>
    <w:rsid w:val="000D71E1"/>
    <w:rsid w:val="000E035A"/>
    <w:rsid w:val="000E0F1B"/>
    <w:rsid w:val="000E156C"/>
    <w:rsid w:val="000E15DB"/>
    <w:rsid w:val="000E1AC4"/>
    <w:rsid w:val="000E2912"/>
    <w:rsid w:val="000E3C23"/>
    <w:rsid w:val="000E4125"/>
    <w:rsid w:val="000E4EF3"/>
    <w:rsid w:val="000E57E0"/>
    <w:rsid w:val="000E6C17"/>
    <w:rsid w:val="000E6F7A"/>
    <w:rsid w:val="000F2A0A"/>
    <w:rsid w:val="000F2C8C"/>
    <w:rsid w:val="000F2D78"/>
    <w:rsid w:val="000F66D3"/>
    <w:rsid w:val="000F6786"/>
    <w:rsid w:val="000F6FE0"/>
    <w:rsid w:val="000F7DBD"/>
    <w:rsid w:val="001007C7"/>
    <w:rsid w:val="001023A0"/>
    <w:rsid w:val="00104387"/>
    <w:rsid w:val="00104CC6"/>
    <w:rsid w:val="00105304"/>
    <w:rsid w:val="00105E3A"/>
    <w:rsid w:val="001061F2"/>
    <w:rsid w:val="0011042B"/>
    <w:rsid w:val="00111C24"/>
    <w:rsid w:val="00112FAE"/>
    <w:rsid w:val="00113504"/>
    <w:rsid w:val="00114ABB"/>
    <w:rsid w:val="00114E68"/>
    <w:rsid w:val="0011514E"/>
    <w:rsid w:val="001157B7"/>
    <w:rsid w:val="00115FE3"/>
    <w:rsid w:val="001178CA"/>
    <w:rsid w:val="0012027E"/>
    <w:rsid w:val="00120C42"/>
    <w:rsid w:val="00122F96"/>
    <w:rsid w:val="0012366B"/>
    <w:rsid w:val="0012397E"/>
    <w:rsid w:val="00123F60"/>
    <w:rsid w:val="0012413B"/>
    <w:rsid w:val="00124D45"/>
    <w:rsid w:val="00126993"/>
    <w:rsid w:val="00126A42"/>
    <w:rsid w:val="00126EB7"/>
    <w:rsid w:val="00127756"/>
    <w:rsid w:val="0012786E"/>
    <w:rsid w:val="00127BE8"/>
    <w:rsid w:val="00131011"/>
    <w:rsid w:val="0013293A"/>
    <w:rsid w:val="00132AB9"/>
    <w:rsid w:val="00132F72"/>
    <w:rsid w:val="001331C8"/>
    <w:rsid w:val="0013365B"/>
    <w:rsid w:val="00141F38"/>
    <w:rsid w:val="00141FA8"/>
    <w:rsid w:val="00142A5D"/>
    <w:rsid w:val="00144AE7"/>
    <w:rsid w:val="00145DD9"/>
    <w:rsid w:val="0014649A"/>
    <w:rsid w:val="00146569"/>
    <w:rsid w:val="001512C0"/>
    <w:rsid w:val="00151430"/>
    <w:rsid w:val="00151977"/>
    <w:rsid w:val="00151EE8"/>
    <w:rsid w:val="00152AE8"/>
    <w:rsid w:val="00153565"/>
    <w:rsid w:val="00155EE1"/>
    <w:rsid w:val="00156293"/>
    <w:rsid w:val="00156CDD"/>
    <w:rsid w:val="001572D1"/>
    <w:rsid w:val="001601B3"/>
    <w:rsid w:val="001606C3"/>
    <w:rsid w:val="00160A45"/>
    <w:rsid w:val="00162A91"/>
    <w:rsid w:val="00162BBB"/>
    <w:rsid w:val="00163DBB"/>
    <w:rsid w:val="00163E44"/>
    <w:rsid w:val="00164115"/>
    <w:rsid w:val="001663E7"/>
    <w:rsid w:val="00166847"/>
    <w:rsid w:val="00166B6D"/>
    <w:rsid w:val="001703C9"/>
    <w:rsid w:val="00171625"/>
    <w:rsid w:val="001719C3"/>
    <w:rsid w:val="00171D4D"/>
    <w:rsid w:val="00171D78"/>
    <w:rsid w:val="0017272F"/>
    <w:rsid w:val="00173F4E"/>
    <w:rsid w:val="0017425A"/>
    <w:rsid w:val="001742CD"/>
    <w:rsid w:val="0017450C"/>
    <w:rsid w:val="00174E93"/>
    <w:rsid w:val="00176F40"/>
    <w:rsid w:val="001801BB"/>
    <w:rsid w:val="001804B0"/>
    <w:rsid w:val="00183DEB"/>
    <w:rsid w:val="00184739"/>
    <w:rsid w:val="00185C83"/>
    <w:rsid w:val="00186D08"/>
    <w:rsid w:val="001873CB"/>
    <w:rsid w:val="00187EFE"/>
    <w:rsid w:val="00187F91"/>
    <w:rsid w:val="00190263"/>
    <w:rsid w:val="0019168D"/>
    <w:rsid w:val="00193193"/>
    <w:rsid w:val="00195F86"/>
    <w:rsid w:val="0019602D"/>
    <w:rsid w:val="0019605B"/>
    <w:rsid w:val="00196F87"/>
    <w:rsid w:val="00197D32"/>
    <w:rsid w:val="001A0878"/>
    <w:rsid w:val="001A167C"/>
    <w:rsid w:val="001A18F2"/>
    <w:rsid w:val="001A29E1"/>
    <w:rsid w:val="001A4336"/>
    <w:rsid w:val="001A496A"/>
    <w:rsid w:val="001A5A53"/>
    <w:rsid w:val="001A5B53"/>
    <w:rsid w:val="001A6110"/>
    <w:rsid w:val="001A6A39"/>
    <w:rsid w:val="001A750C"/>
    <w:rsid w:val="001A767E"/>
    <w:rsid w:val="001A76B8"/>
    <w:rsid w:val="001B101F"/>
    <w:rsid w:val="001B3577"/>
    <w:rsid w:val="001B4126"/>
    <w:rsid w:val="001B4B0B"/>
    <w:rsid w:val="001B51EA"/>
    <w:rsid w:val="001B680E"/>
    <w:rsid w:val="001C02CB"/>
    <w:rsid w:val="001C0B03"/>
    <w:rsid w:val="001C0C80"/>
    <w:rsid w:val="001C1629"/>
    <w:rsid w:val="001C1BEC"/>
    <w:rsid w:val="001C25FD"/>
    <w:rsid w:val="001C2C89"/>
    <w:rsid w:val="001C3DC9"/>
    <w:rsid w:val="001C44AB"/>
    <w:rsid w:val="001C4DC0"/>
    <w:rsid w:val="001C591F"/>
    <w:rsid w:val="001C5A2E"/>
    <w:rsid w:val="001C61A5"/>
    <w:rsid w:val="001C6EA2"/>
    <w:rsid w:val="001C7785"/>
    <w:rsid w:val="001D096F"/>
    <w:rsid w:val="001D1343"/>
    <w:rsid w:val="001D1D07"/>
    <w:rsid w:val="001D2978"/>
    <w:rsid w:val="001D2ABD"/>
    <w:rsid w:val="001D50DE"/>
    <w:rsid w:val="001D66AF"/>
    <w:rsid w:val="001E05C2"/>
    <w:rsid w:val="001E0A18"/>
    <w:rsid w:val="001E1CB3"/>
    <w:rsid w:val="001E23F4"/>
    <w:rsid w:val="001E40B4"/>
    <w:rsid w:val="001E4DE6"/>
    <w:rsid w:val="001E6DD7"/>
    <w:rsid w:val="001E7B2B"/>
    <w:rsid w:val="001F040E"/>
    <w:rsid w:val="001F1D85"/>
    <w:rsid w:val="001F1F37"/>
    <w:rsid w:val="001F356D"/>
    <w:rsid w:val="001F3CA0"/>
    <w:rsid w:val="001F45B1"/>
    <w:rsid w:val="001F550A"/>
    <w:rsid w:val="001F5C8C"/>
    <w:rsid w:val="001F5D8F"/>
    <w:rsid w:val="001F7028"/>
    <w:rsid w:val="002003F7"/>
    <w:rsid w:val="00200F62"/>
    <w:rsid w:val="00201280"/>
    <w:rsid w:val="002017EF"/>
    <w:rsid w:val="002029EA"/>
    <w:rsid w:val="002036BF"/>
    <w:rsid w:val="00205203"/>
    <w:rsid w:val="00205745"/>
    <w:rsid w:val="00206360"/>
    <w:rsid w:val="00206890"/>
    <w:rsid w:val="00206EB4"/>
    <w:rsid w:val="00210C5E"/>
    <w:rsid w:val="002114EF"/>
    <w:rsid w:val="00211747"/>
    <w:rsid w:val="00211B2C"/>
    <w:rsid w:val="00211E3C"/>
    <w:rsid w:val="00212574"/>
    <w:rsid w:val="00212780"/>
    <w:rsid w:val="002141C1"/>
    <w:rsid w:val="0021438E"/>
    <w:rsid w:val="00214654"/>
    <w:rsid w:val="00214702"/>
    <w:rsid w:val="00214ABA"/>
    <w:rsid w:val="00214CD7"/>
    <w:rsid w:val="00214D10"/>
    <w:rsid w:val="00214EF2"/>
    <w:rsid w:val="00216C82"/>
    <w:rsid w:val="0021732A"/>
    <w:rsid w:val="002205EF"/>
    <w:rsid w:val="0022137E"/>
    <w:rsid w:val="00221890"/>
    <w:rsid w:val="00221E32"/>
    <w:rsid w:val="00222698"/>
    <w:rsid w:val="002227F7"/>
    <w:rsid w:val="00222963"/>
    <w:rsid w:val="00222969"/>
    <w:rsid w:val="00222B3B"/>
    <w:rsid w:val="002233BB"/>
    <w:rsid w:val="0022666D"/>
    <w:rsid w:val="0022703E"/>
    <w:rsid w:val="00230E8B"/>
    <w:rsid w:val="00230EA7"/>
    <w:rsid w:val="00232E56"/>
    <w:rsid w:val="0023307C"/>
    <w:rsid w:val="002337DE"/>
    <w:rsid w:val="00234E27"/>
    <w:rsid w:val="00235288"/>
    <w:rsid w:val="002355EE"/>
    <w:rsid w:val="00236833"/>
    <w:rsid w:val="0024171D"/>
    <w:rsid w:val="00243301"/>
    <w:rsid w:val="002436BD"/>
    <w:rsid w:val="00244791"/>
    <w:rsid w:val="00244A41"/>
    <w:rsid w:val="00245027"/>
    <w:rsid w:val="00247096"/>
    <w:rsid w:val="0025083B"/>
    <w:rsid w:val="00253583"/>
    <w:rsid w:val="0025366B"/>
    <w:rsid w:val="00253CF2"/>
    <w:rsid w:val="00253FC5"/>
    <w:rsid w:val="002543F5"/>
    <w:rsid w:val="00254BE7"/>
    <w:rsid w:val="00255193"/>
    <w:rsid w:val="0025770D"/>
    <w:rsid w:val="0026068E"/>
    <w:rsid w:val="00262C66"/>
    <w:rsid w:val="00263E38"/>
    <w:rsid w:val="002642F2"/>
    <w:rsid w:val="00265CF3"/>
    <w:rsid w:val="002660C0"/>
    <w:rsid w:val="00266F01"/>
    <w:rsid w:val="00267A88"/>
    <w:rsid w:val="00271F23"/>
    <w:rsid w:val="002721BD"/>
    <w:rsid w:val="00272791"/>
    <w:rsid w:val="0027282D"/>
    <w:rsid w:val="002735B6"/>
    <w:rsid w:val="002738CD"/>
    <w:rsid w:val="00276BBA"/>
    <w:rsid w:val="00280057"/>
    <w:rsid w:val="002808BA"/>
    <w:rsid w:val="00281E36"/>
    <w:rsid w:val="00282712"/>
    <w:rsid w:val="00284A23"/>
    <w:rsid w:val="00285F1B"/>
    <w:rsid w:val="002863C2"/>
    <w:rsid w:val="00286801"/>
    <w:rsid w:val="00287F4E"/>
    <w:rsid w:val="0029128F"/>
    <w:rsid w:val="00291F20"/>
    <w:rsid w:val="00292801"/>
    <w:rsid w:val="00292851"/>
    <w:rsid w:val="00293F4C"/>
    <w:rsid w:val="002941B0"/>
    <w:rsid w:val="00294A18"/>
    <w:rsid w:val="00295EDD"/>
    <w:rsid w:val="002969BE"/>
    <w:rsid w:val="00297104"/>
    <w:rsid w:val="002A3DFE"/>
    <w:rsid w:val="002A3F9C"/>
    <w:rsid w:val="002A4761"/>
    <w:rsid w:val="002A5F97"/>
    <w:rsid w:val="002B091D"/>
    <w:rsid w:val="002B1624"/>
    <w:rsid w:val="002B372C"/>
    <w:rsid w:val="002B4A10"/>
    <w:rsid w:val="002B5FA2"/>
    <w:rsid w:val="002B658F"/>
    <w:rsid w:val="002B734E"/>
    <w:rsid w:val="002B7E09"/>
    <w:rsid w:val="002C0F77"/>
    <w:rsid w:val="002C1082"/>
    <w:rsid w:val="002C2A6E"/>
    <w:rsid w:val="002C41AF"/>
    <w:rsid w:val="002C514E"/>
    <w:rsid w:val="002C73B3"/>
    <w:rsid w:val="002D44E8"/>
    <w:rsid w:val="002D44EC"/>
    <w:rsid w:val="002D4E03"/>
    <w:rsid w:val="002D4E53"/>
    <w:rsid w:val="002D564F"/>
    <w:rsid w:val="002D5AE8"/>
    <w:rsid w:val="002D5D62"/>
    <w:rsid w:val="002D7987"/>
    <w:rsid w:val="002E0510"/>
    <w:rsid w:val="002E2C5B"/>
    <w:rsid w:val="002E460A"/>
    <w:rsid w:val="002E4CBD"/>
    <w:rsid w:val="002E4F84"/>
    <w:rsid w:val="002E58C4"/>
    <w:rsid w:val="002E665D"/>
    <w:rsid w:val="002E77EF"/>
    <w:rsid w:val="002F02D3"/>
    <w:rsid w:val="002F06A1"/>
    <w:rsid w:val="002F079C"/>
    <w:rsid w:val="002F1026"/>
    <w:rsid w:val="002F16E3"/>
    <w:rsid w:val="002F23ED"/>
    <w:rsid w:val="002F2736"/>
    <w:rsid w:val="002F28C0"/>
    <w:rsid w:val="002F473E"/>
    <w:rsid w:val="002F4C6B"/>
    <w:rsid w:val="002F5DA1"/>
    <w:rsid w:val="002F60F9"/>
    <w:rsid w:val="002F6FA6"/>
    <w:rsid w:val="002F7108"/>
    <w:rsid w:val="002F7E7F"/>
    <w:rsid w:val="003006D9"/>
    <w:rsid w:val="00300E67"/>
    <w:rsid w:val="00301DAC"/>
    <w:rsid w:val="00301FFE"/>
    <w:rsid w:val="0030200F"/>
    <w:rsid w:val="003021E7"/>
    <w:rsid w:val="00302458"/>
    <w:rsid w:val="00302B22"/>
    <w:rsid w:val="00303150"/>
    <w:rsid w:val="00305CA7"/>
    <w:rsid w:val="00306B95"/>
    <w:rsid w:val="00307556"/>
    <w:rsid w:val="00307629"/>
    <w:rsid w:val="0031025E"/>
    <w:rsid w:val="00310EA0"/>
    <w:rsid w:val="003128E7"/>
    <w:rsid w:val="0031299E"/>
    <w:rsid w:val="00313F42"/>
    <w:rsid w:val="00314F20"/>
    <w:rsid w:val="003157B0"/>
    <w:rsid w:val="003159BF"/>
    <w:rsid w:val="0032216F"/>
    <w:rsid w:val="00322184"/>
    <w:rsid w:val="00322D10"/>
    <w:rsid w:val="003231DB"/>
    <w:rsid w:val="003235EF"/>
    <w:rsid w:val="00323BD5"/>
    <w:rsid w:val="0032526C"/>
    <w:rsid w:val="0032623E"/>
    <w:rsid w:val="00330890"/>
    <w:rsid w:val="00330D7F"/>
    <w:rsid w:val="003318F9"/>
    <w:rsid w:val="003320D0"/>
    <w:rsid w:val="00332388"/>
    <w:rsid w:val="00332522"/>
    <w:rsid w:val="00332EE7"/>
    <w:rsid w:val="00333948"/>
    <w:rsid w:val="003339F5"/>
    <w:rsid w:val="00333A5C"/>
    <w:rsid w:val="00333ACA"/>
    <w:rsid w:val="00334D9F"/>
    <w:rsid w:val="0033673F"/>
    <w:rsid w:val="00336D18"/>
    <w:rsid w:val="00337C09"/>
    <w:rsid w:val="003404A2"/>
    <w:rsid w:val="00340A87"/>
    <w:rsid w:val="00340A99"/>
    <w:rsid w:val="0034119A"/>
    <w:rsid w:val="00341C10"/>
    <w:rsid w:val="00341DB2"/>
    <w:rsid w:val="003442C3"/>
    <w:rsid w:val="003451C5"/>
    <w:rsid w:val="00345D14"/>
    <w:rsid w:val="0035109F"/>
    <w:rsid w:val="003511EA"/>
    <w:rsid w:val="0035159B"/>
    <w:rsid w:val="003527A4"/>
    <w:rsid w:val="00353543"/>
    <w:rsid w:val="003538AD"/>
    <w:rsid w:val="00354B99"/>
    <w:rsid w:val="00355080"/>
    <w:rsid w:val="00356719"/>
    <w:rsid w:val="0035680B"/>
    <w:rsid w:val="00356B28"/>
    <w:rsid w:val="00357F55"/>
    <w:rsid w:val="00360BA4"/>
    <w:rsid w:val="00361063"/>
    <w:rsid w:val="0036344A"/>
    <w:rsid w:val="00363D73"/>
    <w:rsid w:val="00363DB3"/>
    <w:rsid w:val="003668A8"/>
    <w:rsid w:val="003669BF"/>
    <w:rsid w:val="00367E63"/>
    <w:rsid w:val="00367FF7"/>
    <w:rsid w:val="00371BCF"/>
    <w:rsid w:val="00373F80"/>
    <w:rsid w:val="0037497B"/>
    <w:rsid w:val="00376654"/>
    <w:rsid w:val="003811AA"/>
    <w:rsid w:val="00382603"/>
    <w:rsid w:val="0038355F"/>
    <w:rsid w:val="00383FD8"/>
    <w:rsid w:val="00384650"/>
    <w:rsid w:val="00386DF9"/>
    <w:rsid w:val="00387D33"/>
    <w:rsid w:val="003905D4"/>
    <w:rsid w:val="00390778"/>
    <w:rsid w:val="00390B1B"/>
    <w:rsid w:val="003924E3"/>
    <w:rsid w:val="00392579"/>
    <w:rsid w:val="00392BF7"/>
    <w:rsid w:val="00393AA6"/>
    <w:rsid w:val="00393C11"/>
    <w:rsid w:val="0039459F"/>
    <w:rsid w:val="00396358"/>
    <w:rsid w:val="00396B6A"/>
    <w:rsid w:val="003975C4"/>
    <w:rsid w:val="003979B3"/>
    <w:rsid w:val="003A1CD0"/>
    <w:rsid w:val="003A2078"/>
    <w:rsid w:val="003A5001"/>
    <w:rsid w:val="003A5139"/>
    <w:rsid w:val="003A55B9"/>
    <w:rsid w:val="003A5AC7"/>
    <w:rsid w:val="003A7159"/>
    <w:rsid w:val="003A719A"/>
    <w:rsid w:val="003A7D81"/>
    <w:rsid w:val="003B04D1"/>
    <w:rsid w:val="003B073A"/>
    <w:rsid w:val="003B077F"/>
    <w:rsid w:val="003B0A71"/>
    <w:rsid w:val="003B198D"/>
    <w:rsid w:val="003B199C"/>
    <w:rsid w:val="003B2154"/>
    <w:rsid w:val="003B2A7C"/>
    <w:rsid w:val="003B3CA5"/>
    <w:rsid w:val="003B4930"/>
    <w:rsid w:val="003B5ADA"/>
    <w:rsid w:val="003B62BC"/>
    <w:rsid w:val="003B64F6"/>
    <w:rsid w:val="003B69E8"/>
    <w:rsid w:val="003B6E77"/>
    <w:rsid w:val="003B7452"/>
    <w:rsid w:val="003B74EB"/>
    <w:rsid w:val="003B799F"/>
    <w:rsid w:val="003B7BA1"/>
    <w:rsid w:val="003C035A"/>
    <w:rsid w:val="003C0C99"/>
    <w:rsid w:val="003C135D"/>
    <w:rsid w:val="003C1541"/>
    <w:rsid w:val="003C1F13"/>
    <w:rsid w:val="003C20E9"/>
    <w:rsid w:val="003C38D9"/>
    <w:rsid w:val="003C5435"/>
    <w:rsid w:val="003C5FF6"/>
    <w:rsid w:val="003C6CAB"/>
    <w:rsid w:val="003D059A"/>
    <w:rsid w:val="003D08D2"/>
    <w:rsid w:val="003D2E4C"/>
    <w:rsid w:val="003D30D2"/>
    <w:rsid w:val="003D34AB"/>
    <w:rsid w:val="003D47A9"/>
    <w:rsid w:val="003D5373"/>
    <w:rsid w:val="003D5551"/>
    <w:rsid w:val="003D5E33"/>
    <w:rsid w:val="003D7062"/>
    <w:rsid w:val="003D707F"/>
    <w:rsid w:val="003E114D"/>
    <w:rsid w:val="003E2522"/>
    <w:rsid w:val="003E31E4"/>
    <w:rsid w:val="003E6FB7"/>
    <w:rsid w:val="003E7C62"/>
    <w:rsid w:val="003E7D47"/>
    <w:rsid w:val="003F0DEB"/>
    <w:rsid w:val="003F1809"/>
    <w:rsid w:val="003F1874"/>
    <w:rsid w:val="003F2B10"/>
    <w:rsid w:val="003F3769"/>
    <w:rsid w:val="003F3E36"/>
    <w:rsid w:val="003F3FBD"/>
    <w:rsid w:val="003F5269"/>
    <w:rsid w:val="003F58E6"/>
    <w:rsid w:val="003F6561"/>
    <w:rsid w:val="003F6F1B"/>
    <w:rsid w:val="003F728D"/>
    <w:rsid w:val="003F7531"/>
    <w:rsid w:val="00400D76"/>
    <w:rsid w:val="0040128A"/>
    <w:rsid w:val="00401330"/>
    <w:rsid w:val="00402594"/>
    <w:rsid w:val="00402E6B"/>
    <w:rsid w:val="00402F9A"/>
    <w:rsid w:val="0040335D"/>
    <w:rsid w:val="0040370C"/>
    <w:rsid w:val="00404235"/>
    <w:rsid w:val="0040425F"/>
    <w:rsid w:val="00405221"/>
    <w:rsid w:val="004053AF"/>
    <w:rsid w:val="004058D9"/>
    <w:rsid w:val="00410FD3"/>
    <w:rsid w:val="0041189C"/>
    <w:rsid w:val="00412717"/>
    <w:rsid w:val="00412FB1"/>
    <w:rsid w:val="0041331D"/>
    <w:rsid w:val="0041352B"/>
    <w:rsid w:val="004153B7"/>
    <w:rsid w:val="00416D46"/>
    <w:rsid w:val="00417AA9"/>
    <w:rsid w:val="004204F0"/>
    <w:rsid w:val="00420641"/>
    <w:rsid w:val="004206DB"/>
    <w:rsid w:val="00420FA9"/>
    <w:rsid w:val="00421FF3"/>
    <w:rsid w:val="0042238E"/>
    <w:rsid w:val="00426049"/>
    <w:rsid w:val="004265ED"/>
    <w:rsid w:val="004274F3"/>
    <w:rsid w:val="004300D5"/>
    <w:rsid w:val="00430BAA"/>
    <w:rsid w:val="004322F1"/>
    <w:rsid w:val="00432FCC"/>
    <w:rsid w:val="0043341A"/>
    <w:rsid w:val="00434F99"/>
    <w:rsid w:val="00436958"/>
    <w:rsid w:val="004378AD"/>
    <w:rsid w:val="00440287"/>
    <w:rsid w:val="00440858"/>
    <w:rsid w:val="0044122B"/>
    <w:rsid w:val="00441269"/>
    <w:rsid w:val="004423A9"/>
    <w:rsid w:val="00442509"/>
    <w:rsid w:val="004447F3"/>
    <w:rsid w:val="004452B5"/>
    <w:rsid w:val="0044588E"/>
    <w:rsid w:val="00445C40"/>
    <w:rsid w:val="004466E5"/>
    <w:rsid w:val="004474E7"/>
    <w:rsid w:val="00450599"/>
    <w:rsid w:val="004510F4"/>
    <w:rsid w:val="00451CD3"/>
    <w:rsid w:val="004523BB"/>
    <w:rsid w:val="00452BF5"/>
    <w:rsid w:val="004541A3"/>
    <w:rsid w:val="00456AF6"/>
    <w:rsid w:val="0045771C"/>
    <w:rsid w:val="00457F7F"/>
    <w:rsid w:val="004606BB"/>
    <w:rsid w:val="00460FE8"/>
    <w:rsid w:val="004620F8"/>
    <w:rsid w:val="0046235A"/>
    <w:rsid w:val="00462D9F"/>
    <w:rsid w:val="00462EAC"/>
    <w:rsid w:val="0046315A"/>
    <w:rsid w:val="00464110"/>
    <w:rsid w:val="0046616F"/>
    <w:rsid w:val="0046634F"/>
    <w:rsid w:val="00466BF7"/>
    <w:rsid w:val="00467E08"/>
    <w:rsid w:val="00467F63"/>
    <w:rsid w:val="0047065D"/>
    <w:rsid w:val="00470E0B"/>
    <w:rsid w:val="00471579"/>
    <w:rsid w:val="00472A12"/>
    <w:rsid w:val="004748EA"/>
    <w:rsid w:val="00475323"/>
    <w:rsid w:val="004758EA"/>
    <w:rsid w:val="004766A3"/>
    <w:rsid w:val="0048014C"/>
    <w:rsid w:val="0048094B"/>
    <w:rsid w:val="004817CE"/>
    <w:rsid w:val="004827A5"/>
    <w:rsid w:val="00482DF1"/>
    <w:rsid w:val="00483431"/>
    <w:rsid w:val="00484B6E"/>
    <w:rsid w:val="00484EE2"/>
    <w:rsid w:val="00485AAD"/>
    <w:rsid w:val="00485B01"/>
    <w:rsid w:val="00485CF8"/>
    <w:rsid w:val="004863D8"/>
    <w:rsid w:val="00486F98"/>
    <w:rsid w:val="00490ECB"/>
    <w:rsid w:val="004921EA"/>
    <w:rsid w:val="00494636"/>
    <w:rsid w:val="00494FE1"/>
    <w:rsid w:val="004957BD"/>
    <w:rsid w:val="00495FDD"/>
    <w:rsid w:val="0049639E"/>
    <w:rsid w:val="0049690B"/>
    <w:rsid w:val="00496E34"/>
    <w:rsid w:val="004973CA"/>
    <w:rsid w:val="004A13EF"/>
    <w:rsid w:val="004A176A"/>
    <w:rsid w:val="004A2BE9"/>
    <w:rsid w:val="004A5196"/>
    <w:rsid w:val="004A66CD"/>
    <w:rsid w:val="004A66F8"/>
    <w:rsid w:val="004A725E"/>
    <w:rsid w:val="004B034C"/>
    <w:rsid w:val="004B0E2C"/>
    <w:rsid w:val="004B1529"/>
    <w:rsid w:val="004B1E11"/>
    <w:rsid w:val="004B1F49"/>
    <w:rsid w:val="004B1F88"/>
    <w:rsid w:val="004B2803"/>
    <w:rsid w:val="004B3FBE"/>
    <w:rsid w:val="004B4248"/>
    <w:rsid w:val="004B5039"/>
    <w:rsid w:val="004B5309"/>
    <w:rsid w:val="004B536A"/>
    <w:rsid w:val="004B53B3"/>
    <w:rsid w:val="004B64AA"/>
    <w:rsid w:val="004B7DED"/>
    <w:rsid w:val="004C1780"/>
    <w:rsid w:val="004C1946"/>
    <w:rsid w:val="004C1C5F"/>
    <w:rsid w:val="004C1C61"/>
    <w:rsid w:val="004C2A9D"/>
    <w:rsid w:val="004C31F3"/>
    <w:rsid w:val="004C4AC6"/>
    <w:rsid w:val="004C5BB1"/>
    <w:rsid w:val="004C6B17"/>
    <w:rsid w:val="004C7049"/>
    <w:rsid w:val="004D1E03"/>
    <w:rsid w:val="004D462F"/>
    <w:rsid w:val="004D6596"/>
    <w:rsid w:val="004D6638"/>
    <w:rsid w:val="004D714E"/>
    <w:rsid w:val="004D7152"/>
    <w:rsid w:val="004E0490"/>
    <w:rsid w:val="004E281E"/>
    <w:rsid w:val="004E2836"/>
    <w:rsid w:val="004E3BB3"/>
    <w:rsid w:val="004E4635"/>
    <w:rsid w:val="004E601A"/>
    <w:rsid w:val="004E6BEE"/>
    <w:rsid w:val="004E7084"/>
    <w:rsid w:val="004E7A3C"/>
    <w:rsid w:val="004E7A49"/>
    <w:rsid w:val="004E7B29"/>
    <w:rsid w:val="004E7F1C"/>
    <w:rsid w:val="004F14D8"/>
    <w:rsid w:val="004F15D7"/>
    <w:rsid w:val="004F1F4E"/>
    <w:rsid w:val="004F270D"/>
    <w:rsid w:val="004F2B15"/>
    <w:rsid w:val="004F2D18"/>
    <w:rsid w:val="004F3EA9"/>
    <w:rsid w:val="004F4029"/>
    <w:rsid w:val="004F403A"/>
    <w:rsid w:val="004F4163"/>
    <w:rsid w:val="004F6604"/>
    <w:rsid w:val="00500A92"/>
    <w:rsid w:val="00500EBB"/>
    <w:rsid w:val="00501988"/>
    <w:rsid w:val="005019AE"/>
    <w:rsid w:val="005020B0"/>
    <w:rsid w:val="00502643"/>
    <w:rsid w:val="00510259"/>
    <w:rsid w:val="00511AC4"/>
    <w:rsid w:val="00512600"/>
    <w:rsid w:val="0051337B"/>
    <w:rsid w:val="00513CED"/>
    <w:rsid w:val="0051643D"/>
    <w:rsid w:val="005165AE"/>
    <w:rsid w:val="00516E53"/>
    <w:rsid w:val="0051768A"/>
    <w:rsid w:val="005202A3"/>
    <w:rsid w:val="00520EB0"/>
    <w:rsid w:val="0052136C"/>
    <w:rsid w:val="00523786"/>
    <w:rsid w:val="00525A1D"/>
    <w:rsid w:val="00525D25"/>
    <w:rsid w:val="00525F56"/>
    <w:rsid w:val="00531067"/>
    <w:rsid w:val="005323D2"/>
    <w:rsid w:val="00532E6B"/>
    <w:rsid w:val="005331AF"/>
    <w:rsid w:val="00533CF9"/>
    <w:rsid w:val="0053405F"/>
    <w:rsid w:val="00534CB4"/>
    <w:rsid w:val="0053592F"/>
    <w:rsid w:val="005359EE"/>
    <w:rsid w:val="005370DF"/>
    <w:rsid w:val="00540C13"/>
    <w:rsid w:val="0054377E"/>
    <w:rsid w:val="0054429E"/>
    <w:rsid w:val="005449A8"/>
    <w:rsid w:val="00545730"/>
    <w:rsid w:val="0054581D"/>
    <w:rsid w:val="0054711B"/>
    <w:rsid w:val="00547E93"/>
    <w:rsid w:val="00550E88"/>
    <w:rsid w:val="005511A3"/>
    <w:rsid w:val="00551543"/>
    <w:rsid w:val="00551FBB"/>
    <w:rsid w:val="00555A4C"/>
    <w:rsid w:val="0055611F"/>
    <w:rsid w:val="00556579"/>
    <w:rsid w:val="005568D9"/>
    <w:rsid w:val="00561204"/>
    <w:rsid w:val="00561917"/>
    <w:rsid w:val="00562138"/>
    <w:rsid w:val="00562BCE"/>
    <w:rsid w:val="00565AB6"/>
    <w:rsid w:val="005661A2"/>
    <w:rsid w:val="005665B5"/>
    <w:rsid w:val="0056668E"/>
    <w:rsid w:val="00571E75"/>
    <w:rsid w:val="0057291A"/>
    <w:rsid w:val="00573207"/>
    <w:rsid w:val="005741BF"/>
    <w:rsid w:val="00574286"/>
    <w:rsid w:val="0057438C"/>
    <w:rsid w:val="00574CB9"/>
    <w:rsid w:val="005750E8"/>
    <w:rsid w:val="005756BA"/>
    <w:rsid w:val="00575938"/>
    <w:rsid w:val="00575DAC"/>
    <w:rsid w:val="00576583"/>
    <w:rsid w:val="005767DF"/>
    <w:rsid w:val="00576B93"/>
    <w:rsid w:val="00576CBE"/>
    <w:rsid w:val="00577EE5"/>
    <w:rsid w:val="005804B3"/>
    <w:rsid w:val="00583249"/>
    <w:rsid w:val="005839A7"/>
    <w:rsid w:val="00584C4C"/>
    <w:rsid w:val="0058585A"/>
    <w:rsid w:val="0058586D"/>
    <w:rsid w:val="0058606B"/>
    <w:rsid w:val="00586363"/>
    <w:rsid w:val="0058776F"/>
    <w:rsid w:val="00590720"/>
    <w:rsid w:val="00590DAA"/>
    <w:rsid w:val="00591A28"/>
    <w:rsid w:val="005921D6"/>
    <w:rsid w:val="00592BE3"/>
    <w:rsid w:val="00592D85"/>
    <w:rsid w:val="005935B4"/>
    <w:rsid w:val="005935F9"/>
    <w:rsid w:val="00596958"/>
    <w:rsid w:val="00597467"/>
    <w:rsid w:val="005A10A5"/>
    <w:rsid w:val="005A1FED"/>
    <w:rsid w:val="005A2D57"/>
    <w:rsid w:val="005A5E0A"/>
    <w:rsid w:val="005A77B6"/>
    <w:rsid w:val="005A7F6A"/>
    <w:rsid w:val="005B36A5"/>
    <w:rsid w:val="005B65DE"/>
    <w:rsid w:val="005B6D3E"/>
    <w:rsid w:val="005B71D8"/>
    <w:rsid w:val="005C2B7A"/>
    <w:rsid w:val="005C3462"/>
    <w:rsid w:val="005C3F96"/>
    <w:rsid w:val="005C6619"/>
    <w:rsid w:val="005C770C"/>
    <w:rsid w:val="005C7732"/>
    <w:rsid w:val="005C7789"/>
    <w:rsid w:val="005D0490"/>
    <w:rsid w:val="005D099D"/>
    <w:rsid w:val="005D1EC6"/>
    <w:rsid w:val="005D3798"/>
    <w:rsid w:val="005D5210"/>
    <w:rsid w:val="005D5A09"/>
    <w:rsid w:val="005D5B1B"/>
    <w:rsid w:val="005D5BC7"/>
    <w:rsid w:val="005D67FC"/>
    <w:rsid w:val="005E10ED"/>
    <w:rsid w:val="005E4794"/>
    <w:rsid w:val="005E4D4A"/>
    <w:rsid w:val="005E5437"/>
    <w:rsid w:val="005E687F"/>
    <w:rsid w:val="005E6BEF"/>
    <w:rsid w:val="005F123B"/>
    <w:rsid w:val="005F22C5"/>
    <w:rsid w:val="005F2813"/>
    <w:rsid w:val="005F2FFD"/>
    <w:rsid w:val="005F3A3C"/>
    <w:rsid w:val="005F487B"/>
    <w:rsid w:val="005F5873"/>
    <w:rsid w:val="005F624D"/>
    <w:rsid w:val="005F6D6E"/>
    <w:rsid w:val="005F6EA2"/>
    <w:rsid w:val="005F7D1C"/>
    <w:rsid w:val="005F7E88"/>
    <w:rsid w:val="006008C5"/>
    <w:rsid w:val="00601D42"/>
    <w:rsid w:val="0060255F"/>
    <w:rsid w:val="00602A36"/>
    <w:rsid w:val="006052E2"/>
    <w:rsid w:val="0060552F"/>
    <w:rsid w:val="00605589"/>
    <w:rsid w:val="006064E6"/>
    <w:rsid w:val="00607AF0"/>
    <w:rsid w:val="006107BA"/>
    <w:rsid w:val="0061132B"/>
    <w:rsid w:val="006115A1"/>
    <w:rsid w:val="0061185A"/>
    <w:rsid w:val="006137F8"/>
    <w:rsid w:val="006148E9"/>
    <w:rsid w:val="00615C43"/>
    <w:rsid w:val="00616838"/>
    <w:rsid w:val="00616EF2"/>
    <w:rsid w:val="0061716A"/>
    <w:rsid w:val="00617C34"/>
    <w:rsid w:val="00617E36"/>
    <w:rsid w:val="00620C3E"/>
    <w:rsid w:val="00621876"/>
    <w:rsid w:val="00621B80"/>
    <w:rsid w:val="006229F7"/>
    <w:rsid w:val="00622D64"/>
    <w:rsid w:val="00623B51"/>
    <w:rsid w:val="00624749"/>
    <w:rsid w:val="00627989"/>
    <w:rsid w:val="00630BC3"/>
    <w:rsid w:val="00630EB5"/>
    <w:rsid w:val="006310CB"/>
    <w:rsid w:val="00631880"/>
    <w:rsid w:val="00631E1F"/>
    <w:rsid w:val="00632A22"/>
    <w:rsid w:val="00634821"/>
    <w:rsid w:val="00635B33"/>
    <w:rsid w:val="006363C5"/>
    <w:rsid w:val="00636E78"/>
    <w:rsid w:val="00637393"/>
    <w:rsid w:val="00640AD4"/>
    <w:rsid w:val="006411EA"/>
    <w:rsid w:val="00641A7B"/>
    <w:rsid w:val="006424C3"/>
    <w:rsid w:val="006424E3"/>
    <w:rsid w:val="00642BC9"/>
    <w:rsid w:val="00645392"/>
    <w:rsid w:val="006466E7"/>
    <w:rsid w:val="00646732"/>
    <w:rsid w:val="006509CC"/>
    <w:rsid w:val="00652ACD"/>
    <w:rsid w:val="00652D24"/>
    <w:rsid w:val="006544F4"/>
    <w:rsid w:val="006546C7"/>
    <w:rsid w:val="006567E2"/>
    <w:rsid w:val="00660384"/>
    <w:rsid w:val="006608A1"/>
    <w:rsid w:val="00661468"/>
    <w:rsid w:val="006620B9"/>
    <w:rsid w:val="00662F06"/>
    <w:rsid w:val="00663246"/>
    <w:rsid w:val="00665B6E"/>
    <w:rsid w:val="006660C3"/>
    <w:rsid w:val="00670A64"/>
    <w:rsid w:val="006712DC"/>
    <w:rsid w:val="00671430"/>
    <w:rsid w:val="0067178E"/>
    <w:rsid w:val="00671A0D"/>
    <w:rsid w:val="00672761"/>
    <w:rsid w:val="00672C75"/>
    <w:rsid w:val="00673475"/>
    <w:rsid w:val="006736BA"/>
    <w:rsid w:val="00674ACB"/>
    <w:rsid w:val="006763E6"/>
    <w:rsid w:val="0067661D"/>
    <w:rsid w:val="00676E2B"/>
    <w:rsid w:val="006842A4"/>
    <w:rsid w:val="0068471B"/>
    <w:rsid w:val="00684AAB"/>
    <w:rsid w:val="0068616D"/>
    <w:rsid w:val="00686208"/>
    <w:rsid w:val="00686370"/>
    <w:rsid w:val="00686BC8"/>
    <w:rsid w:val="00686D42"/>
    <w:rsid w:val="006879AA"/>
    <w:rsid w:val="006908E1"/>
    <w:rsid w:val="006923D5"/>
    <w:rsid w:val="006975C7"/>
    <w:rsid w:val="006A0DD3"/>
    <w:rsid w:val="006A1FD1"/>
    <w:rsid w:val="006A2568"/>
    <w:rsid w:val="006A29B1"/>
    <w:rsid w:val="006A2BB8"/>
    <w:rsid w:val="006A48FB"/>
    <w:rsid w:val="006A56EC"/>
    <w:rsid w:val="006A79C4"/>
    <w:rsid w:val="006A7DEF"/>
    <w:rsid w:val="006B08D5"/>
    <w:rsid w:val="006B0B19"/>
    <w:rsid w:val="006B123A"/>
    <w:rsid w:val="006B2D56"/>
    <w:rsid w:val="006B3E9D"/>
    <w:rsid w:val="006B6970"/>
    <w:rsid w:val="006B712C"/>
    <w:rsid w:val="006B7137"/>
    <w:rsid w:val="006B7D9E"/>
    <w:rsid w:val="006C0913"/>
    <w:rsid w:val="006C0FF0"/>
    <w:rsid w:val="006C16F8"/>
    <w:rsid w:val="006C18CD"/>
    <w:rsid w:val="006C296F"/>
    <w:rsid w:val="006C3BE4"/>
    <w:rsid w:val="006C4C8F"/>
    <w:rsid w:val="006C4DC6"/>
    <w:rsid w:val="006C648B"/>
    <w:rsid w:val="006C6669"/>
    <w:rsid w:val="006C66EF"/>
    <w:rsid w:val="006C790C"/>
    <w:rsid w:val="006D0275"/>
    <w:rsid w:val="006D18CD"/>
    <w:rsid w:val="006D2111"/>
    <w:rsid w:val="006D3A4F"/>
    <w:rsid w:val="006D42AE"/>
    <w:rsid w:val="006D492F"/>
    <w:rsid w:val="006D5404"/>
    <w:rsid w:val="006D5FCE"/>
    <w:rsid w:val="006D69BD"/>
    <w:rsid w:val="006D79F2"/>
    <w:rsid w:val="006E1468"/>
    <w:rsid w:val="006E1753"/>
    <w:rsid w:val="006E1A86"/>
    <w:rsid w:val="006E2064"/>
    <w:rsid w:val="006E2A87"/>
    <w:rsid w:val="006E4B2B"/>
    <w:rsid w:val="006E590A"/>
    <w:rsid w:val="006E609D"/>
    <w:rsid w:val="006E624D"/>
    <w:rsid w:val="006E6865"/>
    <w:rsid w:val="006E7230"/>
    <w:rsid w:val="006F0848"/>
    <w:rsid w:val="006F1FD6"/>
    <w:rsid w:val="006F249F"/>
    <w:rsid w:val="006F32CB"/>
    <w:rsid w:val="006F3E32"/>
    <w:rsid w:val="006F73CF"/>
    <w:rsid w:val="007031DD"/>
    <w:rsid w:val="007119BE"/>
    <w:rsid w:val="007119DB"/>
    <w:rsid w:val="00711B8A"/>
    <w:rsid w:val="00714ACF"/>
    <w:rsid w:val="0071641D"/>
    <w:rsid w:val="00717724"/>
    <w:rsid w:val="00722542"/>
    <w:rsid w:val="00722EE1"/>
    <w:rsid w:val="00723556"/>
    <w:rsid w:val="007246CB"/>
    <w:rsid w:val="00725C9E"/>
    <w:rsid w:val="00730DF6"/>
    <w:rsid w:val="00731483"/>
    <w:rsid w:val="00733121"/>
    <w:rsid w:val="0073420C"/>
    <w:rsid w:val="007348CA"/>
    <w:rsid w:val="007349AC"/>
    <w:rsid w:val="00737874"/>
    <w:rsid w:val="00737CEC"/>
    <w:rsid w:val="00740D33"/>
    <w:rsid w:val="00741867"/>
    <w:rsid w:val="007429F1"/>
    <w:rsid w:val="00742BD0"/>
    <w:rsid w:val="007438D6"/>
    <w:rsid w:val="00744D43"/>
    <w:rsid w:val="007450CD"/>
    <w:rsid w:val="00745436"/>
    <w:rsid w:val="00745CE2"/>
    <w:rsid w:val="00750667"/>
    <w:rsid w:val="00750F43"/>
    <w:rsid w:val="007514CF"/>
    <w:rsid w:val="00751FC9"/>
    <w:rsid w:val="00752D45"/>
    <w:rsid w:val="00753AF3"/>
    <w:rsid w:val="00753C96"/>
    <w:rsid w:val="007554AC"/>
    <w:rsid w:val="007561D2"/>
    <w:rsid w:val="00757A4A"/>
    <w:rsid w:val="00760151"/>
    <w:rsid w:val="007605F4"/>
    <w:rsid w:val="00760767"/>
    <w:rsid w:val="007631C2"/>
    <w:rsid w:val="00764BA8"/>
    <w:rsid w:val="007656A2"/>
    <w:rsid w:val="007661AF"/>
    <w:rsid w:val="007665CC"/>
    <w:rsid w:val="00766D7D"/>
    <w:rsid w:val="00770A6E"/>
    <w:rsid w:val="00771E3C"/>
    <w:rsid w:val="00773377"/>
    <w:rsid w:val="00773E1F"/>
    <w:rsid w:val="007741FA"/>
    <w:rsid w:val="0077477D"/>
    <w:rsid w:val="007750C4"/>
    <w:rsid w:val="00775504"/>
    <w:rsid w:val="00777C6A"/>
    <w:rsid w:val="00780641"/>
    <w:rsid w:val="00780C66"/>
    <w:rsid w:val="00781787"/>
    <w:rsid w:val="007817FA"/>
    <w:rsid w:val="00781D14"/>
    <w:rsid w:val="007821EF"/>
    <w:rsid w:val="00782EC5"/>
    <w:rsid w:val="007832A5"/>
    <w:rsid w:val="00783F19"/>
    <w:rsid w:val="00784407"/>
    <w:rsid w:val="00785940"/>
    <w:rsid w:val="00785D12"/>
    <w:rsid w:val="00785D1A"/>
    <w:rsid w:val="00786297"/>
    <w:rsid w:val="007867DD"/>
    <w:rsid w:val="007902C1"/>
    <w:rsid w:val="007903DF"/>
    <w:rsid w:val="0079193E"/>
    <w:rsid w:val="007927E9"/>
    <w:rsid w:val="00793AC8"/>
    <w:rsid w:val="00795995"/>
    <w:rsid w:val="00797200"/>
    <w:rsid w:val="007A0126"/>
    <w:rsid w:val="007A14C7"/>
    <w:rsid w:val="007A3490"/>
    <w:rsid w:val="007A395B"/>
    <w:rsid w:val="007A3DDA"/>
    <w:rsid w:val="007A516F"/>
    <w:rsid w:val="007A587D"/>
    <w:rsid w:val="007A5D89"/>
    <w:rsid w:val="007A6022"/>
    <w:rsid w:val="007A6096"/>
    <w:rsid w:val="007B0343"/>
    <w:rsid w:val="007B09EF"/>
    <w:rsid w:val="007B0BE9"/>
    <w:rsid w:val="007B195C"/>
    <w:rsid w:val="007B1ADD"/>
    <w:rsid w:val="007B256B"/>
    <w:rsid w:val="007B25D5"/>
    <w:rsid w:val="007B339C"/>
    <w:rsid w:val="007B3CB8"/>
    <w:rsid w:val="007B4003"/>
    <w:rsid w:val="007B468E"/>
    <w:rsid w:val="007B5703"/>
    <w:rsid w:val="007B5D71"/>
    <w:rsid w:val="007B6F9A"/>
    <w:rsid w:val="007C0387"/>
    <w:rsid w:val="007C2910"/>
    <w:rsid w:val="007C3A6F"/>
    <w:rsid w:val="007C3C4A"/>
    <w:rsid w:val="007C49B3"/>
    <w:rsid w:val="007C77A8"/>
    <w:rsid w:val="007D06DA"/>
    <w:rsid w:val="007D0F04"/>
    <w:rsid w:val="007D1997"/>
    <w:rsid w:val="007D2150"/>
    <w:rsid w:val="007D2184"/>
    <w:rsid w:val="007D21B2"/>
    <w:rsid w:val="007D303D"/>
    <w:rsid w:val="007D528A"/>
    <w:rsid w:val="007D5969"/>
    <w:rsid w:val="007D60AE"/>
    <w:rsid w:val="007D7022"/>
    <w:rsid w:val="007D7A8F"/>
    <w:rsid w:val="007D7AF5"/>
    <w:rsid w:val="007D7BE4"/>
    <w:rsid w:val="007E0C3C"/>
    <w:rsid w:val="007E186B"/>
    <w:rsid w:val="007E213A"/>
    <w:rsid w:val="007E2D82"/>
    <w:rsid w:val="007E3043"/>
    <w:rsid w:val="007E49C8"/>
    <w:rsid w:val="007E4A67"/>
    <w:rsid w:val="007E514B"/>
    <w:rsid w:val="007E5AD3"/>
    <w:rsid w:val="007E5DC1"/>
    <w:rsid w:val="007E6AFE"/>
    <w:rsid w:val="007E7A28"/>
    <w:rsid w:val="007E7B8D"/>
    <w:rsid w:val="007F1C89"/>
    <w:rsid w:val="007F1EED"/>
    <w:rsid w:val="007F21E8"/>
    <w:rsid w:val="007F6687"/>
    <w:rsid w:val="007F67F5"/>
    <w:rsid w:val="007F7283"/>
    <w:rsid w:val="00800FE1"/>
    <w:rsid w:val="00801B6D"/>
    <w:rsid w:val="00803441"/>
    <w:rsid w:val="00803CE6"/>
    <w:rsid w:val="00806A13"/>
    <w:rsid w:val="008100A3"/>
    <w:rsid w:val="008104CC"/>
    <w:rsid w:val="008104FD"/>
    <w:rsid w:val="00811213"/>
    <w:rsid w:val="0081400A"/>
    <w:rsid w:val="00814177"/>
    <w:rsid w:val="00817E9A"/>
    <w:rsid w:val="00817EE8"/>
    <w:rsid w:val="00821318"/>
    <w:rsid w:val="00821C0E"/>
    <w:rsid w:val="008226CF"/>
    <w:rsid w:val="0082320A"/>
    <w:rsid w:val="008232F6"/>
    <w:rsid w:val="008237D1"/>
    <w:rsid w:val="00825611"/>
    <w:rsid w:val="00825BCE"/>
    <w:rsid w:val="00825E91"/>
    <w:rsid w:val="00826612"/>
    <w:rsid w:val="00826963"/>
    <w:rsid w:val="008303DE"/>
    <w:rsid w:val="00830DF3"/>
    <w:rsid w:val="00831DCB"/>
    <w:rsid w:val="00833334"/>
    <w:rsid w:val="00835191"/>
    <w:rsid w:val="00835365"/>
    <w:rsid w:val="008366FD"/>
    <w:rsid w:val="00836990"/>
    <w:rsid w:val="00836CF1"/>
    <w:rsid w:val="0084002D"/>
    <w:rsid w:val="0084003C"/>
    <w:rsid w:val="00841328"/>
    <w:rsid w:val="008444D2"/>
    <w:rsid w:val="00844613"/>
    <w:rsid w:val="00844990"/>
    <w:rsid w:val="00844D83"/>
    <w:rsid w:val="008454E5"/>
    <w:rsid w:val="00847B9B"/>
    <w:rsid w:val="00850E61"/>
    <w:rsid w:val="00850EDB"/>
    <w:rsid w:val="00851C66"/>
    <w:rsid w:val="00852EBF"/>
    <w:rsid w:val="00855EBC"/>
    <w:rsid w:val="00856883"/>
    <w:rsid w:val="00856BD6"/>
    <w:rsid w:val="00857405"/>
    <w:rsid w:val="00860C3C"/>
    <w:rsid w:val="008619A6"/>
    <w:rsid w:val="00861B0B"/>
    <w:rsid w:val="00864E80"/>
    <w:rsid w:val="008704A1"/>
    <w:rsid w:val="008711AC"/>
    <w:rsid w:val="008718AD"/>
    <w:rsid w:val="008729C2"/>
    <w:rsid w:val="0087458B"/>
    <w:rsid w:val="00874A06"/>
    <w:rsid w:val="00875387"/>
    <w:rsid w:val="00875972"/>
    <w:rsid w:val="00875BB7"/>
    <w:rsid w:val="00877A06"/>
    <w:rsid w:val="00877B55"/>
    <w:rsid w:val="008810F0"/>
    <w:rsid w:val="008817FF"/>
    <w:rsid w:val="00882975"/>
    <w:rsid w:val="00883AE0"/>
    <w:rsid w:val="00890549"/>
    <w:rsid w:val="00890845"/>
    <w:rsid w:val="00890BC2"/>
    <w:rsid w:val="00890CAB"/>
    <w:rsid w:val="0089134E"/>
    <w:rsid w:val="0089338E"/>
    <w:rsid w:val="0089359C"/>
    <w:rsid w:val="0089463C"/>
    <w:rsid w:val="00894DA7"/>
    <w:rsid w:val="00895574"/>
    <w:rsid w:val="00895B7E"/>
    <w:rsid w:val="008A19CA"/>
    <w:rsid w:val="008A1F5E"/>
    <w:rsid w:val="008A20FE"/>
    <w:rsid w:val="008A292E"/>
    <w:rsid w:val="008A40B6"/>
    <w:rsid w:val="008A437C"/>
    <w:rsid w:val="008A47A8"/>
    <w:rsid w:val="008A5E10"/>
    <w:rsid w:val="008A65E9"/>
    <w:rsid w:val="008A670B"/>
    <w:rsid w:val="008A6E07"/>
    <w:rsid w:val="008A79F9"/>
    <w:rsid w:val="008A7FF3"/>
    <w:rsid w:val="008B0978"/>
    <w:rsid w:val="008B1E33"/>
    <w:rsid w:val="008B2122"/>
    <w:rsid w:val="008B3F87"/>
    <w:rsid w:val="008B518E"/>
    <w:rsid w:val="008B7A21"/>
    <w:rsid w:val="008C2308"/>
    <w:rsid w:val="008C2A1D"/>
    <w:rsid w:val="008C3774"/>
    <w:rsid w:val="008C595E"/>
    <w:rsid w:val="008C5A18"/>
    <w:rsid w:val="008C7A77"/>
    <w:rsid w:val="008C7D13"/>
    <w:rsid w:val="008C7E3C"/>
    <w:rsid w:val="008D0CCF"/>
    <w:rsid w:val="008D1168"/>
    <w:rsid w:val="008D15E7"/>
    <w:rsid w:val="008D223D"/>
    <w:rsid w:val="008D455E"/>
    <w:rsid w:val="008D78F0"/>
    <w:rsid w:val="008E07FF"/>
    <w:rsid w:val="008E118B"/>
    <w:rsid w:val="008E34D3"/>
    <w:rsid w:val="008E3B78"/>
    <w:rsid w:val="008E3CA2"/>
    <w:rsid w:val="008E4DD9"/>
    <w:rsid w:val="008E5CE9"/>
    <w:rsid w:val="008E7873"/>
    <w:rsid w:val="008F0014"/>
    <w:rsid w:val="008F0325"/>
    <w:rsid w:val="008F1A8B"/>
    <w:rsid w:val="008F1ED3"/>
    <w:rsid w:val="008F3F6D"/>
    <w:rsid w:val="008F5997"/>
    <w:rsid w:val="008F6048"/>
    <w:rsid w:val="00900DAE"/>
    <w:rsid w:val="00901908"/>
    <w:rsid w:val="00902DF8"/>
    <w:rsid w:val="0090463A"/>
    <w:rsid w:val="00905FA4"/>
    <w:rsid w:val="0090600B"/>
    <w:rsid w:val="00906876"/>
    <w:rsid w:val="0090690F"/>
    <w:rsid w:val="00907BAE"/>
    <w:rsid w:val="00911851"/>
    <w:rsid w:val="00911AF3"/>
    <w:rsid w:val="00912341"/>
    <w:rsid w:val="0091238A"/>
    <w:rsid w:val="00912980"/>
    <w:rsid w:val="00913C03"/>
    <w:rsid w:val="00916066"/>
    <w:rsid w:val="0091642D"/>
    <w:rsid w:val="00916724"/>
    <w:rsid w:val="00916CCE"/>
    <w:rsid w:val="009170BE"/>
    <w:rsid w:val="009174AD"/>
    <w:rsid w:val="00920771"/>
    <w:rsid w:val="00920DD6"/>
    <w:rsid w:val="009223A7"/>
    <w:rsid w:val="009237C2"/>
    <w:rsid w:val="00923F8E"/>
    <w:rsid w:val="0092418A"/>
    <w:rsid w:val="0092618D"/>
    <w:rsid w:val="0092678A"/>
    <w:rsid w:val="00926934"/>
    <w:rsid w:val="00927BE8"/>
    <w:rsid w:val="00927EC7"/>
    <w:rsid w:val="0093001D"/>
    <w:rsid w:val="00931B78"/>
    <w:rsid w:val="0093335B"/>
    <w:rsid w:val="009347C3"/>
    <w:rsid w:val="00935151"/>
    <w:rsid w:val="00935328"/>
    <w:rsid w:val="009354DB"/>
    <w:rsid w:val="00935FF5"/>
    <w:rsid w:val="0093666B"/>
    <w:rsid w:val="009368F5"/>
    <w:rsid w:val="00936D53"/>
    <w:rsid w:val="0093720E"/>
    <w:rsid w:val="00941BA5"/>
    <w:rsid w:val="009422CD"/>
    <w:rsid w:val="0094284D"/>
    <w:rsid w:val="00942B5B"/>
    <w:rsid w:val="009444A1"/>
    <w:rsid w:val="00944BD6"/>
    <w:rsid w:val="009452D6"/>
    <w:rsid w:val="009454EF"/>
    <w:rsid w:val="0094630F"/>
    <w:rsid w:val="009463AF"/>
    <w:rsid w:val="00946DA7"/>
    <w:rsid w:val="00947832"/>
    <w:rsid w:val="0094790D"/>
    <w:rsid w:val="00947FE9"/>
    <w:rsid w:val="00950FE6"/>
    <w:rsid w:val="00951080"/>
    <w:rsid w:val="009510EA"/>
    <w:rsid w:val="00952796"/>
    <w:rsid w:val="00952E66"/>
    <w:rsid w:val="00954228"/>
    <w:rsid w:val="00954C50"/>
    <w:rsid w:val="0095719A"/>
    <w:rsid w:val="00960552"/>
    <w:rsid w:val="009629B9"/>
    <w:rsid w:val="009642B4"/>
    <w:rsid w:val="00964A3E"/>
    <w:rsid w:val="00964CCA"/>
    <w:rsid w:val="00966226"/>
    <w:rsid w:val="00966B1C"/>
    <w:rsid w:val="00966E26"/>
    <w:rsid w:val="00967B53"/>
    <w:rsid w:val="00970F20"/>
    <w:rsid w:val="00971845"/>
    <w:rsid w:val="00972890"/>
    <w:rsid w:val="00973212"/>
    <w:rsid w:val="009755FD"/>
    <w:rsid w:val="009763B9"/>
    <w:rsid w:val="009769E9"/>
    <w:rsid w:val="00977170"/>
    <w:rsid w:val="00980C6A"/>
    <w:rsid w:val="00980F66"/>
    <w:rsid w:val="009820E7"/>
    <w:rsid w:val="009835AF"/>
    <w:rsid w:val="00983B04"/>
    <w:rsid w:val="00984AB5"/>
    <w:rsid w:val="00984FF6"/>
    <w:rsid w:val="00985F3B"/>
    <w:rsid w:val="00986C69"/>
    <w:rsid w:val="00986C9F"/>
    <w:rsid w:val="0098727E"/>
    <w:rsid w:val="00987866"/>
    <w:rsid w:val="009878B6"/>
    <w:rsid w:val="00992414"/>
    <w:rsid w:val="009924E1"/>
    <w:rsid w:val="00993760"/>
    <w:rsid w:val="0099604C"/>
    <w:rsid w:val="00997007"/>
    <w:rsid w:val="009A002F"/>
    <w:rsid w:val="009A11DE"/>
    <w:rsid w:val="009A2008"/>
    <w:rsid w:val="009A3800"/>
    <w:rsid w:val="009A4984"/>
    <w:rsid w:val="009A579E"/>
    <w:rsid w:val="009A586D"/>
    <w:rsid w:val="009A5BB6"/>
    <w:rsid w:val="009A69DA"/>
    <w:rsid w:val="009A6AB5"/>
    <w:rsid w:val="009A71F2"/>
    <w:rsid w:val="009A77A9"/>
    <w:rsid w:val="009B2046"/>
    <w:rsid w:val="009B260E"/>
    <w:rsid w:val="009B27AE"/>
    <w:rsid w:val="009B2AE0"/>
    <w:rsid w:val="009B37C3"/>
    <w:rsid w:val="009B3846"/>
    <w:rsid w:val="009B4502"/>
    <w:rsid w:val="009B4B6E"/>
    <w:rsid w:val="009B4EB4"/>
    <w:rsid w:val="009B5227"/>
    <w:rsid w:val="009B58EA"/>
    <w:rsid w:val="009B61A0"/>
    <w:rsid w:val="009B70A3"/>
    <w:rsid w:val="009C17B5"/>
    <w:rsid w:val="009C195C"/>
    <w:rsid w:val="009C1F95"/>
    <w:rsid w:val="009C2118"/>
    <w:rsid w:val="009C339C"/>
    <w:rsid w:val="009C3B1E"/>
    <w:rsid w:val="009C3DA0"/>
    <w:rsid w:val="009C4046"/>
    <w:rsid w:val="009C57FC"/>
    <w:rsid w:val="009C6268"/>
    <w:rsid w:val="009C67D1"/>
    <w:rsid w:val="009C68F7"/>
    <w:rsid w:val="009C6A1A"/>
    <w:rsid w:val="009C78CA"/>
    <w:rsid w:val="009D06E4"/>
    <w:rsid w:val="009D0BBC"/>
    <w:rsid w:val="009D0C03"/>
    <w:rsid w:val="009D12FD"/>
    <w:rsid w:val="009D14AE"/>
    <w:rsid w:val="009D1C1B"/>
    <w:rsid w:val="009D1D99"/>
    <w:rsid w:val="009D36E2"/>
    <w:rsid w:val="009D3AA9"/>
    <w:rsid w:val="009D404A"/>
    <w:rsid w:val="009D5D2C"/>
    <w:rsid w:val="009E009E"/>
    <w:rsid w:val="009E020B"/>
    <w:rsid w:val="009E020F"/>
    <w:rsid w:val="009E1855"/>
    <w:rsid w:val="009E1DC2"/>
    <w:rsid w:val="009E29EB"/>
    <w:rsid w:val="009E3924"/>
    <w:rsid w:val="009E3A31"/>
    <w:rsid w:val="009E3F8F"/>
    <w:rsid w:val="009E402C"/>
    <w:rsid w:val="009E538C"/>
    <w:rsid w:val="009E6762"/>
    <w:rsid w:val="009E6CB7"/>
    <w:rsid w:val="009E75AC"/>
    <w:rsid w:val="009E7AD9"/>
    <w:rsid w:val="009F17D9"/>
    <w:rsid w:val="009F19ED"/>
    <w:rsid w:val="009F2A8A"/>
    <w:rsid w:val="009F35BE"/>
    <w:rsid w:val="009F363A"/>
    <w:rsid w:val="009F4EB4"/>
    <w:rsid w:val="009F5885"/>
    <w:rsid w:val="009F5F58"/>
    <w:rsid w:val="009F6CBB"/>
    <w:rsid w:val="009F7FB2"/>
    <w:rsid w:val="00A03D1D"/>
    <w:rsid w:val="00A0407F"/>
    <w:rsid w:val="00A04677"/>
    <w:rsid w:val="00A05155"/>
    <w:rsid w:val="00A05939"/>
    <w:rsid w:val="00A07155"/>
    <w:rsid w:val="00A079A9"/>
    <w:rsid w:val="00A1024F"/>
    <w:rsid w:val="00A12473"/>
    <w:rsid w:val="00A12932"/>
    <w:rsid w:val="00A13EE2"/>
    <w:rsid w:val="00A13EEA"/>
    <w:rsid w:val="00A14B07"/>
    <w:rsid w:val="00A14C2C"/>
    <w:rsid w:val="00A14F25"/>
    <w:rsid w:val="00A1560F"/>
    <w:rsid w:val="00A16313"/>
    <w:rsid w:val="00A16F02"/>
    <w:rsid w:val="00A214EE"/>
    <w:rsid w:val="00A21788"/>
    <w:rsid w:val="00A21D31"/>
    <w:rsid w:val="00A226BD"/>
    <w:rsid w:val="00A228F9"/>
    <w:rsid w:val="00A229C1"/>
    <w:rsid w:val="00A231C3"/>
    <w:rsid w:val="00A23712"/>
    <w:rsid w:val="00A26DA3"/>
    <w:rsid w:val="00A27F31"/>
    <w:rsid w:val="00A319E9"/>
    <w:rsid w:val="00A32E1E"/>
    <w:rsid w:val="00A331FA"/>
    <w:rsid w:val="00A34125"/>
    <w:rsid w:val="00A350D4"/>
    <w:rsid w:val="00A356C8"/>
    <w:rsid w:val="00A36CD2"/>
    <w:rsid w:val="00A37B8B"/>
    <w:rsid w:val="00A37C21"/>
    <w:rsid w:val="00A4038E"/>
    <w:rsid w:val="00A407AB"/>
    <w:rsid w:val="00A4096B"/>
    <w:rsid w:val="00A40B33"/>
    <w:rsid w:val="00A40D6F"/>
    <w:rsid w:val="00A4200D"/>
    <w:rsid w:val="00A43351"/>
    <w:rsid w:val="00A436ED"/>
    <w:rsid w:val="00A43726"/>
    <w:rsid w:val="00A438C1"/>
    <w:rsid w:val="00A44531"/>
    <w:rsid w:val="00A4502B"/>
    <w:rsid w:val="00A45C61"/>
    <w:rsid w:val="00A4705C"/>
    <w:rsid w:val="00A52325"/>
    <w:rsid w:val="00A52A71"/>
    <w:rsid w:val="00A52CD9"/>
    <w:rsid w:val="00A546DB"/>
    <w:rsid w:val="00A557B0"/>
    <w:rsid w:val="00A603AB"/>
    <w:rsid w:val="00A62238"/>
    <w:rsid w:val="00A64841"/>
    <w:rsid w:val="00A6492B"/>
    <w:rsid w:val="00A651D6"/>
    <w:rsid w:val="00A65CD4"/>
    <w:rsid w:val="00A663CA"/>
    <w:rsid w:val="00A66615"/>
    <w:rsid w:val="00A66BA6"/>
    <w:rsid w:val="00A67A94"/>
    <w:rsid w:val="00A70762"/>
    <w:rsid w:val="00A707CC"/>
    <w:rsid w:val="00A71089"/>
    <w:rsid w:val="00A71806"/>
    <w:rsid w:val="00A7186D"/>
    <w:rsid w:val="00A718CB"/>
    <w:rsid w:val="00A7291E"/>
    <w:rsid w:val="00A73D1C"/>
    <w:rsid w:val="00A75AD4"/>
    <w:rsid w:val="00A765C0"/>
    <w:rsid w:val="00A768AA"/>
    <w:rsid w:val="00A7755B"/>
    <w:rsid w:val="00A80916"/>
    <w:rsid w:val="00A80CBA"/>
    <w:rsid w:val="00A8257F"/>
    <w:rsid w:val="00A82917"/>
    <w:rsid w:val="00A834CF"/>
    <w:rsid w:val="00A8387F"/>
    <w:rsid w:val="00A85E29"/>
    <w:rsid w:val="00A86458"/>
    <w:rsid w:val="00A8730A"/>
    <w:rsid w:val="00A90C4D"/>
    <w:rsid w:val="00A90D78"/>
    <w:rsid w:val="00A91208"/>
    <w:rsid w:val="00A92591"/>
    <w:rsid w:val="00A92F67"/>
    <w:rsid w:val="00A93FC2"/>
    <w:rsid w:val="00AA002B"/>
    <w:rsid w:val="00AA02AA"/>
    <w:rsid w:val="00AA0E7A"/>
    <w:rsid w:val="00AA2AF0"/>
    <w:rsid w:val="00AA316D"/>
    <w:rsid w:val="00AA3BC9"/>
    <w:rsid w:val="00AA4508"/>
    <w:rsid w:val="00AA49C8"/>
    <w:rsid w:val="00AA5516"/>
    <w:rsid w:val="00AA6A9C"/>
    <w:rsid w:val="00AA7AFD"/>
    <w:rsid w:val="00AB0C82"/>
    <w:rsid w:val="00AB0E93"/>
    <w:rsid w:val="00AB2156"/>
    <w:rsid w:val="00AB31CF"/>
    <w:rsid w:val="00AB370E"/>
    <w:rsid w:val="00AB5061"/>
    <w:rsid w:val="00AB6EA7"/>
    <w:rsid w:val="00AB7D53"/>
    <w:rsid w:val="00AC1A89"/>
    <w:rsid w:val="00AC1BFB"/>
    <w:rsid w:val="00AC3CF4"/>
    <w:rsid w:val="00AC4F47"/>
    <w:rsid w:val="00AC516A"/>
    <w:rsid w:val="00AC7386"/>
    <w:rsid w:val="00AC7A5B"/>
    <w:rsid w:val="00AC7E2D"/>
    <w:rsid w:val="00AD2318"/>
    <w:rsid w:val="00AD2687"/>
    <w:rsid w:val="00AD35AE"/>
    <w:rsid w:val="00AD39C1"/>
    <w:rsid w:val="00AD462A"/>
    <w:rsid w:val="00AD4652"/>
    <w:rsid w:val="00AE091A"/>
    <w:rsid w:val="00AE0D1F"/>
    <w:rsid w:val="00AE1704"/>
    <w:rsid w:val="00AE328B"/>
    <w:rsid w:val="00AE405E"/>
    <w:rsid w:val="00AE47B6"/>
    <w:rsid w:val="00AE499D"/>
    <w:rsid w:val="00AE507D"/>
    <w:rsid w:val="00AE54C3"/>
    <w:rsid w:val="00AE59BF"/>
    <w:rsid w:val="00AE714F"/>
    <w:rsid w:val="00AF1BE8"/>
    <w:rsid w:val="00AF1EDD"/>
    <w:rsid w:val="00AF2FE3"/>
    <w:rsid w:val="00AF391B"/>
    <w:rsid w:val="00AF4790"/>
    <w:rsid w:val="00AF5479"/>
    <w:rsid w:val="00AF6257"/>
    <w:rsid w:val="00AF6ADA"/>
    <w:rsid w:val="00AF6C9E"/>
    <w:rsid w:val="00B0068D"/>
    <w:rsid w:val="00B01008"/>
    <w:rsid w:val="00B02E5B"/>
    <w:rsid w:val="00B02F6B"/>
    <w:rsid w:val="00B031C7"/>
    <w:rsid w:val="00B03894"/>
    <w:rsid w:val="00B04144"/>
    <w:rsid w:val="00B0471F"/>
    <w:rsid w:val="00B054DE"/>
    <w:rsid w:val="00B05E20"/>
    <w:rsid w:val="00B10C2B"/>
    <w:rsid w:val="00B1179C"/>
    <w:rsid w:val="00B1199F"/>
    <w:rsid w:val="00B11F56"/>
    <w:rsid w:val="00B12741"/>
    <w:rsid w:val="00B12884"/>
    <w:rsid w:val="00B12AD7"/>
    <w:rsid w:val="00B12BCD"/>
    <w:rsid w:val="00B12F76"/>
    <w:rsid w:val="00B1325F"/>
    <w:rsid w:val="00B1373E"/>
    <w:rsid w:val="00B13DAF"/>
    <w:rsid w:val="00B13F8F"/>
    <w:rsid w:val="00B1685C"/>
    <w:rsid w:val="00B173FC"/>
    <w:rsid w:val="00B22656"/>
    <w:rsid w:val="00B23B3C"/>
    <w:rsid w:val="00B24553"/>
    <w:rsid w:val="00B24DE1"/>
    <w:rsid w:val="00B25342"/>
    <w:rsid w:val="00B2671B"/>
    <w:rsid w:val="00B2691D"/>
    <w:rsid w:val="00B270A3"/>
    <w:rsid w:val="00B27A43"/>
    <w:rsid w:val="00B3018C"/>
    <w:rsid w:val="00B304E2"/>
    <w:rsid w:val="00B30C3A"/>
    <w:rsid w:val="00B31393"/>
    <w:rsid w:val="00B313BE"/>
    <w:rsid w:val="00B31E6E"/>
    <w:rsid w:val="00B32089"/>
    <w:rsid w:val="00B3222C"/>
    <w:rsid w:val="00B3272A"/>
    <w:rsid w:val="00B33071"/>
    <w:rsid w:val="00B348AB"/>
    <w:rsid w:val="00B353F2"/>
    <w:rsid w:val="00B35578"/>
    <w:rsid w:val="00B3607C"/>
    <w:rsid w:val="00B37629"/>
    <w:rsid w:val="00B40B17"/>
    <w:rsid w:val="00B41586"/>
    <w:rsid w:val="00B41DCE"/>
    <w:rsid w:val="00B425C8"/>
    <w:rsid w:val="00B45392"/>
    <w:rsid w:val="00B45EB8"/>
    <w:rsid w:val="00B45F81"/>
    <w:rsid w:val="00B46AA8"/>
    <w:rsid w:val="00B47F77"/>
    <w:rsid w:val="00B50DEC"/>
    <w:rsid w:val="00B50F20"/>
    <w:rsid w:val="00B51243"/>
    <w:rsid w:val="00B51CFE"/>
    <w:rsid w:val="00B51E6B"/>
    <w:rsid w:val="00B5311C"/>
    <w:rsid w:val="00B5733E"/>
    <w:rsid w:val="00B603C0"/>
    <w:rsid w:val="00B60912"/>
    <w:rsid w:val="00B60A75"/>
    <w:rsid w:val="00B60FD7"/>
    <w:rsid w:val="00B61585"/>
    <w:rsid w:val="00B629DB"/>
    <w:rsid w:val="00B639E1"/>
    <w:rsid w:val="00B642BE"/>
    <w:rsid w:val="00B6532D"/>
    <w:rsid w:val="00B6600A"/>
    <w:rsid w:val="00B67EC0"/>
    <w:rsid w:val="00B7032D"/>
    <w:rsid w:val="00B70887"/>
    <w:rsid w:val="00B71C52"/>
    <w:rsid w:val="00B724BF"/>
    <w:rsid w:val="00B72C7E"/>
    <w:rsid w:val="00B7302A"/>
    <w:rsid w:val="00B743B3"/>
    <w:rsid w:val="00B7537D"/>
    <w:rsid w:val="00B756A7"/>
    <w:rsid w:val="00B76C6B"/>
    <w:rsid w:val="00B778FD"/>
    <w:rsid w:val="00B77DEA"/>
    <w:rsid w:val="00B80006"/>
    <w:rsid w:val="00B80EFF"/>
    <w:rsid w:val="00B812C3"/>
    <w:rsid w:val="00B819B3"/>
    <w:rsid w:val="00B8209A"/>
    <w:rsid w:val="00B84FB8"/>
    <w:rsid w:val="00B863BF"/>
    <w:rsid w:val="00B87E91"/>
    <w:rsid w:val="00B90B94"/>
    <w:rsid w:val="00B95250"/>
    <w:rsid w:val="00B95797"/>
    <w:rsid w:val="00B97757"/>
    <w:rsid w:val="00BA1169"/>
    <w:rsid w:val="00BA7732"/>
    <w:rsid w:val="00BA78EB"/>
    <w:rsid w:val="00BB0249"/>
    <w:rsid w:val="00BB0E0B"/>
    <w:rsid w:val="00BB1FAA"/>
    <w:rsid w:val="00BB237D"/>
    <w:rsid w:val="00BB35FB"/>
    <w:rsid w:val="00BB6135"/>
    <w:rsid w:val="00BB704B"/>
    <w:rsid w:val="00BB7B8A"/>
    <w:rsid w:val="00BC02D7"/>
    <w:rsid w:val="00BC20F3"/>
    <w:rsid w:val="00BC2AF3"/>
    <w:rsid w:val="00BC2BF3"/>
    <w:rsid w:val="00BC42B0"/>
    <w:rsid w:val="00BC4E98"/>
    <w:rsid w:val="00BC5DDE"/>
    <w:rsid w:val="00BD0122"/>
    <w:rsid w:val="00BD04CE"/>
    <w:rsid w:val="00BD0B5E"/>
    <w:rsid w:val="00BD1481"/>
    <w:rsid w:val="00BD1AB8"/>
    <w:rsid w:val="00BD1D35"/>
    <w:rsid w:val="00BD45B2"/>
    <w:rsid w:val="00BD4CC4"/>
    <w:rsid w:val="00BD59CC"/>
    <w:rsid w:val="00BD7B3D"/>
    <w:rsid w:val="00BE1300"/>
    <w:rsid w:val="00BE2B02"/>
    <w:rsid w:val="00BE2BBF"/>
    <w:rsid w:val="00BE3686"/>
    <w:rsid w:val="00BE3CD0"/>
    <w:rsid w:val="00BE5209"/>
    <w:rsid w:val="00BE569D"/>
    <w:rsid w:val="00BE5F8D"/>
    <w:rsid w:val="00BE7FCC"/>
    <w:rsid w:val="00BF0B90"/>
    <w:rsid w:val="00BF1F10"/>
    <w:rsid w:val="00BF3395"/>
    <w:rsid w:val="00BF3606"/>
    <w:rsid w:val="00BF3F5E"/>
    <w:rsid w:val="00BF48A7"/>
    <w:rsid w:val="00BF51F6"/>
    <w:rsid w:val="00BF57E2"/>
    <w:rsid w:val="00BF5A9C"/>
    <w:rsid w:val="00BF5F11"/>
    <w:rsid w:val="00BF6034"/>
    <w:rsid w:val="00BF6521"/>
    <w:rsid w:val="00BF76D2"/>
    <w:rsid w:val="00BF7B54"/>
    <w:rsid w:val="00C00C3A"/>
    <w:rsid w:val="00C00D41"/>
    <w:rsid w:val="00C00EDE"/>
    <w:rsid w:val="00C01B0D"/>
    <w:rsid w:val="00C01EAB"/>
    <w:rsid w:val="00C02792"/>
    <w:rsid w:val="00C039FA"/>
    <w:rsid w:val="00C040DB"/>
    <w:rsid w:val="00C042C8"/>
    <w:rsid w:val="00C06013"/>
    <w:rsid w:val="00C10252"/>
    <w:rsid w:val="00C118AD"/>
    <w:rsid w:val="00C11EFC"/>
    <w:rsid w:val="00C13C64"/>
    <w:rsid w:val="00C14513"/>
    <w:rsid w:val="00C14C76"/>
    <w:rsid w:val="00C15D12"/>
    <w:rsid w:val="00C169D3"/>
    <w:rsid w:val="00C1722E"/>
    <w:rsid w:val="00C208CA"/>
    <w:rsid w:val="00C20F9C"/>
    <w:rsid w:val="00C21343"/>
    <w:rsid w:val="00C22699"/>
    <w:rsid w:val="00C22C7E"/>
    <w:rsid w:val="00C2322A"/>
    <w:rsid w:val="00C24A46"/>
    <w:rsid w:val="00C256CA"/>
    <w:rsid w:val="00C2582C"/>
    <w:rsid w:val="00C26070"/>
    <w:rsid w:val="00C2610C"/>
    <w:rsid w:val="00C31138"/>
    <w:rsid w:val="00C32E2D"/>
    <w:rsid w:val="00C35E64"/>
    <w:rsid w:val="00C36A2C"/>
    <w:rsid w:val="00C37658"/>
    <w:rsid w:val="00C41AA9"/>
    <w:rsid w:val="00C41BE3"/>
    <w:rsid w:val="00C41D18"/>
    <w:rsid w:val="00C427BD"/>
    <w:rsid w:val="00C42D10"/>
    <w:rsid w:val="00C44984"/>
    <w:rsid w:val="00C451DF"/>
    <w:rsid w:val="00C45BFA"/>
    <w:rsid w:val="00C4626A"/>
    <w:rsid w:val="00C50085"/>
    <w:rsid w:val="00C50EB9"/>
    <w:rsid w:val="00C51475"/>
    <w:rsid w:val="00C52AB9"/>
    <w:rsid w:val="00C52CA0"/>
    <w:rsid w:val="00C5324C"/>
    <w:rsid w:val="00C535E7"/>
    <w:rsid w:val="00C535FC"/>
    <w:rsid w:val="00C54298"/>
    <w:rsid w:val="00C553A7"/>
    <w:rsid w:val="00C578BE"/>
    <w:rsid w:val="00C60FB5"/>
    <w:rsid w:val="00C61C30"/>
    <w:rsid w:val="00C62C43"/>
    <w:rsid w:val="00C630E2"/>
    <w:rsid w:val="00C63496"/>
    <w:rsid w:val="00C63C97"/>
    <w:rsid w:val="00C64544"/>
    <w:rsid w:val="00C64F65"/>
    <w:rsid w:val="00C6618D"/>
    <w:rsid w:val="00C6686D"/>
    <w:rsid w:val="00C67EBF"/>
    <w:rsid w:val="00C703E9"/>
    <w:rsid w:val="00C7048C"/>
    <w:rsid w:val="00C72DA6"/>
    <w:rsid w:val="00C72E25"/>
    <w:rsid w:val="00C73CB5"/>
    <w:rsid w:val="00C7412E"/>
    <w:rsid w:val="00C74F5E"/>
    <w:rsid w:val="00C77610"/>
    <w:rsid w:val="00C778BA"/>
    <w:rsid w:val="00C80D31"/>
    <w:rsid w:val="00C81103"/>
    <w:rsid w:val="00C82FD9"/>
    <w:rsid w:val="00C83A39"/>
    <w:rsid w:val="00C85B66"/>
    <w:rsid w:val="00C85F8C"/>
    <w:rsid w:val="00C866BD"/>
    <w:rsid w:val="00C8683D"/>
    <w:rsid w:val="00C868C4"/>
    <w:rsid w:val="00C90875"/>
    <w:rsid w:val="00C91A5D"/>
    <w:rsid w:val="00C92F5A"/>
    <w:rsid w:val="00C93202"/>
    <w:rsid w:val="00C93C87"/>
    <w:rsid w:val="00C93C9B"/>
    <w:rsid w:val="00C9551E"/>
    <w:rsid w:val="00C966AF"/>
    <w:rsid w:val="00C968E3"/>
    <w:rsid w:val="00CA02CF"/>
    <w:rsid w:val="00CA1398"/>
    <w:rsid w:val="00CA16C7"/>
    <w:rsid w:val="00CA16F7"/>
    <w:rsid w:val="00CA23A9"/>
    <w:rsid w:val="00CA2CA5"/>
    <w:rsid w:val="00CA2D67"/>
    <w:rsid w:val="00CA3E4B"/>
    <w:rsid w:val="00CA5450"/>
    <w:rsid w:val="00CA55FF"/>
    <w:rsid w:val="00CA579C"/>
    <w:rsid w:val="00CA5D65"/>
    <w:rsid w:val="00CA606C"/>
    <w:rsid w:val="00CA6C3E"/>
    <w:rsid w:val="00CB0925"/>
    <w:rsid w:val="00CB1D8E"/>
    <w:rsid w:val="00CB35A8"/>
    <w:rsid w:val="00CB5C8C"/>
    <w:rsid w:val="00CC0265"/>
    <w:rsid w:val="00CC0603"/>
    <w:rsid w:val="00CC11AD"/>
    <w:rsid w:val="00CC1D67"/>
    <w:rsid w:val="00CC23AA"/>
    <w:rsid w:val="00CC265E"/>
    <w:rsid w:val="00CC34B1"/>
    <w:rsid w:val="00CC36CF"/>
    <w:rsid w:val="00CC4781"/>
    <w:rsid w:val="00CC4A02"/>
    <w:rsid w:val="00CC4E94"/>
    <w:rsid w:val="00CC65B2"/>
    <w:rsid w:val="00CC719C"/>
    <w:rsid w:val="00CD0BBD"/>
    <w:rsid w:val="00CD0EA4"/>
    <w:rsid w:val="00CD1325"/>
    <w:rsid w:val="00CD37A5"/>
    <w:rsid w:val="00CD4765"/>
    <w:rsid w:val="00CD4F67"/>
    <w:rsid w:val="00CD702F"/>
    <w:rsid w:val="00CE2048"/>
    <w:rsid w:val="00CE2187"/>
    <w:rsid w:val="00CE2213"/>
    <w:rsid w:val="00CE2C33"/>
    <w:rsid w:val="00CE3694"/>
    <w:rsid w:val="00CE5043"/>
    <w:rsid w:val="00CE5269"/>
    <w:rsid w:val="00CE6BB9"/>
    <w:rsid w:val="00CF0AF9"/>
    <w:rsid w:val="00CF0DA7"/>
    <w:rsid w:val="00CF35A0"/>
    <w:rsid w:val="00CF3B0A"/>
    <w:rsid w:val="00CF41FC"/>
    <w:rsid w:val="00CF550C"/>
    <w:rsid w:val="00CF56A3"/>
    <w:rsid w:val="00CF5771"/>
    <w:rsid w:val="00CF6C62"/>
    <w:rsid w:val="00CF7E7C"/>
    <w:rsid w:val="00D0110C"/>
    <w:rsid w:val="00D015B1"/>
    <w:rsid w:val="00D03DAE"/>
    <w:rsid w:val="00D04384"/>
    <w:rsid w:val="00D0475E"/>
    <w:rsid w:val="00D04B32"/>
    <w:rsid w:val="00D0617E"/>
    <w:rsid w:val="00D064A8"/>
    <w:rsid w:val="00D064C3"/>
    <w:rsid w:val="00D13F8E"/>
    <w:rsid w:val="00D20B35"/>
    <w:rsid w:val="00D2130E"/>
    <w:rsid w:val="00D22546"/>
    <w:rsid w:val="00D2290E"/>
    <w:rsid w:val="00D23020"/>
    <w:rsid w:val="00D25B25"/>
    <w:rsid w:val="00D25CE8"/>
    <w:rsid w:val="00D26857"/>
    <w:rsid w:val="00D27826"/>
    <w:rsid w:val="00D27AB0"/>
    <w:rsid w:val="00D27D68"/>
    <w:rsid w:val="00D303C4"/>
    <w:rsid w:val="00D306D5"/>
    <w:rsid w:val="00D30C01"/>
    <w:rsid w:val="00D30E87"/>
    <w:rsid w:val="00D31333"/>
    <w:rsid w:val="00D31508"/>
    <w:rsid w:val="00D323CE"/>
    <w:rsid w:val="00D327D3"/>
    <w:rsid w:val="00D3347E"/>
    <w:rsid w:val="00D3422C"/>
    <w:rsid w:val="00D3467B"/>
    <w:rsid w:val="00D34B46"/>
    <w:rsid w:val="00D35290"/>
    <w:rsid w:val="00D3561B"/>
    <w:rsid w:val="00D35844"/>
    <w:rsid w:val="00D36239"/>
    <w:rsid w:val="00D36419"/>
    <w:rsid w:val="00D36540"/>
    <w:rsid w:val="00D369BD"/>
    <w:rsid w:val="00D40154"/>
    <w:rsid w:val="00D40EB3"/>
    <w:rsid w:val="00D41115"/>
    <w:rsid w:val="00D4307F"/>
    <w:rsid w:val="00D4535D"/>
    <w:rsid w:val="00D46B71"/>
    <w:rsid w:val="00D505F6"/>
    <w:rsid w:val="00D51EC1"/>
    <w:rsid w:val="00D520DC"/>
    <w:rsid w:val="00D522C1"/>
    <w:rsid w:val="00D53C67"/>
    <w:rsid w:val="00D544AF"/>
    <w:rsid w:val="00D5629A"/>
    <w:rsid w:val="00D56CA5"/>
    <w:rsid w:val="00D5783C"/>
    <w:rsid w:val="00D61A05"/>
    <w:rsid w:val="00D62635"/>
    <w:rsid w:val="00D64B77"/>
    <w:rsid w:val="00D64E89"/>
    <w:rsid w:val="00D654D0"/>
    <w:rsid w:val="00D6562F"/>
    <w:rsid w:val="00D672FB"/>
    <w:rsid w:val="00D67E4E"/>
    <w:rsid w:val="00D702AC"/>
    <w:rsid w:val="00D7090B"/>
    <w:rsid w:val="00D71250"/>
    <w:rsid w:val="00D74429"/>
    <w:rsid w:val="00D751E0"/>
    <w:rsid w:val="00D75B17"/>
    <w:rsid w:val="00D76494"/>
    <w:rsid w:val="00D766F3"/>
    <w:rsid w:val="00D76748"/>
    <w:rsid w:val="00D76E34"/>
    <w:rsid w:val="00D772EE"/>
    <w:rsid w:val="00D776DD"/>
    <w:rsid w:val="00D77D17"/>
    <w:rsid w:val="00D800D3"/>
    <w:rsid w:val="00D805E5"/>
    <w:rsid w:val="00D80975"/>
    <w:rsid w:val="00D81AC4"/>
    <w:rsid w:val="00D81B92"/>
    <w:rsid w:val="00D81EDF"/>
    <w:rsid w:val="00D83DD7"/>
    <w:rsid w:val="00D85E4C"/>
    <w:rsid w:val="00D8666A"/>
    <w:rsid w:val="00D877BE"/>
    <w:rsid w:val="00D87C1C"/>
    <w:rsid w:val="00D90237"/>
    <w:rsid w:val="00D90A07"/>
    <w:rsid w:val="00D90C70"/>
    <w:rsid w:val="00D910EF"/>
    <w:rsid w:val="00D913F5"/>
    <w:rsid w:val="00D9178A"/>
    <w:rsid w:val="00D92111"/>
    <w:rsid w:val="00D9234E"/>
    <w:rsid w:val="00D92883"/>
    <w:rsid w:val="00D93C29"/>
    <w:rsid w:val="00D9426A"/>
    <w:rsid w:val="00D95509"/>
    <w:rsid w:val="00D95766"/>
    <w:rsid w:val="00D95B2B"/>
    <w:rsid w:val="00D9605A"/>
    <w:rsid w:val="00DA06B6"/>
    <w:rsid w:val="00DA1509"/>
    <w:rsid w:val="00DA19F9"/>
    <w:rsid w:val="00DA1A11"/>
    <w:rsid w:val="00DA2299"/>
    <w:rsid w:val="00DA2E58"/>
    <w:rsid w:val="00DA340F"/>
    <w:rsid w:val="00DA7019"/>
    <w:rsid w:val="00DA7048"/>
    <w:rsid w:val="00DA73A6"/>
    <w:rsid w:val="00DA7F7D"/>
    <w:rsid w:val="00DB05BF"/>
    <w:rsid w:val="00DB0BA3"/>
    <w:rsid w:val="00DB11A9"/>
    <w:rsid w:val="00DB12FA"/>
    <w:rsid w:val="00DB453E"/>
    <w:rsid w:val="00DB588C"/>
    <w:rsid w:val="00DB5BD2"/>
    <w:rsid w:val="00DB5E52"/>
    <w:rsid w:val="00DB641C"/>
    <w:rsid w:val="00DB7B08"/>
    <w:rsid w:val="00DC0695"/>
    <w:rsid w:val="00DC363E"/>
    <w:rsid w:val="00DC37F5"/>
    <w:rsid w:val="00DC3CDD"/>
    <w:rsid w:val="00DC3DD8"/>
    <w:rsid w:val="00DC514F"/>
    <w:rsid w:val="00DC530B"/>
    <w:rsid w:val="00DC6F36"/>
    <w:rsid w:val="00DD0F59"/>
    <w:rsid w:val="00DD1819"/>
    <w:rsid w:val="00DD3C08"/>
    <w:rsid w:val="00DD4668"/>
    <w:rsid w:val="00DD5D85"/>
    <w:rsid w:val="00DD66A2"/>
    <w:rsid w:val="00DE11CC"/>
    <w:rsid w:val="00DE16EF"/>
    <w:rsid w:val="00DE2288"/>
    <w:rsid w:val="00DE2B6C"/>
    <w:rsid w:val="00DE2BB5"/>
    <w:rsid w:val="00DE2F2B"/>
    <w:rsid w:val="00DE6291"/>
    <w:rsid w:val="00DE63ED"/>
    <w:rsid w:val="00DE6897"/>
    <w:rsid w:val="00DE6EC3"/>
    <w:rsid w:val="00DE6FF2"/>
    <w:rsid w:val="00DE713D"/>
    <w:rsid w:val="00DE7DDC"/>
    <w:rsid w:val="00DE7F2C"/>
    <w:rsid w:val="00DF12CD"/>
    <w:rsid w:val="00DF232D"/>
    <w:rsid w:val="00DF25BA"/>
    <w:rsid w:val="00DF2867"/>
    <w:rsid w:val="00DF4FCF"/>
    <w:rsid w:val="00DF5E52"/>
    <w:rsid w:val="00DF670B"/>
    <w:rsid w:val="00DF7211"/>
    <w:rsid w:val="00DF750C"/>
    <w:rsid w:val="00E00075"/>
    <w:rsid w:val="00E00ED5"/>
    <w:rsid w:val="00E01079"/>
    <w:rsid w:val="00E03283"/>
    <w:rsid w:val="00E03733"/>
    <w:rsid w:val="00E0577A"/>
    <w:rsid w:val="00E061C5"/>
    <w:rsid w:val="00E062A5"/>
    <w:rsid w:val="00E06A15"/>
    <w:rsid w:val="00E07C19"/>
    <w:rsid w:val="00E10471"/>
    <w:rsid w:val="00E10D21"/>
    <w:rsid w:val="00E10EB3"/>
    <w:rsid w:val="00E1260A"/>
    <w:rsid w:val="00E13F4E"/>
    <w:rsid w:val="00E1447C"/>
    <w:rsid w:val="00E14796"/>
    <w:rsid w:val="00E14982"/>
    <w:rsid w:val="00E14B32"/>
    <w:rsid w:val="00E152B4"/>
    <w:rsid w:val="00E15B87"/>
    <w:rsid w:val="00E17961"/>
    <w:rsid w:val="00E208B0"/>
    <w:rsid w:val="00E2240F"/>
    <w:rsid w:val="00E22BFF"/>
    <w:rsid w:val="00E235C4"/>
    <w:rsid w:val="00E24AA2"/>
    <w:rsid w:val="00E257A0"/>
    <w:rsid w:val="00E2686A"/>
    <w:rsid w:val="00E27897"/>
    <w:rsid w:val="00E30079"/>
    <w:rsid w:val="00E30FAA"/>
    <w:rsid w:val="00E31A6C"/>
    <w:rsid w:val="00E32E0F"/>
    <w:rsid w:val="00E33F09"/>
    <w:rsid w:val="00E34191"/>
    <w:rsid w:val="00E3498B"/>
    <w:rsid w:val="00E34C6F"/>
    <w:rsid w:val="00E34D30"/>
    <w:rsid w:val="00E35141"/>
    <w:rsid w:val="00E36D95"/>
    <w:rsid w:val="00E406BF"/>
    <w:rsid w:val="00E40D67"/>
    <w:rsid w:val="00E41127"/>
    <w:rsid w:val="00E416D2"/>
    <w:rsid w:val="00E42174"/>
    <w:rsid w:val="00E4425D"/>
    <w:rsid w:val="00E44924"/>
    <w:rsid w:val="00E4533F"/>
    <w:rsid w:val="00E45F08"/>
    <w:rsid w:val="00E4628D"/>
    <w:rsid w:val="00E466E8"/>
    <w:rsid w:val="00E46D78"/>
    <w:rsid w:val="00E509E2"/>
    <w:rsid w:val="00E51892"/>
    <w:rsid w:val="00E51D38"/>
    <w:rsid w:val="00E51FA9"/>
    <w:rsid w:val="00E5265F"/>
    <w:rsid w:val="00E5481E"/>
    <w:rsid w:val="00E54AA3"/>
    <w:rsid w:val="00E554FF"/>
    <w:rsid w:val="00E5607F"/>
    <w:rsid w:val="00E560D2"/>
    <w:rsid w:val="00E5627C"/>
    <w:rsid w:val="00E569D0"/>
    <w:rsid w:val="00E56A24"/>
    <w:rsid w:val="00E572E2"/>
    <w:rsid w:val="00E61A77"/>
    <w:rsid w:val="00E622C8"/>
    <w:rsid w:val="00E62641"/>
    <w:rsid w:val="00E62899"/>
    <w:rsid w:val="00E62E6E"/>
    <w:rsid w:val="00E65743"/>
    <w:rsid w:val="00E65FE0"/>
    <w:rsid w:val="00E66297"/>
    <w:rsid w:val="00E66506"/>
    <w:rsid w:val="00E6741D"/>
    <w:rsid w:val="00E70049"/>
    <w:rsid w:val="00E7044D"/>
    <w:rsid w:val="00E70A53"/>
    <w:rsid w:val="00E71542"/>
    <w:rsid w:val="00E71A0B"/>
    <w:rsid w:val="00E720D8"/>
    <w:rsid w:val="00E7341C"/>
    <w:rsid w:val="00E76FA5"/>
    <w:rsid w:val="00E77AE8"/>
    <w:rsid w:val="00E8107C"/>
    <w:rsid w:val="00E818E6"/>
    <w:rsid w:val="00E84036"/>
    <w:rsid w:val="00E8513A"/>
    <w:rsid w:val="00E87763"/>
    <w:rsid w:val="00E90D25"/>
    <w:rsid w:val="00E912A1"/>
    <w:rsid w:val="00E915BF"/>
    <w:rsid w:val="00E91A79"/>
    <w:rsid w:val="00E91AB3"/>
    <w:rsid w:val="00E91BA0"/>
    <w:rsid w:val="00E920D5"/>
    <w:rsid w:val="00E93C2D"/>
    <w:rsid w:val="00E942DB"/>
    <w:rsid w:val="00E94403"/>
    <w:rsid w:val="00E952EA"/>
    <w:rsid w:val="00E960E4"/>
    <w:rsid w:val="00E96B4A"/>
    <w:rsid w:val="00E97E58"/>
    <w:rsid w:val="00EA0EE4"/>
    <w:rsid w:val="00EA1003"/>
    <w:rsid w:val="00EA1AB0"/>
    <w:rsid w:val="00EA2F8D"/>
    <w:rsid w:val="00EA3F3C"/>
    <w:rsid w:val="00EA4409"/>
    <w:rsid w:val="00EA4645"/>
    <w:rsid w:val="00EA4DC1"/>
    <w:rsid w:val="00EA53DC"/>
    <w:rsid w:val="00EA54E2"/>
    <w:rsid w:val="00EA555F"/>
    <w:rsid w:val="00EA68A8"/>
    <w:rsid w:val="00EA716A"/>
    <w:rsid w:val="00EB228C"/>
    <w:rsid w:val="00EB25C0"/>
    <w:rsid w:val="00EB2C15"/>
    <w:rsid w:val="00EB303C"/>
    <w:rsid w:val="00EB3EAD"/>
    <w:rsid w:val="00EB5D40"/>
    <w:rsid w:val="00EB6526"/>
    <w:rsid w:val="00EB6990"/>
    <w:rsid w:val="00EB6D71"/>
    <w:rsid w:val="00EB795B"/>
    <w:rsid w:val="00EB7C3E"/>
    <w:rsid w:val="00EC115A"/>
    <w:rsid w:val="00EC1E1D"/>
    <w:rsid w:val="00EC3E6C"/>
    <w:rsid w:val="00EC3FC3"/>
    <w:rsid w:val="00EC4FAC"/>
    <w:rsid w:val="00EC5A69"/>
    <w:rsid w:val="00EC5BC3"/>
    <w:rsid w:val="00EC5DC7"/>
    <w:rsid w:val="00EC6E71"/>
    <w:rsid w:val="00EC752E"/>
    <w:rsid w:val="00EC7795"/>
    <w:rsid w:val="00ED07A0"/>
    <w:rsid w:val="00ED1B4C"/>
    <w:rsid w:val="00ED21EF"/>
    <w:rsid w:val="00ED2A09"/>
    <w:rsid w:val="00ED301D"/>
    <w:rsid w:val="00ED309F"/>
    <w:rsid w:val="00ED343C"/>
    <w:rsid w:val="00ED3805"/>
    <w:rsid w:val="00ED4075"/>
    <w:rsid w:val="00ED4BD3"/>
    <w:rsid w:val="00ED581C"/>
    <w:rsid w:val="00ED5FA6"/>
    <w:rsid w:val="00EE092E"/>
    <w:rsid w:val="00EE1040"/>
    <w:rsid w:val="00EE255D"/>
    <w:rsid w:val="00EE25F5"/>
    <w:rsid w:val="00EE2836"/>
    <w:rsid w:val="00EE344E"/>
    <w:rsid w:val="00EE550C"/>
    <w:rsid w:val="00EE7530"/>
    <w:rsid w:val="00EE7C25"/>
    <w:rsid w:val="00EF146B"/>
    <w:rsid w:val="00EF16A6"/>
    <w:rsid w:val="00EF199F"/>
    <w:rsid w:val="00EF1B58"/>
    <w:rsid w:val="00EF2B09"/>
    <w:rsid w:val="00EF3424"/>
    <w:rsid w:val="00EF3B85"/>
    <w:rsid w:val="00EF3D4B"/>
    <w:rsid w:val="00EF40BF"/>
    <w:rsid w:val="00EF54E9"/>
    <w:rsid w:val="00EF568C"/>
    <w:rsid w:val="00EF6923"/>
    <w:rsid w:val="00EF6E2E"/>
    <w:rsid w:val="00EF7561"/>
    <w:rsid w:val="00F02AED"/>
    <w:rsid w:val="00F034E6"/>
    <w:rsid w:val="00F034EF"/>
    <w:rsid w:val="00F03946"/>
    <w:rsid w:val="00F05646"/>
    <w:rsid w:val="00F05684"/>
    <w:rsid w:val="00F079B5"/>
    <w:rsid w:val="00F10DAD"/>
    <w:rsid w:val="00F1168F"/>
    <w:rsid w:val="00F133BA"/>
    <w:rsid w:val="00F146DA"/>
    <w:rsid w:val="00F149C1"/>
    <w:rsid w:val="00F153A6"/>
    <w:rsid w:val="00F16464"/>
    <w:rsid w:val="00F16A9C"/>
    <w:rsid w:val="00F17A97"/>
    <w:rsid w:val="00F20867"/>
    <w:rsid w:val="00F20C1A"/>
    <w:rsid w:val="00F23859"/>
    <w:rsid w:val="00F23B87"/>
    <w:rsid w:val="00F24F06"/>
    <w:rsid w:val="00F26EAF"/>
    <w:rsid w:val="00F2784E"/>
    <w:rsid w:val="00F30A6B"/>
    <w:rsid w:val="00F318C1"/>
    <w:rsid w:val="00F32113"/>
    <w:rsid w:val="00F32294"/>
    <w:rsid w:val="00F325EA"/>
    <w:rsid w:val="00F32A85"/>
    <w:rsid w:val="00F32E72"/>
    <w:rsid w:val="00F32F1C"/>
    <w:rsid w:val="00F33647"/>
    <w:rsid w:val="00F34184"/>
    <w:rsid w:val="00F34FAA"/>
    <w:rsid w:val="00F3553C"/>
    <w:rsid w:val="00F359F1"/>
    <w:rsid w:val="00F36A81"/>
    <w:rsid w:val="00F37ACE"/>
    <w:rsid w:val="00F41614"/>
    <w:rsid w:val="00F4228A"/>
    <w:rsid w:val="00F43FEA"/>
    <w:rsid w:val="00F44DC4"/>
    <w:rsid w:val="00F450A9"/>
    <w:rsid w:val="00F50124"/>
    <w:rsid w:val="00F51441"/>
    <w:rsid w:val="00F51A25"/>
    <w:rsid w:val="00F52245"/>
    <w:rsid w:val="00F52421"/>
    <w:rsid w:val="00F52769"/>
    <w:rsid w:val="00F529E8"/>
    <w:rsid w:val="00F52DAB"/>
    <w:rsid w:val="00F535E5"/>
    <w:rsid w:val="00F53FE0"/>
    <w:rsid w:val="00F5594E"/>
    <w:rsid w:val="00F55ADD"/>
    <w:rsid w:val="00F56027"/>
    <w:rsid w:val="00F564F3"/>
    <w:rsid w:val="00F60536"/>
    <w:rsid w:val="00F60DA3"/>
    <w:rsid w:val="00F61098"/>
    <w:rsid w:val="00F61F2F"/>
    <w:rsid w:val="00F6300B"/>
    <w:rsid w:val="00F632F4"/>
    <w:rsid w:val="00F649A6"/>
    <w:rsid w:val="00F64C46"/>
    <w:rsid w:val="00F6652E"/>
    <w:rsid w:val="00F702D3"/>
    <w:rsid w:val="00F7055F"/>
    <w:rsid w:val="00F721A4"/>
    <w:rsid w:val="00F72806"/>
    <w:rsid w:val="00F73704"/>
    <w:rsid w:val="00F738D7"/>
    <w:rsid w:val="00F7557A"/>
    <w:rsid w:val="00F8087C"/>
    <w:rsid w:val="00F81CD1"/>
    <w:rsid w:val="00F829D2"/>
    <w:rsid w:val="00F84061"/>
    <w:rsid w:val="00F845A6"/>
    <w:rsid w:val="00F854C3"/>
    <w:rsid w:val="00F85A3C"/>
    <w:rsid w:val="00F867FC"/>
    <w:rsid w:val="00F87172"/>
    <w:rsid w:val="00F87E25"/>
    <w:rsid w:val="00F90BEF"/>
    <w:rsid w:val="00F910E3"/>
    <w:rsid w:val="00F92220"/>
    <w:rsid w:val="00F92530"/>
    <w:rsid w:val="00F928F6"/>
    <w:rsid w:val="00F92BF3"/>
    <w:rsid w:val="00F92C66"/>
    <w:rsid w:val="00F93984"/>
    <w:rsid w:val="00F945B1"/>
    <w:rsid w:val="00F949A3"/>
    <w:rsid w:val="00F965B1"/>
    <w:rsid w:val="00F96B89"/>
    <w:rsid w:val="00F97175"/>
    <w:rsid w:val="00F972BE"/>
    <w:rsid w:val="00FA20CE"/>
    <w:rsid w:val="00FA2AFB"/>
    <w:rsid w:val="00FA2D20"/>
    <w:rsid w:val="00FA3872"/>
    <w:rsid w:val="00FA3900"/>
    <w:rsid w:val="00FA39A5"/>
    <w:rsid w:val="00FA3CFC"/>
    <w:rsid w:val="00FA47FA"/>
    <w:rsid w:val="00FB0D75"/>
    <w:rsid w:val="00FB1885"/>
    <w:rsid w:val="00FB2779"/>
    <w:rsid w:val="00FB2B0B"/>
    <w:rsid w:val="00FB2CE4"/>
    <w:rsid w:val="00FB3719"/>
    <w:rsid w:val="00FB39BB"/>
    <w:rsid w:val="00FB4B36"/>
    <w:rsid w:val="00FB51B0"/>
    <w:rsid w:val="00FB6B73"/>
    <w:rsid w:val="00FB7E36"/>
    <w:rsid w:val="00FC04DC"/>
    <w:rsid w:val="00FC0F97"/>
    <w:rsid w:val="00FC149A"/>
    <w:rsid w:val="00FC1E95"/>
    <w:rsid w:val="00FC2112"/>
    <w:rsid w:val="00FC2138"/>
    <w:rsid w:val="00FC2D5B"/>
    <w:rsid w:val="00FC3A10"/>
    <w:rsid w:val="00FC433E"/>
    <w:rsid w:val="00FC4A85"/>
    <w:rsid w:val="00FC5A23"/>
    <w:rsid w:val="00FC65AD"/>
    <w:rsid w:val="00FD1690"/>
    <w:rsid w:val="00FD1ECF"/>
    <w:rsid w:val="00FD2BAF"/>
    <w:rsid w:val="00FD2CCF"/>
    <w:rsid w:val="00FD2D74"/>
    <w:rsid w:val="00FD4135"/>
    <w:rsid w:val="00FD43E0"/>
    <w:rsid w:val="00FD4D1D"/>
    <w:rsid w:val="00FD5EF1"/>
    <w:rsid w:val="00FD619D"/>
    <w:rsid w:val="00FD6665"/>
    <w:rsid w:val="00FD76A5"/>
    <w:rsid w:val="00FE0047"/>
    <w:rsid w:val="00FE01F6"/>
    <w:rsid w:val="00FE0CCA"/>
    <w:rsid w:val="00FE1706"/>
    <w:rsid w:val="00FE2386"/>
    <w:rsid w:val="00FE27A9"/>
    <w:rsid w:val="00FE394E"/>
    <w:rsid w:val="00FE4325"/>
    <w:rsid w:val="00FE43BD"/>
    <w:rsid w:val="00FE74DF"/>
    <w:rsid w:val="00FE771F"/>
    <w:rsid w:val="00FE77CA"/>
    <w:rsid w:val="00FE7ED0"/>
    <w:rsid w:val="00FF02BE"/>
    <w:rsid w:val="00FF076D"/>
    <w:rsid w:val="00FF1CB3"/>
    <w:rsid w:val="00FF2561"/>
    <w:rsid w:val="00FF28B1"/>
    <w:rsid w:val="00FF36D5"/>
    <w:rsid w:val="00FF3A3D"/>
    <w:rsid w:val="00FF41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87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qFormat/>
    <w:rsid w:val="00EB1E68"/>
    <w:rPr>
      <w:color w:val="605E5C"/>
      <w:shd w:val="clear" w:color="auto" w:fill="E1DFDD"/>
    </w:rPr>
  </w:style>
  <w:style w:type="character" w:customStyle="1" w:styleId="HeaderChar">
    <w:name w:val="Header Char"/>
    <w:basedOn w:val="DefaultParagraphFont"/>
    <w:link w:val="Header"/>
    <w:uiPriority w:val="99"/>
    <w:qFormat/>
    <w:rsid w:val="00AA730F"/>
  </w:style>
  <w:style w:type="character" w:customStyle="1" w:styleId="FooterChar">
    <w:name w:val="Footer Char"/>
    <w:basedOn w:val="DefaultParagraphFont"/>
    <w:link w:val="Footer"/>
    <w:uiPriority w:val="99"/>
    <w:qFormat/>
    <w:rsid w:val="00AA730F"/>
  </w:style>
  <w:style w:type="character" w:styleId="LineNumber">
    <w:name w:val="line number"/>
    <w:basedOn w:val="DefaultParagraphFont"/>
    <w:uiPriority w:val="99"/>
    <w:semiHidden/>
    <w:unhideWhenUsed/>
    <w:qFormat/>
    <w:rsid w:val="00992EF2"/>
  </w:style>
  <w:style w:type="character" w:styleId="FollowedHyperlink">
    <w:name w:val="FollowedHyperlink"/>
    <w:basedOn w:val="DefaultParagraphFont"/>
    <w:uiPriority w:val="99"/>
    <w:semiHidden/>
    <w:unhideWhenUsed/>
    <w:rsid w:val="00B4247B"/>
    <w:rPr>
      <w:color w:val="800080" w:themeColor="followedHyperlink"/>
      <w:u w:val="single"/>
    </w:rPr>
  </w:style>
  <w:style w:type="character" w:styleId="CommentReference">
    <w:name w:val="annotation reference"/>
    <w:basedOn w:val="DefaultParagraphFont"/>
    <w:uiPriority w:val="99"/>
    <w:semiHidden/>
    <w:unhideWhenUsed/>
    <w:qFormat/>
    <w:rsid w:val="00232DBF"/>
    <w:rPr>
      <w:sz w:val="16"/>
      <w:szCs w:val="16"/>
    </w:rPr>
  </w:style>
  <w:style w:type="character" w:customStyle="1" w:styleId="CommentTextChar">
    <w:name w:val="Comment Text Char"/>
    <w:basedOn w:val="DefaultParagraphFont"/>
    <w:link w:val="CommentText"/>
    <w:uiPriority w:val="99"/>
    <w:semiHidden/>
    <w:qFormat/>
    <w:rsid w:val="00232DBF"/>
    <w:rPr>
      <w:sz w:val="20"/>
      <w:szCs w:val="20"/>
    </w:rPr>
  </w:style>
  <w:style w:type="character" w:customStyle="1" w:styleId="CommentSubjectChar">
    <w:name w:val="Comment Subject Char"/>
    <w:basedOn w:val="CommentTextChar"/>
    <w:link w:val="CommentSubject"/>
    <w:uiPriority w:val="99"/>
    <w:semiHidden/>
    <w:qFormat/>
    <w:rsid w:val="00232DBF"/>
    <w:rPr>
      <w:b/>
      <w:bCs/>
      <w:sz w:val="20"/>
      <w:szCs w:val="20"/>
    </w:rPr>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DejaVu Sans" w:hAnsi="Liberation Sans" w:cs="FreeSans"/>
      <w:sz w:val="28"/>
      <w:szCs w:val="28"/>
    </w:rPr>
  </w:style>
  <w:style w:type="paragraph" w:styleId="BodyText">
    <w:name w:val="Body Text"/>
    <w:basedOn w:val="Normal"/>
    <w:pPr>
      <w:spacing w:after="140" w:line="276"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rPr>
  </w:style>
  <w:style w:type="paragraph" w:customStyle="1" w:styleId="Index">
    <w:name w:val="Index"/>
    <w:basedOn w:val="Normal"/>
    <w:qFormat/>
    <w:pPr>
      <w:suppressLineNumbers/>
    </w:pPr>
    <w:rPr>
      <w:rFonts w:cs="FreeSans"/>
    </w:r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061EBA"/>
    <w:pPr>
      <w:ind w:left="720"/>
      <w:contextualSpacing/>
    </w:pPr>
  </w:style>
  <w:style w:type="paragraph" w:customStyle="1" w:styleId="HeaderandFooter">
    <w:name w:val="Header and Footer"/>
    <w:basedOn w:val="Normal"/>
    <w:qFormat/>
  </w:style>
  <w:style w:type="paragraph" w:styleId="Header">
    <w:name w:val="header"/>
    <w:basedOn w:val="Normal"/>
    <w:link w:val="HeaderChar"/>
    <w:uiPriority w:val="99"/>
    <w:unhideWhenUsed/>
    <w:rsid w:val="00C93A75"/>
    <w:pPr>
      <w:suppressLineNumbers/>
      <w:tabs>
        <w:tab w:val="center" w:pos="4513"/>
        <w:tab w:val="right" w:pos="9026"/>
      </w:tabs>
    </w:pPr>
  </w:style>
  <w:style w:type="paragraph" w:styleId="Footer">
    <w:name w:val="footer"/>
    <w:basedOn w:val="Normal"/>
    <w:link w:val="FooterChar"/>
    <w:uiPriority w:val="99"/>
    <w:unhideWhenUsed/>
    <w:rsid w:val="00C93A75"/>
    <w:pPr>
      <w:suppressLineNumbers/>
      <w:tabs>
        <w:tab w:val="center" w:pos="4513"/>
        <w:tab w:val="right" w:pos="9026"/>
      </w:tabs>
    </w:pPr>
  </w:style>
  <w:style w:type="paragraph" w:styleId="NormalWeb">
    <w:name w:val="Normal (Web)"/>
    <w:basedOn w:val="Normal"/>
    <w:uiPriority w:val="99"/>
    <w:unhideWhenUsed/>
    <w:qFormat/>
    <w:rsid w:val="002818C1"/>
    <w:pPr>
      <w:widowControl/>
      <w:spacing w:beforeAutospacing="1" w:afterAutospacing="1"/>
      <w:jc w:val="left"/>
    </w:pPr>
    <w:rPr>
      <w:rFonts w:ascii="Times New Roman" w:eastAsia="Times New Roman" w:hAnsi="Times New Roman" w:cs="Times New Roman"/>
      <w:lang w:val="en-CA" w:eastAsia="en-CA"/>
    </w:rPr>
  </w:style>
  <w:style w:type="paragraph" w:styleId="CommentText">
    <w:name w:val="annotation text"/>
    <w:basedOn w:val="Normal"/>
    <w:link w:val="CommentTextChar"/>
    <w:uiPriority w:val="99"/>
    <w:semiHidden/>
    <w:unhideWhenUsed/>
    <w:qFormat/>
    <w:rsid w:val="00232DBF"/>
    <w:rPr>
      <w:sz w:val="20"/>
      <w:szCs w:val="20"/>
    </w:rPr>
  </w:style>
  <w:style w:type="paragraph" w:styleId="CommentSubject">
    <w:name w:val="annotation subject"/>
    <w:basedOn w:val="CommentText"/>
    <w:next w:val="CommentText"/>
    <w:link w:val="CommentSubjectChar"/>
    <w:uiPriority w:val="99"/>
    <w:semiHidden/>
    <w:unhideWhenUsed/>
    <w:qFormat/>
    <w:rsid w:val="00232DBF"/>
    <w:rPr>
      <w:b/>
      <w:bCs/>
    </w:rPr>
  </w:style>
  <w:style w:type="paragraph" w:styleId="Revision">
    <w:name w:val="Revision"/>
    <w:hidden/>
    <w:uiPriority w:val="99"/>
    <w:semiHidden/>
    <w:rsid w:val="00B6532D"/>
    <w:pPr>
      <w:suppressAutoHyphens w:val="0"/>
    </w:pPr>
  </w:style>
  <w:style w:type="paragraph" w:styleId="BalloonText">
    <w:name w:val="Balloon Text"/>
    <w:basedOn w:val="Normal"/>
    <w:link w:val="BalloonTextChar"/>
    <w:uiPriority w:val="99"/>
    <w:semiHidden/>
    <w:unhideWhenUsed/>
    <w:rsid w:val="00DF23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232D"/>
    <w:rPr>
      <w:rFonts w:ascii="Segoe UI" w:hAnsi="Segoe UI" w:cs="Segoe UI"/>
      <w:sz w:val="18"/>
      <w:szCs w:val="18"/>
    </w:rPr>
  </w:style>
  <w:style w:type="character" w:styleId="UnresolvedMention">
    <w:name w:val="Unresolved Mention"/>
    <w:basedOn w:val="DefaultParagraphFont"/>
    <w:uiPriority w:val="99"/>
    <w:semiHidden/>
    <w:unhideWhenUsed/>
    <w:rsid w:val="005457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8873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arianne.haines@ucalgary.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arianne.haines@ucalgary.ca" TargetMode="External"/><Relationship Id="rId4" Type="http://schemas.openxmlformats.org/officeDocument/2006/relationships/settings" Target="settings.xml"/><Relationship Id="rId9" Type="http://schemas.openxmlformats.org/officeDocument/2006/relationships/hyperlink" Target="mailto:mstrous@ucalgary.c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33F186-1234-4047-99E4-464DF6E54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7105</Words>
  <Characters>40500</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2021-08-30T18:36:00Z</dcterms:created>
  <dcterms:modified xsi:type="dcterms:W3CDTF">2021-08-30T18:48:00Z</dcterms:modified>
  <dc:language>en-US</dc:language>
</cp:coreProperties>
</file>