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0D315" w14:textId="014A4EA2" w:rsidR="00F93C18" w:rsidRDefault="00F93C18" w:rsidP="00083309">
      <w:pPr>
        <w:tabs>
          <w:tab w:val="left" w:pos="90"/>
          <w:tab w:val="left" w:pos="3240"/>
          <w:tab w:val="left" w:pos="7650"/>
        </w:tabs>
        <w:jc w:val="both"/>
        <w:rPr>
          <w:rFonts w:ascii="Arial" w:hAnsi="Arial" w:cs="Arial"/>
        </w:rPr>
      </w:pPr>
      <w:r w:rsidRPr="00F93C18">
        <w:rPr>
          <w:rFonts w:ascii="Arial" w:hAnsi="Arial" w:cs="Arial"/>
        </w:rPr>
        <w:t>JoVE62908</w:t>
      </w:r>
      <w:r w:rsidR="008F341C">
        <w:rPr>
          <w:rFonts w:ascii="Arial" w:hAnsi="Arial" w:cs="Arial"/>
        </w:rPr>
        <w:t xml:space="preserve"> R2</w:t>
      </w:r>
      <w:r>
        <w:rPr>
          <w:rFonts w:ascii="Arial" w:hAnsi="Arial" w:cs="Arial"/>
        </w:rPr>
        <w:t xml:space="preserve"> Compton et al</w:t>
      </w:r>
    </w:p>
    <w:p w14:paraId="7C183D60" w14:textId="2152AE98" w:rsidR="00184115" w:rsidRPr="00F47C05" w:rsidRDefault="00B25E4D" w:rsidP="00083309">
      <w:pPr>
        <w:tabs>
          <w:tab w:val="left" w:pos="90"/>
          <w:tab w:val="left" w:pos="3240"/>
          <w:tab w:val="left" w:pos="7650"/>
        </w:tabs>
        <w:jc w:val="both"/>
        <w:rPr>
          <w:rFonts w:ascii="Arial" w:hAnsi="Arial" w:cs="Arial"/>
        </w:rPr>
      </w:pPr>
      <w:r w:rsidRPr="00F47C05">
        <w:rPr>
          <w:rFonts w:ascii="Arial" w:hAnsi="Arial" w:cs="Arial"/>
        </w:rPr>
        <w:t>We</w:t>
      </w:r>
      <w:r w:rsidR="00184115" w:rsidRPr="00F47C05">
        <w:rPr>
          <w:rFonts w:ascii="Arial" w:hAnsi="Arial" w:cs="Arial"/>
        </w:rPr>
        <w:t xml:space="preserve"> </w:t>
      </w:r>
      <w:r w:rsidR="00961BFC" w:rsidRPr="00F47C05">
        <w:rPr>
          <w:rFonts w:ascii="Arial" w:hAnsi="Arial" w:cs="Arial"/>
        </w:rPr>
        <w:t xml:space="preserve">greatly appreciate </w:t>
      </w:r>
      <w:r w:rsidR="00184115" w:rsidRPr="00F47C05">
        <w:rPr>
          <w:rFonts w:ascii="Arial" w:hAnsi="Arial" w:cs="Arial"/>
        </w:rPr>
        <w:t xml:space="preserve">the reviewers for their hard work helping me to improve this manuscript according to </w:t>
      </w:r>
      <w:r w:rsidR="001F08E3" w:rsidRPr="00F47C05">
        <w:rPr>
          <w:rFonts w:ascii="Arial" w:hAnsi="Arial" w:cs="Arial"/>
        </w:rPr>
        <w:t>JOVE</w:t>
      </w:r>
      <w:r w:rsidR="00357718" w:rsidRPr="00F47C05">
        <w:rPr>
          <w:rFonts w:ascii="Arial" w:hAnsi="Arial" w:cs="Arial"/>
        </w:rPr>
        <w:t xml:space="preserve"> standards</w:t>
      </w:r>
      <w:r w:rsidR="00184115" w:rsidRPr="00F47C05">
        <w:rPr>
          <w:rFonts w:ascii="Arial" w:hAnsi="Arial" w:cs="Arial"/>
        </w:rPr>
        <w:t>.</w:t>
      </w:r>
      <w:r w:rsidR="00961BFC" w:rsidRPr="00F47C05">
        <w:rPr>
          <w:rFonts w:ascii="Arial" w:hAnsi="Arial" w:cs="Arial"/>
        </w:rPr>
        <w:t xml:space="preserve">  </w:t>
      </w:r>
      <w:r w:rsidR="00C75258">
        <w:rPr>
          <w:rFonts w:ascii="Arial" w:hAnsi="Arial" w:cs="Arial"/>
        </w:rPr>
        <w:t xml:space="preserve">  We thank the reviewers for their hard </w:t>
      </w:r>
      <w:proofErr w:type="gramStart"/>
      <w:r w:rsidR="00C75258">
        <w:rPr>
          <w:rFonts w:ascii="Arial" w:hAnsi="Arial" w:cs="Arial"/>
        </w:rPr>
        <w:t>work</w:t>
      </w:r>
      <w:proofErr w:type="gramEnd"/>
      <w:r w:rsidR="00C75258">
        <w:rPr>
          <w:rFonts w:ascii="Arial" w:hAnsi="Arial" w:cs="Arial"/>
        </w:rPr>
        <w:t xml:space="preserve"> and we tried our best to address all the concerns.  </w:t>
      </w:r>
    </w:p>
    <w:p w14:paraId="7FE0A5FD" w14:textId="61222C13" w:rsidR="001F08E3" w:rsidRDefault="00F47C05" w:rsidP="00F47C0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47C05">
        <w:rPr>
          <w:rFonts w:ascii="Arial" w:hAnsi="Arial" w:cs="Arial"/>
        </w:rPr>
        <w:t>All the editorial and production comments were addressed.  Certain steps were removed, others are now more detailed.</w:t>
      </w:r>
    </w:p>
    <w:p w14:paraId="7701B6AE" w14:textId="77777777" w:rsidR="00F47C05" w:rsidRPr="00F47C05" w:rsidRDefault="00F47C05" w:rsidP="00F47C05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9162860" w14:textId="31233F05" w:rsidR="0025565A" w:rsidRPr="00C75258" w:rsidRDefault="002E1342" w:rsidP="004B6E7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75258">
        <w:rPr>
          <w:rFonts w:ascii="Arial" w:hAnsi="Arial" w:cs="Arial"/>
        </w:rPr>
        <w:t>.</w:t>
      </w:r>
      <w:r w:rsidR="00B25E4D" w:rsidRPr="00C75258">
        <w:rPr>
          <w:rFonts w:ascii="Arial" w:hAnsi="Arial" w:cs="Arial"/>
        </w:rPr>
        <w:tab/>
      </w:r>
    </w:p>
    <w:p w14:paraId="0F08C213" w14:textId="17ED38BF" w:rsidR="00F47C05" w:rsidRPr="00F47C05" w:rsidRDefault="00F47C05" w:rsidP="00F47C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47C05">
        <w:rPr>
          <w:rFonts w:ascii="Arial" w:hAnsi="Arial" w:cs="Arial"/>
          <w:b/>
          <w:bCs/>
        </w:rPr>
        <w:t xml:space="preserve">Functional significance of NIR was questioned.  </w:t>
      </w:r>
    </w:p>
    <w:p w14:paraId="14F12810" w14:textId="641C4D73" w:rsidR="00F47C05" w:rsidRPr="00F47C05" w:rsidRDefault="00F47C05" w:rsidP="00F47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This is addressed in the discussion.  Briefly, we are citing studies demonstrating the use of NIR light treatment in animal as well as in human studies.</w:t>
      </w:r>
    </w:p>
    <w:p w14:paraId="07A28D5A" w14:textId="6C0C7ED9" w:rsidR="004B6E7E" w:rsidRDefault="00F47C05" w:rsidP="00F47C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Perform </w:t>
      </w:r>
      <w:proofErr w:type="spellStart"/>
      <w:r>
        <w:rPr>
          <w:rFonts w:ascii="Arial" w:hAnsi="Arial" w:cs="Arial"/>
          <w:b/>
          <w:bCs/>
        </w:rPr>
        <w:t>RNAseq</w:t>
      </w:r>
      <w:proofErr w:type="spellEnd"/>
      <w:r>
        <w:rPr>
          <w:rFonts w:ascii="Arial" w:hAnsi="Arial" w:cs="Arial"/>
          <w:b/>
          <w:bCs/>
        </w:rPr>
        <w:t xml:space="preserve"> experiments to check the transcriptional program.  </w:t>
      </w:r>
    </w:p>
    <w:p w14:paraId="366B3575" w14:textId="1A9364C7" w:rsidR="00F47C05" w:rsidRPr="00F47C05" w:rsidRDefault="00F47C05" w:rsidP="00F47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C05">
        <w:rPr>
          <w:rFonts w:ascii="Arial" w:hAnsi="Arial" w:cs="Arial"/>
        </w:rPr>
        <w:t>This is a very interesting point</w:t>
      </w:r>
      <w:r>
        <w:rPr>
          <w:rFonts w:ascii="Arial" w:hAnsi="Arial" w:cs="Arial"/>
        </w:rPr>
        <w:t>,</w:t>
      </w:r>
      <w:r w:rsidRPr="00F47C05">
        <w:rPr>
          <w:rFonts w:ascii="Arial" w:hAnsi="Arial" w:cs="Arial"/>
        </w:rPr>
        <w:t xml:space="preserve"> and the idea is greatly appreciated.  We will perform these experiments moving forward.  The inclusion of </w:t>
      </w:r>
      <w:proofErr w:type="spellStart"/>
      <w:r w:rsidRPr="00F47C05">
        <w:rPr>
          <w:rFonts w:ascii="Arial" w:hAnsi="Arial" w:cs="Arial"/>
        </w:rPr>
        <w:t>RNAseq</w:t>
      </w:r>
      <w:proofErr w:type="spellEnd"/>
      <w:r w:rsidRPr="00F47C05">
        <w:rPr>
          <w:rFonts w:ascii="Arial" w:hAnsi="Arial" w:cs="Arial"/>
        </w:rPr>
        <w:t xml:space="preserve"> experiments goes beyond the scope of this manuscript.</w:t>
      </w:r>
    </w:p>
    <w:p w14:paraId="1D4E21A3" w14:textId="596D2794" w:rsidR="00F47C05" w:rsidRDefault="00F47C05" w:rsidP="00F47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944FE7" w14:textId="2F9B2CEE" w:rsidR="00F47C05" w:rsidRDefault="00F47C05" w:rsidP="00F47C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591CFC9" w14:textId="1C836A19" w:rsidR="00083309" w:rsidRPr="00083309" w:rsidRDefault="00083309" w:rsidP="0008330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70"/>
        <w:rPr>
          <w:rFonts w:ascii="Arial" w:hAnsi="Arial" w:cs="Arial"/>
          <w:b/>
          <w:bCs/>
        </w:rPr>
      </w:pPr>
      <w:r w:rsidRPr="00083309">
        <w:rPr>
          <w:rFonts w:ascii="Arial" w:hAnsi="Arial" w:cs="Arial"/>
          <w:b/>
          <w:bCs/>
        </w:rPr>
        <w:t>Lack of existing approaches and models of ischemia and reperfusion, and rationale for the choice of methods presented</w:t>
      </w:r>
    </w:p>
    <w:p w14:paraId="3ECBF15B" w14:textId="14A7D48D" w:rsidR="00F47C05" w:rsidRPr="00083309" w:rsidRDefault="00083309" w:rsidP="00083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3309">
        <w:rPr>
          <w:rFonts w:ascii="Arial" w:hAnsi="Arial" w:cs="Arial"/>
        </w:rPr>
        <w:t>Existing approaches and models of ischemia and reperfusion are included in the discussion. The rationale for using the presented approach is included in the introduction.</w:t>
      </w:r>
    </w:p>
    <w:p w14:paraId="5B672B91" w14:textId="753BE2D5" w:rsidR="00083309" w:rsidRPr="00083309" w:rsidRDefault="00083309" w:rsidP="00653CA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60"/>
        <w:rPr>
          <w:rFonts w:ascii="Arial" w:hAnsi="Arial" w:cs="Arial"/>
          <w:b/>
          <w:bCs/>
        </w:rPr>
      </w:pPr>
      <w:r w:rsidRPr="00083309">
        <w:rPr>
          <w:rFonts w:ascii="Arial" w:hAnsi="Arial" w:cs="Arial"/>
          <w:b/>
          <w:bCs/>
        </w:rPr>
        <w:t>Advantages and disadvantages of the chosen model need to be described</w:t>
      </w:r>
    </w:p>
    <w:p w14:paraId="2F5356E9" w14:textId="6F178013" w:rsidR="00083309" w:rsidRDefault="00083309" w:rsidP="00083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3309">
        <w:rPr>
          <w:rFonts w:ascii="Arial" w:hAnsi="Arial" w:cs="Arial"/>
        </w:rPr>
        <w:t>Advantages and disadvantages of the chosen model are described in the limitation paragraph in the discussion</w:t>
      </w:r>
    </w:p>
    <w:p w14:paraId="73993C08" w14:textId="2E4A8201" w:rsidR="00C75258" w:rsidRPr="00C75258" w:rsidRDefault="00C75258" w:rsidP="00653CA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60"/>
        <w:rPr>
          <w:rFonts w:ascii="Arial" w:hAnsi="Arial" w:cs="Arial"/>
          <w:b/>
          <w:bCs/>
        </w:rPr>
      </w:pPr>
      <w:r w:rsidRPr="00C75258">
        <w:rPr>
          <w:rFonts w:ascii="Arial" w:hAnsi="Arial" w:cs="Arial"/>
          <w:b/>
          <w:bCs/>
        </w:rPr>
        <w:t>Inadequate method for macrophage polarization analysis</w:t>
      </w:r>
    </w:p>
    <w:p w14:paraId="7B6A1F3A" w14:textId="23B7CD01" w:rsidR="00C75258" w:rsidRPr="00C75258" w:rsidRDefault="00C75258" w:rsidP="00C75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This shortcoming is discussed in the limitations paragraph in the discussion.</w:t>
      </w:r>
    </w:p>
    <w:p w14:paraId="46EAF16E" w14:textId="77777777" w:rsidR="00083309" w:rsidRPr="00083309" w:rsidRDefault="00083309" w:rsidP="00083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850C52" w14:textId="41EA8DDA" w:rsidR="00083309" w:rsidRPr="00C75258" w:rsidRDefault="00C75258" w:rsidP="00653CA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60"/>
        <w:rPr>
          <w:rFonts w:ascii="Arial" w:hAnsi="Arial" w:cs="Arial"/>
          <w:b/>
          <w:bCs/>
        </w:rPr>
      </w:pPr>
      <w:r w:rsidRPr="00C75258">
        <w:rPr>
          <w:rFonts w:ascii="Arial" w:hAnsi="Arial" w:cs="Arial"/>
          <w:b/>
          <w:bCs/>
        </w:rPr>
        <w:t>Introduction mentions prior studies but did not provide references</w:t>
      </w:r>
    </w:p>
    <w:p w14:paraId="5E50C85F" w14:textId="01F3DCC9" w:rsidR="00C75258" w:rsidRDefault="00C75258" w:rsidP="00C75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References were added in the introduction and in the discussion citing closely related prior studies.</w:t>
      </w:r>
    </w:p>
    <w:p w14:paraId="637E8AA1" w14:textId="1D13E3BE" w:rsidR="00454B92" w:rsidRPr="00454B92" w:rsidRDefault="00454B92" w:rsidP="00653CA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60"/>
        <w:rPr>
          <w:rFonts w:ascii="Arial" w:hAnsi="Arial" w:cs="Arial"/>
          <w:b/>
          <w:bCs/>
        </w:rPr>
      </w:pPr>
      <w:r w:rsidRPr="00454B92">
        <w:rPr>
          <w:rFonts w:ascii="Arial" w:hAnsi="Arial" w:cs="Arial"/>
          <w:b/>
          <w:bCs/>
        </w:rPr>
        <w:t>Other studies should be cited</w:t>
      </w:r>
    </w:p>
    <w:p w14:paraId="1B0B4E1C" w14:textId="344A4592" w:rsidR="00454B92" w:rsidRDefault="00454B92" w:rsidP="00454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suggested references and other studies have been included.</w:t>
      </w:r>
    </w:p>
    <w:p w14:paraId="205BBEF5" w14:textId="74ED658B" w:rsidR="00454B92" w:rsidRPr="00454B92" w:rsidRDefault="00454B92" w:rsidP="00653CA3">
      <w:pPr>
        <w:pStyle w:val="ListParagraph"/>
        <w:numPr>
          <w:ilvl w:val="0"/>
          <w:numId w:val="9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12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Pr="00454B92">
        <w:rPr>
          <w:rFonts w:ascii="Arial" w:hAnsi="Arial" w:cs="Arial"/>
          <w:b/>
          <w:bCs/>
        </w:rPr>
        <w:t>eferences are needed for statements in lines 53-57</w:t>
      </w:r>
    </w:p>
    <w:p w14:paraId="16C8AC58" w14:textId="0436C538" w:rsidR="00454B92" w:rsidRDefault="00454B92" w:rsidP="00454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References have been added.</w:t>
      </w:r>
    </w:p>
    <w:p w14:paraId="44389EC7" w14:textId="31B2700A" w:rsidR="00454B92" w:rsidRPr="00454B92" w:rsidRDefault="00454B92" w:rsidP="00653CA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60"/>
        <w:rPr>
          <w:rFonts w:ascii="Arial" w:hAnsi="Arial" w:cs="Arial"/>
          <w:b/>
          <w:bCs/>
        </w:rPr>
      </w:pPr>
      <w:r w:rsidRPr="00454B92">
        <w:rPr>
          <w:rFonts w:ascii="Arial" w:hAnsi="Arial" w:cs="Arial"/>
          <w:b/>
          <w:bCs/>
        </w:rPr>
        <w:t>Lines 116-117, 147, 159 need references, Tang</w:t>
      </w:r>
      <w:r w:rsidR="00F93C18">
        <w:rPr>
          <w:rFonts w:ascii="Arial" w:hAnsi="Arial" w:cs="Arial"/>
          <w:b/>
          <w:bCs/>
        </w:rPr>
        <w:t xml:space="preserve"> </w:t>
      </w:r>
      <w:r w:rsidRPr="00454B92">
        <w:rPr>
          <w:rFonts w:ascii="Arial" w:hAnsi="Arial" w:cs="Arial"/>
          <w:b/>
          <w:bCs/>
        </w:rPr>
        <w:t>&amp;</w:t>
      </w:r>
      <w:r w:rsidR="00F93C18">
        <w:rPr>
          <w:rFonts w:ascii="Arial" w:hAnsi="Arial" w:cs="Arial"/>
          <w:b/>
          <w:bCs/>
        </w:rPr>
        <w:t xml:space="preserve"> </w:t>
      </w:r>
      <w:r w:rsidRPr="00454B92">
        <w:rPr>
          <w:rFonts w:ascii="Arial" w:hAnsi="Arial" w:cs="Arial"/>
          <w:b/>
          <w:bCs/>
        </w:rPr>
        <w:t>Kim reference should be used for LDI protocol</w:t>
      </w:r>
    </w:p>
    <w:p w14:paraId="06D4F5CE" w14:textId="5E83E499" w:rsidR="00454B92" w:rsidRDefault="00454B92" w:rsidP="00454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References in the appropriate lines were added.  Tang</w:t>
      </w:r>
      <w:r w:rsidR="00F93C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&amp;</w:t>
      </w:r>
      <w:r w:rsidR="00F93C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Kim reference was cited.</w:t>
      </w:r>
    </w:p>
    <w:p w14:paraId="549A5CE0" w14:textId="08FA148D" w:rsidR="00454B92" w:rsidRPr="00454B92" w:rsidRDefault="00454B92" w:rsidP="00653CA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60"/>
        <w:rPr>
          <w:rFonts w:ascii="Arial" w:hAnsi="Arial" w:cs="Arial"/>
          <w:b/>
          <w:bCs/>
        </w:rPr>
      </w:pPr>
      <w:r w:rsidRPr="00454B92">
        <w:rPr>
          <w:rFonts w:ascii="Arial" w:hAnsi="Arial" w:cs="Arial"/>
          <w:b/>
          <w:bCs/>
        </w:rPr>
        <w:t>Science Education Database references are not adequate</w:t>
      </w:r>
    </w:p>
    <w:p w14:paraId="681E686E" w14:textId="1A6CA248" w:rsidR="00454B92" w:rsidRPr="00454B92" w:rsidRDefault="00454B92" w:rsidP="00454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4B92">
        <w:rPr>
          <w:rFonts w:ascii="Arial" w:hAnsi="Arial" w:cs="Arial"/>
        </w:rPr>
        <w:t>References #3 and 4 were removed and replaced by common practice peer-reviewed articles.</w:t>
      </w:r>
    </w:p>
    <w:p w14:paraId="2776FA4A" w14:textId="62BBE1D9" w:rsidR="00454B92" w:rsidRPr="000C6141" w:rsidRDefault="00454B92" w:rsidP="00653CA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60"/>
        <w:rPr>
          <w:rFonts w:ascii="Arial" w:hAnsi="Arial" w:cs="Arial"/>
          <w:b/>
          <w:bCs/>
        </w:rPr>
      </w:pPr>
      <w:r w:rsidRPr="000C6141">
        <w:rPr>
          <w:rFonts w:ascii="Arial" w:hAnsi="Arial" w:cs="Arial"/>
          <w:b/>
          <w:bCs/>
        </w:rPr>
        <w:t>Thermal imaging data should be included</w:t>
      </w:r>
    </w:p>
    <w:p w14:paraId="5CD42376" w14:textId="7E2BEE76" w:rsidR="00454B92" w:rsidRDefault="00454B92" w:rsidP="00454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acquisition of thermal imaging data goes beyond the scope o</w:t>
      </w:r>
      <w:r w:rsidR="00F93C18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this manuscript. An article was cited </w:t>
      </w:r>
    </w:p>
    <w:p w14:paraId="5E5A69F5" w14:textId="5517D407" w:rsidR="000C6141" w:rsidRPr="000C6141" w:rsidRDefault="000C6141" w:rsidP="00653CA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60"/>
        <w:rPr>
          <w:rFonts w:ascii="Arial" w:hAnsi="Arial" w:cs="Arial"/>
          <w:b/>
          <w:bCs/>
        </w:rPr>
      </w:pPr>
      <w:r w:rsidRPr="000C6141">
        <w:rPr>
          <w:rFonts w:ascii="Arial" w:hAnsi="Arial" w:cs="Arial"/>
          <w:b/>
          <w:bCs/>
        </w:rPr>
        <w:t>Heat pad is mentioned but not visible</w:t>
      </w:r>
    </w:p>
    <w:p w14:paraId="7A171668" w14:textId="1B661521" w:rsidR="00454B92" w:rsidRDefault="000C6141" w:rsidP="00454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LDI requires a non-reflective surface.  The heat pad is underneath the non-reflective pad.</w:t>
      </w:r>
    </w:p>
    <w:p w14:paraId="36455A9F" w14:textId="7A33D329" w:rsidR="000C6141" w:rsidRPr="000C6141" w:rsidRDefault="000C6141" w:rsidP="00653CA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60"/>
        <w:rPr>
          <w:rFonts w:ascii="Arial" w:hAnsi="Arial" w:cs="Arial"/>
          <w:b/>
          <w:bCs/>
        </w:rPr>
      </w:pPr>
      <w:r w:rsidRPr="000C6141">
        <w:rPr>
          <w:rFonts w:ascii="Arial" w:hAnsi="Arial" w:cs="Arial"/>
          <w:b/>
          <w:bCs/>
        </w:rPr>
        <w:t>Rationale for analyzing CXCL1 and CXCL5 but not MCP1</w:t>
      </w:r>
    </w:p>
    <w:p w14:paraId="3138B95E" w14:textId="5A33B9E8" w:rsidR="000C6141" w:rsidRPr="000C6141" w:rsidRDefault="000C6141" w:rsidP="000C6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rationale for CXCL1 and CXCL5 and not MCP1 was included in the discussion with </w:t>
      </w:r>
      <w:proofErr w:type="spellStart"/>
      <w:r>
        <w:rPr>
          <w:rFonts w:ascii="Arial" w:hAnsi="Arial" w:cs="Arial"/>
        </w:rPr>
        <w:t>refr</w:t>
      </w:r>
      <w:r w:rsidR="00F93C18">
        <w:rPr>
          <w:rFonts w:ascii="Arial" w:hAnsi="Arial" w:cs="Arial"/>
        </w:rPr>
        <w:t>ere</w:t>
      </w:r>
      <w:r>
        <w:rPr>
          <w:rFonts w:ascii="Arial" w:hAnsi="Arial" w:cs="Arial"/>
        </w:rPr>
        <w:t>nces</w:t>
      </w:r>
      <w:proofErr w:type="spellEnd"/>
      <w:r>
        <w:rPr>
          <w:rFonts w:ascii="Arial" w:hAnsi="Arial" w:cs="Arial"/>
        </w:rPr>
        <w:t>.</w:t>
      </w:r>
    </w:p>
    <w:p w14:paraId="02E329F4" w14:textId="319B4272" w:rsidR="00454B92" w:rsidRPr="000C6141" w:rsidRDefault="000C6141" w:rsidP="00653CA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60"/>
        <w:rPr>
          <w:rFonts w:ascii="Arial" w:hAnsi="Arial" w:cs="Arial"/>
          <w:b/>
          <w:bCs/>
        </w:rPr>
      </w:pPr>
      <w:r w:rsidRPr="000C6141">
        <w:rPr>
          <w:rFonts w:ascii="Arial" w:hAnsi="Arial" w:cs="Arial"/>
          <w:b/>
          <w:bCs/>
        </w:rPr>
        <w:t>Rationale for using chlorotyrosine is missing</w:t>
      </w:r>
    </w:p>
    <w:p w14:paraId="082FECC7" w14:textId="7C7FB0F0" w:rsidR="000C6141" w:rsidRDefault="000C6141" w:rsidP="000C6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Chlorotyrosine as inflammatory marker is explained in the introduction and discussed in the discussion.</w:t>
      </w:r>
    </w:p>
    <w:p w14:paraId="49B3E8BD" w14:textId="0051D178" w:rsidR="000C6141" w:rsidRPr="000C6141" w:rsidRDefault="000C6141" w:rsidP="00653CA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b/>
          <w:bCs/>
        </w:rPr>
      </w:pPr>
      <w:r w:rsidRPr="000C6141">
        <w:rPr>
          <w:rFonts w:ascii="Arial" w:hAnsi="Arial" w:cs="Arial"/>
          <w:b/>
          <w:bCs/>
        </w:rPr>
        <w:t>Discussion of mechanisms of responses to NIR is missing</w:t>
      </w:r>
    </w:p>
    <w:p w14:paraId="5DDDA476" w14:textId="3D83CDFD" w:rsidR="000C6141" w:rsidRPr="000C6141" w:rsidRDefault="000C6141" w:rsidP="000C6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mechanistic responses to NIR have been included in the discussion with references.</w:t>
      </w:r>
    </w:p>
    <w:p w14:paraId="539B1A6E" w14:textId="083F42D5" w:rsidR="000C6141" w:rsidRPr="00653CA3" w:rsidRDefault="000C6141" w:rsidP="00653CA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b/>
          <w:bCs/>
        </w:rPr>
      </w:pPr>
      <w:r w:rsidRPr="00653CA3">
        <w:rPr>
          <w:rFonts w:ascii="Arial" w:hAnsi="Arial" w:cs="Arial"/>
          <w:b/>
          <w:bCs/>
        </w:rPr>
        <w:t>Use metric system for the distance of NIR light to target tissue</w:t>
      </w:r>
    </w:p>
    <w:p w14:paraId="7DF397BA" w14:textId="7ED26B2D" w:rsidR="00653CA3" w:rsidRPr="00653CA3" w:rsidRDefault="00653CA3" w:rsidP="00653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Inches were changed into cm in the protocol.</w:t>
      </w:r>
    </w:p>
    <w:p w14:paraId="73AFBD7D" w14:textId="053DE57A" w:rsidR="00653CA3" w:rsidRDefault="00653CA3" w:rsidP="00653CA3">
      <w:pPr>
        <w:pStyle w:val="ListParagraph"/>
        <w:numPr>
          <w:ilvl w:val="0"/>
          <w:numId w:val="9"/>
        </w:numPr>
        <w:spacing w:after="0"/>
        <w:ind w:left="16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Draw a schematic showing experimental set-up</w:t>
      </w:r>
    </w:p>
    <w:p w14:paraId="32993DCE" w14:textId="119A155D" w:rsidR="00653CA3" w:rsidRPr="00653CA3" w:rsidRDefault="00653CA3" w:rsidP="00653CA3">
      <w:pPr>
        <w:spacing w:after="0" w:line="240" w:lineRule="auto"/>
        <w:rPr>
          <w:rFonts w:ascii="Arial" w:hAnsi="Arial" w:cs="Arial"/>
        </w:rPr>
      </w:pPr>
      <w:r w:rsidRPr="00653CA3">
        <w:rPr>
          <w:rFonts w:ascii="Arial" w:hAnsi="Arial" w:cs="Arial"/>
        </w:rPr>
        <w:t>A drawing of the experimental set-up for NIR-irradiation is provided</w:t>
      </w:r>
      <w:r w:rsidR="00F93C18">
        <w:rPr>
          <w:rFonts w:ascii="Arial" w:hAnsi="Arial" w:cs="Arial"/>
        </w:rPr>
        <w:t xml:space="preserve"> (</w:t>
      </w:r>
    </w:p>
    <w:sectPr w:rsidR="00653CA3" w:rsidRPr="0065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4DCA"/>
    <w:multiLevelType w:val="hybridMultilevel"/>
    <w:tmpl w:val="383A73D8"/>
    <w:lvl w:ilvl="0" w:tplc="5ABE9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4B7FCB"/>
    <w:multiLevelType w:val="hybridMultilevel"/>
    <w:tmpl w:val="C5DAF3A4"/>
    <w:lvl w:ilvl="0" w:tplc="B9684A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4FF2"/>
    <w:multiLevelType w:val="hybridMultilevel"/>
    <w:tmpl w:val="EE722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577D3"/>
    <w:multiLevelType w:val="hybridMultilevel"/>
    <w:tmpl w:val="C5DAF3A4"/>
    <w:lvl w:ilvl="0" w:tplc="B9684A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45D76"/>
    <w:multiLevelType w:val="hybridMultilevel"/>
    <w:tmpl w:val="C2CCA862"/>
    <w:lvl w:ilvl="0" w:tplc="E3AE4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1A62F8"/>
    <w:multiLevelType w:val="hybridMultilevel"/>
    <w:tmpl w:val="0E260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95434"/>
    <w:multiLevelType w:val="hybridMultilevel"/>
    <w:tmpl w:val="C5DAF3A4"/>
    <w:lvl w:ilvl="0" w:tplc="B9684A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96365"/>
    <w:multiLevelType w:val="hybridMultilevel"/>
    <w:tmpl w:val="B74091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A2BA6"/>
    <w:multiLevelType w:val="hybridMultilevel"/>
    <w:tmpl w:val="777442FC"/>
    <w:lvl w:ilvl="0" w:tplc="41301E0C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0A"/>
    <w:rsid w:val="000001A2"/>
    <w:rsid w:val="00015D08"/>
    <w:rsid w:val="000249B3"/>
    <w:rsid w:val="00033A5A"/>
    <w:rsid w:val="00041686"/>
    <w:rsid w:val="00076A67"/>
    <w:rsid w:val="00083001"/>
    <w:rsid w:val="00083309"/>
    <w:rsid w:val="00091C09"/>
    <w:rsid w:val="00096241"/>
    <w:rsid w:val="00096616"/>
    <w:rsid w:val="000B77A3"/>
    <w:rsid w:val="000C6141"/>
    <w:rsid w:val="000C6150"/>
    <w:rsid w:val="000D7323"/>
    <w:rsid w:val="000E5621"/>
    <w:rsid w:val="000E769D"/>
    <w:rsid w:val="00106404"/>
    <w:rsid w:val="00115614"/>
    <w:rsid w:val="0012302D"/>
    <w:rsid w:val="001304B6"/>
    <w:rsid w:val="0015052C"/>
    <w:rsid w:val="00150A3E"/>
    <w:rsid w:val="00151A75"/>
    <w:rsid w:val="0016708E"/>
    <w:rsid w:val="00171EB1"/>
    <w:rsid w:val="00182745"/>
    <w:rsid w:val="00184115"/>
    <w:rsid w:val="00192B50"/>
    <w:rsid w:val="001C51F1"/>
    <w:rsid w:val="001F08E3"/>
    <w:rsid w:val="002138BC"/>
    <w:rsid w:val="00215812"/>
    <w:rsid w:val="00216CE9"/>
    <w:rsid w:val="00241F4B"/>
    <w:rsid w:val="0025565A"/>
    <w:rsid w:val="0025795A"/>
    <w:rsid w:val="0027768C"/>
    <w:rsid w:val="00281EF2"/>
    <w:rsid w:val="0029423A"/>
    <w:rsid w:val="0029655D"/>
    <w:rsid w:val="002A511E"/>
    <w:rsid w:val="002A5F9A"/>
    <w:rsid w:val="002A7D66"/>
    <w:rsid w:val="002B1FC3"/>
    <w:rsid w:val="002B7A32"/>
    <w:rsid w:val="002C2EA0"/>
    <w:rsid w:val="002C4823"/>
    <w:rsid w:val="002D6C29"/>
    <w:rsid w:val="002E1342"/>
    <w:rsid w:val="002E5856"/>
    <w:rsid w:val="003211DC"/>
    <w:rsid w:val="003265DC"/>
    <w:rsid w:val="00354B03"/>
    <w:rsid w:val="00357044"/>
    <w:rsid w:val="00357718"/>
    <w:rsid w:val="00367029"/>
    <w:rsid w:val="00367AE8"/>
    <w:rsid w:val="0037283E"/>
    <w:rsid w:val="003B1949"/>
    <w:rsid w:val="003C7252"/>
    <w:rsid w:val="003E0BB2"/>
    <w:rsid w:val="003E1682"/>
    <w:rsid w:val="003E3F8D"/>
    <w:rsid w:val="003E4905"/>
    <w:rsid w:val="00406AFA"/>
    <w:rsid w:val="0042689D"/>
    <w:rsid w:val="00445F87"/>
    <w:rsid w:val="00452F01"/>
    <w:rsid w:val="00454B92"/>
    <w:rsid w:val="00463B20"/>
    <w:rsid w:val="00485D23"/>
    <w:rsid w:val="00487CA6"/>
    <w:rsid w:val="004A19C3"/>
    <w:rsid w:val="004B4BDB"/>
    <w:rsid w:val="004B6E7E"/>
    <w:rsid w:val="004F5C47"/>
    <w:rsid w:val="004F7398"/>
    <w:rsid w:val="00501011"/>
    <w:rsid w:val="005047DE"/>
    <w:rsid w:val="00506CFD"/>
    <w:rsid w:val="00515EE8"/>
    <w:rsid w:val="00527481"/>
    <w:rsid w:val="00561512"/>
    <w:rsid w:val="00565D6B"/>
    <w:rsid w:val="00577CD3"/>
    <w:rsid w:val="005821DB"/>
    <w:rsid w:val="00584C87"/>
    <w:rsid w:val="005A177F"/>
    <w:rsid w:val="005C1229"/>
    <w:rsid w:val="005D5AC7"/>
    <w:rsid w:val="005E294B"/>
    <w:rsid w:val="00640E8A"/>
    <w:rsid w:val="006525F8"/>
    <w:rsid w:val="00653CA3"/>
    <w:rsid w:val="00654AB3"/>
    <w:rsid w:val="00693728"/>
    <w:rsid w:val="0069756D"/>
    <w:rsid w:val="006B2EA0"/>
    <w:rsid w:val="006B48B7"/>
    <w:rsid w:val="006F76E1"/>
    <w:rsid w:val="007556A0"/>
    <w:rsid w:val="007A68CE"/>
    <w:rsid w:val="007C0AFC"/>
    <w:rsid w:val="007D0E8F"/>
    <w:rsid w:val="007D5A70"/>
    <w:rsid w:val="007D63EB"/>
    <w:rsid w:val="00804685"/>
    <w:rsid w:val="00814230"/>
    <w:rsid w:val="0083145B"/>
    <w:rsid w:val="00842CB1"/>
    <w:rsid w:val="00847071"/>
    <w:rsid w:val="00853EF3"/>
    <w:rsid w:val="0089089E"/>
    <w:rsid w:val="00890FD9"/>
    <w:rsid w:val="008953FB"/>
    <w:rsid w:val="008B1790"/>
    <w:rsid w:val="008D07C8"/>
    <w:rsid w:val="008D74C4"/>
    <w:rsid w:val="008E48DE"/>
    <w:rsid w:val="008E6343"/>
    <w:rsid w:val="008E757F"/>
    <w:rsid w:val="008F341C"/>
    <w:rsid w:val="008F488C"/>
    <w:rsid w:val="009136D2"/>
    <w:rsid w:val="00923699"/>
    <w:rsid w:val="00934CD5"/>
    <w:rsid w:val="009351F5"/>
    <w:rsid w:val="009376E7"/>
    <w:rsid w:val="009554F7"/>
    <w:rsid w:val="00961BFC"/>
    <w:rsid w:val="00970CD7"/>
    <w:rsid w:val="00983FB2"/>
    <w:rsid w:val="00990637"/>
    <w:rsid w:val="009A366D"/>
    <w:rsid w:val="009A48A6"/>
    <w:rsid w:val="009E71C4"/>
    <w:rsid w:val="009F08EE"/>
    <w:rsid w:val="00A0319F"/>
    <w:rsid w:val="00A03994"/>
    <w:rsid w:val="00A14B30"/>
    <w:rsid w:val="00A2190B"/>
    <w:rsid w:val="00A23D2C"/>
    <w:rsid w:val="00A4663D"/>
    <w:rsid w:val="00A54139"/>
    <w:rsid w:val="00A636EE"/>
    <w:rsid w:val="00A74D3B"/>
    <w:rsid w:val="00A75115"/>
    <w:rsid w:val="00AA1CDA"/>
    <w:rsid w:val="00AA5F7D"/>
    <w:rsid w:val="00AD783A"/>
    <w:rsid w:val="00AD7DCA"/>
    <w:rsid w:val="00B03F59"/>
    <w:rsid w:val="00B25E4D"/>
    <w:rsid w:val="00B73A5C"/>
    <w:rsid w:val="00BA52CF"/>
    <w:rsid w:val="00BC6341"/>
    <w:rsid w:val="00BE3426"/>
    <w:rsid w:val="00BE4D52"/>
    <w:rsid w:val="00BE4E85"/>
    <w:rsid w:val="00BF3700"/>
    <w:rsid w:val="00C13AD2"/>
    <w:rsid w:val="00C16998"/>
    <w:rsid w:val="00C2070E"/>
    <w:rsid w:val="00C2271B"/>
    <w:rsid w:val="00C25FE0"/>
    <w:rsid w:val="00C332CF"/>
    <w:rsid w:val="00C4529D"/>
    <w:rsid w:val="00C612EA"/>
    <w:rsid w:val="00C639E0"/>
    <w:rsid w:val="00C67713"/>
    <w:rsid w:val="00C749D4"/>
    <w:rsid w:val="00C75258"/>
    <w:rsid w:val="00C96D9E"/>
    <w:rsid w:val="00C96E41"/>
    <w:rsid w:val="00CC25B7"/>
    <w:rsid w:val="00CC540F"/>
    <w:rsid w:val="00CC734A"/>
    <w:rsid w:val="00CD25C3"/>
    <w:rsid w:val="00CF0722"/>
    <w:rsid w:val="00CF6736"/>
    <w:rsid w:val="00D55E4D"/>
    <w:rsid w:val="00D70A0F"/>
    <w:rsid w:val="00D85DE1"/>
    <w:rsid w:val="00DA5C6C"/>
    <w:rsid w:val="00DA7100"/>
    <w:rsid w:val="00DB292F"/>
    <w:rsid w:val="00DB5415"/>
    <w:rsid w:val="00DB7893"/>
    <w:rsid w:val="00DC7A5F"/>
    <w:rsid w:val="00DD295F"/>
    <w:rsid w:val="00DD523C"/>
    <w:rsid w:val="00DD5303"/>
    <w:rsid w:val="00DE3464"/>
    <w:rsid w:val="00E230A1"/>
    <w:rsid w:val="00E25B0A"/>
    <w:rsid w:val="00E31E44"/>
    <w:rsid w:val="00E33F17"/>
    <w:rsid w:val="00E57C26"/>
    <w:rsid w:val="00E95653"/>
    <w:rsid w:val="00EB4951"/>
    <w:rsid w:val="00EC10C1"/>
    <w:rsid w:val="00EC2E69"/>
    <w:rsid w:val="00ED1C2C"/>
    <w:rsid w:val="00EE0271"/>
    <w:rsid w:val="00EF5C24"/>
    <w:rsid w:val="00EF6EEA"/>
    <w:rsid w:val="00F1386D"/>
    <w:rsid w:val="00F23FA1"/>
    <w:rsid w:val="00F4224F"/>
    <w:rsid w:val="00F4499D"/>
    <w:rsid w:val="00F45865"/>
    <w:rsid w:val="00F47C05"/>
    <w:rsid w:val="00F93C18"/>
    <w:rsid w:val="00FA1635"/>
    <w:rsid w:val="00FA163C"/>
    <w:rsid w:val="00FC483C"/>
    <w:rsid w:val="00FD1F78"/>
    <w:rsid w:val="00FF0020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CA20"/>
  <w15:docId w15:val="{2BA0E155-9E5C-46C2-B3B8-7F798C62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52C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2B7A32"/>
    <w:pPr>
      <w:spacing w:line="240" w:lineRule="auto"/>
      <w:jc w:val="both"/>
    </w:pPr>
    <w:rPr>
      <w:rFonts w:ascii="Calibri" w:eastAsia="MS Mincho" w:hAnsi="Calibri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B7A32"/>
    <w:rPr>
      <w:rFonts w:ascii="Calibri" w:eastAsia="MS Mincho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College of Wisconsin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Weihrauch</dc:creator>
  <cp:lastModifiedBy>Weihrauch, Dorothee</cp:lastModifiedBy>
  <cp:revision>2</cp:revision>
  <dcterms:created xsi:type="dcterms:W3CDTF">2021-10-07T15:24:00Z</dcterms:created>
  <dcterms:modified xsi:type="dcterms:W3CDTF">2021-10-07T15:24:00Z</dcterms:modified>
</cp:coreProperties>
</file>