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Improved Enzyme Protection Assay to Study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Internalization and Intracellular Efficacy of Antimicrobial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Josselin Rigaill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Estelle Audoux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Killian Rodriguez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Aur&amp;#233;lien Peyron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Philippe Berthelot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J&amp;#233;rôme Josse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Fr&amp;#233;d&amp;#233;ric Laurent</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Robin Caire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O. Verhoeven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CIRI, Centre International de Recherche en Infectiologie, Equipe GIMAP, Universit&amp;#233; de Lyon, Universit&amp;#233; Jean Monnet, INSERM U1111, CNRS, ENS, UCBL1, St</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Etienne,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Service des Agents Infectieux et d’Hygi&amp;#232;ne, CHU de St-Etienne, St</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Etienne,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Service d’Infectiologie, CHU de St-Etienne, St</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Etienne,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CIRI, Centre International de Recherche en Infectiologie, Equipe Pathog&amp;#233;nie des staphylocoques, Universit&amp;#233; de Lyon, INSERM U1111, CNRS, ENS, UCBL1, Lyon,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D&amp;#233;partement de Bact&amp;#233;riologie, Institut des Agents Infectieux, Hospices Civils de Lyon, Lyon,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Josselin Rigaill</w:t>
        <w:tab/>
        <w:tab/>
        <w:tab/>
        <w:tab/>
        <w:t xml:space="preserve">(josselin.rigaill@chu-st-etienne.fr)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Estelle Audoux</w:t>
        <w:tab/>
        <w:tab/>
        <w:tab/>
        <w:t xml:space="preserve">(estelle-audoux@orange.fr)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Killian Rodriguez</w:t>
        <w:tab/>
        <w:tab/>
        <w:tab/>
        <w:t xml:space="preserve">(k.rodriguez@univ-st-etienne.fr)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Aur&amp;#233;lien Peyron</w:t>
        <w:tab/>
        <w:tab/>
        <w:tab/>
        <w:t xml:space="preserve">(peyron.aurelien@gmail.com)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Philippe Berthelot</w:t>
        <w:tab/>
        <w:tab/>
        <w:tab/>
        <w:t xml:space="preserve">(philippe.berthelot@univ-st-etienne.fr)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J&amp;#233;rôme Josse</w:t>
        <w:tab/>
        <w:tab/>
        <w:tab/>
        <w:tab/>
        <w:t xml:space="preserve">(jerome.josse@univ-lyon1.fr)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Fr&amp;#233;d&amp;#233;ric Laurent</w:t>
        <w:tab/>
        <w:tab/>
        <w:tab/>
        <w:t xml:space="preserve">(frederic.laurent@univ-lyon1.fr)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Robin Caire</w:t>
        <w:tab/>
        <w:tab/>
        <w:tab/>
        <w:tab/>
        <w:t xml:space="preserve">(caire.robin@gmail.com)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O. Verhoeven</w:t>
        <w:tab/>
        <w:tab/>
        <w:tab/>
        <w:t xml:space="preserve">(paul.verhoeven@univ-st-etienne.fr)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describe how to study the extent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internalization and its ability to survive inside the human host cell, as well as the intracellular efficacy of antimicrobial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expresses virulence factors to trigger its internalization into eukaryote cells and to survive inside different subcellular compartments. This paper describes an enzyme protection assay to study the extent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internalization and its intracellular survival in adherent non-professional phagocytic cells (NPPCs) as well as the intracellular efficacy of antimicrobial compounds. NPPCs are grown in a multi-well plate until they reach 100% confluence.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cultures are grown overnight in cell culture medium. The bacterial suspension is diluted according to the number of cells per well to inoculate the cells at a controlled multiplicity of infection. Inoculated cells are incubated for 2 h to allow the bacteria to be internalized by the NPPCs, following which lysostaphin is added to the culture medium to selectively kill extracellular bacteria. Lysostaphin is present in the culture medium for the rest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this point, the infected cells could be incubated with antimicrobial compounds to assess their intracellular activities against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Next, the cells are washed three times to remove the drugs, and intracellular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load is then quantified by culturing on agar plates. Alternatively, for studying staphylococcal virulence factors involved in intracellular survival and cell toxicity, lysostaphin could be inactivated with proteinase K to eliminate the need for washing steps. This tip improves the reliability of the intracellular bacterial load quantification, especially if cells tend to detach from the culture plate when they become heavily infected because of the multiplication of intracellular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These protocols can be used with virtually all types of adherent NPPCs and with 3D cell culture models such as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is both a life-threatening pathogen and a commensal bacterium of the skin and the mucosa that colonizes two billion individuals around the world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humans, nasal carriers of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have an increased risk of infection with their own strain of carriage; however, the multifactorial determinants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mucosal carriage are still unclear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to acute infections, patients can also develop chronic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infections that are often challenging to cure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better understanding of host-pathogen interactions during colonization and infection is crucial for developing novel therapeutic strategies and improving patient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can trigger its internalization into host cells expressing the &amp;#945;5&amp;#946;1 integrin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tripartite interaction between the staphylococcal fibronectin-binding proteins anchored to the cell wall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the fibronectin, and the &amp;#946;1 integrin expressed at the host cell surface is well known as the main pathway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internalization in NPPCs such as keratinocytes, osteoblasts, fibroblasts, and epithelial and endothelial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Recent studies show that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can be found inside human cells during nasal colonization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infection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the role of the intracellular reservoir in the pathogenesis of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remains unclear. The host cells could act as a shelter for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which is protected from both the immune system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most antimicrobial compounds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lysostaphin protection assay, described by Proctor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earlier in the 1980s, enables the study of bacterial and host factors involved in the internalization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isolates. Lysostaphin is a bacteriocin produced by </w:t>
      </w:r>
      <w:r>
        <w:rPr>
          <w:rFonts w:ascii="Calibri" w:hAnsi="Calibri" w:cs="Calibri" w:eastAsia="Calibri"/>
          <w:i/>
          <w:color w:val="auto"/>
          <w:spacing w:val="0"/>
          <w:position w:val="0"/>
          <w:sz w:val="24"/>
          <w:shd w:fill="auto" w:val="clear"/>
        </w:rPr>
        <w:t xml:space="preserve">Staphylococcus simulans</w:t>
      </w:r>
      <w:r>
        <w:rPr>
          <w:rFonts w:ascii="Calibri" w:hAnsi="Calibri" w:cs="Calibri" w:eastAsia="Calibri"/>
          <w:color w:val="auto"/>
          <w:spacing w:val="0"/>
          <w:position w:val="0"/>
          <w:sz w:val="24"/>
          <w:shd w:fill="auto" w:val="clear"/>
        </w:rPr>
        <w:t xml:space="preserve">, which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exhibits potent activity against almost all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isolates, including antibiotic-resistant strains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Lysostaphin has been used to destroy only extracellular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to enable the counting of only viable intracellular bacteria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technique has been widely used and has contributed to the discovery of several virulence factors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Gentamycin, alone and combined with lysostaphin, is also widely used to study intracellular bacteria.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 recent study showed that gentamycin enters eukaryotic cells and reaches internalized bacteria in a time- and concentration-dependent manner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study also demonstrated that lysostaphin does not enter eukaryotic cells, confirming that a lysostaphin-based enzyme protection assay (EPA) is the most accurate assay for quantifying intracellular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load by culture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Regardless of which compound is used to destroy extracellular bacteria (e.g., lysostaphin or gentamycin), it should be removed by washing the cells before plating intracellular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on agar plates. Successive washes may result in the detachment of cells, especially poorly adherent cells (e.g., heavily infected cells), which would lead to an underestimation of the intracellular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load. This paper describes in detail how EPA can be used to quantify the intracellular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load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to measure the intracellular efficacy of antimicrobials compounds using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note, a simple method has been proposed to improve the reliability of intracellular load quantification by avoiding intensive washes.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Culture of human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complete culture medium with Dulbecco’s modified Eagle medium (DMEM) high glucose with phenol red, supplemented with 10% fetal bovine serum (FBS) without antibiotics.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Grow A549 epithelial cells in complete culture medium at 36 &amp;plusmn; 1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Ensure the use of an appropriately sized culture vessel to have enough cells for subsequent steps (see step 1.10).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75 cm² (T-75) flask is sufficient to seed two 24-well plates and subculture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b/>
          <w:color w:val="auto"/>
          <w:spacing w:val="0"/>
          <w:position w:val="0"/>
          <w:sz w:val="24"/>
          <w:shd w:fill="auto" w:val="clear"/>
        </w:rPr>
        <w:t xml:space="preserve">Two days before infection</w:t>
      </w:r>
      <w:r>
        <w:rPr>
          <w:rFonts w:ascii="Calibri" w:hAnsi="Calibri" w:cs="Calibri" w:eastAsia="Calibri"/>
          <w:color w:val="auto"/>
          <w:spacing w:val="0"/>
          <w:position w:val="0"/>
          <w:sz w:val="24"/>
          <w:shd w:fill="auto" w:val="clear"/>
        </w:rPr>
        <w:t xml:space="preserve">, prepare a single 24-well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Remove and discard the spent culture medium from the T-75 flask and wash the cells once with 10 mL of Dulbecco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phosphate-buffered saline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Add 5 mL of trypsin-EDTA and incubate the cells for 5 min at 36 &amp;plusmn; 1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Add 5 mL of complete culture medium and transfer the cells into a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Centrifuge the cells for 5 min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Discard the supernatant and resuspend the cells in 10 mL of fresh complete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Count the cells with an automatic cell counter (or a counting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Dilute the cells in complete culture medium to prepare 30 mL of cell suspension at a concentration of 2.0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Add 1 mL of the cell suspension to each well of a 24-well plate, which corresponds to a cell density of approximately 1.0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cell/cm² for a well area of 2 cm².</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Incubate the cells for 48 h at 36 &amp;plusmn; 1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they reach 100%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the conditions to be tested, three wells should be reserved for cell counting on the day of infection (see step 3.1.4). According to the number of conditions to be tested, Up to two 24-well plates can be prepared simultaneously. Volumes indicated in the protocol should be increased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Culture of </w:t>
      </w:r>
      <w:r>
        <w:rPr>
          <w:rFonts w:ascii="Calibri" w:hAnsi="Calibri" w:cs="Calibri" w:eastAsia="Calibri"/>
          <w:b/>
          <w:i/>
          <w:color w:val="auto"/>
          <w:spacing w:val="0"/>
          <w:position w:val="0"/>
          <w:sz w:val="24"/>
          <w:shd w:fill="auto" w:val="clear"/>
        </w:rPr>
        <w:t xml:space="preserve">S. aureus</w:t>
      </w:r>
      <w:r>
        <w:rPr>
          <w:rFonts w:ascii="Calibri" w:hAnsi="Calibri" w:cs="Calibri" w:eastAsia="Calibri"/>
          <w:b/>
          <w:color w:val="auto"/>
          <w:spacing w:val="0"/>
          <w:position w:val="0"/>
          <w:sz w:val="24"/>
          <w:shd w:fill="auto" w:val="clear"/>
        </w:rPr>
        <w:t xml:space="preserv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b/>
          <w:color w:val="auto"/>
          <w:spacing w:val="0"/>
          <w:position w:val="0"/>
          <w:sz w:val="24"/>
          <w:shd w:fill="auto" w:val="clear"/>
        </w:rPr>
        <w:t xml:space="preserve">Two days before infection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prepare complete infection medium with DMEM high glucose without phenol red, supplemented with</w:t>
      </w:r>
      <w:r>
        <w:rPr>
          <w:rFonts w:ascii="Calibri" w:hAnsi="Calibri" w:cs="Calibri" w:eastAsia="Calibri"/>
          <w:color w:val="auto"/>
          <w:spacing w:val="0"/>
          <w:position w:val="0"/>
          <w:sz w:val="24"/>
          <w:shd w:fill="auto" w:val="clear"/>
        </w:rPr>
        <w:t xml:space="preserve"> 10% FBS without antibiotics.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Thaw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strains to be tested on agar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Incubate the agar plates for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at 36 &amp;plusmn; 1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b/>
          <w:color w:val="auto"/>
          <w:spacing w:val="0"/>
          <w:position w:val="0"/>
          <w:sz w:val="24"/>
          <w:shd w:fill="auto" w:val="clear"/>
        </w:rPr>
        <w:t xml:space="preserve">The day before inoculation</w:t>
      </w:r>
      <w:r>
        <w:rPr>
          <w:rFonts w:ascii="Calibri" w:hAnsi="Calibri" w:cs="Calibri" w:eastAsia="Calibri"/>
          <w:color w:val="auto"/>
          <w:spacing w:val="0"/>
          <w:position w:val="0"/>
          <w:sz w:val="24"/>
          <w:shd w:fill="auto" w:val="clear"/>
        </w:rPr>
        <w:t xml:space="preserve">, inoculate one colony of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strain to be tested in 10 mL of complete infection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Incubate the bacteria for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at 36 &amp;plusmn; 1 &amp;#176;C with shaking at 160 rpm. Use 50 mL tubes held at 45&amp;#176; to avoid the bacteria settling.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starting with a new strain, it is recommended to verify its lysostaphin susceptibility in the same conditions of culture that will be used for further experiments (media, bacterial loads, and lysostaphin concentration and incubation time). It is also important to determine the bacterial load corresponding to an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 of 0.5 because it could vary slightly from one strain to another. Culture conditions of bacterial strains could be adapted according to the experimental aim.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Infection assay with </w:t>
      </w:r>
      <w:r>
        <w:rPr>
          <w:rFonts w:ascii="Calibri" w:hAnsi="Calibri" w:cs="Calibri" w:eastAsia="Calibri"/>
          <w:b/>
          <w:i/>
          <w:color w:val="auto"/>
          <w:spacing w:val="0"/>
          <w:position w:val="0"/>
          <w:sz w:val="24"/>
          <w:shd w:fill="auto" w:val="clear"/>
        </w:rPr>
        <w:t xml:space="preserve">S. aureus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Determination of cell density and viability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Remove and discard the spent culture medium from the three wells dedicated for counting A549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Add 1 mL of complete infection medium containing 5 &amp;#181;g/mL of Hoechst 33342 and 1 &amp;#181;g/mL of propidium iodide.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Hoechst 33342 is a known mutagen and should be handled with care. Propidium iodide, a potential mutagen, must be handled with care and disposed of safely according to applicable regulations.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Incubate the cells for 30 min at 36 &amp;plusmn; 1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Count the cell number and calculate the cell viability using a wield-field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fluorescence microscope is not available, the cell density and viability can be calculated with trypan blue staining by using a cell counting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Preparation of the bacterial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Dispense 25 mL of complete infection medium in a tube and pre-warm at 36 &amp;plusmn; 1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Adjust the </w:t>
      </w:r>
      <w:r>
        <w:rPr>
          <w:rFonts w:ascii="Calibri" w:hAnsi="Calibri" w:cs="Calibri" w:eastAsia="Calibri"/>
          <w:i/>
          <w:color w:val="auto"/>
          <w:spacing w:val="0"/>
          <w:position w:val="0"/>
          <w:sz w:val="24"/>
          <w:shd w:fill="FFFF00" w:val="clear"/>
        </w:rPr>
        <w:t xml:space="preserve">S. aureus</w:t>
      </w:r>
      <w:r>
        <w:rPr>
          <w:rFonts w:ascii="Calibri" w:hAnsi="Calibri" w:cs="Calibri" w:eastAsia="Calibri"/>
          <w:color w:val="auto"/>
          <w:spacing w:val="0"/>
          <w:position w:val="0"/>
          <w:sz w:val="24"/>
          <w:shd w:fill="FFFF00" w:val="clear"/>
        </w:rPr>
        <w:t xml:space="preserve"> suspension to anOD</w:t>
      </w:r>
      <w:r>
        <w:rPr>
          <w:rFonts w:ascii="Calibri" w:hAnsi="Calibri" w:cs="Calibri" w:eastAsia="Calibri"/>
          <w:color w:val="auto"/>
          <w:spacing w:val="0"/>
          <w:position w:val="0"/>
          <w:sz w:val="24"/>
          <w:shd w:fill="FFFF00" w:val="clear"/>
          <w:vertAlign w:val="subscript"/>
        </w:rPr>
        <w:t xml:space="preserve">600nm</w:t>
      </w:r>
      <w:r>
        <w:rPr>
          <w:rFonts w:ascii="Calibri" w:hAnsi="Calibri" w:cs="Calibri" w:eastAsia="Calibri"/>
          <w:color w:val="auto"/>
          <w:spacing w:val="0"/>
          <w:position w:val="0"/>
          <w:sz w:val="24"/>
          <w:shd w:fill="FFFF00" w:val="clear"/>
        </w:rPr>
        <w:t xml:space="preserve"> of 0.5 in complete infection medium using a cell density 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Prepare 20 mL of bacterial suspension for cell inoculation by diluting the 0.5 OD</w:t>
      </w:r>
      <w:r>
        <w:rPr>
          <w:rFonts w:ascii="Calibri" w:hAnsi="Calibri" w:cs="Calibri" w:eastAsia="Calibri"/>
          <w:color w:val="auto"/>
          <w:spacing w:val="0"/>
          <w:position w:val="0"/>
          <w:sz w:val="24"/>
          <w:shd w:fill="FFFF00" w:val="clear"/>
          <w:vertAlign w:val="subscript"/>
        </w:rPr>
        <w:t xml:space="preserve">600nm</w:t>
      </w:r>
      <w:r>
        <w:rPr>
          <w:rFonts w:ascii="Calibri" w:hAnsi="Calibri" w:cs="Calibri" w:eastAsia="Calibri"/>
          <w:color w:val="auto"/>
          <w:spacing w:val="0"/>
          <w:position w:val="0"/>
          <w:sz w:val="24"/>
          <w:shd w:fill="FFFF00" w:val="clear"/>
        </w:rPr>
        <w:t xml:space="preserve"> in complete infection medium to achieve a multiplicity of infection (MOI) of 1 according to the number of cells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MOI corresponds to the number of bacteria added per cell in each well. For example, to achieve an MOI of 1 with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well, prepare a bacterial suspension at 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CFU/mL so that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CFU can be added in a volume of 500 &amp;#181;L (see step 3.3.3). The MOI can be adjusted according to the cell types and bacterial strains to be tested.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Use an automatic spiral plater to determine the </w:t>
      </w:r>
      <w:r>
        <w:rPr>
          <w:rFonts w:ascii="Calibri" w:hAnsi="Calibri" w:cs="Calibri" w:eastAsia="Calibri"/>
          <w:i/>
          <w:color w:val="auto"/>
          <w:spacing w:val="0"/>
          <w:position w:val="0"/>
          <w:sz w:val="24"/>
          <w:shd w:fill="FFFF00" w:val="clear"/>
        </w:rPr>
        <w:t xml:space="preserve">S. aureus</w:t>
      </w:r>
      <w:r>
        <w:rPr>
          <w:rFonts w:ascii="Calibri" w:hAnsi="Calibri" w:cs="Calibri" w:eastAsia="Calibri"/>
          <w:color w:val="auto"/>
          <w:spacing w:val="0"/>
          <w:position w:val="0"/>
          <w:sz w:val="24"/>
          <w:shd w:fill="FFFF00" w:val="clear"/>
        </w:rPr>
        <w:t xml:space="preserve"> load of the diluted bacterial suspension to be used for the cell inoculation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Incubate the agar plates for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at 36 &amp;plusmn; 1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The next day, count the number of colonies with a colony counter to calculate the accurate MOI for each strain tested.</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 automatic spiral plater is available, the bacterial load could be determined by serial dilution on an agar plate. See the bacteriological analytical manual for details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Cell inoculation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Observe every well of the 24-well plate by low magnification microscopy to ensure that the cells are healthy and growing as expected.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Remove and discard the spent cell culture medium from the 24-well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Add 500 &amp;#181;L of the bacterial suspension for inoculation to each well with 100% confluent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Incubate the cells for 2 h at 36 &amp;plusmn; 1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use three wells of the plate for each condition to be tested (triplicate) and to perform at least three independent experiments. The delay of incubation can be adapted according to the experimental aim.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Quantification of intracellular bacteria with improved enzyme protection assay (iEPA)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Prepare 7 mL of 4x lysis buffer with 3.5 mL of 2% Triton X-100 in sterile water and 3.5 mL of trypsin-EDTA.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Prepare a lysostaphin stock solution at 10 mg/mL in acetate buffer and aliquot 25 &amp;#181;L into cryovials. Store at -80 &amp;#176;C for up to 6 months.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Prepare 250 &amp;#181;L of a fresh lysostaphin working solution at 1 mg/mL by mixing 25 &amp;#181;L of the lysostaphin stock solution (10 mg/mL) and 225 &amp;#181;L of 0.1 M Tris-HCl. Store at 4 &amp;#176;C for up to 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Prepare 6.25 mL of complete infection medium supplemented with lysostaphin by adding 6 mL of complete infection medium to 250 &amp;#181;L of the lysostaphin working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Add 250 &amp;#181;L of complete infection medium supplemented with lysostaphin into each well and gently agitate the plate by swiveling the plate by hand.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 Incubate the cells for 1 h at 36 &amp;plusmn; 1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let the lysostaphin kill the extracellular bacteria.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 At the end of the incubation time, add 10 &amp;#181;L of proteinase K at 20 mg/mL into each well to inactivate the lysostaphin.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3.4.8. Incubate the cells for 2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3.4.9. Add 250 &amp;#181;L of 4x lysis buffer to lyse the cells by osmotic shock.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3.4.10. Incubate the cells for 10 min at 36 &amp;plusmn; 1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3.4.11. Mix thoroughly by pipetting up and down ten times all over the bottom of the well to ensure that the cells are fully lysed and homogenized.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3.4.12. Use an automatic spiral plater to determine the </w:t>
      </w:r>
      <w:r>
        <w:rPr>
          <w:rFonts w:ascii="Calibri" w:hAnsi="Calibri" w:cs="Calibri" w:eastAsia="Calibri"/>
          <w:i/>
          <w:color w:val="auto"/>
          <w:spacing w:val="0"/>
          <w:position w:val="0"/>
          <w:sz w:val="24"/>
          <w:shd w:fill="FFFF00" w:val="clear"/>
        </w:rPr>
        <w:t xml:space="preserve">S. aureus</w:t>
      </w:r>
      <w:r>
        <w:rPr>
          <w:rFonts w:ascii="Calibri" w:hAnsi="Calibri" w:cs="Calibri" w:eastAsia="Calibri"/>
          <w:color w:val="auto"/>
          <w:spacing w:val="0"/>
          <w:position w:val="0"/>
          <w:sz w:val="24"/>
          <w:shd w:fill="FFFF00" w:val="clear"/>
        </w:rPr>
        <w:t xml:space="preserve"> load of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3.4.13. Incubate the agar plates for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at 36 &amp;plusmn; 1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3.4.14. The next day, count the number of colonies with a colony counter to calculate the intracellular </w:t>
      </w:r>
      <w:r>
        <w:rPr>
          <w:rFonts w:ascii="Calibri" w:hAnsi="Calibri" w:cs="Calibri" w:eastAsia="Calibri"/>
          <w:i/>
          <w:color w:val="auto"/>
          <w:spacing w:val="0"/>
          <w:position w:val="0"/>
          <w:sz w:val="24"/>
          <w:shd w:fill="FFFF00" w:val="clear"/>
        </w:rPr>
        <w:t xml:space="preserve">S. aureus</w:t>
      </w:r>
      <w:r>
        <w:rPr>
          <w:rFonts w:ascii="Calibri" w:hAnsi="Calibri" w:cs="Calibri" w:eastAsia="Calibri"/>
          <w:color w:val="auto"/>
          <w:spacing w:val="0"/>
          <w:position w:val="0"/>
          <w:sz w:val="24"/>
          <w:shd w:fill="FFFF00" w:val="clear"/>
        </w:rPr>
        <w:t xml:space="preserve"> load of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Measurement of intracellular efficacy of antimicrobial compounds with enzyme protection assay (EPA)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Prepare 25 mL of 1x lysis buffer with 3.125 mL of 2% Triton X-100 in sterile water, 6.25 mL of trypsin-EDTA, and 15.625 mL of sterile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Prepare 250 &amp;#181;L of a fresh lysostaphin working solution at 1 mg/mL by mixing 25 &amp;#181;L of a lysostaphin stock solution (10 mg/mL) and 225 &amp;#181;L of 0.1 M Tris-HCl.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Prepare 25 mL of complete infection medium supplemented with lysostaphin by adding 24.75 mL of complete infection medium to 250 &amp;#181;L of the lysostaphin working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For each antimicrobial compound to be tested, prepare 3.1 mL of complete infection medium supplemented with lysostaphin and the antimicrobial compound at the concentration to be studied.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Remove and discard the spent cell culture medium from the 24-well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 Add 1 mL of complete infection medium supplemented with lysostaphin.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3.5.7. Incubate the cells for 1 h at 36 &amp;plusmn; 1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let the lysostaphin kill the extracellular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3.5.8. Remove and discard the medium supplemented with lysostaphin from the 24-well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3.5.9. Fill three wells with 1 mL of medium supplemented with lysostaphin plus the antimicrobial compound to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3.5.10. Repeat step 3.5.9 for each antimicrobial compound to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3.5.11. For the control condition, fill three wells with 1 mL of medium supplemented with lysostaphin without any antimicrobial compound.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3.5.12. Incubate the cells for 24 h at 36 &amp;plusmn; 1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3.5.13. At the end of the incubation period, remove and discard the spent medium and gently wash each well three times with sterile DPBS with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3.5.14. Add 1 mL of 1x lysis buffer to each well to detach and lyse the cells by osmotic shock.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3.5.15. Incubate the cells for 10 min at 36 &amp;plusmn; 1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3.5.16. Mix thoroughly by pipetting up and down ten times all over the well to ensure that the cells are fully lysed and homogenized.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3.5.17. Use an automatic spiral plater to determine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load of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3.5.18. Incubate the agar plates for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at 36 &amp;plusmn; 1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3.5.19. The next day, count the number of colonies with a colony counter to calculate the intracellular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load of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intracellular activity of each antimicrobial compound should be calculated according to the bacterial load of the control condition. It is also important to check the cytotoxicity of all antimicrobial compounds to prove that the differences observed between the control and the compounds are not due to cell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internalization by A549 epithelial cells are depicted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A549 cells were inoculated with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SF8300 WT and SF8300 </w:t>
      </w:r>
      <w:r>
        <w:rPr>
          <w:rFonts w:ascii="Calibri" w:hAnsi="Calibri" w:cs="Calibri" w:eastAsia="Calibri"/>
          <w:i/>
          <w:color w:val="auto"/>
          <w:spacing w:val="0"/>
          <w:position w:val="0"/>
          <w:sz w:val="24"/>
          <w:shd w:fill="auto" w:val="clear"/>
        </w:rPr>
        <w:t xml:space="preserve">fnb</w:t>
      </w:r>
      <w:r>
        <w:rPr>
          <w:rFonts w:ascii="Calibri" w:hAnsi="Calibri" w:cs="Calibri" w:eastAsia="Calibri"/>
          <w:color w:val="auto"/>
          <w:spacing w:val="0"/>
          <w:position w:val="0"/>
          <w:sz w:val="24"/>
          <w:shd w:fill="auto" w:val="clear"/>
        </w:rPr>
        <w:t xml:space="preserve">A/B, which lacks fibronectin-binding proteins A and B, at an MOI of 1 for 2 h. To destroy extracellular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lysostaphin was added to the culture medium, and the cells were incubated for 1 h. Next, lysostaphin was either removed by washing for EPA or inactivated with proteinase K for iEPA. Then, the cells were disrupted in lysis buffer, and the bacterial load was quantified by culture. By using EPA, the mean intracellular loads were 4.46 and 0.49 Log CFU/mL for SF8300 WT and SF8300 </w:t>
      </w:r>
      <w:r>
        <w:rPr>
          <w:rFonts w:ascii="Calibri" w:hAnsi="Calibri" w:cs="Calibri" w:eastAsia="Calibri"/>
          <w:i/>
          <w:color w:val="auto"/>
          <w:spacing w:val="0"/>
          <w:position w:val="0"/>
          <w:sz w:val="24"/>
          <w:shd w:fill="auto" w:val="clear"/>
        </w:rPr>
        <w:t xml:space="preserve">fnb</w:t>
      </w:r>
      <w:r>
        <w:rPr>
          <w:rFonts w:ascii="Calibri" w:hAnsi="Calibri" w:cs="Calibri" w:eastAsia="Calibri"/>
          <w:color w:val="auto"/>
          <w:spacing w:val="0"/>
          <w:position w:val="0"/>
          <w:sz w:val="24"/>
          <w:shd w:fill="auto" w:val="clear"/>
        </w:rPr>
        <w:t xml:space="preserve">A/B, respectively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green bars). Using iEPA, the mean intracellular loads were 4.53 and 0.56 Log CFU/mL for SF8300 WT and SF8300 </w:t>
      </w:r>
      <w:r>
        <w:rPr>
          <w:rFonts w:ascii="Calibri" w:hAnsi="Calibri" w:cs="Calibri" w:eastAsia="Calibri"/>
          <w:i/>
          <w:color w:val="auto"/>
          <w:spacing w:val="0"/>
          <w:position w:val="0"/>
          <w:sz w:val="24"/>
          <w:shd w:fill="auto" w:val="clear"/>
        </w:rPr>
        <w:t xml:space="preserve">fnb</w:t>
      </w:r>
      <w:r>
        <w:rPr>
          <w:rFonts w:ascii="Calibri" w:hAnsi="Calibri" w:cs="Calibri" w:eastAsia="Calibri"/>
          <w:color w:val="auto"/>
          <w:spacing w:val="0"/>
          <w:position w:val="0"/>
          <w:sz w:val="24"/>
          <w:shd w:fill="auto" w:val="clear"/>
        </w:rPr>
        <w:t xml:space="preserve">A/B, respectively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 bars). It is interesting to note that both EPA and iEPA showed similar results, which can be explained by the ease of performing the washes when the cells are in good condition and because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-induced cytotoxicity is very low in these experimental settings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intracellular activity of vancomycin, rifampicin, and levofloxacin against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are depicted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measure the intracellular activity of these antibiotics, HaCaT cells were inoculated with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ATCC 29213 at an MOI of 1 for 2 h. The cells were incubated with lysostaphin, with or without the antimicrobial compounds to be tested, for 24 h. Next, lysostaphin and the antimicrobial compounds were removed by washing. The cells were disrupted in lysis buffer, and the bacterial load was quantified by culture. The mean intracellular loads were 4.57, 4.51, 3.03, and 2.91 log CFU/mL for control, vancomycin (50 &amp;#181;g/mL), rifampicin (7 &amp;#181;g/mL), and levofloxacin (10 &amp;#181;g/mL), respectively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Intracellular </w:t>
      </w:r>
      <w:r>
        <w:rPr>
          <w:rFonts w:ascii="Calibri" w:hAnsi="Calibri" w:cs="Calibri" w:eastAsia="Calibri"/>
          <w:b/>
          <w:i/>
          <w:color w:val="auto"/>
          <w:spacing w:val="0"/>
          <w:position w:val="0"/>
          <w:sz w:val="24"/>
          <w:shd w:fill="auto" w:val="clear"/>
        </w:rPr>
        <w:t xml:space="preserve">Staphylococcus aureus</w:t>
      </w:r>
      <w:r>
        <w:rPr>
          <w:rFonts w:ascii="Calibri" w:hAnsi="Calibri" w:cs="Calibri" w:eastAsia="Calibri"/>
          <w:b/>
          <w:color w:val="auto"/>
          <w:spacing w:val="0"/>
          <w:position w:val="0"/>
          <w:sz w:val="24"/>
          <w:shd w:fill="auto" w:val="clear"/>
        </w:rPr>
        <w:t xml:space="preserve"> load in epithelial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Enzyme protection assay (green bars) and improved enzyme protection assay (red bars) in A549 cells infected with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SF8300 WT and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fnb</w:t>
      </w:r>
      <w:r>
        <w:rPr>
          <w:rFonts w:ascii="Calibri" w:hAnsi="Calibri" w:cs="Calibri" w:eastAsia="Calibri"/>
          <w:color w:val="auto"/>
          <w:spacing w:val="0"/>
          <w:position w:val="0"/>
          <w:sz w:val="24"/>
          <w:shd w:fill="auto" w:val="clear"/>
        </w:rPr>
        <w:t xml:space="preserve">A/B.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Intracellular activity of antimicrobial compounds in HaCaT cells infected with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ATCC 29213. Bars represent the mean values of three independent experiments performed in triplicate. Error bars represent the standard deviations.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Abbreviations: Ctrl = control; cfu = colony-forming units.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assays described here are valuable for studying the extent of internalization and the intracellular survival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 NPPCs, as well as the intracellular efficacy of antimicrobial compounds</w:t>
      </w:r>
      <w:r>
        <w:rPr>
          <w:rFonts w:ascii="Calibri" w:hAnsi="Calibri" w:cs="Calibri" w:eastAsia="Calibri"/>
          <w:color w:val="auto"/>
          <w:spacing w:val="0"/>
          <w:position w:val="0"/>
          <w:sz w:val="24"/>
          <w:shd w:fill="auto" w:val="clear"/>
          <w:vertAlign w:val="superscript"/>
        </w:rPr>
        <w:t xml:space="preserve">6,15,16</w:t>
      </w:r>
      <w:r>
        <w:rPr>
          <w:rFonts w:ascii="Calibri" w:hAnsi="Calibri" w:cs="Calibri" w:eastAsia="Calibri"/>
          <w:color w:val="auto"/>
          <w:spacing w:val="0"/>
          <w:position w:val="0"/>
          <w:sz w:val="24"/>
          <w:shd w:fill="auto" w:val="clear"/>
        </w:rPr>
        <w:t xml:space="preserve">. Some steps in both assay protocols can be critical. The health condition and the density of the cells must be perfectly controlled and consistent between independent experiments. The bacterial inoculum must be carefully standardized to obtain a real MOI close to the targeted theoretical MOI. In general, care must be taken not to detach any of the cells while pipetting. The washes to remove lysostaphin and antibiotics are critical steps in the EPA. The use of proteinase K has been found to improve this step when no antibiotic is used (see below). Last but not least, the cells should be fully detached in each well and thoroughly homogenized after the incubation with the lysis buffer to reliably quantify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intracellular load.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some instances, issues may be encountered, and several points must be checked first. In case of a lack of reproducibility, it must be kept in mind that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can form clumps, making quantification by absorbance inaccurate. The clumping of bacteria can be increased by centrifugation and washing steps if the culture medium is to be replaced (e.g., for eliminating a secreted protein). The bacterial suspension should be used rapidly because bacteria continue to grow at room temperature. The lysostaphin efficacy could decrease because of incorrect storage conditions, suboptimal pH for enzyme activity in the culture media, variability in the enzymatic activity between batches and providers, and lack of lysostaphin sensitivity of some strains in specific growth conditions. Phenol red could have a slight bacteriostatic effect, especially when the culture medium is relatively poor in nutrients compared to the typical broths used for growing bacteria. Thus, it is advisable to use a cell culture medium without phenol red, which also improves fluorescence microscopic observations by reducing the background noise.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method is a valuable tool to study the intracellular fate of different strains, some limits of the method should be considered. The use of a very high MOI can overload the capability of internalization by NPPCs and level out the differences between the different strains tested. The extent of internalization of the most cytotoxic strains may be underestimated because lysostaphin (or antibiotics) rapidly destroys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that is released by damaged cells. Thus, experiments with extended durations (i.e., to study intracellular survival or intracellular activity of antibiotics) are easier to set up with strains with low cytotoxicity. Therefore, the incubation time and the MOI should be accurately adjusted according to the strain virulence, the cell type, and the experimental aim.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with the use of lysostaphin is more reliable than those based on gentamicin because, unlike lysostaphin, gentamicin tends to be internalized by host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other advantage is the possibility to inactivate the lysostaphin. Inhibition of lysostaphin activity was reported by Kim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 the use of EDTA to chelate zinc ions or 1,10-phenanthroline; however, intensive washes are still required to remove the enzyme before plating of the bacteria. Here, proteinase K enables rapid inactivation of lysostaphin. We observed that cells tend to detach from the culture plate when they become heavily infected because of the multiplication of intracellular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By skipping the final washing step, the iEPA method greatly simplified technical handling and enabled the recovery of the internalized bacteria in loosely adherent or already detached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more concentrated reagents and buffers used in iEPA also helped reduce pipetting effort and minimize the loss of cells. In addition, iEPA can be used with cells in suspension, as well as with organoids that are difficult to wash. In conclusion, enzyme protection assays enable the study of the extent of internalization and the intracellular fate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as well as the intracellular activity of antimicrobials drugs with different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Improvements should be made to better characterize the relationship between internalization and cytotoxicity to better appreciate the importance of developing drugs capable of reaching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inside the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strains SF8300 WT and SF8300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fnb</w:t>
      </w:r>
      <w:r>
        <w:rPr>
          <w:rFonts w:ascii="Calibri" w:hAnsi="Calibri" w:cs="Calibri" w:eastAsia="Calibri"/>
          <w:color w:val="auto"/>
          <w:spacing w:val="0"/>
          <w:position w:val="0"/>
          <w:sz w:val="24"/>
          <w:shd w:fill="auto" w:val="clear"/>
        </w:rPr>
        <w:t xml:space="preserve">A/B were generously gifted by Prof. Binh Diep (University of California, San Francisco, USA). This work was supported by a grant of the FINOVI association (#AO13 FINOVI) under the aegis of the Foundation for the University of Lyon.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Verhoeven, P. O. et al. Detection and clinical relevance of </w:t>
      </w:r>
      <w:r>
        <w:rPr>
          <w:rFonts w:ascii="Calibri" w:hAnsi="Calibri" w:cs="Calibri" w:eastAsia="Calibri"/>
          <w:i/>
          <w:color w:val="auto"/>
          <w:spacing w:val="0"/>
          <w:position w:val="0"/>
          <w:sz w:val="24"/>
          <w:shd w:fill="auto" w:val="clear"/>
        </w:rPr>
        <w:t xml:space="preserve">Staphylococcus aureu</w:t>
      </w:r>
      <w:r>
        <w:rPr>
          <w:rFonts w:ascii="Calibri" w:hAnsi="Calibri" w:cs="Calibri" w:eastAsia="Calibri"/>
          <w:color w:val="auto"/>
          <w:spacing w:val="0"/>
          <w:position w:val="0"/>
          <w:sz w:val="24"/>
          <w:shd w:fill="auto" w:val="clear"/>
        </w:rPr>
        <w:t xml:space="preserve">s nasal carriage: an update. </w:t>
      </w:r>
      <w:r>
        <w:rPr>
          <w:rFonts w:ascii="Calibri" w:hAnsi="Calibri" w:cs="Calibri" w:eastAsia="Calibri"/>
          <w:i/>
          <w:color w:val="auto"/>
          <w:spacing w:val="0"/>
          <w:position w:val="0"/>
          <w:sz w:val="24"/>
          <w:shd w:fill="auto" w:val="clear"/>
        </w:rPr>
        <w:t xml:space="preserve">Expert Review of Anti-Infective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(2014).</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Gagnaire, J. et al. Epidemiology and clinical relevance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intestinal carriage: a systematic review and meta-analysis. </w:t>
      </w:r>
      <w:r>
        <w:rPr>
          <w:rFonts w:ascii="Calibri" w:hAnsi="Calibri" w:cs="Calibri" w:eastAsia="Calibri"/>
          <w:i/>
          <w:color w:val="auto"/>
          <w:spacing w:val="0"/>
          <w:position w:val="0"/>
          <w:sz w:val="24"/>
          <w:shd w:fill="auto" w:val="clear"/>
        </w:rPr>
        <w:t xml:space="preserve">Expert Review of Anti-Infective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767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785 (2017).</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Tong, S. Y. C., Davis, J. S., Eichenberger, E., Holland, T. L., Fowler, V. G.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infections: epidemiology, pathophysiology, clinical manifestations, and management.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 (2015).</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Josse, J., Laurent, F., Diot, A. Staphylococcal adhesion and host cell invasion: fibronectin-binding and other mechanisms.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2433 (2017).</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Hanssen, A. -M. et al. Localization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in tissue from the nasal vestibule in healthy carriers. </w:t>
      </w:r>
      <w:r>
        <w:rPr>
          <w:rFonts w:ascii="Calibri" w:hAnsi="Calibri" w:cs="Calibri" w:eastAsia="Calibri"/>
          <w:i/>
          <w:color w:val="auto"/>
          <w:spacing w:val="0"/>
          <w:position w:val="0"/>
          <w:sz w:val="24"/>
          <w:shd w:fill="auto" w:val="clear"/>
        </w:rPr>
        <w:t xml:space="preserve">BMC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89 (2017).</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Rigaill, J. et al. Evaluation of the intracellular efficacy of antimicrobial agents used for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decolonization in a cell model mimicking nasal colonization. </w:t>
      </w:r>
      <w:r>
        <w:rPr>
          <w:rFonts w:ascii="Calibri" w:hAnsi="Calibri" w:cs="Calibri" w:eastAsia="Calibri"/>
          <w:i/>
          <w:color w:val="auto"/>
          <w:spacing w:val="0"/>
          <w:position w:val="0"/>
          <w:sz w:val="24"/>
          <w:shd w:fill="auto" w:val="clear"/>
        </w:rPr>
        <w:t xml:space="preserve">Journal of Antimicrobial Chemotherapy.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(11), 3044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3048 (2018).</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Yang, D. et al. Novel insights into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deep bone infections: the Involvement of osteocytes.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e00415-18 (2018).</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Tuchscherr, L. et al.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phenotype switching: an effective bacterial strategy to escape host immune response and establish a chronic infection.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(2011).</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Valour, F. et al. Antimicrobial activity against intraosteoblastic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2029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2036 (2015).</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Proctor, R. A., Prendergast, E., Mosher, D. F. Fibronectin mediates attachment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to human neutrophils.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687 (1982).</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Climo, M. W., Ehlert, K., Archer, G. L. Mechanism and suppression of lysostaphin resistance in oxacillin-resistant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1431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1437 (2001).</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Bur, S., Preissner, K. T., Herrmann, M., Bischoff, M. The </w:t>
      </w:r>
      <w:r>
        <w:rPr>
          <w:rFonts w:ascii="Calibri" w:hAnsi="Calibri" w:cs="Calibri" w:eastAsia="Calibri"/>
          <w:i/>
          <w:color w:val="auto"/>
          <w:spacing w:val="0"/>
          <w:position w:val="0"/>
          <w:sz w:val="24"/>
          <w:shd w:fill="auto" w:val="clear"/>
        </w:rPr>
        <w:t xml:space="preserve">Staphylococcus aureus </w:t>
      </w:r>
      <w:r>
        <w:rPr>
          <w:rFonts w:ascii="Calibri" w:hAnsi="Calibri" w:cs="Calibri" w:eastAsia="Calibri"/>
          <w:color w:val="auto"/>
          <w:spacing w:val="0"/>
          <w:position w:val="0"/>
          <w:sz w:val="24"/>
          <w:shd w:fill="auto" w:val="clear"/>
        </w:rPr>
        <w:t xml:space="preserve">extracellular adherence protein promotes bacterial internalisation by keratinocytes independent of fibronectin-binding proteins.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(8), 2004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 (2013).</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Kim, J. -H., Chaurasia, A. K., Batool, N., Ko, K. S., Kim, K. K. Alternative enzyme protection assay to overcome the drawbacks of the gentamicin protection assay for measuring entry and intracellular survival of Staphylococci.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 e00119-19 (2019).</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Maturin, L., Peeler, J. T. Aerobic plate count. </w:t>
      </w:r>
      <w:r>
        <w:rPr>
          <w:rFonts w:ascii="Calibri" w:hAnsi="Calibri" w:cs="Calibri" w:eastAsia="Calibri"/>
          <w:i/>
          <w:color w:val="auto"/>
          <w:spacing w:val="0"/>
          <w:position w:val="0"/>
          <w:sz w:val="24"/>
          <w:shd w:fill="auto" w:val="clear"/>
        </w:rPr>
        <w:t xml:space="preserve">Bacteriological Analytical Manual</w:t>
      </w:r>
      <w:r>
        <w:rPr>
          <w:rFonts w:ascii="Calibri" w:hAnsi="Calibri" w:cs="Calibri" w:eastAsia="Calibri"/>
          <w:color w:val="auto"/>
          <w:spacing w:val="0"/>
          <w:position w:val="0"/>
          <w:sz w:val="24"/>
          <w:shd w:fill="auto" w:val="clear"/>
        </w:rPr>
        <w:t xml:space="preserve">, Edition 8, Revision A, Chapter 3,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https://www.fda.gov/food/laboratory-methods-food/bam-chapter-3-aerobic-plate-count</w:t>
        </w:r>
      </w:hyperlink>
      <w:r>
        <w:rPr>
          <w:rFonts w:ascii="Calibri" w:hAnsi="Calibri" w:cs="Calibri" w:eastAsia="Calibri"/>
          <w:color w:val="auto"/>
          <w:spacing w:val="0"/>
          <w:position w:val="0"/>
          <w:sz w:val="24"/>
          <w:shd w:fill="auto" w:val="clear"/>
        </w:rPr>
        <w:t xml:space="preserve"> (2021).</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Kolenda, C. et al. Evaluation of the activity of a combination of three bacteriophages alone or in association with antibiotics on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embedded in biofilm or internalized in Osteoblasts.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 e02231-19 (2020).</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Abad, L. et al. Antibiofilm and intraosteoblastic activities of rifamycins against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promising in vitro profile of rifabutin. </w:t>
      </w:r>
      <w:r>
        <w:rPr>
          <w:rFonts w:ascii="Calibri" w:hAnsi="Calibri" w:cs="Calibri" w:eastAsia="Calibri"/>
          <w:i/>
          <w:color w:val="auto"/>
          <w:spacing w:val="0"/>
          <w:position w:val="0"/>
          <w:sz w:val="24"/>
          <w:shd w:fill="auto" w:val="clear"/>
        </w:rPr>
        <w:t xml:space="preserve">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(6), 1466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1473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da.gov/food/laboratory-methods-food/bam-chapter-3-aerobic-plate-coun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