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Mitochondrial Substrate Flux in Recombinant Perfringolysin O-Permeabilized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Moustafa Elkalaf</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Karol&amp;#237;na Van</w:t>
      </w:r>
      <w:r>
        <w:rPr>
          <w:rFonts w:ascii="Calibri" w:hAnsi="Calibri" w:cs="Calibri" w:eastAsia="Calibri"/>
          <w:color w:val="000000"/>
          <w:spacing w:val="0"/>
          <w:position w:val="0"/>
          <w:sz w:val="24"/>
          <w:shd w:fill="auto" w:val="clear"/>
        </w:rPr>
        <w:t xml:space="preserve">ě&amp;#269;kov&amp;#225;</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Pavla Staňkov&amp;#225;</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Zuzana Červinkov&amp;#225;</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Jan Pol&amp;#225;k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Otto Ku&amp;#269;era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Physiology, Faculty of Medicine in Hradec Kr&amp;#225;lov&amp;#233;, Charles University, Hradec Kr&amp;#225;lov&amp;#233;,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Pathophysiology, Third Faculty of Medicine, Charles University, Prague, Czech Republic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Internal Medicine, University Hospital Kralovske Vinohrady, Prague, Czech Republic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with 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tab/>
        <w:tab/>
        <w:tab/>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Moustafa Elkalaf</w:t>
        <w:tab/>
        <w:t xml:space="preserve">(</w:t>
      </w:r>
      <w:r>
        <w:rPr>
          <w:rFonts w:ascii="Calibri" w:hAnsi="Calibri" w:cs="Calibri" w:eastAsia="Calibri"/>
          <w:color w:val="auto"/>
          <w:spacing w:val="0"/>
          <w:position w:val="0"/>
          <w:sz w:val="24"/>
          <w:shd w:fill="auto" w:val="clear"/>
        </w:rPr>
        <w:t xml:space="preserve">elkalafm@lfhk.cuni.cz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Karol&amp;#237;na Van</w:t>
      </w:r>
      <w:r>
        <w:rPr>
          <w:rFonts w:ascii="Calibri" w:hAnsi="Calibri" w:cs="Calibri" w:eastAsia="Calibri"/>
          <w:color w:val="000000"/>
          <w:spacing w:val="0"/>
          <w:position w:val="0"/>
          <w:sz w:val="24"/>
          <w:shd w:fill="auto" w:val="clear"/>
        </w:rPr>
        <w:t xml:space="preserve">ě&amp;#269;kov&amp;#225;</w:t>
        <w:tab/>
        <w:t xml:space="preserve">(</w:t>
      </w:r>
      <w:r>
        <w:rPr>
          <w:rFonts w:ascii="Calibri" w:hAnsi="Calibri" w:cs="Calibri" w:eastAsia="Calibri"/>
          <w:color w:val="auto"/>
          <w:spacing w:val="0"/>
          <w:position w:val="0"/>
          <w:sz w:val="24"/>
          <w:shd w:fill="auto" w:val="clear"/>
        </w:rPr>
        <w:t xml:space="preserve">vaneckokar@lfhk.cuni.cz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Pavla Sta</w:t>
      </w:r>
      <w:r>
        <w:rPr>
          <w:rFonts w:ascii="Calibri" w:hAnsi="Calibri" w:cs="Calibri" w:eastAsia="Calibri"/>
          <w:color w:val="000000"/>
          <w:spacing w:val="0"/>
          <w:position w:val="0"/>
          <w:sz w:val="24"/>
          <w:shd w:fill="auto" w:val="clear"/>
        </w:rPr>
        <w:t xml:space="preserve">ňkov&amp;#225;</w:t>
        <w:tab/>
        <w:t xml:space="preserve">(</w:t>
      </w:r>
      <w:r>
        <w:rPr>
          <w:rFonts w:ascii="Calibri" w:hAnsi="Calibri" w:cs="Calibri" w:eastAsia="Calibri"/>
          <w:color w:val="auto"/>
          <w:spacing w:val="0"/>
          <w:position w:val="0"/>
          <w:sz w:val="24"/>
          <w:shd w:fill="auto" w:val="clear"/>
        </w:rPr>
        <w:t xml:space="preserve">stankovap@lfhk.cuni.cz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Zuzana </w:t>
      </w:r>
      <w:r>
        <w:rPr>
          <w:rFonts w:ascii="Calibri" w:hAnsi="Calibri" w:cs="Calibri" w:eastAsia="Calibri"/>
          <w:color w:val="000000"/>
          <w:spacing w:val="0"/>
          <w:position w:val="0"/>
          <w:sz w:val="24"/>
          <w:shd w:fill="auto" w:val="clear"/>
        </w:rPr>
        <w:t xml:space="preserve">Červinkov&amp;#225; </w:t>
        <w:tab/>
        <w:t xml:space="preserve">(</w:t>
      </w:r>
      <w:r>
        <w:rPr>
          <w:rFonts w:ascii="Calibri" w:hAnsi="Calibri" w:cs="Calibri" w:eastAsia="Calibri"/>
          <w:color w:val="auto"/>
          <w:spacing w:val="0"/>
          <w:position w:val="0"/>
          <w:sz w:val="24"/>
          <w:shd w:fill="auto" w:val="clear"/>
        </w:rPr>
        <w:t xml:space="preserve">wolff@lfhk.cuni.cz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 Pol&amp;#225;k</w:t>
        <w:tab/>
        <w:tab/>
        <w:t xml:space="preserve">(</w:t>
      </w:r>
      <w:r>
        <w:rPr>
          <w:rFonts w:ascii="Calibri" w:hAnsi="Calibri" w:cs="Calibri" w:eastAsia="Calibri"/>
          <w:color w:val="auto"/>
          <w:spacing w:val="0"/>
          <w:position w:val="0"/>
          <w:sz w:val="24"/>
          <w:shd w:fill="auto" w:val="clear"/>
        </w:rPr>
        <w:t xml:space="preserve">jan.polak@lf3.cuni.cz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Otto Ku&amp;#269;era</w:t>
      </w:r>
      <w:r>
        <w:rPr>
          <w:rFonts w:ascii="Calibri" w:hAnsi="Calibri" w:cs="Calibri" w:eastAsia="Calibri"/>
          <w:color w:val="000000"/>
          <w:spacing w:val="0"/>
          <w:position w:val="0"/>
          <w:sz w:val="24"/>
          <w:shd w:fill="auto" w:val="clear"/>
          <w:vertAlign w:val="superscript"/>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kucerao@lfhk.cuni.cz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Moustafa Elkalaf</w:t>
        <w:tab/>
        <w:t xml:space="preserve">(</w:t>
      </w:r>
      <w:r>
        <w:rPr>
          <w:rFonts w:ascii="Calibri" w:hAnsi="Calibri" w:cs="Calibri" w:eastAsia="Calibri"/>
          <w:color w:val="auto"/>
          <w:spacing w:val="0"/>
          <w:position w:val="0"/>
          <w:sz w:val="24"/>
          <w:shd w:fill="auto" w:val="clear"/>
        </w:rPr>
        <w:t xml:space="preserve">elkalafm@lfhk.cuni.cz</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microplate respirometry; mitochondria; metformin; permeabilized cells; perfringolysin O; mitochondrial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describe a modified protocol to test mitochondrial respiratory substrate flux using recombinant perfringolysin O  in combination with microplate-based respirometry. With this protocol, we show how metformin affects mitochondrial respiration of two different tumor cell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Mitochondrial substrate flux is a distinguishing characteristic of each cell type, and changes in its components such as transporters, channels, or enzymes are involved in the pathogenesis of several diseases. Mitochondrial substrate flux can be studied using intact cells, permeabilized cells, or isolated mitochondria. Investigating intact cells encounters several problems due to simultaneous oxidation of different substrates. Besides, several cell types contain internal stores of different substrates that complicate results interpretation. Methods such as mitochondrial isolation or using permeabilizing agents are not easily reproducible. Isolating pure mitochondria with intact membranes in sufficient amounts from small samples is problematic. Using non-selective permeabilizers causes various degrees of unavoidable mitochondrial membrane damage. Recombinant perfringolysin O (rPFO) was offered as a more appropriate permeabilizer, thanks to its ability to selectively permeabilize plasma membrane without affecting mitochondrial integrity. When used in combination with microplate respirometry, it allows testing the flux of several mitochondrial substrates with enough replicates within one experiment while using a minimal number of cells. In this work, the protocol describes a method to compare mitochondrial substrate flux of two different cellular phenotypes or genotypes and can be customized to test various mitochondrial substrates or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Microplate-based respirometry has revolutionized mitochondrial research by enabling the study of cellular respiration of a small sample size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Cellular respiration is generally considered as an indicator of mitochondrial function or ‘dysfunction’, despite the fact that the mitochondrial range of functions extends beyond energy production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aerobic conditions, mitochondria extract the energy stored in different substrates by breaking down and converting these substrates into metabolic intermediates that can fuel the citric acid cycle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continuous flux of substrates is essential for the flow of the citric acid cycle to generate high energy ‘electron donors’, which deliver electrons to the electron transport chain that generates a proton gradient across the inner mitochondrial membrane, enabling ATP-synthase to phosphorylate ADP to ATP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Therefore, an experimental design to assay mitochondrial respiration must include the sample nature (intact cells, permeabilized cells, or isolated mitochondria) and mitochondrial substrates.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keep a store of indigenous substrates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mitochondria oxidize several types of substrates simultaneously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complicates the interpretation of results obtained from experiments performed on intact cells. A common approach to investigate mitochondrial ability to oxidize a selected substrate is to isolate mitochondria or permeabilize the investigated cells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Although isolated mitochondria are ideal for quantitative studies, the isolation process is laborious. It faces technical difficulties such as the need for large sample size, purity of the yield, and reproducibility of the technique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Permeabilized cells offer a solution for the disadvantages of mitochondrial isolation; however, routine permeabilizing agents of detergent nature are not specific and may damage mitochondrial membranes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Recombinant perfringolysin O (rPFO) was offered as a selective plasma membrane permeabilizing agent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it was used successfully in combination with an extracellular flux analyzer in several studies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 have modified a protocol using rPFO to screen mitochondrial substrate flux using XFe96 extracellular flux analyzer. In this protocol, four different substrate oxidizing pathways in two cellular phenotypes are compared while having sufficient replicates and the proper control for each tested material.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One day before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Preparation of reagents and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Mitochondrial assay solution (MAS): Prepare stock concentration of all reagents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Warm the stocks of mannitol and sucrose to 37 &amp;#176;C to completely dissolve. Mix the reagents to prepare 2x MAS, then warm the mixture to 37 &amp;#176;C. Adjust the pH with 5N KOH to 7.4 (~7 mL), then add water to bring the volume up to 1 L. Filter sterilize and store the aliquots at -20 &amp;#176;C until the measurement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Bovine serum albumin (5% BSA): Dissolve 5 g of BSA in 90 mL of prewarmed sterile water on a magnetic stirrer, avoid shaking. Adjust pH to 7.4 with 5N KOH, then add water to bring the volume up to 100 mL. Filter sterilize and store the aliquots at -20 &amp;#176;C until the measurement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Mitochondrial substrates: Prepare 1 M stock concentration of sodium succinate, sodium pyruvate, and sodium glutamate in sterile water. Prepare 100 mM stock concentration of sodium malate. Use prewarmed sterile water at 37 &amp;#176;C to prepare a stock concentration of 10 mM of palmitoyl carnitine. Adjust pH of each substrate to 7.4 by 5N KOH and filter sterilize. Store the substrates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&amp;#176;C. At the time of use, warm palmitoyl carnitine at 37 &amp;#176;C for 15 min to completely dissolve any precipitates. Aliquot and store all the substrates except pyruvate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Mitochondrial inhibitors: Use dimethyl sulfoxide (DMSO) to prepare stock concentration of 25 mM oligomycin, 50 mM carbonyl cyanide 4-(trifluoromethoxy) phenylhydrazone (FCCP), 20 mM rotenone, and 20 mM antimycin A. Store the aliquots at -20 &amp;#176;C. </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Seeding and treating the cells: As shown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seed the cells in columns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 Columns 1 and 12 must be left empty to serve as background wells. For the results mentioned in this work, HepG2 and A549 cells are used.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Seed the cells at a density of 20 000 cells per well. Use a volume of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&amp;#181;L of cell culture medium for seeding.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 Fill the blank wells with an equal volume of cell culture medium and incubate the cells at 37 &amp;#176;C in a humidified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Allow the cells to attach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h, then add 100 &amp;#181;L of cell culture medium to all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With that final medium addition, perform the treatment. Use the columns from 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11 to perform the treatment. In this work, the experimental group was treated with 1 mM metformin hydrochloride for 16 h, and the control group was treated with an equal volume of sterile distilled water as vehicle control.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Hydrating the sensors: Pipette 200 &amp;#181;L of sterile water per well in the utility plate, then carefully return the sensor cartridge while immersing the sensor in water. Incubate the cartridge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-free incubator at 37 &amp;#176;C till the next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The assay protocol template: Switch on the analyzer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the controller unit. Start the instrument control and data acquisition software and design the assay protocol as described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Group Definitions,</w:t>
      </w:r>
      <w:r>
        <w:rPr>
          <w:rFonts w:ascii="Calibri" w:hAnsi="Calibri" w:cs="Calibri" w:eastAsia="Calibri"/>
          <w:color w:val="000000"/>
          <w:spacing w:val="0"/>
          <w:position w:val="0"/>
          <w:sz w:val="24"/>
          <w:shd w:fill="FFFF00" w:val="clear"/>
        </w:rPr>
        <w:t xml:space="preserve"> create four injection strategies where Port A differs according to the injected substrate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Name the strategies after the substrates or their abbreviations.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Load the ports B, C, and D with oligomycin, FCCP, and rotenone/antimycin A, respectively. Create eight groups and name them, as shown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Plate Map</w:t>
      </w:r>
      <w:r>
        <w:rPr>
          <w:rFonts w:ascii="Calibri" w:hAnsi="Calibri" w:cs="Calibri" w:eastAsia="Calibri"/>
          <w:color w:val="000000"/>
          <w:spacing w:val="0"/>
          <w:position w:val="0"/>
          <w:sz w:val="24"/>
          <w:shd w:fill="FFFF00" w:val="clear"/>
        </w:rPr>
        <w:t xml:space="preserve"> assign the groups to the corresponding wells, then save the protocol as a ready-to-use template. Leave the analyzer switched on to allow the temperature to stabilize overnight. Keep the analyzer in a place with a stable temperature to avoid sudden temperature changes.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The day of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Replacing water with the calibrant: Discard the water from the utility plate and pipette 200 &amp;#181;L per well of prewarmed calibrant to the utility plate. Return the cartridge to the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-free incubator until the time of the assay. To avoid rapid evaporation of the calibrant, maintain a source of humidity inside the incubator and turn off or reduce the fan speed to a minimum.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Preparing the working concentration of the reagents: Start by warming 2x MAS, 5% BSA, and sterile water to 37 &amp;#176;C. Meanwhile, allow the inhibitor stocks to reach room temperature.  Use warm 2x MAS and sterile distilled water to prepare 5 mL of the working concentration of the substrates and inhibitors as described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Loading the injection ports: As shown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load 20 &amp;#181;L of the substrates into port A. Load succinate/rotenone mixture into port A of rows A and B. Load pyruvate/malate mixture into port A of rows C and D. Load glutamate/malate mixture into port A of rows E and F. Load palmitoyl carnitine/malate mixture into port A of rows G and H. For the whole plate, load port B with 22 &amp;#181;L of oligomycin preparation, port C with 25 &amp;#181;L of FCCP preparation, and port D with 27 &amp;#181;L of rotenone/antimycin A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Starting the calibration step: Under </w:t>
      </w:r>
      <w:r>
        <w:rPr>
          <w:rFonts w:ascii="Calibri" w:hAnsi="Calibri" w:cs="Calibri" w:eastAsia="Calibri"/>
          <w:b/>
          <w:color w:val="000000"/>
          <w:spacing w:val="0"/>
          <w:position w:val="0"/>
          <w:sz w:val="24"/>
          <w:shd w:fill="FFFF00" w:val="clear"/>
        </w:rPr>
        <w:t xml:space="preserve">Run Assay</w:t>
      </w:r>
      <w:r>
        <w:rPr>
          <w:rFonts w:ascii="Calibri" w:hAnsi="Calibri" w:cs="Calibri" w:eastAsia="Calibri"/>
          <w:color w:val="000000"/>
          <w:spacing w:val="0"/>
          <w:position w:val="0"/>
          <w:sz w:val="24"/>
          <w:shd w:fill="FFFF00" w:val="clear"/>
        </w:rPr>
        <w:t xml:space="preserve"> tab, click on </w:t>
      </w:r>
      <w:r>
        <w:rPr>
          <w:rFonts w:ascii="Calibri" w:hAnsi="Calibri" w:cs="Calibri" w:eastAsia="Calibri"/>
          <w:b/>
          <w:color w:val="000000"/>
          <w:spacing w:val="0"/>
          <w:position w:val="0"/>
          <w:sz w:val="24"/>
          <w:shd w:fill="FFFF00" w:val="clear"/>
        </w:rPr>
        <w:t xml:space="preserve">Start Run</w:t>
      </w:r>
      <w:r>
        <w:rPr>
          <w:rFonts w:ascii="Calibri" w:hAnsi="Calibri" w:cs="Calibri" w:eastAsia="Calibri"/>
          <w:color w:val="000000"/>
          <w:spacing w:val="0"/>
          <w:position w:val="0"/>
          <w:sz w:val="24"/>
          <w:shd w:fill="FFFF00" w:val="clear"/>
        </w:rPr>
        <w:t xml:space="preserve"> to start the assay. Insert the loaded sensor cartridge and start the calibration step. Wait for the calibration to complete before proceeding to the next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Preparation of the assay medium (MAS-BSA-rPFO): To prepare 20 mL of the assay medium, mix 10 mL of 2x MAS, 9.2 mL of sterile water, and 0.8 mL of 5% BSA in a 50 mL tube. Add 2 &amp;#181;L of rPFO and gently resuspend the mixture with gentle pipetting. Avoid shaking and do not use a vortex mixer for mixing. Incubate the tube at 37 &amp;#176;C until the time of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Washing the cells: Wash the cells and the empty blank wells two times using prewarmed calcium- and magnesium-free PBS solution. Use a multichannel pipette to wash. Avoid reusing the same tips to discard the cell culture medium and to add PBS solution. Perform this step outside the laminar flow to protect the cells from drying out by the airflow.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Cell permeabilization in assay medium: Using a multichannel pipette, discard the PBS and replace it with 180 &amp;#181;L of the prewarmed assay medium (MAS-BSA-rPFO).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 Starting the measurement: Immediately after permeabilization, replace the utility plate of the calibrated sensor cartridge with the cell plate containing permeabilized cells and start the measurement.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Start by normalizing the results to the second measurement of baseline respiration to show values as oxygen consumption rate percentage (OCR%). The results of the assay are shown in </w:t>
      </w:r>
      <w:r>
        <w:rPr>
          <w:rFonts w:ascii="Calibri" w:hAnsi="Calibri" w:cs="Calibri" w:eastAsia="Calibri"/>
          <w:b/>
          <w:color w:val="000000"/>
          <w:spacing w:val="0"/>
          <w:position w:val="0"/>
          <w:sz w:val="24"/>
          <w:shd w:fill="auto" w:val="clear"/>
        </w:rPr>
        <w:t xml:space="preserve">Figures 5, Figure 6, Figure 7,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8</w:t>
      </w:r>
      <w:r>
        <w:rPr>
          <w:rFonts w:ascii="Calibri" w:hAnsi="Calibri" w:cs="Calibri" w:eastAsia="Calibri"/>
          <w:color w:val="000000"/>
          <w:spacing w:val="0"/>
          <w:position w:val="0"/>
          <w:sz w:val="24"/>
          <w:shd w:fill="auto" w:val="clear"/>
        </w:rPr>
        <w:t xml:space="preserve">. It is important to assign the proper background wells for each group and inactivate the background wells of other groups.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that the treatment group has a higher rate of succinate-induced respiration. The response of A549 cells to metformin treatment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was higher than HepG2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background control wells were only those from the same rows of the compared group, in this case, wells A1, B1, A12, and B12.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changes in pyruvate/malate-induced respiration.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changes in glutamate/malate-induced respiration, and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the changes in palmitoyl carnitine/malate-induced respiration.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schematic representation of citric acid cycle.</w:t>
      </w:r>
      <w:r>
        <w:rPr>
          <w:rFonts w:ascii="Calibri" w:hAnsi="Calibri" w:cs="Calibri" w:eastAsia="Calibri"/>
          <w:color w:val="000000"/>
          <w:spacing w:val="0"/>
          <w:position w:val="0"/>
          <w:sz w:val="24"/>
          <w:shd w:fill="auto" w:val="clear"/>
        </w:rPr>
        <w:t xml:space="preserve"> The used substrates to test mitochondrial substrate flux are in red. Malate is not used alone but used in combination with pyruvate, palmitoyl carnitine, and glutamate. The role of malate in pyruvate/malate- and palmitoyl carnitine/malate-induced respiration is to provide oxaloacetate through the action of the malate dehydrogenase enzyme. In glutamate/malate-induced respiration, malate takes part in the malate-aspartate shuttle.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the cell seeding plan in the cell culture microplate</w:t>
      </w:r>
      <w:r>
        <w:rPr>
          <w:rFonts w:ascii="Calibri" w:hAnsi="Calibri" w:cs="Calibri" w:eastAsia="Calibri"/>
          <w:color w:val="000000"/>
          <w:spacing w:val="0"/>
          <w:position w:val="0"/>
          <w:sz w:val="24"/>
          <w:shd w:fill="auto" w:val="clear"/>
        </w:rPr>
        <w:t xml:space="preserve">. Blank wells in columns 1 and 12 must be left empty without cells. Columns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are used to treat the experimental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Illustration of the injection strategy</w:t>
      </w:r>
      <w:r>
        <w:rPr>
          <w:rFonts w:ascii="Calibri" w:hAnsi="Calibri" w:cs="Calibri" w:eastAsia="Calibri"/>
          <w:color w:val="000000"/>
          <w:spacing w:val="0"/>
          <w:position w:val="0"/>
          <w:sz w:val="24"/>
          <w:shd w:fill="auto" w:val="clear"/>
        </w:rPr>
        <w:t xml:space="preserve">. Port A of rows A and B are loaded with succinate/rotenone mixture. Port A of rows C and D are loaded with pyruvate/malate mixture. Port A of rows E and F are loaded with glutamate/malate mixture. Port A of rows G and H are loaded with palmitoyl carnitine/malate mixture. For the whole plate, ports B, C, and D are loaded with oligomycin, FCCP, and rotenone/antimycin A,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Group names and plate map</w:t>
      </w:r>
      <w:r>
        <w:rPr>
          <w:rFonts w:ascii="Calibri" w:hAnsi="Calibri" w:cs="Calibri" w:eastAsia="Calibri"/>
          <w:color w:val="000000"/>
          <w:spacing w:val="0"/>
          <w:position w:val="0"/>
          <w:sz w:val="24"/>
          <w:shd w:fill="auto" w:val="clear"/>
        </w:rPr>
        <w:t xml:space="preserve">. Each group is named according to the phenotype (control or treated) and the substrate used to induce respiration. (S), succinate-induced respiration. (P/M), pyruvate/malate-induced respiration. (G/M), glutamate/malate-induced respiration. (CP/M), palmitoyl carnitine/malate-induced respiration.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Succinate-induced respiration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A549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HepG2.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tested group was treated with 1 mM metformin hydrochloride for 16 h. Only the background wells A1, B1, A12, and B12 are used for correction. The results are shown as average OCR% &amp;plusmn; SD. The graph and plate grid were created and exported as image files by the assay design, data analysis, and file management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Pyruvate/malate-induced respiration.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A549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HepG2. The tested group was treated with 1 mM metformin hydrochloride for 16 h. Only the background wells C1, D1, C12, and D12 are used for correction. The results are shown as average OCR% &amp;plusmn; SD. The graph and plate grid were created and exported as image files by the assay design, data analysis, and file management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Glutamate/malate-induced respiration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A549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HepG2. The tested group was treated with 1 mM metformin hydrochloride for 16 h. Only the background wells E1, F1, E12, and F12 are used for correction. The results are shown as average OCR% &amp;plusmn; SD. The graph and plate grid were created and exported as image files by the assay design, data analysis, and file management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Palmitoyl carnitine/malate-induced respiration.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A549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HepG2. The tested group was treated with 1 mM metformin hydrochloride for 16 h. Only the background wells G1, H1, G12, and H12 are used for correction. The results are shown as average OCR% &amp;plusmn; SD. The graph and plate grid were created and exported as image files by the assay design, data analysis, and file management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Mitochondrial assay solution</w:t>
      </w:r>
      <w:r>
        <w:rPr>
          <w:rFonts w:ascii="Calibri" w:hAnsi="Calibri" w:cs="Calibri" w:eastAsia="Calibri"/>
          <w:color w:val="000000"/>
          <w:spacing w:val="0"/>
          <w:position w:val="0"/>
          <w:sz w:val="24"/>
          <w:shd w:fill="auto" w:val="clear"/>
        </w:rPr>
        <w:t xml:space="preserve">. Mix the indicated volume of each ingredient stock solution to prepare (2x MAS). Warm the solution at 37 &amp;#176;C, then adjust pH with 5N KOH to 7.4. Add distilled water to bring the volume up to 1 L. Filter sterilize and then store aliquots at -20 &amp;#176;C.  Prepare the assay medium and working concentrations of mitochondrial substrates and inhibitors using 2x MAS.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Commands of the assay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List of mitochondrial substrates and inhibitors to be loaded into injection ports of the sensor cartridges as previously discussed in Figure 3</w:t>
      </w:r>
      <w:r>
        <w:rPr>
          <w:rFonts w:ascii="Calibri" w:hAnsi="Calibri" w:cs="Calibri" w:eastAsia="Calibri"/>
          <w:color w:val="000000"/>
          <w:spacing w:val="0"/>
          <w:position w:val="0"/>
          <w:sz w:val="24"/>
          <w:shd w:fill="auto" w:val="clear"/>
        </w:rPr>
        <w:t xml:space="preserve">. Mix the indicated volumes from stock solutions, 2x MAS, and distilled water to prepare the 5 mL of the working concentration of each substrate or inhibitor mixture. The final concentration is the concentration achieved in the wells after the injection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a modification of previously published studies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 </w:t>
      </w:r>
      <w:r>
        <w:rPr>
          <w:rFonts w:ascii="Calibri" w:hAnsi="Calibri" w:cs="Calibri" w:eastAsia="Calibri"/>
          <w:color w:val="000000"/>
          <w:spacing w:val="0"/>
          <w:position w:val="0"/>
          <w:sz w:val="24"/>
          <w:shd w:fill="auto" w:val="clear"/>
        </w:rPr>
        <w:t xml:space="preserve">and the product user guide.  In contrast to the manufacturer’s protocol, 2x MAS is used instead of 3x MAS, since 2&amp;#215; MAS is easier to dissolve and does not form precipitations after freezing. Frozen 2x MAS aliquots can be stored up to 6 months and show consistent results. Another difference is including ADP in the components of 2x MAS and omitting BSA from the formula. Solutions containing BSA are more difficult to inject and cause a larger possibility of errors and outliers. However, the presence of BSA is essential to reduce the amount needed of rPFO to achieve proper permeabilization. Therefore, BSA is added only to the assay medium (MAS-BSA-rPFO) that is used in the permeabilization step after cell washing.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wash the cells from cell culture medium, this protocol uses PBS instead of MAS. PBS is isotonic and does not cause any change in cellular shape, in contrast to the sodium-free MAS that is rich in potassium and can alter cellular morphology. Another major difference is keeping the equilibration step in the assay protocol. The equilibration step lasts for 12 min, which is equal to 2 measurement cycles. The aim of keeping the equilibration step is to stabilize the temperature inside the instrument and, at the same time, allow the cells to oxidize any possible internal oxidizable stores, which is enhanced by the presence of ADP in the assay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considerations concerning cell culture techniques should be given. In this work, the examined cells were seeded on the day before the assay. However, some cells require longer culture or treatment time. If the study design includes differentiated cells, freshly isolated, or non-adherent cells, a proper coating is required to fix cells into the cell culture microplate. This protocol is not suitable for cells in suspension, and the use of cell and tissue adhesive is recommended. Another limitation to this protocol is that this method is not suitable to conclude quantitative data. In other words, it is not possible by this method to estimate the actual amount of mitochondrial protein in each well before the measurement. Therefore, this method generates a quick screening of mitochondrial substrate flux without providing an accurate estimate of the phosphate/oxygen ratio (P/O ratio)</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it is possible to use this protocol for quantitative studies on small samples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this purpose, it is necessary to obtain freshly isolated mitochondria and use cell and tissue adhesive to fix mitochondria to the cell culture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obtaining the best reproducible results from using this protocol, pay attention to the concentration of the used reagents. The temperature of the used solutions, incubators, and instrument should be stable. Ensure that all the solutions and substrates have an adjusted pH. As previously mentioned, it is not recommended to include BSA in the solutions planned to be injected. If the results show a wide error range, display the results in the well format instead of group format to look for and delete possible outliers.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tried to achieve maximum use of a single measurement to simultaneously screen multiple mitochondrial substrate fluxes with proper background control and enough replicates in a relatively short time. As shown in the results, the method is useful in comparing two phenotypes created by treating one group with one concentration of a drug. It can be employed to compare different cell lines or genetically engineered cells. The protocol is versatile and different substrates, or inhibitors can be used to screen adaptation of mitochondrial substrate flux in any cellular model.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 to declare.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 staff members of the Department of Physiology in the Faculty of Medicine in Hradec Kr&amp;#225;lov&amp;#233; and the Department of Pathophysiology in the Third Faculty of Medicine for the help with chemicals and samples preparation. This work was supported by Charles University grant programs PROGRES Q40/O2, Czech Ministry of Health grant NU21-01-00259, Czech science foundation grant 18-10144 and INOMED project CZ.02.1.01/0.0/0.0/18_069/0010046 funded by the Ministry of Education, Youth and Sports of the Czech Republic and by the European Union.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Gerencser, A. A. et al. Quantitative microplate-based respirometry with correction for oxygen diffusion.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 </w:t>
      </w:r>
      <w:r>
        <w:rPr>
          <w:rFonts w:ascii="Calibri" w:hAnsi="Calibri" w:cs="Calibri" w:eastAsia="Calibri"/>
          <w:color w:val="000000"/>
          <w:spacing w:val="0"/>
          <w:position w:val="0"/>
          <w:sz w:val="24"/>
          <w:shd w:fill="auto" w:val="clear"/>
        </w:rPr>
        <w:t xml:space="preserve">(16), 6868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6878. (2009).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Murphy. E. et al. Mitochondrial function, biology, and role in disease: A scientific statement from the American Heart Association.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 </w:t>
      </w:r>
      <w:r>
        <w:rPr>
          <w:rFonts w:ascii="Calibri" w:hAnsi="Calibri" w:cs="Calibri" w:eastAsia="Calibri"/>
          <w:color w:val="000000"/>
          <w:spacing w:val="0"/>
          <w:position w:val="0"/>
          <w:sz w:val="24"/>
          <w:shd w:fill="auto" w:val="clear"/>
        </w:rPr>
        <w:t xml:space="preserve">(12), 1960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Owen, O. E., Kalhan, S. C., Hanson, R. W. The key role of anaplerosis and cataplerosis for citric acid cycle function.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 </w:t>
      </w:r>
      <w:r>
        <w:rPr>
          <w:rFonts w:ascii="Calibri" w:hAnsi="Calibri" w:cs="Calibri" w:eastAsia="Calibri"/>
          <w:color w:val="000000"/>
          <w:spacing w:val="0"/>
          <w:position w:val="0"/>
          <w:sz w:val="24"/>
          <w:shd w:fill="auto" w:val="clear"/>
        </w:rPr>
        <w:t xml:space="preserve">(34), 30409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30412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Nicholls, D. G., Ferguson, S. J. </w:t>
      </w:r>
      <w:r>
        <w:rPr>
          <w:rFonts w:ascii="Calibri" w:hAnsi="Calibri" w:cs="Calibri" w:eastAsia="Calibri"/>
          <w:i/>
          <w:color w:val="000000"/>
          <w:spacing w:val="0"/>
          <w:position w:val="0"/>
          <w:sz w:val="24"/>
          <w:shd w:fill="auto" w:val="clear"/>
        </w:rPr>
        <w:t xml:space="preserve">Bioenergetics 3</w:t>
      </w:r>
      <w:r>
        <w:rPr>
          <w:rFonts w:ascii="Calibri" w:hAnsi="Calibri" w:cs="Calibri" w:eastAsia="Calibri"/>
          <w:color w:val="000000"/>
          <w:spacing w:val="0"/>
          <w:position w:val="0"/>
          <w:sz w:val="24"/>
          <w:shd w:fill="auto" w:val="clear"/>
        </w:rPr>
        <w:t xml:space="preserve">. Academic press, London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Brand, M. D., Nicholls, D. G. Assessing mitochondrial dysfunction in cells.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 </w:t>
      </w:r>
      <w:r>
        <w:rPr>
          <w:rFonts w:ascii="Calibri" w:hAnsi="Calibri" w:cs="Calibri" w:eastAsia="Calibri"/>
          <w:color w:val="000000"/>
          <w:spacing w:val="0"/>
          <w:position w:val="0"/>
          <w:sz w:val="24"/>
          <w:shd w:fill="auto" w:val="clear"/>
        </w:rPr>
        <w:t xml:space="preserve">(2),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Sta</w:t>
      </w:r>
      <w:r>
        <w:rPr>
          <w:rFonts w:ascii="Calibri" w:hAnsi="Calibri" w:cs="Calibri" w:eastAsia="Calibri"/>
          <w:color w:val="000000"/>
          <w:spacing w:val="0"/>
          <w:position w:val="0"/>
          <w:sz w:val="24"/>
          <w:shd w:fill="auto" w:val="clear"/>
        </w:rPr>
        <w:t xml:space="preserve">ňkov&amp;#225;, P. et al. Adaptation of mitochondrial substrate flux in a mouse model of nonalcoholic fatty liver disease.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(3), 1101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Salabei, J. K., Gibb, A. A., Hill, B. G. Comprehensive measurement of respiratory activity in permeabilized cells using extracellular flux analysis.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(2), 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Divakaruni, A. S. et al. Thiazolidinediones are acute, specific inhibitors of the mitochondrial pyruvate carrier.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(14), 5422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5427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Divakaruni, A. S., Rogers, G. W., Murphy, A. N. Measuring mitochondrial function in permeabilized cells using the seahorse XF analyzer or a Clark-type oxygen electrode. </w:t>
      </w:r>
      <w:r>
        <w:rPr>
          <w:rFonts w:ascii="Calibri" w:hAnsi="Calibri" w:cs="Calibri" w:eastAsia="Calibri"/>
          <w:i/>
          <w:color w:val="000000"/>
          <w:spacing w:val="0"/>
          <w:position w:val="0"/>
          <w:sz w:val="24"/>
          <w:shd w:fill="auto" w:val="clear"/>
        </w:rPr>
        <w:t xml:space="preserve">Current Protocols in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Elkalaf, M., T</w:t>
      </w:r>
      <w:r>
        <w:rPr>
          <w:rFonts w:ascii="Calibri" w:hAnsi="Calibri" w:cs="Calibri" w:eastAsia="Calibri"/>
          <w:color w:val="000000"/>
          <w:spacing w:val="0"/>
          <w:position w:val="0"/>
          <w:sz w:val="24"/>
          <w:shd w:fill="auto" w:val="clear"/>
        </w:rPr>
        <w:t xml:space="preserve">ůma, P., Weiszenstein, M., Pol&amp;#225;k, J., Trnka, J. Mitochondrial probe Methyltriphenylphosphonium (TPMP) inhibits the Krebs cycle enzyme 2-Oxoglutarate dehydrogenase.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(8), e0161413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Rogers G. W. et al. High throughput microplate respiratory measurements using minimal quantities of isolated mitochondria.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(7), e21746 (2011).</w:t>
      </w:r>
    </w:p>
    <w:p>
      <w:pPr>
        <w:spacing w:before="0" w:after="0" w:line="240"/>
        <w:ind w:right="0" w:left="36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