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E3FC61B" w:rsidR="006E4797" w:rsidRPr="00706CBA" w:rsidRDefault="00551D82">
      <w:pPr>
        <w:pBdr>
          <w:top w:val="nil"/>
          <w:left w:val="nil"/>
          <w:bottom w:val="nil"/>
          <w:right w:val="nil"/>
          <w:between w:val="nil"/>
        </w:pBdr>
        <w:rPr>
          <w:color w:val="000000" w:themeColor="text1"/>
        </w:rPr>
      </w:pPr>
      <w:r w:rsidRPr="00706CBA">
        <w:rPr>
          <w:b/>
          <w:color w:val="000000" w:themeColor="text1"/>
        </w:rPr>
        <w:t>TITLE:</w:t>
      </w:r>
      <w:r w:rsidRPr="00706CBA">
        <w:rPr>
          <w:color w:val="000000" w:themeColor="text1"/>
        </w:rPr>
        <w:t xml:space="preserve"> </w:t>
      </w:r>
    </w:p>
    <w:p w14:paraId="59AAC127" w14:textId="268F946F" w:rsidR="006E4797" w:rsidRPr="00706CBA" w:rsidRDefault="008E66AC">
      <w:pPr>
        <w:rPr>
          <w:color w:val="000000" w:themeColor="text1"/>
        </w:rPr>
      </w:pPr>
      <w:r w:rsidRPr="00706CBA">
        <w:rPr>
          <w:color w:val="000000" w:themeColor="text1"/>
        </w:rPr>
        <w:t xml:space="preserve">Measuring Mitochondrial Substrate Flux in Recombinant </w:t>
      </w:r>
      <w:proofErr w:type="spellStart"/>
      <w:r w:rsidRPr="00706CBA">
        <w:rPr>
          <w:color w:val="000000" w:themeColor="text1"/>
        </w:rPr>
        <w:t>Perfrin</w:t>
      </w:r>
      <w:r w:rsidR="008E23F2" w:rsidRPr="00706CBA">
        <w:rPr>
          <w:color w:val="000000" w:themeColor="text1"/>
        </w:rPr>
        <w:t>g</w:t>
      </w:r>
      <w:r w:rsidRPr="00706CBA">
        <w:rPr>
          <w:color w:val="000000" w:themeColor="text1"/>
        </w:rPr>
        <w:t>olysin</w:t>
      </w:r>
      <w:proofErr w:type="spellEnd"/>
      <w:r w:rsidRPr="00706CBA">
        <w:rPr>
          <w:color w:val="000000" w:themeColor="text1"/>
        </w:rPr>
        <w:t xml:space="preserve"> O-</w:t>
      </w:r>
      <w:r w:rsidR="00231914" w:rsidRPr="00706CBA">
        <w:rPr>
          <w:color w:val="000000" w:themeColor="text1"/>
        </w:rPr>
        <w:t>P</w:t>
      </w:r>
      <w:r w:rsidRPr="00706CBA">
        <w:rPr>
          <w:color w:val="000000" w:themeColor="text1"/>
        </w:rPr>
        <w:t xml:space="preserve">ermeabilized </w:t>
      </w:r>
      <w:r w:rsidR="00231914" w:rsidRPr="00706CBA">
        <w:rPr>
          <w:color w:val="000000" w:themeColor="text1"/>
        </w:rPr>
        <w:t>C</w:t>
      </w:r>
      <w:r w:rsidRPr="00706CBA">
        <w:rPr>
          <w:color w:val="000000" w:themeColor="text1"/>
        </w:rPr>
        <w:t xml:space="preserve">ells. </w:t>
      </w:r>
    </w:p>
    <w:p w14:paraId="06C0C87E" w14:textId="77777777" w:rsidR="006E4797" w:rsidRPr="00706CBA" w:rsidRDefault="006E4797">
      <w:pPr>
        <w:rPr>
          <w:b/>
          <w:color w:val="000000" w:themeColor="text1"/>
        </w:rPr>
      </w:pPr>
    </w:p>
    <w:p w14:paraId="2CD8481E" w14:textId="07696461" w:rsidR="006E4797" w:rsidRPr="00706CBA" w:rsidRDefault="00551D82">
      <w:pPr>
        <w:rPr>
          <w:color w:val="000000" w:themeColor="text1"/>
        </w:rPr>
      </w:pPr>
      <w:r w:rsidRPr="00706CBA">
        <w:rPr>
          <w:b/>
          <w:color w:val="000000" w:themeColor="text1"/>
        </w:rPr>
        <w:t xml:space="preserve">AUTHORS AND AFFILIATIONS: </w:t>
      </w:r>
    </w:p>
    <w:p w14:paraId="01F0AEE7" w14:textId="0B90B090" w:rsidR="00FA60B2" w:rsidRPr="00706CBA" w:rsidRDefault="001F766A">
      <w:pPr>
        <w:rPr>
          <w:color w:val="000000" w:themeColor="text1"/>
        </w:rPr>
      </w:pPr>
      <w:proofErr w:type="spellStart"/>
      <w:r w:rsidRPr="00706CBA">
        <w:rPr>
          <w:color w:val="000000" w:themeColor="text1"/>
        </w:rPr>
        <w:t>Moustafa</w:t>
      </w:r>
      <w:proofErr w:type="spellEnd"/>
      <w:r w:rsidRPr="00706CBA">
        <w:rPr>
          <w:color w:val="000000" w:themeColor="text1"/>
        </w:rPr>
        <w:t xml:space="preserve"> Elkala</w:t>
      </w:r>
      <w:r w:rsidR="00FA60B2" w:rsidRPr="00706CBA">
        <w:rPr>
          <w:color w:val="000000" w:themeColor="text1"/>
        </w:rPr>
        <w:t>f</w:t>
      </w:r>
      <w:r w:rsidR="00706CBA" w:rsidRPr="00706CBA">
        <w:rPr>
          <w:color w:val="000000" w:themeColor="text1"/>
          <w:vertAlign w:val="superscript"/>
        </w:rPr>
        <w:t>1,2</w:t>
      </w:r>
      <w:r w:rsidR="00FA60B2" w:rsidRPr="00706CBA">
        <w:rPr>
          <w:color w:val="000000" w:themeColor="text1"/>
        </w:rPr>
        <w:t xml:space="preserve">, </w:t>
      </w:r>
      <w:proofErr w:type="spellStart"/>
      <w:r w:rsidR="0002411B" w:rsidRPr="00706CBA">
        <w:rPr>
          <w:color w:val="000000" w:themeColor="text1"/>
        </w:rPr>
        <w:t>Karolína</w:t>
      </w:r>
      <w:proofErr w:type="spellEnd"/>
      <w:r w:rsidR="0002411B" w:rsidRPr="00706CBA">
        <w:rPr>
          <w:color w:val="000000" w:themeColor="text1"/>
        </w:rPr>
        <w:t xml:space="preserve"> Vaněčková</w:t>
      </w:r>
      <w:r w:rsidR="00706CBA" w:rsidRPr="00706CBA">
        <w:rPr>
          <w:color w:val="000000" w:themeColor="text1"/>
          <w:vertAlign w:val="superscript"/>
        </w:rPr>
        <w:t>1,2</w:t>
      </w:r>
      <w:r w:rsidR="00FA60B2" w:rsidRPr="00706CBA">
        <w:rPr>
          <w:color w:val="000000" w:themeColor="text1"/>
        </w:rPr>
        <w:t xml:space="preserve">, </w:t>
      </w:r>
      <w:proofErr w:type="spellStart"/>
      <w:r w:rsidRPr="00706CBA">
        <w:rPr>
          <w:color w:val="000000" w:themeColor="text1"/>
        </w:rPr>
        <w:t>Pavla</w:t>
      </w:r>
      <w:proofErr w:type="spellEnd"/>
      <w:r w:rsidRPr="00706CBA">
        <w:rPr>
          <w:color w:val="000000" w:themeColor="text1"/>
        </w:rPr>
        <w:t xml:space="preserve"> Staňková</w:t>
      </w:r>
      <w:r w:rsidR="00706CBA" w:rsidRPr="00706CBA">
        <w:rPr>
          <w:color w:val="000000" w:themeColor="text1"/>
          <w:vertAlign w:val="superscript"/>
        </w:rPr>
        <w:t>1</w:t>
      </w:r>
      <w:r w:rsidR="00FA60B2" w:rsidRPr="00706CBA">
        <w:rPr>
          <w:color w:val="000000" w:themeColor="text1"/>
        </w:rPr>
        <w:t xml:space="preserve">, </w:t>
      </w:r>
      <w:r w:rsidRPr="00706CBA">
        <w:rPr>
          <w:color w:val="000000" w:themeColor="text1"/>
        </w:rPr>
        <w:t>Zuzana Červinková</w:t>
      </w:r>
      <w:r w:rsidR="00706CBA" w:rsidRPr="00706CBA">
        <w:rPr>
          <w:color w:val="000000" w:themeColor="text1"/>
          <w:vertAlign w:val="superscript"/>
        </w:rPr>
        <w:t>1</w:t>
      </w:r>
      <w:r w:rsidR="00FA60B2" w:rsidRPr="00706CBA">
        <w:rPr>
          <w:color w:val="000000" w:themeColor="text1"/>
        </w:rPr>
        <w:t xml:space="preserve">, </w:t>
      </w:r>
      <w:r w:rsidR="0046278A" w:rsidRPr="00706CBA">
        <w:rPr>
          <w:color w:val="000000" w:themeColor="text1"/>
        </w:rPr>
        <w:t>Jan Pol</w:t>
      </w:r>
      <w:r w:rsidR="0046278A" w:rsidRPr="00706CBA">
        <w:rPr>
          <w:color w:val="000000" w:themeColor="text1"/>
          <w:lang w:val="cs-CZ"/>
        </w:rPr>
        <w:t>á</w:t>
      </w:r>
      <w:r w:rsidR="0046278A" w:rsidRPr="00706CBA">
        <w:rPr>
          <w:color w:val="000000" w:themeColor="text1"/>
        </w:rPr>
        <w:t>k</w:t>
      </w:r>
      <w:r w:rsidR="00706CBA" w:rsidRPr="00706CBA">
        <w:rPr>
          <w:color w:val="000000" w:themeColor="text1"/>
          <w:vertAlign w:val="superscript"/>
        </w:rPr>
        <w:t>2,3</w:t>
      </w:r>
      <w:r w:rsidR="0046278A" w:rsidRPr="00706CBA">
        <w:rPr>
          <w:color w:val="000000" w:themeColor="text1"/>
          <w:vertAlign w:val="superscript"/>
        </w:rPr>
        <w:t>*</w:t>
      </w:r>
      <w:r w:rsidR="00FA60B2" w:rsidRPr="00706CBA">
        <w:rPr>
          <w:color w:val="000000" w:themeColor="text1"/>
        </w:rPr>
        <w:t xml:space="preserve">, </w:t>
      </w:r>
      <w:r w:rsidRPr="00706CBA">
        <w:rPr>
          <w:color w:val="000000" w:themeColor="text1"/>
        </w:rPr>
        <w:t>Otto Kučera</w:t>
      </w:r>
      <w:r w:rsidR="00B471B4" w:rsidRPr="00B471B4">
        <w:rPr>
          <w:color w:val="000000" w:themeColor="text1"/>
          <w:vertAlign w:val="superscript"/>
        </w:rPr>
        <w:t>1</w:t>
      </w:r>
      <w:r w:rsidR="0046278A" w:rsidRPr="00706CBA">
        <w:rPr>
          <w:color w:val="000000" w:themeColor="text1"/>
          <w:vertAlign w:val="superscript"/>
        </w:rPr>
        <w:t>*</w:t>
      </w:r>
    </w:p>
    <w:p w14:paraId="41D7542F" w14:textId="77777777" w:rsidR="00231914" w:rsidRPr="00706CBA" w:rsidRDefault="00231914">
      <w:pPr>
        <w:rPr>
          <w:color w:val="000000" w:themeColor="text1"/>
        </w:rPr>
      </w:pPr>
    </w:p>
    <w:p w14:paraId="76E92A5C" w14:textId="3952D762" w:rsidR="00FA60B2" w:rsidRPr="00706CBA" w:rsidRDefault="00706CBA">
      <w:pPr>
        <w:rPr>
          <w:color w:val="000000" w:themeColor="text1"/>
        </w:rPr>
      </w:pPr>
      <w:r w:rsidRPr="00706CBA">
        <w:rPr>
          <w:color w:val="000000" w:themeColor="text1"/>
          <w:vertAlign w:val="superscript"/>
        </w:rPr>
        <w:t>1</w:t>
      </w:r>
      <w:r w:rsidR="00FA60B2" w:rsidRPr="00706CBA">
        <w:rPr>
          <w:color w:val="000000" w:themeColor="text1"/>
        </w:rPr>
        <w:t xml:space="preserve">Department of Physiology, Faculty of Medicine in Hradec </w:t>
      </w:r>
      <w:proofErr w:type="spellStart"/>
      <w:r w:rsidR="00FA60B2" w:rsidRPr="00706CBA">
        <w:rPr>
          <w:color w:val="000000" w:themeColor="text1"/>
        </w:rPr>
        <w:t>Králové</w:t>
      </w:r>
      <w:proofErr w:type="spellEnd"/>
      <w:r w:rsidR="00FA60B2" w:rsidRPr="00706CBA">
        <w:rPr>
          <w:color w:val="000000" w:themeColor="text1"/>
        </w:rPr>
        <w:t>, Charles University</w:t>
      </w:r>
      <w:r>
        <w:rPr>
          <w:color w:val="000000" w:themeColor="text1"/>
        </w:rPr>
        <w:t xml:space="preserve">, </w:t>
      </w:r>
      <w:r w:rsidR="00FA60B2" w:rsidRPr="00706CBA">
        <w:rPr>
          <w:color w:val="000000" w:themeColor="text1"/>
        </w:rPr>
        <w:t xml:space="preserve">Hradec </w:t>
      </w:r>
      <w:proofErr w:type="spellStart"/>
      <w:r w:rsidR="00FA60B2" w:rsidRPr="00706CBA">
        <w:rPr>
          <w:color w:val="000000" w:themeColor="text1"/>
        </w:rPr>
        <w:t>Králové</w:t>
      </w:r>
      <w:proofErr w:type="spellEnd"/>
      <w:r w:rsidR="00FA60B2" w:rsidRPr="00706CBA">
        <w:rPr>
          <w:color w:val="000000" w:themeColor="text1"/>
        </w:rPr>
        <w:t>, Czech Republic</w:t>
      </w:r>
    </w:p>
    <w:p w14:paraId="04AEBFE1" w14:textId="0DB0569D" w:rsidR="00706CBA" w:rsidRDefault="00706CBA">
      <w:pPr>
        <w:rPr>
          <w:color w:val="000000" w:themeColor="text1"/>
        </w:rPr>
      </w:pPr>
      <w:r w:rsidRPr="00706CBA">
        <w:rPr>
          <w:color w:val="000000" w:themeColor="text1"/>
          <w:vertAlign w:val="superscript"/>
        </w:rPr>
        <w:t>2</w:t>
      </w:r>
      <w:r w:rsidR="00FA60B2" w:rsidRPr="00706CBA">
        <w:rPr>
          <w:color w:val="000000" w:themeColor="text1"/>
        </w:rPr>
        <w:t>Department of Pathophysiology, Third Faculty of Medicine, Charles University</w:t>
      </w:r>
      <w:r>
        <w:rPr>
          <w:color w:val="000000" w:themeColor="text1"/>
        </w:rPr>
        <w:t xml:space="preserve">, </w:t>
      </w:r>
      <w:r w:rsidR="00FA60B2" w:rsidRPr="00706CBA">
        <w:rPr>
          <w:color w:val="000000" w:themeColor="text1"/>
        </w:rPr>
        <w:t>Prague, Czech Republic</w:t>
      </w:r>
    </w:p>
    <w:p w14:paraId="2990E825" w14:textId="140E0C09" w:rsidR="00706CBA" w:rsidRPr="00B053F2" w:rsidRDefault="00706CBA" w:rsidP="00706CBA">
      <w:pPr>
        <w:rPr>
          <w:color w:val="000000" w:themeColor="text1"/>
          <w:lang w:val="cs-CZ"/>
        </w:rPr>
      </w:pPr>
      <w:r w:rsidRPr="00706CBA">
        <w:rPr>
          <w:color w:val="000000" w:themeColor="text1"/>
          <w:vertAlign w:val="superscript"/>
        </w:rPr>
        <w:t>3</w:t>
      </w:r>
      <w:r w:rsidRPr="00B053F2">
        <w:rPr>
          <w:color w:val="000000" w:themeColor="text1"/>
        </w:rPr>
        <w:t>Department of Internal Medicine</w:t>
      </w:r>
      <w:r>
        <w:rPr>
          <w:color w:val="000000" w:themeColor="text1"/>
        </w:rPr>
        <w:t xml:space="preserve">, </w:t>
      </w:r>
      <w:r w:rsidRPr="00B053F2">
        <w:rPr>
          <w:color w:val="000000" w:themeColor="text1"/>
        </w:rPr>
        <w:t xml:space="preserve">University Hospital </w:t>
      </w:r>
      <w:proofErr w:type="spellStart"/>
      <w:r w:rsidRPr="00B053F2">
        <w:rPr>
          <w:color w:val="000000" w:themeColor="text1"/>
        </w:rPr>
        <w:t>Kralovske</w:t>
      </w:r>
      <w:proofErr w:type="spellEnd"/>
      <w:r w:rsidRPr="00B053F2">
        <w:rPr>
          <w:color w:val="000000" w:themeColor="text1"/>
        </w:rPr>
        <w:t xml:space="preserve"> </w:t>
      </w:r>
      <w:r w:rsidRPr="00B053F2">
        <w:rPr>
          <w:color w:val="000000" w:themeColor="text1"/>
          <w:lang w:val="cs-CZ"/>
        </w:rPr>
        <w:t>Vinohrady</w:t>
      </w:r>
      <w:r>
        <w:rPr>
          <w:color w:val="000000" w:themeColor="text1"/>
          <w:lang w:val="cs-CZ"/>
        </w:rPr>
        <w:t xml:space="preserve">, </w:t>
      </w:r>
      <w:r w:rsidRPr="00B053F2">
        <w:rPr>
          <w:color w:val="000000" w:themeColor="text1"/>
          <w:lang w:val="cs-CZ"/>
        </w:rPr>
        <w:t>Prague, Czech Republic</w:t>
      </w:r>
    </w:p>
    <w:p w14:paraId="70888C8F" w14:textId="1DCCBB54" w:rsidR="00706CBA" w:rsidRDefault="00706CBA">
      <w:pPr>
        <w:rPr>
          <w:color w:val="000000" w:themeColor="text1"/>
          <w:lang w:val="cs-CZ"/>
        </w:rPr>
      </w:pPr>
    </w:p>
    <w:p w14:paraId="523B5550" w14:textId="0A0892A7" w:rsidR="00706CBA" w:rsidRDefault="00706CBA">
      <w:pPr>
        <w:rPr>
          <w:color w:val="000000" w:themeColor="text1"/>
        </w:rPr>
      </w:pPr>
      <w:r w:rsidRPr="00B053F2">
        <w:rPr>
          <w:color w:val="000000" w:themeColor="text1"/>
        </w:rPr>
        <w:t>*Authors with equal contribution</w:t>
      </w:r>
    </w:p>
    <w:p w14:paraId="58CFC770" w14:textId="77777777" w:rsidR="00706CBA" w:rsidRDefault="00706CBA">
      <w:pPr>
        <w:rPr>
          <w:color w:val="000000" w:themeColor="text1"/>
          <w:lang w:val="cs-CZ"/>
        </w:rPr>
      </w:pPr>
    </w:p>
    <w:p w14:paraId="5BD5CDA9" w14:textId="76706234" w:rsidR="001F766A" w:rsidRPr="00706CBA" w:rsidRDefault="00706CBA">
      <w:pPr>
        <w:rPr>
          <w:color w:val="000000" w:themeColor="text1"/>
        </w:rPr>
      </w:pPr>
      <w:r>
        <w:rPr>
          <w:color w:val="000000" w:themeColor="text1"/>
          <w:lang w:val="cs-CZ"/>
        </w:rPr>
        <w:t>Email addresses of co-authors:</w:t>
      </w:r>
      <w:r w:rsidR="00E47621" w:rsidRPr="00706CBA">
        <w:rPr>
          <w:color w:val="000000" w:themeColor="text1"/>
        </w:rPr>
        <w:tab/>
      </w:r>
      <w:r w:rsidR="00E47621" w:rsidRPr="00706CBA">
        <w:rPr>
          <w:color w:val="000000" w:themeColor="text1"/>
        </w:rPr>
        <w:tab/>
      </w:r>
      <w:r w:rsidR="00E47621" w:rsidRPr="00706CBA">
        <w:rPr>
          <w:color w:val="000000" w:themeColor="text1"/>
        </w:rPr>
        <w:tab/>
        <w:t xml:space="preserve"> </w:t>
      </w:r>
    </w:p>
    <w:p w14:paraId="6F4A5774" w14:textId="05EED9BA" w:rsidR="00FA60B2" w:rsidRPr="00706CBA" w:rsidRDefault="00706CBA">
      <w:pPr>
        <w:rPr>
          <w:rStyle w:val="Hyperlink"/>
          <w:color w:val="000000" w:themeColor="text1"/>
          <w:u w:val="none"/>
        </w:rPr>
      </w:pPr>
      <w:proofErr w:type="spellStart"/>
      <w:r w:rsidRPr="00B053F2">
        <w:rPr>
          <w:color w:val="000000" w:themeColor="text1"/>
        </w:rPr>
        <w:t>Moustafa</w:t>
      </w:r>
      <w:proofErr w:type="spellEnd"/>
      <w:r w:rsidRPr="00B053F2">
        <w:rPr>
          <w:color w:val="000000" w:themeColor="text1"/>
        </w:rPr>
        <w:t xml:space="preserve"> </w:t>
      </w:r>
      <w:proofErr w:type="spellStart"/>
      <w:r w:rsidRPr="00B053F2">
        <w:rPr>
          <w:color w:val="000000" w:themeColor="text1"/>
        </w:rPr>
        <w:t>Elkalaf</w:t>
      </w:r>
      <w:proofErr w:type="spellEnd"/>
      <w:r>
        <w:rPr>
          <w:color w:val="000000" w:themeColor="text1"/>
        </w:rPr>
        <w:tab/>
      </w:r>
      <w:r w:rsidRPr="00706CBA">
        <w:rPr>
          <w:color w:val="000000" w:themeColor="text1"/>
        </w:rPr>
        <w:t>(</w:t>
      </w:r>
      <w:hyperlink r:id="rId8" w:history="1">
        <w:r w:rsidRPr="00706CBA">
          <w:rPr>
            <w:rStyle w:val="Hyperlink"/>
            <w:color w:val="000000" w:themeColor="text1"/>
            <w:u w:val="none"/>
          </w:rPr>
          <w:t>elkalafm@lfhk.cuni.cz</w:t>
        </w:r>
      </w:hyperlink>
      <w:r w:rsidRPr="00706CBA">
        <w:rPr>
          <w:rStyle w:val="Hyperlink"/>
          <w:color w:val="000000" w:themeColor="text1"/>
          <w:u w:val="none"/>
        </w:rPr>
        <w:t>)</w:t>
      </w:r>
    </w:p>
    <w:p w14:paraId="6F9CF3BB" w14:textId="5A0E4E04" w:rsidR="00FA60B2" w:rsidRPr="00706CBA" w:rsidRDefault="00FA60B2">
      <w:pPr>
        <w:rPr>
          <w:rStyle w:val="Hyperlink"/>
          <w:color w:val="000000" w:themeColor="text1"/>
          <w:u w:val="none"/>
        </w:rPr>
      </w:pPr>
      <w:proofErr w:type="spellStart"/>
      <w:r w:rsidRPr="00706CBA">
        <w:rPr>
          <w:color w:val="000000" w:themeColor="text1"/>
        </w:rPr>
        <w:t>Karolína</w:t>
      </w:r>
      <w:proofErr w:type="spellEnd"/>
      <w:r w:rsidRPr="00706CBA">
        <w:rPr>
          <w:color w:val="000000" w:themeColor="text1"/>
        </w:rPr>
        <w:t xml:space="preserve"> </w:t>
      </w:r>
      <w:proofErr w:type="spellStart"/>
      <w:r w:rsidRPr="00706CBA">
        <w:rPr>
          <w:color w:val="000000" w:themeColor="text1"/>
        </w:rPr>
        <w:t>Vaněčková</w:t>
      </w:r>
      <w:proofErr w:type="spellEnd"/>
      <w:r w:rsidR="00706CBA" w:rsidRPr="00706CBA">
        <w:rPr>
          <w:color w:val="000000" w:themeColor="text1"/>
        </w:rPr>
        <w:tab/>
        <w:t>(</w:t>
      </w:r>
      <w:hyperlink r:id="rId9" w:history="1">
        <w:r w:rsidR="00706CBA" w:rsidRPr="00706CBA">
          <w:rPr>
            <w:rStyle w:val="Hyperlink"/>
            <w:color w:val="000000" w:themeColor="text1"/>
            <w:u w:val="none"/>
          </w:rPr>
          <w:t>vaneckokar@lfhk.cuni.cz</w:t>
        </w:r>
      </w:hyperlink>
      <w:r w:rsidR="00706CBA" w:rsidRPr="00706CBA">
        <w:rPr>
          <w:rStyle w:val="Hyperlink"/>
          <w:color w:val="000000" w:themeColor="text1"/>
          <w:u w:val="none"/>
        </w:rPr>
        <w:t>)</w:t>
      </w:r>
    </w:p>
    <w:p w14:paraId="3FCA8E07" w14:textId="1E162F4B" w:rsidR="00FA60B2" w:rsidRPr="00706CBA" w:rsidRDefault="00FA60B2">
      <w:pPr>
        <w:rPr>
          <w:color w:val="000000" w:themeColor="text1"/>
        </w:rPr>
      </w:pPr>
      <w:proofErr w:type="spellStart"/>
      <w:r w:rsidRPr="00706CBA">
        <w:rPr>
          <w:color w:val="000000" w:themeColor="text1"/>
        </w:rPr>
        <w:t>Pavla</w:t>
      </w:r>
      <w:proofErr w:type="spellEnd"/>
      <w:r w:rsidRPr="00706CBA">
        <w:rPr>
          <w:color w:val="000000" w:themeColor="text1"/>
        </w:rPr>
        <w:t xml:space="preserve"> </w:t>
      </w:r>
      <w:proofErr w:type="spellStart"/>
      <w:r w:rsidRPr="00706CBA">
        <w:rPr>
          <w:color w:val="000000" w:themeColor="text1"/>
        </w:rPr>
        <w:t>Staňková</w:t>
      </w:r>
      <w:proofErr w:type="spellEnd"/>
      <w:r w:rsidR="00706CBA" w:rsidRPr="00706CBA">
        <w:rPr>
          <w:color w:val="000000" w:themeColor="text1"/>
        </w:rPr>
        <w:tab/>
        <w:t>(</w:t>
      </w:r>
      <w:hyperlink r:id="rId10" w:history="1">
        <w:r w:rsidRPr="00706CBA">
          <w:rPr>
            <w:rStyle w:val="Hyperlink"/>
            <w:color w:val="000000" w:themeColor="text1"/>
            <w:u w:val="none"/>
          </w:rPr>
          <w:t>stankovap@lfhk.cuni.cz</w:t>
        </w:r>
      </w:hyperlink>
      <w:r w:rsidR="00706CBA" w:rsidRPr="00706CBA">
        <w:rPr>
          <w:rStyle w:val="Hyperlink"/>
          <w:color w:val="000000" w:themeColor="text1"/>
          <w:u w:val="none"/>
        </w:rPr>
        <w:t>)</w:t>
      </w:r>
    </w:p>
    <w:p w14:paraId="65165082" w14:textId="1704B3AC" w:rsidR="00EE0BDD" w:rsidRPr="00706CBA" w:rsidRDefault="00FA60B2" w:rsidP="00EE0BDD">
      <w:pPr>
        <w:rPr>
          <w:color w:val="000000" w:themeColor="text1"/>
        </w:rPr>
      </w:pPr>
      <w:r w:rsidRPr="00706CBA">
        <w:rPr>
          <w:color w:val="000000" w:themeColor="text1"/>
        </w:rPr>
        <w:t xml:space="preserve">Zuzana </w:t>
      </w:r>
      <w:proofErr w:type="spellStart"/>
      <w:r w:rsidRPr="00706CBA">
        <w:rPr>
          <w:color w:val="000000" w:themeColor="text1"/>
        </w:rPr>
        <w:t>Červinková</w:t>
      </w:r>
      <w:proofErr w:type="spellEnd"/>
      <w:r w:rsidRPr="00706CBA">
        <w:rPr>
          <w:color w:val="000000" w:themeColor="text1"/>
        </w:rPr>
        <w:t xml:space="preserve"> </w:t>
      </w:r>
      <w:r w:rsidR="00706CBA" w:rsidRPr="00706CBA">
        <w:rPr>
          <w:color w:val="000000" w:themeColor="text1"/>
        </w:rPr>
        <w:tab/>
        <w:t>(</w:t>
      </w:r>
      <w:hyperlink r:id="rId11" w:history="1">
        <w:r w:rsidRPr="00706CBA">
          <w:rPr>
            <w:rStyle w:val="Hyperlink"/>
            <w:color w:val="000000" w:themeColor="text1"/>
            <w:u w:val="none"/>
          </w:rPr>
          <w:t>wolff@lfhk.cuni.cz</w:t>
        </w:r>
      </w:hyperlink>
      <w:r w:rsidR="00706CBA" w:rsidRPr="00706CBA">
        <w:rPr>
          <w:rStyle w:val="Hyperlink"/>
          <w:color w:val="000000" w:themeColor="text1"/>
          <w:u w:val="none"/>
        </w:rPr>
        <w:t>)</w:t>
      </w:r>
    </w:p>
    <w:p w14:paraId="04D04753" w14:textId="109DE8D6" w:rsidR="00FA60B2" w:rsidRPr="00706CBA" w:rsidRDefault="00EE0BDD">
      <w:pPr>
        <w:rPr>
          <w:color w:val="000000" w:themeColor="text1"/>
        </w:rPr>
      </w:pPr>
      <w:r w:rsidRPr="00706CBA">
        <w:rPr>
          <w:color w:val="000000" w:themeColor="text1"/>
        </w:rPr>
        <w:t>Jan Pol</w:t>
      </w:r>
      <w:r w:rsidRPr="00706CBA">
        <w:rPr>
          <w:color w:val="000000" w:themeColor="text1"/>
          <w:lang w:val="cs-CZ"/>
        </w:rPr>
        <w:t>á</w:t>
      </w:r>
      <w:r w:rsidRPr="00706CBA">
        <w:rPr>
          <w:color w:val="000000" w:themeColor="text1"/>
        </w:rPr>
        <w:t>k</w:t>
      </w:r>
      <w:r w:rsidR="00706CBA" w:rsidRPr="00706CBA">
        <w:rPr>
          <w:color w:val="000000" w:themeColor="text1"/>
        </w:rPr>
        <w:tab/>
      </w:r>
      <w:r w:rsidR="00706CBA" w:rsidRPr="00706CBA">
        <w:rPr>
          <w:color w:val="000000" w:themeColor="text1"/>
        </w:rPr>
        <w:tab/>
        <w:t>(</w:t>
      </w:r>
      <w:hyperlink r:id="rId12" w:history="1">
        <w:r w:rsidRPr="00706CBA">
          <w:rPr>
            <w:rStyle w:val="Hyperlink"/>
            <w:color w:val="000000" w:themeColor="text1"/>
            <w:u w:val="none"/>
          </w:rPr>
          <w:t>jan.polak@lf3.cuni.cz</w:t>
        </w:r>
      </w:hyperlink>
      <w:r w:rsidR="00706CBA" w:rsidRPr="00706CBA">
        <w:rPr>
          <w:rStyle w:val="Hyperlink"/>
          <w:color w:val="000000" w:themeColor="text1"/>
          <w:u w:val="none"/>
        </w:rPr>
        <w:t>)</w:t>
      </w:r>
    </w:p>
    <w:p w14:paraId="63CA6E9C" w14:textId="5728F58E" w:rsidR="00FA60B2" w:rsidRPr="00706CBA" w:rsidRDefault="00FA60B2">
      <w:pPr>
        <w:rPr>
          <w:rStyle w:val="Hyperlink"/>
          <w:color w:val="000000" w:themeColor="text1"/>
          <w:u w:val="none"/>
        </w:rPr>
      </w:pPr>
      <w:r w:rsidRPr="00706CBA">
        <w:rPr>
          <w:color w:val="000000" w:themeColor="text1"/>
        </w:rPr>
        <w:t>Otto Kučera</w:t>
      </w:r>
      <w:r w:rsidR="00706CBA" w:rsidRPr="00706CBA">
        <w:rPr>
          <w:color w:val="000000" w:themeColor="text1"/>
          <w:vertAlign w:val="superscript"/>
        </w:rPr>
        <w:tab/>
      </w:r>
      <w:r w:rsidR="00706CBA" w:rsidRPr="00706CBA">
        <w:rPr>
          <w:color w:val="000000" w:themeColor="text1"/>
          <w:vertAlign w:val="superscript"/>
        </w:rPr>
        <w:tab/>
      </w:r>
      <w:r w:rsidR="00706CBA" w:rsidRPr="00706CBA">
        <w:rPr>
          <w:color w:val="000000" w:themeColor="text1"/>
        </w:rPr>
        <w:t>(</w:t>
      </w:r>
      <w:hyperlink r:id="rId13" w:history="1">
        <w:r w:rsidRPr="00706CBA">
          <w:rPr>
            <w:rStyle w:val="Hyperlink"/>
            <w:color w:val="000000" w:themeColor="text1"/>
            <w:u w:val="none"/>
          </w:rPr>
          <w:t>kucerao@lfhk.cuni.cz</w:t>
        </w:r>
      </w:hyperlink>
      <w:r w:rsidR="00706CBA" w:rsidRPr="00706CBA">
        <w:rPr>
          <w:rStyle w:val="Hyperlink"/>
          <w:color w:val="000000" w:themeColor="text1"/>
          <w:u w:val="none"/>
        </w:rPr>
        <w:t>)</w:t>
      </w:r>
    </w:p>
    <w:p w14:paraId="3A616668" w14:textId="1EC1E527" w:rsidR="00253465" w:rsidRPr="00706CBA" w:rsidRDefault="00CE10B2" w:rsidP="00CE10B2">
      <w:pPr>
        <w:rPr>
          <w:color w:val="000000" w:themeColor="text1"/>
        </w:rPr>
      </w:pPr>
      <w:r w:rsidRPr="00706CBA">
        <w:rPr>
          <w:color w:val="000000" w:themeColor="text1"/>
        </w:rPr>
        <w:t xml:space="preserve"> </w:t>
      </w:r>
    </w:p>
    <w:p w14:paraId="397150BD" w14:textId="07391027" w:rsidR="00AA6190" w:rsidRPr="00706CBA" w:rsidRDefault="00AA6190" w:rsidP="00CE10B2">
      <w:pPr>
        <w:rPr>
          <w:color w:val="000000" w:themeColor="text1"/>
        </w:rPr>
      </w:pPr>
      <w:r w:rsidRPr="00706CBA">
        <w:rPr>
          <w:color w:val="000000" w:themeColor="text1"/>
        </w:rPr>
        <w:t>Correspond</w:t>
      </w:r>
      <w:r w:rsidR="00B471B4">
        <w:rPr>
          <w:color w:val="000000" w:themeColor="text1"/>
        </w:rPr>
        <w:t>ing</w:t>
      </w:r>
      <w:r w:rsidRPr="00706CBA">
        <w:rPr>
          <w:color w:val="000000" w:themeColor="text1"/>
        </w:rPr>
        <w:t xml:space="preserve"> author: </w:t>
      </w:r>
    </w:p>
    <w:p w14:paraId="06997834" w14:textId="43E279F2" w:rsidR="00AA6190" w:rsidRPr="00706CBA" w:rsidRDefault="00706CBA" w:rsidP="00CE10B2">
      <w:pPr>
        <w:rPr>
          <w:color w:val="000000" w:themeColor="text1"/>
        </w:rPr>
      </w:pPr>
      <w:proofErr w:type="spellStart"/>
      <w:r w:rsidRPr="00706CBA">
        <w:rPr>
          <w:color w:val="000000" w:themeColor="text1"/>
        </w:rPr>
        <w:t>Moustafa</w:t>
      </w:r>
      <w:proofErr w:type="spellEnd"/>
      <w:r w:rsidRPr="00706CBA">
        <w:rPr>
          <w:color w:val="000000" w:themeColor="text1"/>
        </w:rPr>
        <w:t xml:space="preserve"> </w:t>
      </w:r>
      <w:proofErr w:type="spellStart"/>
      <w:r w:rsidRPr="00706CBA">
        <w:rPr>
          <w:color w:val="000000" w:themeColor="text1"/>
        </w:rPr>
        <w:t>Elkalaf</w:t>
      </w:r>
      <w:proofErr w:type="spellEnd"/>
      <w:r w:rsidRPr="00706CBA">
        <w:rPr>
          <w:color w:val="000000" w:themeColor="text1"/>
        </w:rPr>
        <w:tab/>
        <w:t>(</w:t>
      </w:r>
      <w:hyperlink r:id="rId14" w:history="1">
        <w:r w:rsidRPr="00706CBA">
          <w:rPr>
            <w:rStyle w:val="Hyperlink"/>
            <w:color w:val="000000" w:themeColor="text1"/>
            <w:u w:val="none"/>
          </w:rPr>
          <w:t>elkalafm@lfhk.cuni.cz</w:t>
        </w:r>
      </w:hyperlink>
      <w:r w:rsidRPr="00706CBA">
        <w:rPr>
          <w:rStyle w:val="Hyperlink"/>
          <w:color w:val="000000" w:themeColor="text1"/>
          <w:u w:val="none"/>
        </w:rPr>
        <w:t>)</w:t>
      </w:r>
    </w:p>
    <w:p w14:paraId="28208C8E" w14:textId="2CC8250D" w:rsidR="00EE0BDD" w:rsidRPr="00706CBA" w:rsidRDefault="00EE0BDD" w:rsidP="00CE10B2">
      <w:pPr>
        <w:rPr>
          <w:color w:val="000000" w:themeColor="text1"/>
        </w:rPr>
      </w:pPr>
    </w:p>
    <w:p w14:paraId="3D0390AF" w14:textId="44097B54" w:rsidR="00AA6190" w:rsidRPr="00706CBA" w:rsidRDefault="00706CBA" w:rsidP="00CE10B2">
      <w:pPr>
        <w:rPr>
          <w:b/>
          <w:bCs/>
          <w:color w:val="000000" w:themeColor="text1"/>
        </w:rPr>
      </w:pPr>
      <w:r w:rsidRPr="00706CBA">
        <w:rPr>
          <w:b/>
          <w:bCs/>
          <w:color w:val="000000" w:themeColor="text1"/>
        </w:rPr>
        <w:t>KEYWORDS:</w:t>
      </w:r>
    </w:p>
    <w:p w14:paraId="0F6BBCF2" w14:textId="0A31C069" w:rsidR="00AA6190" w:rsidRPr="00706CBA" w:rsidRDefault="00706CBA" w:rsidP="00CE10B2">
      <w:pPr>
        <w:rPr>
          <w:color w:val="000000" w:themeColor="text1"/>
        </w:rPr>
      </w:pPr>
      <w:r>
        <w:rPr>
          <w:color w:val="000000" w:themeColor="text1"/>
        </w:rPr>
        <w:t>m</w:t>
      </w:r>
      <w:r w:rsidR="004F1C41" w:rsidRPr="00706CBA">
        <w:rPr>
          <w:color w:val="000000" w:themeColor="text1"/>
        </w:rPr>
        <w:t>icroplate respirometry</w:t>
      </w:r>
      <w:r w:rsidR="00AA6190" w:rsidRPr="00706CBA">
        <w:rPr>
          <w:color w:val="000000" w:themeColor="text1"/>
        </w:rPr>
        <w:t>; mitochondria</w:t>
      </w:r>
      <w:r>
        <w:rPr>
          <w:color w:val="000000" w:themeColor="text1"/>
        </w:rPr>
        <w:t>;</w:t>
      </w:r>
      <w:r w:rsidR="00AA6190" w:rsidRPr="00706CBA">
        <w:rPr>
          <w:color w:val="000000" w:themeColor="text1"/>
        </w:rPr>
        <w:t xml:space="preserve"> metformin; permeabilized </w:t>
      </w:r>
      <w:r w:rsidR="00FB26DD" w:rsidRPr="00706CBA">
        <w:rPr>
          <w:color w:val="000000" w:themeColor="text1"/>
        </w:rPr>
        <w:t xml:space="preserve">cells; </w:t>
      </w:r>
      <w:proofErr w:type="spellStart"/>
      <w:r w:rsidR="00FB26DD" w:rsidRPr="00706CBA">
        <w:rPr>
          <w:color w:val="000000" w:themeColor="text1"/>
        </w:rPr>
        <w:t>perfringolysin</w:t>
      </w:r>
      <w:proofErr w:type="spellEnd"/>
      <w:r w:rsidR="00AA6190" w:rsidRPr="00706CBA">
        <w:rPr>
          <w:color w:val="000000" w:themeColor="text1"/>
        </w:rPr>
        <w:t xml:space="preserve"> O; mitochondrial substrates</w:t>
      </w:r>
    </w:p>
    <w:p w14:paraId="364E57C2" w14:textId="77777777" w:rsidR="00AA6190" w:rsidRPr="00706CBA" w:rsidRDefault="00AA6190" w:rsidP="00CE10B2">
      <w:pPr>
        <w:rPr>
          <w:color w:val="000000" w:themeColor="text1"/>
        </w:rPr>
      </w:pPr>
    </w:p>
    <w:p w14:paraId="60F3B8D4" w14:textId="2ED6ADE9" w:rsidR="006E4797" w:rsidRPr="00706CBA" w:rsidRDefault="00551D82">
      <w:pPr>
        <w:rPr>
          <w:color w:val="000000" w:themeColor="text1"/>
        </w:rPr>
      </w:pPr>
      <w:r w:rsidRPr="00706CBA">
        <w:rPr>
          <w:b/>
          <w:color w:val="000000" w:themeColor="text1"/>
        </w:rPr>
        <w:t>SUMMARY:</w:t>
      </w:r>
    </w:p>
    <w:p w14:paraId="01069787" w14:textId="4697517F" w:rsidR="006E4797" w:rsidRPr="00706CBA" w:rsidRDefault="00753543">
      <w:pPr>
        <w:rPr>
          <w:color w:val="000000" w:themeColor="text1"/>
        </w:rPr>
      </w:pPr>
      <w:r w:rsidRPr="00706CBA">
        <w:rPr>
          <w:color w:val="000000" w:themeColor="text1"/>
        </w:rPr>
        <w:t>In this work</w:t>
      </w:r>
      <w:r w:rsidR="00706CBA">
        <w:rPr>
          <w:color w:val="000000" w:themeColor="text1"/>
        </w:rPr>
        <w:t>,</w:t>
      </w:r>
      <w:r w:rsidRPr="00706CBA">
        <w:rPr>
          <w:color w:val="000000" w:themeColor="text1"/>
        </w:rPr>
        <w:t xml:space="preserve"> we describe </w:t>
      </w:r>
      <w:r w:rsidR="006F6BE4" w:rsidRPr="00706CBA">
        <w:rPr>
          <w:color w:val="000000" w:themeColor="text1"/>
        </w:rPr>
        <w:t xml:space="preserve">a </w:t>
      </w:r>
      <w:r w:rsidRPr="00706CBA">
        <w:rPr>
          <w:color w:val="000000" w:themeColor="text1"/>
        </w:rPr>
        <w:t>modified protocol</w:t>
      </w:r>
      <w:r w:rsidR="00555CCB" w:rsidRPr="00706CBA">
        <w:rPr>
          <w:color w:val="000000" w:themeColor="text1"/>
        </w:rPr>
        <w:t xml:space="preserve"> to test mitochondrial respiratory substrate flux</w:t>
      </w:r>
      <w:r w:rsidRPr="00706CBA">
        <w:rPr>
          <w:color w:val="000000" w:themeColor="text1"/>
        </w:rPr>
        <w:t xml:space="preserve"> using recombinant </w:t>
      </w:r>
      <w:proofErr w:type="spellStart"/>
      <w:r w:rsidRPr="00706CBA">
        <w:rPr>
          <w:color w:val="000000" w:themeColor="text1"/>
        </w:rPr>
        <w:t>perfringolysin</w:t>
      </w:r>
      <w:proofErr w:type="spellEnd"/>
      <w:r w:rsidRPr="00706CBA">
        <w:rPr>
          <w:color w:val="000000" w:themeColor="text1"/>
        </w:rPr>
        <w:t xml:space="preserve"> </w:t>
      </w:r>
      <w:proofErr w:type="gramStart"/>
      <w:r w:rsidRPr="00706CBA">
        <w:rPr>
          <w:color w:val="000000" w:themeColor="text1"/>
        </w:rPr>
        <w:t xml:space="preserve">O </w:t>
      </w:r>
      <w:r w:rsidR="00343E81" w:rsidRPr="00706CBA">
        <w:rPr>
          <w:color w:val="000000" w:themeColor="text1"/>
        </w:rPr>
        <w:t xml:space="preserve"> </w:t>
      </w:r>
      <w:r w:rsidR="00555CCB" w:rsidRPr="00706CBA">
        <w:rPr>
          <w:color w:val="000000" w:themeColor="text1"/>
        </w:rPr>
        <w:t>in</w:t>
      </w:r>
      <w:proofErr w:type="gramEnd"/>
      <w:r w:rsidR="00555CCB" w:rsidRPr="00706CBA">
        <w:rPr>
          <w:color w:val="000000" w:themeColor="text1"/>
        </w:rPr>
        <w:t xml:space="preserve"> combination with microplate-based res</w:t>
      </w:r>
      <w:r w:rsidR="00706CBA">
        <w:rPr>
          <w:color w:val="000000" w:themeColor="text1"/>
        </w:rPr>
        <w:t>p</w:t>
      </w:r>
      <w:r w:rsidR="00555CCB" w:rsidRPr="00706CBA">
        <w:rPr>
          <w:color w:val="000000" w:themeColor="text1"/>
        </w:rPr>
        <w:t>irometry</w:t>
      </w:r>
      <w:r w:rsidRPr="00706CBA">
        <w:rPr>
          <w:color w:val="000000" w:themeColor="text1"/>
        </w:rPr>
        <w:t xml:space="preserve">. </w:t>
      </w:r>
      <w:r w:rsidR="00EE0BDD" w:rsidRPr="00706CBA">
        <w:rPr>
          <w:color w:val="000000" w:themeColor="text1"/>
        </w:rPr>
        <w:t>With</w:t>
      </w:r>
      <w:r w:rsidRPr="00706CBA">
        <w:rPr>
          <w:color w:val="000000" w:themeColor="text1"/>
        </w:rPr>
        <w:t xml:space="preserve"> this </w:t>
      </w:r>
      <w:r w:rsidR="00EE0BDD" w:rsidRPr="00706CBA">
        <w:rPr>
          <w:color w:val="000000" w:themeColor="text1"/>
        </w:rPr>
        <w:t>protocol</w:t>
      </w:r>
      <w:r w:rsidRPr="00706CBA">
        <w:rPr>
          <w:color w:val="000000" w:themeColor="text1"/>
        </w:rPr>
        <w:t xml:space="preserve">, we </w:t>
      </w:r>
      <w:r w:rsidR="00FC660A" w:rsidRPr="00706CBA">
        <w:rPr>
          <w:color w:val="000000" w:themeColor="text1"/>
        </w:rPr>
        <w:t xml:space="preserve">show how metformin affects mitochondrial respiration of </w:t>
      </w:r>
      <w:r w:rsidR="00343E81" w:rsidRPr="00706CBA">
        <w:rPr>
          <w:color w:val="000000" w:themeColor="text1"/>
        </w:rPr>
        <w:t xml:space="preserve">two different </w:t>
      </w:r>
      <w:r w:rsidR="00FC660A" w:rsidRPr="00706CBA">
        <w:rPr>
          <w:color w:val="000000" w:themeColor="text1"/>
        </w:rPr>
        <w:t>tumor cell lines.</w:t>
      </w:r>
      <w:r w:rsidRPr="00706CBA">
        <w:rPr>
          <w:color w:val="000000" w:themeColor="text1"/>
        </w:rPr>
        <w:t xml:space="preserve"> </w:t>
      </w:r>
    </w:p>
    <w:p w14:paraId="74EFC8D7" w14:textId="77777777" w:rsidR="006E4797" w:rsidRPr="00706CBA" w:rsidRDefault="006E4797">
      <w:pPr>
        <w:rPr>
          <w:color w:val="000000" w:themeColor="text1"/>
        </w:rPr>
      </w:pPr>
    </w:p>
    <w:p w14:paraId="2DF8E628" w14:textId="233BEAB9" w:rsidR="006E4797" w:rsidRPr="00706CBA" w:rsidRDefault="00551D82">
      <w:pPr>
        <w:rPr>
          <w:color w:val="000000" w:themeColor="text1"/>
        </w:rPr>
      </w:pPr>
      <w:r w:rsidRPr="00706CBA">
        <w:rPr>
          <w:b/>
          <w:color w:val="000000" w:themeColor="text1"/>
        </w:rPr>
        <w:t>ABSTRACT:</w:t>
      </w:r>
    </w:p>
    <w:p w14:paraId="78151A93" w14:textId="5A98B53D" w:rsidR="001117CD" w:rsidRPr="00706CBA" w:rsidRDefault="008C4BA7" w:rsidP="001117CD">
      <w:pPr>
        <w:rPr>
          <w:color w:val="000000" w:themeColor="text1"/>
        </w:rPr>
      </w:pPr>
      <w:r w:rsidRPr="00706CBA">
        <w:rPr>
          <w:color w:val="000000" w:themeColor="text1"/>
        </w:rPr>
        <w:t>Mitochondrial substrate flux is a distinguishing characteristic of each cell type</w:t>
      </w:r>
      <w:r w:rsidR="006209F0" w:rsidRPr="00706CBA">
        <w:rPr>
          <w:color w:val="000000" w:themeColor="text1"/>
        </w:rPr>
        <w:t>,</w:t>
      </w:r>
      <w:r w:rsidRPr="00706CBA">
        <w:rPr>
          <w:color w:val="000000" w:themeColor="text1"/>
        </w:rPr>
        <w:t xml:space="preserve"> and changes in its components such as transporters, channels</w:t>
      </w:r>
      <w:r w:rsidR="00706CBA">
        <w:rPr>
          <w:color w:val="000000" w:themeColor="text1"/>
        </w:rPr>
        <w:t>,</w:t>
      </w:r>
      <w:r w:rsidRPr="00706CBA">
        <w:rPr>
          <w:color w:val="000000" w:themeColor="text1"/>
        </w:rPr>
        <w:t xml:space="preserve"> or enzymes are involved in the pathogenesis of several diseases. </w:t>
      </w:r>
      <w:r w:rsidR="00CE0258" w:rsidRPr="00706CBA">
        <w:rPr>
          <w:color w:val="000000" w:themeColor="text1"/>
        </w:rPr>
        <w:t xml:space="preserve">Mitochondrial </w:t>
      </w:r>
      <w:r w:rsidRPr="00706CBA">
        <w:rPr>
          <w:color w:val="000000" w:themeColor="text1"/>
        </w:rPr>
        <w:t xml:space="preserve">substrate flux </w:t>
      </w:r>
      <w:r w:rsidR="00CB3B9D" w:rsidRPr="00706CBA">
        <w:rPr>
          <w:color w:val="000000" w:themeColor="text1"/>
        </w:rPr>
        <w:t xml:space="preserve">can be </w:t>
      </w:r>
      <w:r w:rsidR="00CE0258" w:rsidRPr="00706CBA">
        <w:rPr>
          <w:color w:val="000000" w:themeColor="text1"/>
        </w:rPr>
        <w:t>studied using</w:t>
      </w:r>
      <w:r w:rsidR="00CB3B9D" w:rsidRPr="00706CBA">
        <w:rPr>
          <w:color w:val="000000" w:themeColor="text1"/>
        </w:rPr>
        <w:t xml:space="preserve"> intact cells, permeabilized cells, or isolated mitochondria. Investigating i</w:t>
      </w:r>
      <w:r w:rsidRPr="00706CBA">
        <w:rPr>
          <w:color w:val="000000" w:themeColor="text1"/>
        </w:rPr>
        <w:t>ntact cells encounters several problems due to simultaneous oxidation of different substrates</w:t>
      </w:r>
      <w:r w:rsidR="00CE0258" w:rsidRPr="00706CBA">
        <w:rPr>
          <w:color w:val="000000" w:themeColor="text1"/>
        </w:rPr>
        <w:t xml:space="preserve">. </w:t>
      </w:r>
      <w:r w:rsidRPr="00706CBA">
        <w:rPr>
          <w:color w:val="000000" w:themeColor="text1"/>
        </w:rPr>
        <w:t>Besides, several cell types contain internal stores</w:t>
      </w:r>
      <w:r w:rsidR="00CE0258" w:rsidRPr="00706CBA">
        <w:rPr>
          <w:color w:val="000000" w:themeColor="text1"/>
        </w:rPr>
        <w:t xml:space="preserve"> of different substrates</w:t>
      </w:r>
      <w:r w:rsidR="0055106A" w:rsidRPr="00706CBA">
        <w:rPr>
          <w:color w:val="000000" w:themeColor="text1"/>
        </w:rPr>
        <w:t xml:space="preserve"> that complicate results interpretation</w:t>
      </w:r>
      <w:r w:rsidRPr="00706CBA">
        <w:rPr>
          <w:color w:val="000000" w:themeColor="text1"/>
        </w:rPr>
        <w:t xml:space="preserve">. </w:t>
      </w:r>
      <w:r w:rsidR="003D6F21" w:rsidRPr="00706CBA">
        <w:rPr>
          <w:color w:val="000000" w:themeColor="text1"/>
        </w:rPr>
        <w:t>Methods such as m</w:t>
      </w:r>
      <w:r w:rsidRPr="00706CBA">
        <w:rPr>
          <w:color w:val="000000" w:themeColor="text1"/>
        </w:rPr>
        <w:t xml:space="preserve">itochondrial </w:t>
      </w:r>
      <w:r w:rsidRPr="00706CBA">
        <w:rPr>
          <w:color w:val="000000" w:themeColor="text1"/>
        </w:rPr>
        <w:lastRenderedPageBreak/>
        <w:t xml:space="preserve">isolation or </w:t>
      </w:r>
      <w:r w:rsidR="003D6F21" w:rsidRPr="00706CBA">
        <w:rPr>
          <w:color w:val="000000" w:themeColor="text1"/>
        </w:rPr>
        <w:t xml:space="preserve">using </w:t>
      </w:r>
      <w:r w:rsidRPr="00706CBA">
        <w:rPr>
          <w:color w:val="000000" w:themeColor="text1"/>
        </w:rPr>
        <w:t>permeabilizing agents</w:t>
      </w:r>
      <w:r w:rsidR="003D6F21" w:rsidRPr="00706CBA">
        <w:rPr>
          <w:color w:val="000000" w:themeColor="text1"/>
        </w:rPr>
        <w:t xml:space="preserve"> are</w:t>
      </w:r>
      <w:r w:rsidRPr="00706CBA">
        <w:rPr>
          <w:color w:val="000000" w:themeColor="text1"/>
        </w:rPr>
        <w:t xml:space="preserve"> not easily reproducible</w:t>
      </w:r>
      <w:r w:rsidR="003D6F21" w:rsidRPr="00706CBA">
        <w:rPr>
          <w:color w:val="000000" w:themeColor="text1"/>
        </w:rPr>
        <w:t>.</w:t>
      </w:r>
      <w:r w:rsidRPr="00706CBA">
        <w:rPr>
          <w:color w:val="000000" w:themeColor="text1"/>
        </w:rPr>
        <w:t xml:space="preserve"> </w:t>
      </w:r>
      <w:r w:rsidR="003D6F21" w:rsidRPr="00706CBA">
        <w:rPr>
          <w:color w:val="000000" w:themeColor="text1"/>
        </w:rPr>
        <w:t>I</w:t>
      </w:r>
      <w:r w:rsidRPr="00706CBA">
        <w:rPr>
          <w:color w:val="000000" w:themeColor="text1"/>
        </w:rPr>
        <w:t>solating pure mitochondria</w:t>
      </w:r>
      <w:r w:rsidR="00DE795B" w:rsidRPr="00706CBA">
        <w:rPr>
          <w:color w:val="000000" w:themeColor="text1"/>
        </w:rPr>
        <w:t xml:space="preserve"> with intact membranes</w:t>
      </w:r>
      <w:r w:rsidRPr="00706CBA">
        <w:rPr>
          <w:color w:val="000000" w:themeColor="text1"/>
        </w:rPr>
        <w:t xml:space="preserve"> in sufficient </w:t>
      </w:r>
      <w:r w:rsidR="00DE795B" w:rsidRPr="00706CBA">
        <w:rPr>
          <w:color w:val="000000" w:themeColor="text1"/>
        </w:rPr>
        <w:t>amount</w:t>
      </w:r>
      <w:r w:rsidR="00706CBA">
        <w:rPr>
          <w:color w:val="000000" w:themeColor="text1"/>
        </w:rPr>
        <w:t>s</w:t>
      </w:r>
      <w:r w:rsidR="00DE795B" w:rsidRPr="00706CBA">
        <w:rPr>
          <w:color w:val="000000" w:themeColor="text1"/>
        </w:rPr>
        <w:t xml:space="preserve"> from small samples is problematic. </w:t>
      </w:r>
      <w:r w:rsidR="004D7D37" w:rsidRPr="00706CBA">
        <w:rPr>
          <w:color w:val="000000" w:themeColor="text1"/>
        </w:rPr>
        <w:t>U</w:t>
      </w:r>
      <w:r w:rsidR="00DE795B" w:rsidRPr="00706CBA">
        <w:rPr>
          <w:color w:val="000000" w:themeColor="text1"/>
        </w:rPr>
        <w:t xml:space="preserve">sing non-selective permeabilizers causes various degrees of </w:t>
      </w:r>
      <w:r w:rsidR="0055106A" w:rsidRPr="00706CBA">
        <w:rPr>
          <w:color w:val="000000" w:themeColor="text1"/>
        </w:rPr>
        <w:t xml:space="preserve">unavoidable </w:t>
      </w:r>
      <w:r w:rsidR="00DE795B" w:rsidRPr="00706CBA">
        <w:rPr>
          <w:color w:val="000000" w:themeColor="text1"/>
        </w:rPr>
        <w:t xml:space="preserve">mitochondrial </w:t>
      </w:r>
      <w:r w:rsidR="0055106A" w:rsidRPr="00706CBA">
        <w:rPr>
          <w:color w:val="000000" w:themeColor="text1"/>
        </w:rPr>
        <w:t xml:space="preserve">membrane </w:t>
      </w:r>
      <w:r w:rsidR="00DE795B" w:rsidRPr="00706CBA">
        <w:rPr>
          <w:color w:val="000000" w:themeColor="text1"/>
        </w:rPr>
        <w:t xml:space="preserve">damage. </w:t>
      </w:r>
      <w:r w:rsidRPr="00706CBA">
        <w:rPr>
          <w:color w:val="000000" w:themeColor="text1"/>
        </w:rPr>
        <w:t xml:space="preserve">Recombinant </w:t>
      </w:r>
      <w:proofErr w:type="spellStart"/>
      <w:r w:rsidRPr="00706CBA">
        <w:rPr>
          <w:color w:val="000000" w:themeColor="text1"/>
        </w:rPr>
        <w:t>perfringolysin</w:t>
      </w:r>
      <w:proofErr w:type="spellEnd"/>
      <w:r w:rsidRPr="00706CBA">
        <w:rPr>
          <w:color w:val="000000" w:themeColor="text1"/>
        </w:rPr>
        <w:t xml:space="preserve"> O (</w:t>
      </w:r>
      <w:proofErr w:type="spellStart"/>
      <w:r w:rsidRPr="00706CBA">
        <w:rPr>
          <w:color w:val="000000" w:themeColor="text1"/>
        </w:rPr>
        <w:t>rPFO</w:t>
      </w:r>
      <w:proofErr w:type="spellEnd"/>
      <w:r w:rsidRPr="00706CBA">
        <w:rPr>
          <w:color w:val="000000" w:themeColor="text1"/>
        </w:rPr>
        <w:t xml:space="preserve">) </w:t>
      </w:r>
      <w:r w:rsidR="00726899" w:rsidRPr="00706CBA">
        <w:rPr>
          <w:color w:val="000000" w:themeColor="text1"/>
        </w:rPr>
        <w:t xml:space="preserve">was </w:t>
      </w:r>
      <w:r w:rsidRPr="00706CBA">
        <w:rPr>
          <w:color w:val="000000" w:themeColor="text1"/>
        </w:rPr>
        <w:t xml:space="preserve">offered </w:t>
      </w:r>
      <w:r w:rsidR="00726899" w:rsidRPr="00706CBA">
        <w:rPr>
          <w:color w:val="000000" w:themeColor="text1"/>
        </w:rPr>
        <w:t xml:space="preserve">as </w:t>
      </w:r>
      <w:r w:rsidRPr="00706CBA">
        <w:rPr>
          <w:color w:val="000000" w:themeColor="text1"/>
        </w:rPr>
        <w:t xml:space="preserve">a </w:t>
      </w:r>
      <w:r w:rsidR="00726899" w:rsidRPr="00706CBA">
        <w:rPr>
          <w:color w:val="000000" w:themeColor="text1"/>
        </w:rPr>
        <w:t>more appropriate permeabilizer</w:t>
      </w:r>
      <w:r w:rsidRPr="00706CBA">
        <w:rPr>
          <w:color w:val="000000" w:themeColor="text1"/>
        </w:rPr>
        <w:t xml:space="preserve">, thanks to its ability to selectively permeabilize plasma membrane without affecting mitochondrial integrity. When used in combination with </w:t>
      </w:r>
      <w:r w:rsidR="0030529F" w:rsidRPr="00706CBA">
        <w:rPr>
          <w:color w:val="000000" w:themeColor="text1"/>
        </w:rPr>
        <w:t>microplate respirometry</w:t>
      </w:r>
      <w:r w:rsidRPr="00706CBA">
        <w:rPr>
          <w:color w:val="000000" w:themeColor="text1"/>
        </w:rPr>
        <w:t xml:space="preserve">, it allows testing the flux of several mitochondrial substrates with </w:t>
      </w:r>
      <w:r w:rsidR="00726899" w:rsidRPr="00706CBA">
        <w:rPr>
          <w:color w:val="000000" w:themeColor="text1"/>
        </w:rPr>
        <w:t>enough</w:t>
      </w:r>
      <w:r w:rsidRPr="00706CBA">
        <w:rPr>
          <w:color w:val="000000" w:themeColor="text1"/>
        </w:rPr>
        <w:t xml:space="preserve"> replicates within one experiment while using </w:t>
      </w:r>
      <w:r w:rsidR="00706CBA">
        <w:rPr>
          <w:color w:val="000000" w:themeColor="text1"/>
        </w:rPr>
        <w:t xml:space="preserve">a </w:t>
      </w:r>
      <w:r w:rsidRPr="00706CBA">
        <w:rPr>
          <w:color w:val="000000" w:themeColor="text1"/>
        </w:rPr>
        <w:t>minimal number of cells.</w:t>
      </w:r>
      <w:r w:rsidR="001117CD" w:rsidRPr="00706CBA">
        <w:rPr>
          <w:color w:val="000000" w:themeColor="text1"/>
        </w:rPr>
        <w:t xml:space="preserve"> In this work, </w:t>
      </w:r>
      <w:r w:rsidR="00706CBA">
        <w:rPr>
          <w:color w:val="000000" w:themeColor="text1"/>
        </w:rPr>
        <w:t>the protocol</w:t>
      </w:r>
      <w:r w:rsidR="00706CBA" w:rsidRPr="00706CBA">
        <w:rPr>
          <w:color w:val="000000" w:themeColor="text1"/>
        </w:rPr>
        <w:t xml:space="preserve"> </w:t>
      </w:r>
      <w:r w:rsidR="00FF6250" w:rsidRPr="00706CBA">
        <w:rPr>
          <w:color w:val="000000" w:themeColor="text1"/>
        </w:rPr>
        <w:t>describe</w:t>
      </w:r>
      <w:r w:rsidR="00706CBA">
        <w:rPr>
          <w:color w:val="000000" w:themeColor="text1"/>
        </w:rPr>
        <w:t>s</w:t>
      </w:r>
      <w:r w:rsidR="00FF6250" w:rsidRPr="00706CBA">
        <w:rPr>
          <w:color w:val="000000" w:themeColor="text1"/>
        </w:rPr>
        <w:t xml:space="preserve"> a method </w:t>
      </w:r>
      <w:r w:rsidR="001117CD" w:rsidRPr="00706CBA">
        <w:rPr>
          <w:color w:val="000000" w:themeColor="text1"/>
        </w:rPr>
        <w:t xml:space="preserve">to compare mitochondrial substrate flux of </w:t>
      </w:r>
      <w:r w:rsidR="00FF6250" w:rsidRPr="00706CBA">
        <w:rPr>
          <w:color w:val="000000" w:themeColor="text1"/>
        </w:rPr>
        <w:t xml:space="preserve">two </w:t>
      </w:r>
      <w:r w:rsidR="001117CD" w:rsidRPr="00706CBA">
        <w:rPr>
          <w:color w:val="000000" w:themeColor="text1"/>
        </w:rPr>
        <w:t xml:space="preserve">different </w:t>
      </w:r>
      <w:r w:rsidR="0097507A" w:rsidRPr="00706CBA">
        <w:rPr>
          <w:color w:val="000000" w:themeColor="text1"/>
        </w:rPr>
        <w:t xml:space="preserve">cellular </w:t>
      </w:r>
      <w:r w:rsidR="001117CD" w:rsidRPr="00706CBA">
        <w:rPr>
          <w:color w:val="000000" w:themeColor="text1"/>
        </w:rPr>
        <w:t xml:space="preserve">phenotypes or </w:t>
      </w:r>
      <w:r w:rsidR="002D5B14" w:rsidRPr="00706CBA">
        <w:rPr>
          <w:color w:val="000000" w:themeColor="text1"/>
        </w:rPr>
        <w:t>genotypes and</w:t>
      </w:r>
      <w:r w:rsidR="00726899" w:rsidRPr="00706CBA">
        <w:rPr>
          <w:color w:val="000000" w:themeColor="text1"/>
        </w:rPr>
        <w:t xml:space="preserve"> can be customized to test </w:t>
      </w:r>
      <w:r w:rsidR="002D5B14" w:rsidRPr="00706CBA">
        <w:rPr>
          <w:color w:val="000000" w:themeColor="text1"/>
        </w:rPr>
        <w:t xml:space="preserve">various </w:t>
      </w:r>
      <w:r w:rsidR="00726899" w:rsidRPr="00706CBA">
        <w:rPr>
          <w:color w:val="000000" w:themeColor="text1"/>
        </w:rPr>
        <w:t>mitochondrial substrates or inhibitors</w:t>
      </w:r>
      <w:r w:rsidR="002D5B14" w:rsidRPr="00706CBA">
        <w:rPr>
          <w:color w:val="000000" w:themeColor="text1"/>
        </w:rPr>
        <w:t>.</w:t>
      </w:r>
    </w:p>
    <w:p w14:paraId="3E204C1F" w14:textId="77777777" w:rsidR="001117CD" w:rsidRPr="00706CBA" w:rsidRDefault="001117CD" w:rsidP="008C4BA7">
      <w:pPr>
        <w:rPr>
          <w:color w:val="000000" w:themeColor="text1"/>
        </w:rPr>
      </w:pPr>
    </w:p>
    <w:p w14:paraId="0646E204" w14:textId="1090F905" w:rsidR="006E4797" w:rsidRPr="00706CBA" w:rsidRDefault="00551D82">
      <w:pPr>
        <w:rPr>
          <w:color w:val="000000" w:themeColor="text1"/>
        </w:rPr>
      </w:pPr>
      <w:r w:rsidRPr="00706CBA">
        <w:rPr>
          <w:b/>
          <w:color w:val="000000" w:themeColor="text1"/>
        </w:rPr>
        <w:t>INTRODUCTION:</w:t>
      </w:r>
      <w:r w:rsidRPr="00706CBA">
        <w:rPr>
          <w:color w:val="000000" w:themeColor="text1"/>
        </w:rPr>
        <w:t xml:space="preserve"> </w:t>
      </w:r>
    </w:p>
    <w:p w14:paraId="121209E0" w14:textId="5AB0EE98" w:rsidR="00347874" w:rsidRDefault="008C4BA7">
      <w:pPr>
        <w:rPr>
          <w:color w:val="000000" w:themeColor="text1"/>
        </w:rPr>
      </w:pPr>
      <w:r w:rsidRPr="00706CBA">
        <w:rPr>
          <w:color w:val="000000" w:themeColor="text1"/>
        </w:rPr>
        <w:t xml:space="preserve">Microplate-based respirometry </w:t>
      </w:r>
      <w:r w:rsidR="00925CC4" w:rsidRPr="00706CBA">
        <w:rPr>
          <w:color w:val="000000" w:themeColor="text1"/>
        </w:rPr>
        <w:t xml:space="preserve">has revolutionized mitochondrial research by enabling the study of cellular respiration of </w:t>
      </w:r>
      <w:r w:rsidR="00706CBA">
        <w:rPr>
          <w:color w:val="000000" w:themeColor="text1"/>
        </w:rPr>
        <w:t xml:space="preserve">a </w:t>
      </w:r>
      <w:r w:rsidR="00925CC4" w:rsidRPr="00706CBA">
        <w:rPr>
          <w:color w:val="000000" w:themeColor="text1"/>
        </w:rPr>
        <w:t>small sample size</w:t>
      </w:r>
      <w:r w:rsidR="00137CE3" w:rsidRPr="00706CBA">
        <w:rPr>
          <w:color w:val="000000" w:themeColor="text1"/>
          <w:vertAlign w:val="superscript"/>
        </w:rPr>
        <w:t>1</w:t>
      </w:r>
      <w:r w:rsidR="00925CC4" w:rsidRPr="00706CBA">
        <w:rPr>
          <w:color w:val="000000" w:themeColor="text1"/>
        </w:rPr>
        <w:t xml:space="preserve">.  </w:t>
      </w:r>
      <w:r w:rsidR="00303C76" w:rsidRPr="00706CBA">
        <w:rPr>
          <w:color w:val="000000" w:themeColor="text1"/>
        </w:rPr>
        <w:t xml:space="preserve">Cellular respiration is generally considered as an indicator of mitochondrial function or ‘dysfunction’, </w:t>
      </w:r>
      <w:proofErr w:type="gramStart"/>
      <w:r w:rsidR="00303C76" w:rsidRPr="00706CBA">
        <w:rPr>
          <w:color w:val="000000" w:themeColor="text1"/>
        </w:rPr>
        <w:t>despite the fact that</w:t>
      </w:r>
      <w:proofErr w:type="gramEnd"/>
      <w:r w:rsidR="00303C76" w:rsidRPr="00706CBA">
        <w:rPr>
          <w:color w:val="000000" w:themeColor="text1"/>
        </w:rPr>
        <w:t xml:space="preserve"> </w:t>
      </w:r>
      <w:r w:rsidR="00706CBA">
        <w:rPr>
          <w:color w:val="000000" w:themeColor="text1"/>
        </w:rPr>
        <w:t xml:space="preserve">the </w:t>
      </w:r>
      <w:r w:rsidR="00303C76" w:rsidRPr="00706CBA">
        <w:rPr>
          <w:color w:val="000000" w:themeColor="text1"/>
        </w:rPr>
        <w:t xml:space="preserve">mitochondrial </w:t>
      </w:r>
      <w:r w:rsidR="00B0556E" w:rsidRPr="00706CBA">
        <w:rPr>
          <w:color w:val="000000" w:themeColor="text1"/>
        </w:rPr>
        <w:t>rang</w:t>
      </w:r>
      <w:r w:rsidR="00403CD1" w:rsidRPr="00706CBA">
        <w:rPr>
          <w:color w:val="000000" w:themeColor="text1"/>
        </w:rPr>
        <w:t>e</w:t>
      </w:r>
      <w:r w:rsidR="00B0556E" w:rsidRPr="00706CBA">
        <w:rPr>
          <w:color w:val="000000" w:themeColor="text1"/>
        </w:rPr>
        <w:t xml:space="preserve"> of </w:t>
      </w:r>
      <w:r w:rsidR="00303C76" w:rsidRPr="00706CBA">
        <w:rPr>
          <w:color w:val="000000" w:themeColor="text1"/>
        </w:rPr>
        <w:t>functions extend</w:t>
      </w:r>
      <w:r w:rsidR="00B0556E" w:rsidRPr="00706CBA">
        <w:rPr>
          <w:color w:val="000000" w:themeColor="text1"/>
        </w:rPr>
        <w:t>s</w:t>
      </w:r>
      <w:r w:rsidR="00303C76" w:rsidRPr="00706CBA">
        <w:rPr>
          <w:color w:val="000000" w:themeColor="text1"/>
        </w:rPr>
        <w:t xml:space="preserve"> beyond energy production</w:t>
      </w:r>
      <w:r w:rsidR="0010245C" w:rsidRPr="00706CBA">
        <w:rPr>
          <w:color w:val="000000" w:themeColor="text1"/>
          <w:vertAlign w:val="superscript"/>
        </w:rPr>
        <w:t>2</w:t>
      </w:r>
      <w:r w:rsidR="00303C76" w:rsidRPr="00706CBA">
        <w:rPr>
          <w:color w:val="000000" w:themeColor="text1"/>
        </w:rPr>
        <w:t>.</w:t>
      </w:r>
      <w:r w:rsidR="00B0556E" w:rsidRPr="00706CBA">
        <w:rPr>
          <w:color w:val="000000" w:themeColor="text1"/>
        </w:rPr>
        <w:t xml:space="preserve"> </w:t>
      </w:r>
      <w:r w:rsidR="000F4C98" w:rsidRPr="00706CBA">
        <w:rPr>
          <w:color w:val="000000" w:themeColor="text1"/>
        </w:rPr>
        <w:t>In aerobic conditions, m</w:t>
      </w:r>
      <w:r w:rsidR="00B0556E" w:rsidRPr="00706CBA">
        <w:rPr>
          <w:color w:val="000000" w:themeColor="text1"/>
        </w:rPr>
        <w:t xml:space="preserve">itochondria extract </w:t>
      </w:r>
      <w:r w:rsidR="00706CBA">
        <w:rPr>
          <w:color w:val="000000" w:themeColor="text1"/>
        </w:rPr>
        <w:t xml:space="preserve">the </w:t>
      </w:r>
      <w:r w:rsidR="00B0556E" w:rsidRPr="00706CBA">
        <w:rPr>
          <w:color w:val="000000" w:themeColor="text1"/>
        </w:rPr>
        <w:t>energy stored in different substrate</w:t>
      </w:r>
      <w:r w:rsidR="002B4F2F" w:rsidRPr="00706CBA">
        <w:rPr>
          <w:color w:val="000000" w:themeColor="text1"/>
        </w:rPr>
        <w:t>s</w:t>
      </w:r>
      <w:r w:rsidR="00B22DED" w:rsidRPr="00706CBA">
        <w:rPr>
          <w:color w:val="000000" w:themeColor="text1"/>
        </w:rPr>
        <w:t xml:space="preserve"> by breaking down and converting these substrates into metabolic intermediates that can fuel the citric acid cycle</w:t>
      </w:r>
      <w:r w:rsidR="00345EF5" w:rsidRPr="00706CBA">
        <w:rPr>
          <w:color w:val="000000" w:themeColor="text1"/>
          <w:vertAlign w:val="superscript"/>
        </w:rPr>
        <w:t>3</w:t>
      </w:r>
      <w:r w:rsidR="007A380B" w:rsidRPr="00706CBA">
        <w:rPr>
          <w:color w:val="000000" w:themeColor="text1"/>
        </w:rPr>
        <w:t xml:space="preserve"> (</w:t>
      </w:r>
      <w:r w:rsidR="00435F0B" w:rsidRPr="00706CBA">
        <w:rPr>
          <w:b/>
          <w:bCs/>
          <w:color w:val="000000" w:themeColor="text1"/>
        </w:rPr>
        <w:t>F</w:t>
      </w:r>
      <w:r w:rsidR="007A380B" w:rsidRPr="00706CBA">
        <w:rPr>
          <w:b/>
          <w:bCs/>
          <w:color w:val="000000" w:themeColor="text1"/>
        </w:rPr>
        <w:t>igure 1</w:t>
      </w:r>
      <w:r w:rsidR="007A380B" w:rsidRPr="00706CBA">
        <w:rPr>
          <w:color w:val="000000" w:themeColor="text1"/>
        </w:rPr>
        <w:t>).</w:t>
      </w:r>
      <w:r w:rsidR="00345EF5" w:rsidRPr="00706CBA">
        <w:rPr>
          <w:color w:val="000000" w:themeColor="text1"/>
        </w:rPr>
        <w:t xml:space="preserve"> </w:t>
      </w:r>
      <w:r w:rsidR="00943243" w:rsidRPr="00706CBA">
        <w:rPr>
          <w:color w:val="000000" w:themeColor="text1"/>
        </w:rPr>
        <w:t xml:space="preserve">The continuous flux of substrates is essential for the flow of </w:t>
      </w:r>
      <w:r w:rsidR="00706CBA">
        <w:rPr>
          <w:color w:val="000000" w:themeColor="text1"/>
        </w:rPr>
        <w:t xml:space="preserve">the </w:t>
      </w:r>
      <w:r w:rsidR="000F4C98" w:rsidRPr="00706CBA">
        <w:rPr>
          <w:color w:val="000000" w:themeColor="text1"/>
        </w:rPr>
        <w:t xml:space="preserve">citric acid cycle </w:t>
      </w:r>
      <w:r w:rsidR="00943243" w:rsidRPr="00706CBA">
        <w:rPr>
          <w:color w:val="000000" w:themeColor="text1"/>
        </w:rPr>
        <w:t xml:space="preserve">to </w:t>
      </w:r>
      <w:r w:rsidR="000F4C98" w:rsidRPr="00706CBA">
        <w:rPr>
          <w:color w:val="000000" w:themeColor="text1"/>
        </w:rPr>
        <w:t>generate high energy ‘electron donors’</w:t>
      </w:r>
      <w:r w:rsidR="00706CBA">
        <w:rPr>
          <w:color w:val="000000" w:themeColor="text1"/>
        </w:rPr>
        <w:t>,</w:t>
      </w:r>
      <w:r w:rsidR="000F4C98" w:rsidRPr="00706CBA">
        <w:rPr>
          <w:color w:val="000000" w:themeColor="text1"/>
        </w:rPr>
        <w:t xml:space="preserve"> </w:t>
      </w:r>
      <w:r w:rsidR="00347874" w:rsidRPr="00706CBA">
        <w:rPr>
          <w:color w:val="000000" w:themeColor="text1"/>
        </w:rPr>
        <w:t>which</w:t>
      </w:r>
      <w:r w:rsidR="000F4C98" w:rsidRPr="00706CBA">
        <w:rPr>
          <w:color w:val="000000" w:themeColor="text1"/>
        </w:rPr>
        <w:t xml:space="preserve"> deliver electrons to the electron transport chain </w:t>
      </w:r>
      <w:r w:rsidR="004B5FA7" w:rsidRPr="00706CBA">
        <w:rPr>
          <w:color w:val="000000" w:themeColor="text1"/>
        </w:rPr>
        <w:t>that</w:t>
      </w:r>
      <w:r w:rsidR="000F4C98" w:rsidRPr="00706CBA">
        <w:rPr>
          <w:color w:val="000000" w:themeColor="text1"/>
        </w:rPr>
        <w:t xml:space="preserve"> generates a proton gradient across </w:t>
      </w:r>
      <w:r w:rsidR="00706CBA">
        <w:rPr>
          <w:color w:val="000000" w:themeColor="text1"/>
        </w:rPr>
        <w:t xml:space="preserve">the </w:t>
      </w:r>
      <w:r w:rsidR="00347874" w:rsidRPr="00706CBA">
        <w:rPr>
          <w:color w:val="000000" w:themeColor="text1"/>
        </w:rPr>
        <w:t xml:space="preserve">inner </w:t>
      </w:r>
      <w:r w:rsidR="000F4C98" w:rsidRPr="00706CBA">
        <w:rPr>
          <w:color w:val="000000" w:themeColor="text1"/>
        </w:rPr>
        <w:t>mitochondrial membrane</w:t>
      </w:r>
      <w:r w:rsidR="00706CBA">
        <w:rPr>
          <w:color w:val="000000" w:themeColor="text1"/>
        </w:rPr>
        <w:t>,</w:t>
      </w:r>
      <w:r w:rsidR="000F4C98" w:rsidRPr="00706CBA">
        <w:rPr>
          <w:color w:val="000000" w:themeColor="text1"/>
        </w:rPr>
        <w:t xml:space="preserve"> </w:t>
      </w:r>
      <w:r w:rsidR="004B5FA7" w:rsidRPr="00706CBA">
        <w:rPr>
          <w:color w:val="000000" w:themeColor="text1"/>
        </w:rPr>
        <w:t>enabling ATP-synthase to</w:t>
      </w:r>
      <w:r w:rsidR="000F4C98" w:rsidRPr="00706CBA">
        <w:rPr>
          <w:color w:val="000000" w:themeColor="text1"/>
        </w:rPr>
        <w:t xml:space="preserve"> phosphorylat</w:t>
      </w:r>
      <w:r w:rsidR="004B5FA7" w:rsidRPr="00706CBA">
        <w:rPr>
          <w:color w:val="000000" w:themeColor="text1"/>
        </w:rPr>
        <w:t>e</w:t>
      </w:r>
      <w:r w:rsidR="000F4C98" w:rsidRPr="00706CBA">
        <w:rPr>
          <w:color w:val="000000" w:themeColor="text1"/>
        </w:rPr>
        <w:t xml:space="preserve"> ADP to ATP</w:t>
      </w:r>
      <w:r w:rsidR="004B5FA7" w:rsidRPr="00706CBA">
        <w:rPr>
          <w:color w:val="000000" w:themeColor="text1"/>
          <w:vertAlign w:val="superscript"/>
        </w:rPr>
        <w:t>4</w:t>
      </w:r>
      <w:r w:rsidR="000F4C98" w:rsidRPr="00706CBA">
        <w:rPr>
          <w:color w:val="000000" w:themeColor="text1"/>
        </w:rPr>
        <w:t>.</w:t>
      </w:r>
      <w:r w:rsidR="00943243" w:rsidRPr="00706CBA">
        <w:rPr>
          <w:color w:val="000000" w:themeColor="text1"/>
        </w:rPr>
        <w:t xml:space="preserve"> Therefore, </w:t>
      </w:r>
      <w:r w:rsidR="0029005A" w:rsidRPr="00706CBA">
        <w:rPr>
          <w:color w:val="000000" w:themeColor="text1"/>
        </w:rPr>
        <w:t xml:space="preserve">an experimental design to </w:t>
      </w:r>
      <w:r w:rsidR="00943243" w:rsidRPr="00706CBA">
        <w:rPr>
          <w:color w:val="000000" w:themeColor="text1"/>
        </w:rPr>
        <w:t>assay mitochondrial respiration</w:t>
      </w:r>
      <w:r w:rsidR="0029005A" w:rsidRPr="00706CBA">
        <w:rPr>
          <w:color w:val="000000" w:themeColor="text1"/>
        </w:rPr>
        <w:t xml:space="preserve"> must include the sample nature (intact cells, permeabilized cells, or isolated mitochondria) and mitochondrial substrates.   </w:t>
      </w:r>
      <w:r w:rsidR="00943243" w:rsidRPr="00706CBA">
        <w:rPr>
          <w:color w:val="000000" w:themeColor="text1"/>
        </w:rPr>
        <w:t xml:space="preserve"> </w:t>
      </w:r>
    </w:p>
    <w:p w14:paraId="4EF41F94" w14:textId="77777777" w:rsidR="00706CBA" w:rsidRPr="00706CBA" w:rsidRDefault="00706CBA">
      <w:pPr>
        <w:rPr>
          <w:color w:val="000000" w:themeColor="text1"/>
        </w:rPr>
      </w:pPr>
    </w:p>
    <w:p w14:paraId="69D45B43" w14:textId="76C7968E" w:rsidR="00051F58" w:rsidRDefault="00F55AE1" w:rsidP="00DB2607">
      <w:pPr>
        <w:rPr>
          <w:color w:val="000000" w:themeColor="text1"/>
        </w:rPr>
      </w:pPr>
      <w:r w:rsidRPr="00706CBA">
        <w:rPr>
          <w:color w:val="000000" w:themeColor="text1"/>
        </w:rPr>
        <w:t>Cells keep a store of indigenous substrates</w:t>
      </w:r>
      <w:r w:rsidRPr="00706CBA">
        <w:rPr>
          <w:color w:val="000000" w:themeColor="text1"/>
          <w:vertAlign w:val="superscript"/>
        </w:rPr>
        <w:t>5</w:t>
      </w:r>
      <w:r w:rsidRPr="00706CBA">
        <w:rPr>
          <w:color w:val="000000" w:themeColor="text1"/>
        </w:rPr>
        <w:t xml:space="preserve">, and mitochondria </w:t>
      </w:r>
      <w:r w:rsidR="00051F58" w:rsidRPr="00706CBA">
        <w:rPr>
          <w:color w:val="000000" w:themeColor="text1"/>
        </w:rPr>
        <w:t>o</w:t>
      </w:r>
      <w:r w:rsidRPr="00706CBA">
        <w:rPr>
          <w:color w:val="000000" w:themeColor="text1"/>
        </w:rPr>
        <w:t>xidiz</w:t>
      </w:r>
      <w:r w:rsidR="00051F58" w:rsidRPr="00706CBA">
        <w:rPr>
          <w:color w:val="000000" w:themeColor="text1"/>
        </w:rPr>
        <w:t>e</w:t>
      </w:r>
      <w:r w:rsidRPr="00706CBA">
        <w:rPr>
          <w:color w:val="000000" w:themeColor="text1"/>
        </w:rPr>
        <w:t xml:space="preserve"> several types of substrates simultaneously</w:t>
      </w:r>
      <w:r w:rsidRPr="00706CBA">
        <w:rPr>
          <w:color w:val="000000" w:themeColor="text1"/>
          <w:vertAlign w:val="superscript"/>
        </w:rPr>
        <w:t>6</w:t>
      </w:r>
      <w:r w:rsidRPr="00706CBA">
        <w:rPr>
          <w:color w:val="000000" w:themeColor="text1"/>
        </w:rPr>
        <w:t xml:space="preserve">, </w:t>
      </w:r>
      <w:r w:rsidR="00FA084D" w:rsidRPr="00706CBA">
        <w:rPr>
          <w:color w:val="000000" w:themeColor="text1"/>
        </w:rPr>
        <w:t>w</w:t>
      </w:r>
      <w:r w:rsidRPr="00706CBA">
        <w:rPr>
          <w:color w:val="000000" w:themeColor="text1"/>
        </w:rPr>
        <w:t>hich complicates the interpretation</w:t>
      </w:r>
      <w:r w:rsidR="00FA084D" w:rsidRPr="00706CBA">
        <w:rPr>
          <w:color w:val="000000" w:themeColor="text1"/>
        </w:rPr>
        <w:t xml:space="preserve"> of results obtained from experiments performed on intact cells.</w:t>
      </w:r>
      <w:r w:rsidRPr="00706CBA">
        <w:rPr>
          <w:color w:val="000000" w:themeColor="text1"/>
        </w:rPr>
        <w:t xml:space="preserve"> </w:t>
      </w:r>
      <w:r w:rsidR="00DB2607" w:rsidRPr="00706CBA">
        <w:rPr>
          <w:color w:val="000000" w:themeColor="text1"/>
        </w:rPr>
        <w:t xml:space="preserve">A common approach to investigate </w:t>
      </w:r>
      <w:r w:rsidR="00347874" w:rsidRPr="00706CBA">
        <w:rPr>
          <w:color w:val="000000" w:themeColor="text1"/>
        </w:rPr>
        <w:t>mitochondrial ability to oxidize a selected substrate</w:t>
      </w:r>
      <w:r w:rsidR="00DB2607" w:rsidRPr="00706CBA">
        <w:rPr>
          <w:color w:val="000000" w:themeColor="text1"/>
        </w:rPr>
        <w:t xml:space="preserve"> is to isolate mitochondria or permeabilize the investigated cells</w:t>
      </w:r>
      <w:r w:rsidR="00DB2607" w:rsidRPr="00706CBA">
        <w:rPr>
          <w:color w:val="000000" w:themeColor="text1"/>
          <w:vertAlign w:val="superscript"/>
        </w:rPr>
        <w:t>5</w:t>
      </w:r>
      <w:r w:rsidR="00DB2607" w:rsidRPr="00706CBA">
        <w:rPr>
          <w:color w:val="000000" w:themeColor="text1"/>
        </w:rPr>
        <w:t xml:space="preserve">. </w:t>
      </w:r>
      <w:r w:rsidR="00184364" w:rsidRPr="00706CBA">
        <w:rPr>
          <w:color w:val="000000" w:themeColor="text1"/>
        </w:rPr>
        <w:t xml:space="preserve">Although isolated mitochondria are ideal for quantitative studies, the isolation process </w:t>
      </w:r>
      <w:r w:rsidR="00AB558E" w:rsidRPr="00706CBA">
        <w:rPr>
          <w:color w:val="000000" w:themeColor="text1"/>
        </w:rPr>
        <w:t>is laborious</w:t>
      </w:r>
      <w:r w:rsidR="00706CBA">
        <w:rPr>
          <w:color w:val="000000" w:themeColor="text1"/>
        </w:rPr>
        <w:t>. It</w:t>
      </w:r>
      <w:r w:rsidR="00AB558E" w:rsidRPr="00706CBA">
        <w:rPr>
          <w:color w:val="000000" w:themeColor="text1"/>
        </w:rPr>
        <w:t xml:space="preserve"> faces </w:t>
      </w:r>
      <w:r w:rsidR="001720AC" w:rsidRPr="00706CBA">
        <w:rPr>
          <w:color w:val="000000" w:themeColor="text1"/>
        </w:rPr>
        <w:t xml:space="preserve">technical difficulties </w:t>
      </w:r>
      <w:r w:rsidR="00AB558E" w:rsidRPr="00706CBA">
        <w:rPr>
          <w:color w:val="000000" w:themeColor="text1"/>
        </w:rPr>
        <w:t>such as</w:t>
      </w:r>
      <w:r w:rsidR="001720AC" w:rsidRPr="00706CBA">
        <w:rPr>
          <w:color w:val="000000" w:themeColor="text1"/>
        </w:rPr>
        <w:t xml:space="preserve"> the need </w:t>
      </w:r>
      <w:r w:rsidR="00706CBA">
        <w:rPr>
          <w:color w:val="000000" w:themeColor="text1"/>
        </w:rPr>
        <w:t>for</w:t>
      </w:r>
      <w:r w:rsidR="00706CBA" w:rsidRPr="00706CBA">
        <w:rPr>
          <w:color w:val="000000" w:themeColor="text1"/>
        </w:rPr>
        <w:t xml:space="preserve"> </w:t>
      </w:r>
      <w:r w:rsidR="001720AC" w:rsidRPr="00706CBA">
        <w:rPr>
          <w:color w:val="000000" w:themeColor="text1"/>
        </w:rPr>
        <w:t>large sample size</w:t>
      </w:r>
      <w:r w:rsidR="00AB558E" w:rsidRPr="00706CBA">
        <w:rPr>
          <w:color w:val="000000" w:themeColor="text1"/>
        </w:rPr>
        <w:t xml:space="preserve">, purity of the </w:t>
      </w:r>
      <w:r w:rsidR="00184364" w:rsidRPr="00706CBA">
        <w:rPr>
          <w:color w:val="000000" w:themeColor="text1"/>
        </w:rPr>
        <w:t>yield</w:t>
      </w:r>
      <w:r w:rsidR="00AB558E" w:rsidRPr="00706CBA">
        <w:rPr>
          <w:color w:val="000000" w:themeColor="text1"/>
        </w:rPr>
        <w:t>, and reproducibility of the technique</w:t>
      </w:r>
      <w:r w:rsidR="00184364" w:rsidRPr="00706CBA">
        <w:rPr>
          <w:color w:val="000000" w:themeColor="text1"/>
          <w:vertAlign w:val="superscript"/>
        </w:rPr>
        <w:t>5</w:t>
      </w:r>
      <w:r w:rsidR="00184364" w:rsidRPr="00706CBA">
        <w:rPr>
          <w:color w:val="000000" w:themeColor="text1"/>
        </w:rPr>
        <w:t xml:space="preserve">.  </w:t>
      </w:r>
      <w:r w:rsidRPr="00706CBA">
        <w:rPr>
          <w:color w:val="000000" w:themeColor="text1"/>
        </w:rPr>
        <w:t xml:space="preserve">Permeabilized cells offer </w:t>
      </w:r>
      <w:r w:rsidR="00051F58" w:rsidRPr="00706CBA">
        <w:rPr>
          <w:color w:val="000000" w:themeColor="text1"/>
        </w:rPr>
        <w:t>a solution</w:t>
      </w:r>
      <w:r w:rsidRPr="00706CBA">
        <w:rPr>
          <w:color w:val="000000" w:themeColor="text1"/>
        </w:rPr>
        <w:t xml:space="preserve"> for the disadvantages of mitochondrial isolation</w:t>
      </w:r>
      <w:r w:rsidR="00706CBA">
        <w:rPr>
          <w:color w:val="000000" w:themeColor="text1"/>
        </w:rPr>
        <w:t>;</w:t>
      </w:r>
      <w:r w:rsidR="00706CBA" w:rsidRPr="00706CBA">
        <w:rPr>
          <w:color w:val="000000" w:themeColor="text1"/>
        </w:rPr>
        <w:t xml:space="preserve"> </w:t>
      </w:r>
      <w:r w:rsidRPr="00706CBA">
        <w:rPr>
          <w:color w:val="000000" w:themeColor="text1"/>
        </w:rPr>
        <w:t xml:space="preserve">however, </w:t>
      </w:r>
      <w:r w:rsidR="00051F58" w:rsidRPr="00706CBA">
        <w:rPr>
          <w:color w:val="000000" w:themeColor="text1"/>
        </w:rPr>
        <w:t xml:space="preserve">routine permeabilizing agents </w:t>
      </w:r>
      <w:r w:rsidR="004D7D37" w:rsidRPr="00706CBA">
        <w:rPr>
          <w:color w:val="000000" w:themeColor="text1"/>
        </w:rPr>
        <w:t>of detergent nature</w:t>
      </w:r>
      <w:r w:rsidR="00051F58" w:rsidRPr="00706CBA">
        <w:rPr>
          <w:color w:val="000000" w:themeColor="text1"/>
        </w:rPr>
        <w:t xml:space="preserve"> are not specific and may damage mitochondrial membranes</w:t>
      </w:r>
      <w:r w:rsidR="00051F58" w:rsidRPr="00706CBA">
        <w:rPr>
          <w:color w:val="000000" w:themeColor="text1"/>
          <w:vertAlign w:val="superscript"/>
        </w:rPr>
        <w:t>5</w:t>
      </w:r>
      <w:r w:rsidR="00051F58" w:rsidRPr="00706CBA">
        <w:rPr>
          <w:color w:val="000000" w:themeColor="text1"/>
        </w:rPr>
        <w:t xml:space="preserve">. </w:t>
      </w:r>
    </w:p>
    <w:p w14:paraId="027F593E" w14:textId="77777777" w:rsidR="00706CBA" w:rsidRPr="00706CBA" w:rsidRDefault="00706CBA" w:rsidP="00DB2607">
      <w:pPr>
        <w:rPr>
          <w:color w:val="000000" w:themeColor="text1"/>
        </w:rPr>
      </w:pPr>
    </w:p>
    <w:p w14:paraId="2365FA4E" w14:textId="55924F40" w:rsidR="00706CBA" w:rsidRPr="00706CBA" w:rsidRDefault="00051F58" w:rsidP="00DB2607">
      <w:pPr>
        <w:rPr>
          <w:color w:val="000000" w:themeColor="text1"/>
        </w:rPr>
      </w:pPr>
      <w:r w:rsidRPr="00706CBA">
        <w:rPr>
          <w:color w:val="000000" w:themeColor="text1"/>
        </w:rPr>
        <w:t xml:space="preserve">Recombinant </w:t>
      </w:r>
      <w:proofErr w:type="spellStart"/>
      <w:r w:rsidRPr="00706CBA">
        <w:rPr>
          <w:color w:val="000000" w:themeColor="text1"/>
        </w:rPr>
        <w:t>perfringolysin</w:t>
      </w:r>
      <w:proofErr w:type="spellEnd"/>
      <w:r w:rsidRPr="00706CBA">
        <w:rPr>
          <w:color w:val="000000" w:themeColor="text1"/>
        </w:rPr>
        <w:t xml:space="preserve"> O (</w:t>
      </w:r>
      <w:proofErr w:type="spellStart"/>
      <w:r w:rsidRPr="00706CBA">
        <w:rPr>
          <w:color w:val="000000" w:themeColor="text1"/>
        </w:rPr>
        <w:t>rPFO</w:t>
      </w:r>
      <w:proofErr w:type="spellEnd"/>
      <w:r w:rsidRPr="00706CBA">
        <w:rPr>
          <w:color w:val="000000" w:themeColor="text1"/>
        </w:rPr>
        <w:t xml:space="preserve">) was offered as a selective </w:t>
      </w:r>
      <w:r w:rsidR="00873FD7" w:rsidRPr="00706CBA">
        <w:rPr>
          <w:color w:val="000000" w:themeColor="text1"/>
        </w:rPr>
        <w:t xml:space="preserve">plasma membrane </w:t>
      </w:r>
      <w:r w:rsidRPr="00706CBA">
        <w:rPr>
          <w:color w:val="000000" w:themeColor="text1"/>
        </w:rPr>
        <w:t>permeabilizing agent</w:t>
      </w:r>
      <w:r w:rsidR="0057687E" w:rsidRPr="00706CBA">
        <w:rPr>
          <w:color w:val="000000" w:themeColor="text1"/>
          <w:vertAlign w:val="superscript"/>
        </w:rPr>
        <w:t>7</w:t>
      </w:r>
      <w:r w:rsidR="00AA782F" w:rsidRPr="00706CBA">
        <w:rPr>
          <w:color w:val="000000" w:themeColor="text1"/>
        </w:rPr>
        <w:t>,</w:t>
      </w:r>
      <w:r w:rsidR="00873FD7" w:rsidRPr="00706CBA">
        <w:rPr>
          <w:color w:val="000000" w:themeColor="text1"/>
        </w:rPr>
        <w:t xml:space="preserve"> </w:t>
      </w:r>
      <w:r w:rsidR="00AA782F" w:rsidRPr="00706CBA">
        <w:rPr>
          <w:color w:val="000000" w:themeColor="text1"/>
        </w:rPr>
        <w:t xml:space="preserve">and it </w:t>
      </w:r>
      <w:r w:rsidR="00873FD7" w:rsidRPr="00706CBA">
        <w:rPr>
          <w:color w:val="000000" w:themeColor="text1"/>
        </w:rPr>
        <w:t xml:space="preserve">was used successfully in </w:t>
      </w:r>
      <w:r w:rsidR="00545F1D" w:rsidRPr="00706CBA">
        <w:rPr>
          <w:color w:val="000000" w:themeColor="text1"/>
        </w:rPr>
        <w:t xml:space="preserve">combination with </w:t>
      </w:r>
      <w:r w:rsidR="00706CBA">
        <w:rPr>
          <w:color w:val="000000" w:themeColor="text1"/>
        </w:rPr>
        <w:t xml:space="preserve">an </w:t>
      </w:r>
      <w:r w:rsidR="00545F1D" w:rsidRPr="00706CBA">
        <w:rPr>
          <w:color w:val="000000" w:themeColor="text1"/>
        </w:rPr>
        <w:t xml:space="preserve">extracellular flux analyzer in </w:t>
      </w:r>
      <w:r w:rsidR="00873FD7" w:rsidRPr="00706CBA">
        <w:rPr>
          <w:color w:val="000000" w:themeColor="text1"/>
        </w:rPr>
        <w:t>several studies</w:t>
      </w:r>
      <w:r w:rsidR="002B4F2F" w:rsidRPr="00706CBA">
        <w:rPr>
          <w:color w:val="000000" w:themeColor="text1"/>
          <w:vertAlign w:val="superscript"/>
        </w:rPr>
        <w:t>7</w:t>
      </w:r>
      <w:r w:rsidR="00706CBA">
        <w:rPr>
          <w:color w:val="000000" w:themeColor="text1"/>
          <w:vertAlign w:val="superscript"/>
        </w:rPr>
        <w:t>–</w:t>
      </w:r>
      <w:r w:rsidR="002B4F2F" w:rsidRPr="00706CBA">
        <w:rPr>
          <w:color w:val="000000" w:themeColor="text1"/>
          <w:vertAlign w:val="superscript"/>
        </w:rPr>
        <w:t>10</w:t>
      </w:r>
      <w:r w:rsidR="002B4F2F" w:rsidRPr="00706CBA">
        <w:rPr>
          <w:color w:val="000000" w:themeColor="text1"/>
        </w:rPr>
        <w:t>. We</w:t>
      </w:r>
      <w:r w:rsidR="00873FD7" w:rsidRPr="00706CBA">
        <w:rPr>
          <w:color w:val="000000" w:themeColor="text1"/>
        </w:rPr>
        <w:t xml:space="preserve"> have modified a protocol </w:t>
      </w:r>
      <w:r w:rsidR="00D2252E" w:rsidRPr="00706CBA">
        <w:rPr>
          <w:color w:val="000000" w:themeColor="text1"/>
        </w:rPr>
        <w:t xml:space="preserve">using </w:t>
      </w:r>
      <w:proofErr w:type="spellStart"/>
      <w:r w:rsidR="002C7CE0" w:rsidRPr="00706CBA">
        <w:rPr>
          <w:color w:val="000000" w:themeColor="text1"/>
        </w:rPr>
        <w:t>rPFO</w:t>
      </w:r>
      <w:proofErr w:type="spellEnd"/>
      <w:r w:rsidR="00D2252E" w:rsidRPr="00706CBA">
        <w:rPr>
          <w:color w:val="000000" w:themeColor="text1"/>
        </w:rPr>
        <w:t xml:space="preserve"> </w:t>
      </w:r>
      <w:r w:rsidR="00943243" w:rsidRPr="00706CBA">
        <w:rPr>
          <w:color w:val="000000" w:themeColor="text1"/>
        </w:rPr>
        <w:t>to screen mitochondrial</w:t>
      </w:r>
      <w:r w:rsidR="00D2252E" w:rsidRPr="00706CBA">
        <w:rPr>
          <w:color w:val="000000" w:themeColor="text1"/>
        </w:rPr>
        <w:t xml:space="preserve"> substrate flux </w:t>
      </w:r>
      <w:r w:rsidR="00545F1D" w:rsidRPr="00706CBA">
        <w:rPr>
          <w:color w:val="000000" w:themeColor="text1"/>
        </w:rPr>
        <w:t xml:space="preserve">using </w:t>
      </w:r>
      <w:r w:rsidR="0057687E" w:rsidRPr="00706CBA">
        <w:rPr>
          <w:color w:val="000000" w:themeColor="text1"/>
        </w:rPr>
        <w:t>XFe96</w:t>
      </w:r>
      <w:r w:rsidR="00545F1D" w:rsidRPr="00706CBA">
        <w:rPr>
          <w:color w:val="000000" w:themeColor="text1"/>
        </w:rPr>
        <w:t xml:space="preserve"> extracellular flux analyzer. In this protocol</w:t>
      </w:r>
      <w:r w:rsidR="0076708F" w:rsidRPr="00706CBA">
        <w:rPr>
          <w:color w:val="000000" w:themeColor="text1"/>
        </w:rPr>
        <w:t>,</w:t>
      </w:r>
      <w:r w:rsidR="00545F1D" w:rsidRPr="00706CBA">
        <w:rPr>
          <w:color w:val="000000" w:themeColor="text1"/>
        </w:rPr>
        <w:t xml:space="preserve"> four different substrate oxidizing pathways in two cellular phenotypes</w:t>
      </w:r>
      <w:r w:rsidR="0076708F" w:rsidRPr="00706CBA">
        <w:rPr>
          <w:color w:val="000000" w:themeColor="text1"/>
        </w:rPr>
        <w:t xml:space="preserve"> are compared</w:t>
      </w:r>
      <w:r w:rsidR="00545F1D" w:rsidRPr="00706CBA">
        <w:rPr>
          <w:color w:val="000000" w:themeColor="text1"/>
        </w:rPr>
        <w:t xml:space="preserve"> while having sufficient replicates and the proper control for each tested material. </w:t>
      </w:r>
    </w:p>
    <w:p w14:paraId="48BA6B0A" w14:textId="68F726A2" w:rsidR="006E4797" w:rsidRPr="00706CBA" w:rsidRDefault="006E4797">
      <w:pPr>
        <w:rPr>
          <w:b/>
          <w:color w:val="000000" w:themeColor="text1"/>
        </w:rPr>
      </w:pPr>
    </w:p>
    <w:p w14:paraId="32A92E82" w14:textId="595D80E4" w:rsidR="006E4797" w:rsidRDefault="00551D82">
      <w:pPr>
        <w:rPr>
          <w:b/>
          <w:color w:val="000000" w:themeColor="text1"/>
        </w:rPr>
      </w:pPr>
      <w:r w:rsidRPr="00706CBA">
        <w:rPr>
          <w:b/>
          <w:color w:val="000000" w:themeColor="text1"/>
        </w:rPr>
        <w:t>PROTOCOL:</w:t>
      </w:r>
    </w:p>
    <w:p w14:paraId="5E26924E" w14:textId="77777777" w:rsidR="00706CBA" w:rsidRPr="00706CBA" w:rsidRDefault="00706CBA">
      <w:pPr>
        <w:rPr>
          <w:b/>
          <w:bCs/>
          <w:color w:val="000000" w:themeColor="text1"/>
        </w:rPr>
      </w:pPr>
    </w:p>
    <w:p w14:paraId="26B42DB5" w14:textId="508E8B36" w:rsidR="0026034D" w:rsidRPr="00706CBA" w:rsidRDefault="0026034D" w:rsidP="00706CBA">
      <w:pPr>
        <w:pStyle w:val="ListParagraph"/>
        <w:numPr>
          <w:ilvl w:val="0"/>
          <w:numId w:val="14"/>
        </w:numPr>
        <w:ind w:left="0" w:firstLine="0"/>
        <w:rPr>
          <w:b/>
          <w:bCs/>
          <w:color w:val="000000" w:themeColor="text1"/>
        </w:rPr>
      </w:pPr>
      <w:r w:rsidRPr="00706CBA">
        <w:rPr>
          <w:b/>
          <w:bCs/>
          <w:color w:val="000000" w:themeColor="text1"/>
        </w:rPr>
        <w:t>One day before the assay</w:t>
      </w:r>
    </w:p>
    <w:p w14:paraId="077F88F6" w14:textId="77777777" w:rsidR="00706CBA" w:rsidRPr="00706CBA" w:rsidRDefault="00706CBA" w:rsidP="00706CBA">
      <w:pPr>
        <w:pStyle w:val="ListParagraph"/>
        <w:ind w:left="0"/>
        <w:rPr>
          <w:color w:val="000000" w:themeColor="text1"/>
        </w:rPr>
      </w:pPr>
    </w:p>
    <w:p w14:paraId="05914716" w14:textId="21720CAC" w:rsidR="00E31D6C" w:rsidRDefault="005261D5" w:rsidP="00706CBA">
      <w:pPr>
        <w:pStyle w:val="ListParagraph"/>
        <w:numPr>
          <w:ilvl w:val="1"/>
          <w:numId w:val="14"/>
        </w:numPr>
        <w:ind w:left="0" w:firstLine="0"/>
        <w:rPr>
          <w:color w:val="000000" w:themeColor="text1"/>
        </w:rPr>
      </w:pPr>
      <w:r>
        <w:rPr>
          <w:color w:val="000000" w:themeColor="text1"/>
        </w:rPr>
        <w:t>Preparation of r</w:t>
      </w:r>
      <w:r w:rsidRPr="00706CBA">
        <w:rPr>
          <w:color w:val="000000" w:themeColor="text1"/>
        </w:rPr>
        <w:t xml:space="preserve">eagents </w:t>
      </w:r>
      <w:r w:rsidR="00E31D6C" w:rsidRPr="00706CBA">
        <w:rPr>
          <w:color w:val="000000" w:themeColor="text1"/>
        </w:rPr>
        <w:t>and substrates</w:t>
      </w:r>
      <w:r>
        <w:rPr>
          <w:color w:val="000000" w:themeColor="text1"/>
        </w:rPr>
        <w:t>.</w:t>
      </w:r>
    </w:p>
    <w:p w14:paraId="0795CCE3" w14:textId="77777777" w:rsidR="00706CBA" w:rsidRPr="00706CBA" w:rsidRDefault="00706CBA" w:rsidP="00706CBA">
      <w:pPr>
        <w:pStyle w:val="ListParagraph"/>
        <w:ind w:left="0"/>
        <w:rPr>
          <w:color w:val="000000" w:themeColor="text1"/>
        </w:rPr>
      </w:pPr>
    </w:p>
    <w:p w14:paraId="3EB9987D" w14:textId="17DC6C4B" w:rsidR="009D38CA" w:rsidRDefault="00E31D6C" w:rsidP="00706CBA">
      <w:pPr>
        <w:pStyle w:val="ListParagraph"/>
        <w:numPr>
          <w:ilvl w:val="2"/>
          <w:numId w:val="14"/>
        </w:numPr>
        <w:ind w:left="0" w:firstLine="0"/>
        <w:rPr>
          <w:color w:val="000000" w:themeColor="text1"/>
        </w:rPr>
      </w:pPr>
      <w:bookmarkStart w:id="0" w:name="_Hlk71558772"/>
      <w:r w:rsidRPr="00706CBA">
        <w:rPr>
          <w:color w:val="000000" w:themeColor="text1"/>
        </w:rPr>
        <w:t>Mitochondrial assay solution (MAS)</w:t>
      </w:r>
      <w:r w:rsidR="00706CBA">
        <w:rPr>
          <w:color w:val="000000" w:themeColor="text1"/>
        </w:rPr>
        <w:t xml:space="preserve">: </w:t>
      </w:r>
      <w:bookmarkEnd w:id="0"/>
      <w:r w:rsidR="009D38CA" w:rsidRPr="00706CBA">
        <w:rPr>
          <w:color w:val="000000" w:themeColor="text1"/>
        </w:rPr>
        <w:t xml:space="preserve">Prepare stock concentration of all reagents as described in </w:t>
      </w:r>
      <w:r w:rsidR="00435F0B" w:rsidRPr="00706CBA">
        <w:rPr>
          <w:b/>
          <w:bCs/>
          <w:color w:val="000000" w:themeColor="text1"/>
        </w:rPr>
        <w:t>T</w:t>
      </w:r>
      <w:r w:rsidR="009D38CA" w:rsidRPr="00706CBA">
        <w:rPr>
          <w:b/>
          <w:bCs/>
          <w:color w:val="000000" w:themeColor="text1"/>
        </w:rPr>
        <w:t>able 1</w:t>
      </w:r>
      <w:r w:rsidR="009D38CA" w:rsidRPr="00706CBA">
        <w:rPr>
          <w:color w:val="000000" w:themeColor="text1"/>
        </w:rPr>
        <w:t xml:space="preserve">. </w:t>
      </w:r>
      <w:r w:rsidR="00706CBA">
        <w:rPr>
          <w:color w:val="000000" w:themeColor="text1"/>
        </w:rPr>
        <w:t xml:space="preserve"> Warm the</w:t>
      </w:r>
      <w:r w:rsidR="009D38CA" w:rsidRPr="00706CBA">
        <w:rPr>
          <w:color w:val="000000" w:themeColor="text1"/>
        </w:rPr>
        <w:t xml:space="preserve"> stock</w:t>
      </w:r>
      <w:r w:rsidR="00BA7CF8" w:rsidRPr="00706CBA">
        <w:rPr>
          <w:color w:val="000000" w:themeColor="text1"/>
        </w:rPr>
        <w:t>s</w:t>
      </w:r>
      <w:r w:rsidR="009D38CA" w:rsidRPr="00706CBA">
        <w:rPr>
          <w:color w:val="000000" w:themeColor="text1"/>
        </w:rPr>
        <w:t xml:space="preserve"> of mannitol and sucrose to 37</w:t>
      </w:r>
      <w:r w:rsidR="00706CBA">
        <w:rPr>
          <w:color w:val="000000" w:themeColor="text1"/>
        </w:rPr>
        <w:t xml:space="preserve"> </w:t>
      </w:r>
      <w:r w:rsidR="009D38CA" w:rsidRPr="00706CBA">
        <w:rPr>
          <w:color w:val="000000" w:themeColor="text1"/>
        </w:rPr>
        <w:t xml:space="preserve">°C to completely dissolve. </w:t>
      </w:r>
      <w:r w:rsidR="001045F2" w:rsidRPr="00706CBA">
        <w:rPr>
          <w:color w:val="000000" w:themeColor="text1"/>
        </w:rPr>
        <w:t>Mix the reagent</w:t>
      </w:r>
      <w:r w:rsidR="00CC7D55" w:rsidRPr="00706CBA">
        <w:rPr>
          <w:color w:val="000000" w:themeColor="text1"/>
        </w:rPr>
        <w:t>s</w:t>
      </w:r>
      <w:r w:rsidR="001045F2" w:rsidRPr="00706CBA">
        <w:rPr>
          <w:color w:val="000000" w:themeColor="text1"/>
        </w:rPr>
        <w:t xml:space="preserve"> to p</w:t>
      </w:r>
      <w:r w:rsidR="009D38CA" w:rsidRPr="00706CBA">
        <w:rPr>
          <w:color w:val="000000" w:themeColor="text1"/>
        </w:rPr>
        <w:t xml:space="preserve">repare </w:t>
      </w:r>
      <w:r w:rsidR="008279D7" w:rsidRPr="00706CBA">
        <w:rPr>
          <w:color w:val="000000" w:themeColor="text1"/>
        </w:rPr>
        <w:t>2</w:t>
      </w:r>
      <w:r w:rsidR="00706CBA">
        <w:rPr>
          <w:color w:val="000000" w:themeColor="text1"/>
        </w:rPr>
        <w:t>x</w:t>
      </w:r>
      <w:r w:rsidR="00706CBA" w:rsidRPr="00706CBA">
        <w:rPr>
          <w:color w:val="000000" w:themeColor="text1"/>
        </w:rPr>
        <w:t xml:space="preserve"> </w:t>
      </w:r>
      <w:r w:rsidR="009D38CA" w:rsidRPr="00706CBA">
        <w:rPr>
          <w:color w:val="000000" w:themeColor="text1"/>
        </w:rPr>
        <w:t>MAS</w:t>
      </w:r>
      <w:r w:rsidR="00706CBA">
        <w:rPr>
          <w:color w:val="000000" w:themeColor="text1"/>
        </w:rPr>
        <w:t>,</w:t>
      </w:r>
      <w:r w:rsidR="004B7BFA" w:rsidRPr="00706CBA">
        <w:rPr>
          <w:color w:val="000000" w:themeColor="text1"/>
        </w:rPr>
        <w:t xml:space="preserve"> </w:t>
      </w:r>
      <w:r w:rsidR="00CC7D55" w:rsidRPr="00706CBA">
        <w:rPr>
          <w:color w:val="000000" w:themeColor="text1"/>
        </w:rPr>
        <w:t>then warm the mixture to 37</w:t>
      </w:r>
      <w:r w:rsidR="00706CBA">
        <w:rPr>
          <w:color w:val="000000" w:themeColor="text1"/>
        </w:rPr>
        <w:t xml:space="preserve"> </w:t>
      </w:r>
      <w:r w:rsidR="00CC7D55" w:rsidRPr="00706CBA">
        <w:rPr>
          <w:color w:val="000000" w:themeColor="text1"/>
        </w:rPr>
        <w:t>°C.</w:t>
      </w:r>
      <w:r w:rsidR="009D38CA" w:rsidRPr="00706CBA">
        <w:rPr>
          <w:color w:val="000000" w:themeColor="text1"/>
        </w:rPr>
        <w:t xml:space="preserve"> Adjust the pH with 5N KOH to 7.4 </w:t>
      </w:r>
      <w:r w:rsidR="00706CBA" w:rsidRPr="00706CBA">
        <w:rPr>
          <w:color w:val="000000" w:themeColor="text1"/>
        </w:rPr>
        <w:t>(</w:t>
      </w:r>
      <w:r w:rsidR="00706CBA">
        <w:rPr>
          <w:color w:val="000000" w:themeColor="text1"/>
        </w:rPr>
        <w:t>~</w:t>
      </w:r>
      <w:r w:rsidR="009D38CA" w:rsidRPr="00706CBA">
        <w:rPr>
          <w:color w:val="000000" w:themeColor="text1"/>
        </w:rPr>
        <w:t>7 m</w:t>
      </w:r>
      <w:r w:rsidR="00706CBA">
        <w:rPr>
          <w:color w:val="000000" w:themeColor="text1"/>
        </w:rPr>
        <w:t>L</w:t>
      </w:r>
      <w:r w:rsidR="009D38CA" w:rsidRPr="00706CBA">
        <w:rPr>
          <w:color w:val="000000" w:themeColor="text1"/>
        </w:rPr>
        <w:t>)</w:t>
      </w:r>
      <w:r w:rsidR="00706CBA">
        <w:rPr>
          <w:color w:val="000000" w:themeColor="text1"/>
        </w:rPr>
        <w:t>,</w:t>
      </w:r>
      <w:r w:rsidR="009D38CA" w:rsidRPr="00706CBA">
        <w:rPr>
          <w:color w:val="000000" w:themeColor="text1"/>
        </w:rPr>
        <w:t xml:space="preserve"> then add </w:t>
      </w:r>
      <w:r w:rsidR="001F6AEA" w:rsidRPr="00706CBA">
        <w:rPr>
          <w:color w:val="000000" w:themeColor="text1"/>
        </w:rPr>
        <w:t>water</w:t>
      </w:r>
      <w:r w:rsidR="009D38CA" w:rsidRPr="00706CBA">
        <w:rPr>
          <w:color w:val="000000" w:themeColor="text1"/>
        </w:rPr>
        <w:t xml:space="preserve"> to </w:t>
      </w:r>
      <w:r w:rsidR="005261D5">
        <w:rPr>
          <w:color w:val="000000" w:themeColor="text1"/>
        </w:rPr>
        <w:t>bring the</w:t>
      </w:r>
      <w:r w:rsidR="009D38CA" w:rsidRPr="00706CBA">
        <w:rPr>
          <w:color w:val="000000" w:themeColor="text1"/>
        </w:rPr>
        <w:t xml:space="preserve"> volume </w:t>
      </w:r>
      <w:r w:rsidR="005261D5">
        <w:rPr>
          <w:color w:val="000000" w:themeColor="text1"/>
        </w:rPr>
        <w:t>up to</w:t>
      </w:r>
      <w:r w:rsidR="005261D5" w:rsidRPr="00706CBA">
        <w:rPr>
          <w:color w:val="000000" w:themeColor="text1"/>
        </w:rPr>
        <w:t xml:space="preserve"> </w:t>
      </w:r>
      <w:r w:rsidR="009D38CA" w:rsidRPr="00706CBA">
        <w:rPr>
          <w:color w:val="000000" w:themeColor="text1"/>
        </w:rPr>
        <w:t xml:space="preserve">1 </w:t>
      </w:r>
      <w:r w:rsidR="00706CBA">
        <w:rPr>
          <w:color w:val="000000" w:themeColor="text1"/>
        </w:rPr>
        <w:t>L</w:t>
      </w:r>
      <w:r w:rsidR="009D38CA" w:rsidRPr="00706CBA">
        <w:rPr>
          <w:color w:val="000000" w:themeColor="text1"/>
        </w:rPr>
        <w:t>. Filter steril</w:t>
      </w:r>
      <w:r w:rsidR="00706CBA">
        <w:rPr>
          <w:color w:val="000000" w:themeColor="text1"/>
        </w:rPr>
        <w:t>ize</w:t>
      </w:r>
      <w:r w:rsidR="009D38CA" w:rsidRPr="00706CBA">
        <w:rPr>
          <w:color w:val="000000" w:themeColor="text1"/>
        </w:rPr>
        <w:t xml:space="preserve"> and store </w:t>
      </w:r>
      <w:r w:rsidR="005261D5">
        <w:rPr>
          <w:color w:val="000000" w:themeColor="text1"/>
        </w:rPr>
        <w:t xml:space="preserve">the </w:t>
      </w:r>
      <w:r w:rsidR="009D38CA" w:rsidRPr="00706CBA">
        <w:rPr>
          <w:color w:val="000000" w:themeColor="text1"/>
        </w:rPr>
        <w:t xml:space="preserve">aliquots </w:t>
      </w:r>
      <w:r w:rsidR="00E83B9C" w:rsidRPr="00706CBA">
        <w:rPr>
          <w:color w:val="000000" w:themeColor="text1"/>
        </w:rPr>
        <w:t>at</w:t>
      </w:r>
      <w:r w:rsidR="009D38CA" w:rsidRPr="00706CBA">
        <w:rPr>
          <w:color w:val="000000" w:themeColor="text1"/>
        </w:rPr>
        <w:t xml:space="preserve"> -20</w:t>
      </w:r>
      <w:r w:rsidR="00706CBA">
        <w:rPr>
          <w:color w:val="000000" w:themeColor="text1"/>
        </w:rPr>
        <w:t xml:space="preserve"> </w:t>
      </w:r>
      <w:r w:rsidR="009D38CA" w:rsidRPr="00706CBA">
        <w:rPr>
          <w:color w:val="000000" w:themeColor="text1"/>
        </w:rPr>
        <w:t>°C until the measurement day.</w:t>
      </w:r>
      <w:r w:rsidR="00CC7D55" w:rsidRPr="00706CBA">
        <w:rPr>
          <w:color w:val="000000" w:themeColor="text1"/>
        </w:rPr>
        <w:t xml:space="preserve"> </w:t>
      </w:r>
    </w:p>
    <w:p w14:paraId="7E3B110A" w14:textId="77777777" w:rsidR="00706CBA" w:rsidRPr="00706CBA" w:rsidRDefault="00706CBA" w:rsidP="00706CBA">
      <w:pPr>
        <w:pStyle w:val="ListParagraph"/>
        <w:ind w:left="0"/>
        <w:rPr>
          <w:color w:val="000000" w:themeColor="text1"/>
        </w:rPr>
      </w:pPr>
    </w:p>
    <w:p w14:paraId="53785818" w14:textId="2F2D5C50" w:rsidR="009D38CA" w:rsidRDefault="00E31D6C" w:rsidP="00706CBA">
      <w:pPr>
        <w:pStyle w:val="ListParagraph"/>
        <w:numPr>
          <w:ilvl w:val="2"/>
          <w:numId w:val="14"/>
        </w:numPr>
        <w:ind w:left="0" w:firstLine="0"/>
        <w:rPr>
          <w:color w:val="000000" w:themeColor="text1"/>
        </w:rPr>
      </w:pPr>
      <w:r w:rsidRPr="00706CBA">
        <w:rPr>
          <w:color w:val="000000" w:themeColor="text1"/>
        </w:rPr>
        <w:t>B</w:t>
      </w:r>
      <w:r w:rsidR="004B7BFA" w:rsidRPr="00706CBA">
        <w:rPr>
          <w:color w:val="000000" w:themeColor="text1"/>
        </w:rPr>
        <w:t>ovine serum albumin (</w:t>
      </w:r>
      <w:r w:rsidR="005261D5">
        <w:rPr>
          <w:color w:val="000000" w:themeColor="text1"/>
        </w:rPr>
        <w:t xml:space="preserve">5% </w:t>
      </w:r>
      <w:r w:rsidR="004B7BFA" w:rsidRPr="00706CBA">
        <w:rPr>
          <w:color w:val="000000" w:themeColor="text1"/>
        </w:rPr>
        <w:t>BSA)</w:t>
      </w:r>
      <w:r w:rsidR="00706CBA">
        <w:rPr>
          <w:color w:val="000000" w:themeColor="text1"/>
        </w:rPr>
        <w:t xml:space="preserve">: </w:t>
      </w:r>
      <w:r w:rsidR="009D38CA" w:rsidRPr="00706CBA">
        <w:rPr>
          <w:color w:val="000000" w:themeColor="text1"/>
        </w:rPr>
        <w:t xml:space="preserve">Dissolve 5 g of BSA in 90 </w:t>
      </w:r>
      <w:r w:rsidR="00706CBA" w:rsidRPr="00706CBA">
        <w:rPr>
          <w:color w:val="000000" w:themeColor="text1"/>
        </w:rPr>
        <w:t>m</w:t>
      </w:r>
      <w:r w:rsidR="00706CBA">
        <w:rPr>
          <w:color w:val="000000" w:themeColor="text1"/>
        </w:rPr>
        <w:t>L</w:t>
      </w:r>
      <w:r w:rsidR="00706CBA" w:rsidRPr="00706CBA">
        <w:rPr>
          <w:color w:val="000000" w:themeColor="text1"/>
        </w:rPr>
        <w:t xml:space="preserve"> </w:t>
      </w:r>
      <w:r w:rsidR="009D38CA" w:rsidRPr="00706CBA">
        <w:rPr>
          <w:color w:val="000000" w:themeColor="text1"/>
        </w:rPr>
        <w:t xml:space="preserve">of prewarmed sterile </w:t>
      </w:r>
      <w:r w:rsidR="001F6AEA" w:rsidRPr="00706CBA">
        <w:rPr>
          <w:color w:val="000000" w:themeColor="text1"/>
        </w:rPr>
        <w:t>water</w:t>
      </w:r>
      <w:r w:rsidR="009D38CA" w:rsidRPr="00706CBA">
        <w:rPr>
          <w:color w:val="000000" w:themeColor="text1"/>
        </w:rPr>
        <w:t xml:space="preserve"> </w:t>
      </w:r>
      <w:r w:rsidR="004B7BFA" w:rsidRPr="00706CBA">
        <w:rPr>
          <w:color w:val="000000" w:themeColor="text1"/>
        </w:rPr>
        <w:t>on a magnetic stirrer</w:t>
      </w:r>
      <w:r w:rsidR="00706CBA">
        <w:rPr>
          <w:color w:val="000000" w:themeColor="text1"/>
        </w:rPr>
        <w:t>,</w:t>
      </w:r>
      <w:r w:rsidR="009D38CA" w:rsidRPr="00706CBA">
        <w:rPr>
          <w:color w:val="000000" w:themeColor="text1"/>
        </w:rPr>
        <w:t xml:space="preserve"> avoid shaking. Adjust pH to 7.4</w:t>
      </w:r>
      <w:r w:rsidR="005261D5">
        <w:rPr>
          <w:color w:val="000000" w:themeColor="text1"/>
        </w:rPr>
        <w:t xml:space="preserve"> </w:t>
      </w:r>
      <w:r w:rsidR="005261D5" w:rsidRPr="00706CBA">
        <w:rPr>
          <w:color w:val="000000" w:themeColor="text1"/>
        </w:rPr>
        <w:t>with 5N KOH</w:t>
      </w:r>
      <w:r w:rsidR="00706CBA">
        <w:rPr>
          <w:color w:val="000000" w:themeColor="text1"/>
        </w:rPr>
        <w:t>,</w:t>
      </w:r>
      <w:r w:rsidR="009D38CA" w:rsidRPr="00706CBA">
        <w:rPr>
          <w:color w:val="000000" w:themeColor="text1"/>
        </w:rPr>
        <w:t xml:space="preserve"> then add </w:t>
      </w:r>
      <w:r w:rsidR="001F6AEA" w:rsidRPr="00706CBA">
        <w:rPr>
          <w:color w:val="000000" w:themeColor="text1"/>
        </w:rPr>
        <w:t>water</w:t>
      </w:r>
      <w:r w:rsidR="009D38CA" w:rsidRPr="00706CBA">
        <w:rPr>
          <w:color w:val="000000" w:themeColor="text1"/>
        </w:rPr>
        <w:t xml:space="preserve"> </w:t>
      </w:r>
      <w:r w:rsidR="005261D5" w:rsidRPr="00706CBA">
        <w:rPr>
          <w:color w:val="000000" w:themeColor="text1"/>
        </w:rPr>
        <w:t xml:space="preserve">to </w:t>
      </w:r>
      <w:r w:rsidR="005261D5">
        <w:rPr>
          <w:color w:val="000000" w:themeColor="text1"/>
        </w:rPr>
        <w:t>bring the</w:t>
      </w:r>
      <w:r w:rsidR="005261D5" w:rsidRPr="00706CBA">
        <w:rPr>
          <w:color w:val="000000" w:themeColor="text1"/>
        </w:rPr>
        <w:t xml:space="preserve"> volume </w:t>
      </w:r>
      <w:r w:rsidR="005261D5">
        <w:rPr>
          <w:color w:val="000000" w:themeColor="text1"/>
        </w:rPr>
        <w:t>up to</w:t>
      </w:r>
      <w:r w:rsidR="005261D5" w:rsidRPr="00706CBA">
        <w:rPr>
          <w:color w:val="000000" w:themeColor="text1"/>
        </w:rPr>
        <w:t xml:space="preserve"> </w:t>
      </w:r>
      <w:r w:rsidR="009D38CA" w:rsidRPr="00706CBA">
        <w:rPr>
          <w:color w:val="000000" w:themeColor="text1"/>
        </w:rPr>
        <w:t xml:space="preserve">100 </w:t>
      </w:r>
      <w:proofErr w:type="spellStart"/>
      <w:r w:rsidR="009D38CA" w:rsidRPr="00706CBA">
        <w:rPr>
          <w:color w:val="000000" w:themeColor="text1"/>
        </w:rPr>
        <w:t>m</w:t>
      </w:r>
      <w:r w:rsidR="00706CBA">
        <w:rPr>
          <w:color w:val="000000" w:themeColor="text1"/>
        </w:rPr>
        <w:t>L</w:t>
      </w:r>
      <w:r w:rsidR="009D38CA" w:rsidRPr="00706CBA">
        <w:rPr>
          <w:color w:val="000000" w:themeColor="text1"/>
        </w:rPr>
        <w:t>.</w:t>
      </w:r>
      <w:proofErr w:type="spellEnd"/>
      <w:r w:rsidR="009D38CA" w:rsidRPr="00706CBA">
        <w:rPr>
          <w:color w:val="000000" w:themeColor="text1"/>
        </w:rPr>
        <w:t xml:space="preserve"> </w:t>
      </w:r>
      <w:proofErr w:type="gramStart"/>
      <w:r w:rsidR="009D38CA" w:rsidRPr="00706CBA">
        <w:rPr>
          <w:color w:val="000000" w:themeColor="text1"/>
        </w:rPr>
        <w:t>Filter</w:t>
      </w:r>
      <w:proofErr w:type="gramEnd"/>
      <w:r w:rsidR="009D38CA" w:rsidRPr="00706CBA">
        <w:rPr>
          <w:color w:val="000000" w:themeColor="text1"/>
        </w:rPr>
        <w:t xml:space="preserve"> </w:t>
      </w:r>
      <w:r w:rsidR="00706CBA" w:rsidRPr="00706CBA">
        <w:rPr>
          <w:color w:val="000000" w:themeColor="text1"/>
        </w:rPr>
        <w:t>steril</w:t>
      </w:r>
      <w:r w:rsidR="00706CBA">
        <w:rPr>
          <w:color w:val="000000" w:themeColor="text1"/>
        </w:rPr>
        <w:t>ize</w:t>
      </w:r>
      <w:r w:rsidR="00706CBA" w:rsidRPr="00706CBA">
        <w:rPr>
          <w:color w:val="000000" w:themeColor="text1"/>
        </w:rPr>
        <w:t xml:space="preserve"> </w:t>
      </w:r>
      <w:r w:rsidR="009D38CA" w:rsidRPr="00706CBA">
        <w:rPr>
          <w:color w:val="000000" w:themeColor="text1"/>
        </w:rPr>
        <w:t xml:space="preserve">and store </w:t>
      </w:r>
      <w:r w:rsidR="005261D5">
        <w:rPr>
          <w:color w:val="000000" w:themeColor="text1"/>
        </w:rPr>
        <w:t xml:space="preserve">the </w:t>
      </w:r>
      <w:r w:rsidR="009D38CA" w:rsidRPr="00706CBA">
        <w:rPr>
          <w:color w:val="000000" w:themeColor="text1"/>
        </w:rPr>
        <w:t xml:space="preserve">aliquots </w:t>
      </w:r>
      <w:r w:rsidR="00F75777" w:rsidRPr="00706CBA">
        <w:rPr>
          <w:color w:val="000000" w:themeColor="text1"/>
        </w:rPr>
        <w:t>at</w:t>
      </w:r>
      <w:r w:rsidR="009D38CA" w:rsidRPr="00706CBA">
        <w:rPr>
          <w:color w:val="000000" w:themeColor="text1"/>
        </w:rPr>
        <w:t xml:space="preserve"> -20</w:t>
      </w:r>
      <w:r w:rsidR="00706CBA">
        <w:rPr>
          <w:color w:val="000000" w:themeColor="text1"/>
        </w:rPr>
        <w:t xml:space="preserve"> </w:t>
      </w:r>
      <w:r w:rsidR="009D38CA" w:rsidRPr="00706CBA">
        <w:rPr>
          <w:color w:val="000000" w:themeColor="text1"/>
        </w:rPr>
        <w:t xml:space="preserve">°C until the measurement day. </w:t>
      </w:r>
    </w:p>
    <w:p w14:paraId="09259C9A" w14:textId="77777777" w:rsidR="00706CBA" w:rsidRPr="00706CBA" w:rsidRDefault="00706CBA" w:rsidP="00706CBA">
      <w:pPr>
        <w:pStyle w:val="ListParagraph"/>
        <w:ind w:left="0"/>
        <w:rPr>
          <w:color w:val="000000" w:themeColor="text1"/>
        </w:rPr>
      </w:pPr>
    </w:p>
    <w:p w14:paraId="62A38739" w14:textId="43F0109D" w:rsidR="009D38CA" w:rsidRDefault="00E31D6C" w:rsidP="00706CBA">
      <w:pPr>
        <w:pStyle w:val="ListParagraph"/>
        <w:numPr>
          <w:ilvl w:val="2"/>
          <w:numId w:val="14"/>
        </w:numPr>
        <w:ind w:left="0" w:firstLine="0"/>
        <w:rPr>
          <w:color w:val="000000" w:themeColor="text1"/>
        </w:rPr>
      </w:pPr>
      <w:r w:rsidRPr="00706CBA">
        <w:rPr>
          <w:color w:val="000000" w:themeColor="text1"/>
        </w:rPr>
        <w:t>Mitochondrial substrates</w:t>
      </w:r>
      <w:r w:rsidR="00706CBA">
        <w:rPr>
          <w:color w:val="000000" w:themeColor="text1"/>
        </w:rPr>
        <w:t xml:space="preserve">: </w:t>
      </w:r>
      <w:r w:rsidR="009D38CA" w:rsidRPr="00706CBA">
        <w:rPr>
          <w:color w:val="000000" w:themeColor="text1"/>
        </w:rPr>
        <w:t>Prepare 1</w:t>
      </w:r>
      <w:r w:rsidR="00706CBA">
        <w:rPr>
          <w:color w:val="000000" w:themeColor="text1"/>
        </w:rPr>
        <w:t xml:space="preserve"> </w:t>
      </w:r>
      <w:r w:rsidR="009D38CA" w:rsidRPr="00706CBA">
        <w:rPr>
          <w:color w:val="000000" w:themeColor="text1"/>
        </w:rPr>
        <w:t>M stock concentration of sodium succinate, sodium pyruvate, and sodium glutamate</w:t>
      </w:r>
      <w:r w:rsidR="00125E62" w:rsidRPr="00706CBA">
        <w:rPr>
          <w:color w:val="000000" w:themeColor="text1"/>
        </w:rPr>
        <w:t xml:space="preserve"> in sterile </w:t>
      </w:r>
      <w:r w:rsidR="001F6AEA" w:rsidRPr="00706CBA">
        <w:rPr>
          <w:color w:val="000000" w:themeColor="text1"/>
        </w:rPr>
        <w:t>water</w:t>
      </w:r>
      <w:r w:rsidR="00125E62" w:rsidRPr="00706CBA">
        <w:rPr>
          <w:color w:val="000000" w:themeColor="text1"/>
        </w:rPr>
        <w:t xml:space="preserve">. </w:t>
      </w:r>
      <w:r w:rsidR="00BA7CF8" w:rsidRPr="00706CBA">
        <w:rPr>
          <w:color w:val="000000" w:themeColor="text1"/>
        </w:rPr>
        <w:t>Prepare 100 mM stock concentration of sodium malate</w:t>
      </w:r>
      <w:r w:rsidR="00947090" w:rsidRPr="00706CBA">
        <w:rPr>
          <w:color w:val="000000" w:themeColor="text1"/>
        </w:rPr>
        <w:t>. Use prewarmed sterile water at 37</w:t>
      </w:r>
      <w:r w:rsidR="00706CBA">
        <w:rPr>
          <w:color w:val="000000" w:themeColor="text1"/>
        </w:rPr>
        <w:t xml:space="preserve"> </w:t>
      </w:r>
      <w:r w:rsidR="00947090" w:rsidRPr="00706CBA">
        <w:rPr>
          <w:color w:val="000000" w:themeColor="text1"/>
        </w:rPr>
        <w:t xml:space="preserve">°C to prepare a stock concentration of </w:t>
      </w:r>
      <w:r w:rsidR="009D38CA" w:rsidRPr="00706CBA">
        <w:rPr>
          <w:color w:val="000000" w:themeColor="text1"/>
        </w:rPr>
        <w:t>10 mM of palmitoyl carnitine. Adjust pH</w:t>
      </w:r>
      <w:r w:rsidR="00125E62" w:rsidRPr="00706CBA">
        <w:rPr>
          <w:color w:val="000000" w:themeColor="text1"/>
        </w:rPr>
        <w:t xml:space="preserve"> of each substrate</w:t>
      </w:r>
      <w:r w:rsidR="009D38CA" w:rsidRPr="00706CBA">
        <w:rPr>
          <w:color w:val="000000" w:themeColor="text1"/>
        </w:rPr>
        <w:t xml:space="preserve"> to 7.4 </w:t>
      </w:r>
      <w:r w:rsidR="00C748B0" w:rsidRPr="00706CBA">
        <w:rPr>
          <w:color w:val="000000" w:themeColor="text1"/>
        </w:rPr>
        <w:t>by 5N KOH</w:t>
      </w:r>
      <w:r w:rsidR="009D38CA" w:rsidRPr="00706CBA">
        <w:rPr>
          <w:color w:val="000000" w:themeColor="text1"/>
        </w:rPr>
        <w:t xml:space="preserve"> </w:t>
      </w:r>
      <w:r w:rsidR="00C748B0" w:rsidRPr="00706CBA">
        <w:rPr>
          <w:color w:val="000000" w:themeColor="text1"/>
        </w:rPr>
        <w:t xml:space="preserve">and </w:t>
      </w:r>
      <w:r w:rsidR="009D38CA" w:rsidRPr="00706CBA">
        <w:rPr>
          <w:color w:val="000000" w:themeColor="text1"/>
        </w:rPr>
        <w:t xml:space="preserve">filter </w:t>
      </w:r>
      <w:r w:rsidR="00706CBA" w:rsidRPr="00706CBA">
        <w:rPr>
          <w:color w:val="000000" w:themeColor="text1"/>
        </w:rPr>
        <w:t>steril</w:t>
      </w:r>
      <w:r w:rsidR="00706CBA">
        <w:rPr>
          <w:color w:val="000000" w:themeColor="text1"/>
        </w:rPr>
        <w:t>ize</w:t>
      </w:r>
      <w:r w:rsidR="009D38CA" w:rsidRPr="00706CBA">
        <w:rPr>
          <w:color w:val="000000" w:themeColor="text1"/>
        </w:rPr>
        <w:t>. Store the substrates at 2</w:t>
      </w:r>
      <w:r w:rsidR="00706CBA">
        <w:rPr>
          <w:color w:val="000000" w:themeColor="text1"/>
        </w:rPr>
        <w:t>–</w:t>
      </w:r>
      <w:r w:rsidR="009D38CA" w:rsidRPr="00706CBA">
        <w:rPr>
          <w:color w:val="000000" w:themeColor="text1"/>
        </w:rPr>
        <w:t>8</w:t>
      </w:r>
      <w:r w:rsidR="00706CBA">
        <w:rPr>
          <w:color w:val="000000" w:themeColor="text1"/>
        </w:rPr>
        <w:t xml:space="preserve"> </w:t>
      </w:r>
      <w:r w:rsidR="009D38CA" w:rsidRPr="00706CBA">
        <w:rPr>
          <w:color w:val="000000" w:themeColor="text1"/>
        </w:rPr>
        <w:t>°C. At the time of use, warm palmitoyl carnitine at 37</w:t>
      </w:r>
      <w:r w:rsidR="00706CBA">
        <w:rPr>
          <w:color w:val="000000" w:themeColor="text1"/>
        </w:rPr>
        <w:t xml:space="preserve"> </w:t>
      </w:r>
      <w:r w:rsidR="009D38CA" w:rsidRPr="00706CBA">
        <w:rPr>
          <w:color w:val="000000" w:themeColor="text1"/>
        </w:rPr>
        <w:t>°C for 15 min to completely dissolve any precipitates.</w:t>
      </w:r>
      <w:r w:rsidR="00780242" w:rsidRPr="00706CBA">
        <w:rPr>
          <w:color w:val="000000" w:themeColor="text1"/>
        </w:rPr>
        <w:t xml:space="preserve"> </w:t>
      </w:r>
      <w:r w:rsidR="00706CBA">
        <w:rPr>
          <w:color w:val="000000" w:themeColor="text1"/>
        </w:rPr>
        <w:t>Aliquot and store a</w:t>
      </w:r>
      <w:r w:rsidR="00780242" w:rsidRPr="00706CBA">
        <w:rPr>
          <w:color w:val="000000" w:themeColor="text1"/>
        </w:rPr>
        <w:t xml:space="preserve">ll </w:t>
      </w:r>
      <w:r w:rsidR="00706CBA">
        <w:rPr>
          <w:color w:val="000000" w:themeColor="text1"/>
        </w:rPr>
        <w:t xml:space="preserve">the </w:t>
      </w:r>
      <w:r w:rsidR="00780242" w:rsidRPr="00706CBA">
        <w:rPr>
          <w:color w:val="000000" w:themeColor="text1"/>
        </w:rPr>
        <w:t>substrates except pyruvate at -20</w:t>
      </w:r>
      <w:r w:rsidR="00706CBA">
        <w:rPr>
          <w:color w:val="000000" w:themeColor="text1"/>
        </w:rPr>
        <w:t xml:space="preserve"> </w:t>
      </w:r>
      <w:r w:rsidR="00780242" w:rsidRPr="00706CBA">
        <w:rPr>
          <w:color w:val="000000" w:themeColor="text1"/>
        </w:rPr>
        <w:t xml:space="preserve">°C. </w:t>
      </w:r>
    </w:p>
    <w:p w14:paraId="604E5889" w14:textId="77777777" w:rsidR="00706CBA" w:rsidRPr="00706CBA" w:rsidRDefault="00706CBA" w:rsidP="00706CBA">
      <w:pPr>
        <w:pStyle w:val="ListParagraph"/>
        <w:ind w:left="0"/>
        <w:rPr>
          <w:color w:val="000000" w:themeColor="text1"/>
        </w:rPr>
      </w:pPr>
    </w:p>
    <w:p w14:paraId="5C13F325" w14:textId="61760D19" w:rsidR="00E83B9C" w:rsidRDefault="00E83B9C" w:rsidP="00706CBA">
      <w:pPr>
        <w:pStyle w:val="ListParagraph"/>
        <w:numPr>
          <w:ilvl w:val="2"/>
          <w:numId w:val="14"/>
        </w:numPr>
        <w:ind w:left="0" w:firstLine="0"/>
        <w:rPr>
          <w:color w:val="000000" w:themeColor="text1"/>
        </w:rPr>
      </w:pPr>
      <w:r w:rsidRPr="00706CBA">
        <w:rPr>
          <w:color w:val="000000" w:themeColor="text1"/>
        </w:rPr>
        <w:t>Mitochondrial inhibitors</w:t>
      </w:r>
      <w:r w:rsidR="00706CBA">
        <w:rPr>
          <w:color w:val="000000" w:themeColor="text1"/>
        </w:rPr>
        <w:t xml:space="preserve">: </w:t>
      </w:r>
      <w:r w:rsidR="00947090" w:rsidRPr="00706CBA">
        <w:rPr>
          <w:color w:val="000000" w:themeColor="text1"/>
        </w:rPr>
        <w:t xml:space="preserve">Use dimethyl sulfoxide (DMSO) to prepare </w:t>
      </w:r>
      <w:r w:rsidRPr="00706CBA">
        <w:rPr>
          <w:color w:val="000000" w:themeColor="text1"/>
        </w:rPr>
        <w:t xml:space="preserve">stock concentration of </w:t>
      </w:r>
      <w:r w:rsidR="00780242" w:rsidRPr="00706CBA">
        <w:rPr>
          <w:color w:val="000000" w:themeColor="text1"/>
        </w:rPr>
        <w:t xml:space="preserve">25 mM oligomycin, 50 mM </w:t>
      </w:r>
      <w:r w:rsidR="001C3DCD" w:rsidRPr="00706CBA">
        <w:rPr>
          <w:color w:val="000000" w:themeColor="text1"/>
        </w:rPr>
        <w:t>carbonyl cyanide 4-(trifluoromethoxy) phenylhydrazone (</w:t>
      </w:r>
      <w:r w:rsidR="00780242" w:rsidRPr="00706CBA">
        <w:rPr>
          <w:color w:val="000000" w:themeColor="text1"/>
        </w:rPr>
        <w:t>FCCP</w:t>
      </w:r>
      <w:r w:rsidR="001C3DCD" w:rsidRPr="00706CBA">
        <w:rPr>
          <w:color w:val="000000" w:themeColor="text1"/>
        </w:rPr>
        <w:t>)</w:t>
      </w:r>
      <w:r w:rsidR="00780242" w:rsidRPr="00706CBA">
        <w:rPr>
          <w:color w:val="000000" w:themeColor="text1"/>
        </w:rPr>
        <w:t>, 20 mM rotenone, and 20 mM antimycin A</w:t>
      </w:r>
      <w:r w:rsidRPr="00706CBA">
        <w:rPr>
          <w:color w:val="000000" w:themeColor="text1"/>
        </w:rPr>
        <w:t xml:space="preserve">. </w:t>
      </w:r>
      <w:r w:rsidR="00F75777" w:rsidRPr="00706CBA">
        <w:rPr>
          <w:color w:val="000000" w:themeColor="text1"/>
        </w:rPr>
        <w:t>Store</w:t>
      </w:r>
      <w:r w:rsidR="00706CBA">
        <w:rPr>
          <w:color w:val="000000" w:themeColor="text1"/>
        </w:rPr>
        <w:t xml:space="preserve"> the</w:t>
      </w:r>
      <w:r w:rsidR="00780242" w:rsidRPr="00706CBA">
        <w:rPr>
          <w:color w:val="000000" w:themeColor="text1"/>
        </w:rPr>
        <w:t xml:space="preserve"> aliquots at -20</w:t>
      </w:r>
      <w:r w:rsidR="00706CBA">
        <w:rPr>
          <w:color w:val="000000" w:themeColor="text1"/>
        </w:rPr>
        <w:t xml:space="preserve"> </w:t>
      </w:r>
      <w:r w:rsidR="00780242" w:rsidRPr="00706CBA">
        <w:rPr>
          <w:color w:val="000000" w:themeColor="text1"/>
        </w:rPr>
        <w:t xml:space="preserve">°C. </w:t>
      </w:r>
    </w:p>
    <w:p w14:paraId="3FAA3DE1" w14:textId="77777777" w:rsidR="00706CBA" w:rsidRPr="00706CBA" w:rsidRDefault="00706CBA" w:rsidP="00706CBA">
      <w:pPr>
        <w:pStyle w:val="ListParagraph"/>
        <w:ind w:left="1224"/>
        <w:rPr>
          <w:color w:val="000000" w:themeColor="text1"/>
        </w:rPr>
      </w:pPr>
    </w:p>
    <w:p w14:paraId="78A29C0E" w14:textId="7AD25539" w:rsidR="00706CBA" w:rsidRDefault="00E31D6C" w:rsidP="00706CBA">
      <w:pPr>
        <w:pStyle w:val="ListParagraph"/>
        <w:numPr>
          <w:ilvl w:val="1"/>
          <w:numId w:val="14"/>
        </w:numPr>
        <w:ind w:left="0" w:firstLine="0"/>
        <w:rPr>
          <w:color w:val="000000" w:themeColor="text1"/>
          <w:highlight w:val="yellow"/>
        </w:rPr>
      </w:pPr>
      <w:r w:rsidRPr="00706CBA">
        <w:rPr>
          <w:color w:val="000000" w:themeColor="text1"/>
          <w:highlight w:val="yellow"/>
        </w:rPr>
        <w:t>Seeding and treating the cells</w:t>
      </w:r>
      <w:r w:rsidR="00706CBA">
        <w:rPr>
          <w:color w:val="000000" w:themeColor="text1"/>
          <w:highlight w:val="yellow"/>
        </w:rPr>
        <w:t xml:space="preserve">: </w:t>
      </w:r>
      <w:r w:rsidR="00F75777" w:rsidRPr="00706CBA">
        <w:rPr>
          <w:color w:val="000000" w:themeColor="text1"/>
          <w:highlight w:val="yellow"/>
        </w:rPr>
        <w:t xml:space="preserve">As shown in </w:t>
      </w:r>
      <w:r w:rsidR="00435F0B" w:rsidRPr="00706CBA">
        <w:rPr>
          <w:b/>
          <w:bCs/>
          <w:color w:val="000000" w:themeColor="text1"/>
          <w:highlight w:val="yellow"/>
        </w:rPr>
        <w:t>F</w:t>
      </w:r>
      <w:r w:rsidR="00F75777" w:rsidRPr="00706CBA">
        <w:rPr>
          <w:b/>
          <w:bCs/>
          <w:color w:val="000000" w:themeColor="text1"/>
          <w:highlight w:val="yellow"/>
        </w:rPr>
        <w:t xml:space="preserve">igure </w:t>
      </w:r>
      <w:r w:rsidR="008529ED" w:rsidRPr="00706CBA">
        <w:rPr>
          <w:b/>
          <w:bCs/>
          <w:color w:val="000000" w:themeColor="text1"/>
          <w:highlight w:val="yellow"/>
        </w:rPr>
        <w:t>2</w:t>
      </w:r>
      <w:r w:rsidR="00F75777" w:rsidRPr="00706CBA">
        <w:rPr>
          <w:color w:val="000000" w:themeColor="text1"/>
          <w:highlight w:val="yellow"/>
        </w:rPr>
        <w:t>, seed t</w:t>
      </w:r>
      <w:r w:rsidR="006907D8" w:rsidRPr="00706CBA">
        <w:rPr>
          <w:color w:val="000000" w:themeColor="text1"/>
          <w:highlight w:val="yellow"/>
        </w:rPr>
        <w:t xml:space="preserve">he cells in columns 2–11. Columns 1 and 12 </w:t>
      </w:r>
      <w:r w:rsidR="00F75777" w:rsidRPr="00706CBA">
        <w:rPr>
          <w:color w:val="000000" w:themeColor="text1"/>
          <w:highlight w:val="yellow"/>
        </w:rPr>
        <w:t xml:space="preserve">must be left empty to </w:t>
      </w:r>
      <w:r w:rsidR="006907D8" w:rsidRPr="00706CBA">
        <w:rPr>
          <w:color w:val="000000" w:themeColor="text1"/>
          <w:highlight w:val="yellow"/>
        </w:rPr>
        <w:t>serv</w:t>
      </w:r>
      <w:r w:rsidR="00F75777" w:rsidRPr="00706CBA">
        <w:rPr>
          <w:color w:val="000000" w:themeColor="text1"/>
          <w:highlight w:val="yellow"/>
        </w:rPr>
        <w:t>e</w:t>
      </w:r>
      <w:r w:rsidR="006907D8" w:rsidRPr="00706CBA">
        <w:rPr>
          <w:color w:val="000000" w:themeColor="text1"/>
          <w:highlight w:val="yellow"/>
        </w:rPr>
        <w:t xml:space="preserve"> as background wells. </w:t>
      </w:r>
      <w:r w:rsidR="00F75777" w:rsidRPr="00706CBA">
        <w:rPr>
          <w:color w:val="000000" w:themeColor="text1"/>
          <w:highlight w:val="yellow"/>
        </w:rPr>
        <w:t>For the results mentioned in this work, HepG2 and A549 cells</w:t>
      </w:r>
      <w:r w:rsidR="0076708F" w:rsidRPr="00706CBA">
        <w:rPr>
          <w:color w:val="000000" w:themeColor="text1"/>
          <w:highlight w:val="yellow"/>
        </w:rPr>
        <w:t xml:space="preserve"> are used</w:t>
      </w:r>
      <w:r w:rsidR="00F75777" w:rsidRPr="00706CBA">
        <w:rPr>
          <w:color w:val="000000" w:themeColor="text1"/>
          <w:highlight w:val="yellow"/>
        </w:rPr>
        <w:t xml:space="preserve">. </w:t>
      </w:r>
    </w:p>
    <w:p w14:paraId="73A4A26F" w14:textId="77777777" w:rsidR="00706CBA" w:rsidRDefault="00706CBA" w:rsidP="00706CBA">
      <w:pPr>
        <w:pStyle w:val="ListParagraph"/>
        <w:ind w:left="0"/>
        <w:rPr>
          <w:color w:val="000000" w:themeColor="text1"/>
          <w:highlight w:val="yellow"/>
        </w:rPr>
      </w:pPr>
    </w:p>
    <w:p w14:paraId="6049F0F1" w14:textId="68FAE881" w:rsidR="00706CBA" w:rsidRDefault="00706CBA" w:rsidP="00706CBA">
      <w:pPr>
        <w:pStyle w:val="ListParagraph"/>
        <w:numPr>
          <w:ilvl w:val="2"/>
          <w:numId w:val="14"/>
        </w:numPr>
        <w:ind w:left="0" w:firstLine="0"/>
        <w:rPr>
          <w:color w:val="000000" w:themeColor="text1"/>
          <w:highlight w:val="yellow"/>
        </w:rPr>
      </w:pPr>
      <w:r>
        <w:rPr>
          <w:color w:val="000000" w:themeColor="text1"/>
          <w:highlight w:val="yellow"/>
        </w:rPr>
        <w:t>Seed t</w:t>
      </w:r>
      <w:r w:rsidR="00F75777" w:rsidRPr="00706CBA">
        <w:rPr>
          <w:color w:val="000000" w:themeColor="text1"/>
          <w:highlight w:val="yellow"/>
        </w:rPr>
        <w:t xml:space="preserve">he cells at a density of 20 000 cells per well. </w:t>
      </w:r>
      <w:r>
        <w:rPr>
          <w:color w:val="000000" w:themeColor="text1"/>
          <w:highlight w:val="yellow"/>
        </w:rPr>
        <w:t>U</w:t>
      </w:r>
      <w:r w:rsidR="0026034D" w:rsidRPr="00706CBA">
        <w:rPr>
          <w:color w:val="000000" w:themeColor="text1"/>
          <w:highlight w:val="yellow"/>
        </w:rPr>
        <w:t>se a volume of 50</w:t>
      </w:r>
      <w:r>
        <w:rPr>
          <w:color w:val="000000" w:themeColor="text1"/>
          <w:highlight w:val="yellow"/>
        </w:rPr>
        <w:t>–</w:t>
      </w:r>
      <w:r w:rsidR="0026034D" w:rsidRPr="00706CBA">
        <w:rPr>
          <w:color w:val="000000" w:themeColor="text1"/>
          <w:highlight w:val="yellow"/>
        </w:rPr>
        <w:t>80 µ</w:t>
      </w:r>
      <w:r>
        <w:rPr>
          <w:color w:val="000000" w:themeColor="text1"/>
          <w:highlight w:val="yellow"/>
        </w:rPr>
        <w:t>L</w:t>
      </w:r>
      <w:r w:rsidR="0026034D" w:rsidRPr="00706CBA">
        <w:rPr>
          <w:color w:val="000000" w:themeColor="text1"/>
          <w:highlight w:val="yellow"/>
        </w:rPr>
        <w:t xml:space="preserve"> of cell culture medium for seeding.</w:t>
      </w:r>
    </w:p>
    <w:p w14:paraId="00C8E887" w14:textId="77777777" w:rsidR="00706CBA" w:rsidRDefault="00706CBA" w:rsidP="00706CBA">
      <w:pPr>
        <w:pStyle w:val="ListParagraph"/>
        <w:ind w:left="0"/>
        <w:rPr>
          <w:color w:val="000000" w:themeColor="text1"/>
          <w:highlight w:val="yellow"/>
        </w:rPr>
      </w:pPr>
    </w:p>
    <w:p w14:paraId="21C1A981" w14:textId="09A35134" w:rsidR="00706CBA" w:rsidRDefault="0026034D" w:rsidP="00706CBA">
      <w:pPr>
        <w:pStyle w:val="ListParagraph"/>
        <w:numPr>
          <w:ilvl w:val="2"/>
          <w:numId w:val="14"/>
        </w:numPr>
        <w:ind w:left="0" w:firstLine="0"/>
        <w:rPr>
          <w:color w:val="000000" w:themeColor="text1"/>
          <w:highlight w:val="yellow"/>
        </w:rPr>
      </w:pPr>
      <w:r w:rsidRPr="00706CBA">
        <w:rPr>
          <w:color w:val="000000" w:themeColor="text1"/>
          <w:highlight w:val="yellow"/>
        </w:rPr>
        <w:t xml:space="preserve"> </w:t>
      </w:r>
      <w:r w:rsidR="00704ACA" w:rsidRPr="00706CBA">
        <w:rPr>
          <w:color w:val="000000" w:themeColor="text1"/>
          <w:highlight w:val="yellow"/>
        </w:rPr>
        <w:t xml:space="preserve">Fill the blank wells with </w:t>
      </w:r>
      <w:r w:rsidR="00706CBA">
        <w:rPr>
          <w:color w:val="000000" w:themeColor="text1"/>
          <w:highlight w:val="yellow"/>
        </w:rPr>
        <w:t xml:space="preserve">an </w:t>
      </w:r>
      <w:r w:rsidR="00704ACA" w:rsidRPr="00706CBA">
        <w:rPr>
          <w:color w:val="000000" w:themeColor="text1"/>
          <w:highlight w:val="yellow"/>
        </w:rPr>
        <w:t>equal volume of cell culture medium and incubate the cells at 37</w:t>
      </w:r>
      <w:r w:rsidR="00706CBA">
        <w:rPr>
          <w:color w:val="000000" w:themeColor="text1"/>
          <w:highlight w:val="yellow"/>
        </w:rPr>
        <w:t xml:space="preserve"> </w:t>
      </w:r>
      <w:r w:rsidR="00704ACA" w:rsidRPr="00706CBA">
        <w:rPr>
          <w:color w:val="000000" w:themeColor="text1"/>
          <w:highlight w:val="yellow"/>
        </w:rPr>
        <w:t>°C in a humidified incubator with 5% CO</w:t>
      </w:r>
      <w:r w:rsidR="00704ACA" w:rsidRPr="00706CBA">
        <w:rPr>
          <w:color w:val="000000" w:themeColor="text1"/>
          <w:highlight w:val="yellow"/>
          <w:vertAlign w:val="subscript"/>
        </w:rPr>
        <w:t>2</w:t>
      </w:r>
      <w:r w:rsidR="00704ACA" w:rsidRPr="00706CBA">
        <w:rPr>
          <w:color w:val="000000" w:themeColor="text1"/>
          <w:highlight w:val="yellow"/>
        </w:rPr>
        <w:t xml:space="preserve">. </w:t>
      </w:r>
      <w:r w:rsidRPr="00706CBA">
        <w:rPr>
          <w:color w:val="000000" w:themeColor="text1"/>
          <w:highlight w:val="yellow"/>
        </w:rPr>
        <w:t>Allow the cells to attach for 3</w:t>
      </w:r>
      <w:r w:rsidR="00706CBA">
        <w:rPr>
          <w:color w:val="000000" w:themeColor="text1"/>
          <w:highlight w:val="yellow"/>
        </w:rPr>
        <w:t>–</w:t>
      </w:r>
      <w:r w:rsidRPr="00706CBA">
        <w:rPr>
          <w:color w:val="000000" w:themeColor="text1"/>
          <w:highlight w:val="yellow"/>
        </w:rPr>
        <w:t>4 h</w:t>
      </w:r>
      <w:r w:rsidR="00706CBA">
        <w:rPr>
          <w:color w:val="000000" w:themeColor="text1"/>
          <w:highlight w:val="yellow"/>
        </w:rPr>
        <w:t>,</w:t>
      </w:r>
      <w:r w:rsidRPr="00706CBA">
        <w:rPr>
          <w:color w:val="000000" w:themeColor="text1"/>
          <w:highlight w:val="yellow"/>
        </w:rPr>
        <w:t xml:space="preserve"> then add 100 </w:t>
      </w:r>
      <w:r w:rsidR="00706CBA" w:rsidRPr="00706CBA">
        <w:rPr>
          <w:color w:val="000000" w:themeColor="text1"/>
          <w:highlight w:val="yellow"/>
        </w:rPr>
        <w:t>µ</w:t>
      </w:r>
      <w:r w:rsidR="00706CBA">
        <w:rPr>
          <w:color w:val="000000" w:themeColor="text1"/>
          <w:highlight w:val="yellow"/>
        </w:rPr>
        <w:t>L</w:t>
      </w:r>
      <w:r w:rsidR="00706CBA" w:rsidRPr="00706CBA">
        <w:rPr>
          <w:color w:val="000000" w:themeColor="text1"/>
          <w:highlight w:val="yellow"/>
        </w:rPr>
        <w:t xml:space="preserve"> </w:t>
      </w:r>
      <w:r w:rsidRPr="00706CBA">
        <w:rPr>
          <w:color w:val="000000" w:themeColor="text1"/>
          <w:highlight w:val="yellow"/>
        </w:rPr>
        <w:t>of cell culture medium</w:t>
      </w:r>
      <w:r w:rsidR="00704ACA" w:rsidRPr="00706CBA">
        <w:rPr>
          <w:color w:val="000000" w:themeColor="text1"/>
          <w:highlight w:val="yellow"/>
        </w:rPr>
        <w:t xml:space="preserve"> to all wells</w:t>
      </w:r>
      <w:r w:rsidRPr="00706CBA">
        <w:rPr>
          <w:color w:val="000000" w:themeColor="text1"/>
          <w:highlight w:val="yellow"/>
        </w:rPr>
        <w:t xml:space="preserve">. </w:t>
      </w:r>
    </w:p>
    <w:p w14:paraId="410376B1" w14:textId="77777777" w:rsidR="00706CBA" w:rsidRPr="00706CBA" w:rsidRDefault="00706CBA" w:rsidP="00706CBA">
      <w:pPr>
        <w:pStyle w:val="ListParagraph"/>
        <w:ind w:left="0"/>
        <w:rPr>
          <w:color w:val="000000" w:themeColor="text1"/>
          <w:highlight w:val="yellow"/>
        </w:rPr>
      </w:pPr>
    </w:p>
    <w:p w14:paraId="04E7824F" w14:textId="02DF11F7" w:rsidR="00E31D6C" w:rsidRDefault="0026034D" w:rsidP="00706CBA">
      <w:pPr>
        <w:pStyle w:val="ListParagraph"/>
        <w:numPr>
          <w:ilvl w:val="2"/>
          <w:numId w:val="14"/>
        </w:numPr>
        <w:ind w:left="0" w:firstLine="0"/>
        <w:rPr>
          <w:color w:val="000000" w:themeColor="text1"/>
          <w:highlight w:val="yellow"/>
        </w:rPr>
      </w:pPr>
      <w:r w:rsidRPr="00706CBA">
        <w:rPr>
          <w:color w:val="000000" w:themeColor="text1"/>
          <w:highlight w:val="yellow"/>
        </w:rPr>
        <w:t>With that final medium addition,</w:t>
      </w:r>
      <w:r w:rsidR="00706CBA">
        <w:rPr>
          <w:color w:val="000000" w:themeColor="text1"/>
          <w:highlight w:val="yellow"/>
        </w:rPr>
        <w:t xml:space="preserve"> </w:t>
      </w:r>
      <w:r w:rsidR="001A52FA">
        <w:rPr>
          <w:color w:val="000000" w:themeColor="text1"/>
          <w:highlight w:val="yellow"/>
        </w:rPr>
        <w:t>perform</w:t>
      </w:r>
      <w:r w:rsidR="001A52FA" w:rsidRPr="00706CBA">
        <w:rPr>
          <w:color w:val="000000" w:themeColor="text1"/>
          <w:highlight w:val="yellow"/>
        </w:rPr>
        <w:t xml:space="preserve"> </w:t>
      </w:r>
      <w:r w:rsidRPr="00706CBA">
        <w:rPr>
          <w:color w:val="000000" w:themeColor="text1"/>
          <w:highlight w:val="yellow"/>
        </w:rPr>
        <w:t>the treatment. Use the columns from 7</w:t>
      </w:r>
      <w:r w:rsidR="00706CBA">
        <w:rPr>
          <w:color w:val="000000" w:themeColor="text1"/>
          <w:highlight w:val="yellow"/>
        </w:rPr>
        <w:t>–1</w:t>
      </w:r>
      <w:r w:rsidRPr="00706CBA">
        <w:rPr>
          <w:color w:val="000000" w:themeColor="text1"/>
          <w:highlight w:val="yellow"/>
        </w:rPr>
        <w:t xml:space="preserve">1 to </w:t>
      </w:r>
      <w:r w:rsidR="001A52FA">
        <w:rPr>
          <w:color w:val="000000" w:themeColor="text1"/>
          <w:highlight w:val="yellow"/>
        </w:rPr>
        <w:t>perform</w:t>
      </w:r>
      <w:r w:rsidR="001A52FA" w:rsidRPr="00706CBA">
        <w:rPr>
          <w:color w:val="000000" w:themeColor="text1"/>
          <w:highlight w:val="yellow"/>
        </w:rPr>
        <w:t xml:space="preserve"> </w:t>
      </w:r>
      <w:r w:rsidRPr="00706CBA">
        <w:rPr>
          <w:color w:val="000000" w:themeColor="text1"/>
          <w:highlight w:val="yellow"/>
        </w:rPr>
        <w:t>the treatment.</w:t>
      </w:r>
      <w:r w:rsidR="00947090" w:rsidRPr="00706CBA">
        <w:rPr>
          <w:color w:val="000000" w:themeColor="text1"/>
          <w:highlight w:val="yellow"/>
        </w:rPr>
        <w:t xml:space="preserve"> </w:t>
      </w:r>
      <w:r w:rsidRPr="00706CBA">
        <w:rPr>
          <w:color w:val="000000" w:themeColor="text1"/>
          <w:highlight w:val="yellow"/>
        </w:rPr>
        <w:t>In this work, t</w:t>
      </w:r>
      <w:r w:rsidR="00F75777" w:rsidRPr="00706CBA">
        <w:rPr>
          <w:color w:val="000000" w:themeColor="text1"/>
          <w:highlight w:val="yellow"/>
        </w:rPr>
        <w:t xml:space="preserve">he experimental group was treated with 1 mM metformin </w:t>
      </w:r>
      <w:r w:rsidR="005F43C3" w:rsidRPr="00706CBA">
        <w:rPr>
          <w:color w:val="000000" w:themeColor="text1"/>
          <w:highlight w:val="yellow"/>
        </w:rPr>
        <w:t xml:space="preserve">hydrochloride for 16 h, </w:t>
      </w:r>
      <w:r w:rsidR="00F75777" w:rsidRPr="00706CBA">
        <w:rPr>
          <w:color w:val="000000" w:themeColor="text1"/>
          <w:highlight w:val="yellow"/>
        </w:rPr>
        <w:t xml:space="preserve">and the control </w:t>
      </w:r>
      <w:r w:rsidR="005F43C3" w:rsidRPr="00706CBA">
        <w:rPr>
          <w:color w:val="000000" w:themeColor="text1"/>
          <w:highlight w:val="yellow"/>
        </w:rPr>
        <w:t xml:space="preserve">group </w:t>
      </w:r>
      <w:r w:rsidR="00F75777" w:rsidRPr="00706CBA">
        <w:rPr>
          <w:color w:val="000000" w:themeColor="text1"/>
          <w:highlight w:val="yellow"/>
        </w:rPr>
        <w:t xml:space="preserve">was treated with </w:t>
      </w:r>
      <w:r w:rsidR="00706CBA">
        <w:rPr>
          <w:color w:val="000000" w:themeColor="text1"/>
          <w:highlight w:val="yellow"/>
        </w:rPr>
        <w:t xml:space="preserve">an </w:t>
      </w:r>
      <w:r w:rsidR="00F75777" w:rsidRPr="00706CBA">
        <w:rPr>
          <w:color w:val="000000" w:themeColor="text1"/>
          <w:highlight w:val="yellow"/>
        </w:rPr>
        <w:t xml:space="preserve">equal volume of sterile </w:t>
      </w:r>
      <w:r w:rsidR="004140CC" w:rsidRPr="00706CBA">
        <w:rPr>
          <w:color w:val="000000" w:themeColor="text1"/>
          <w:highlight w:val="yellow"/>
        </w:rPr>
        <w:t xml:space="preserve">distilled </w:t>
      </w:r>
      <w:r w:rsidR="001F6AEA" w:rsidRPr="00706CBA">
        <w:rPr>
          <w:color w:val="000000" w:themeColor="text1"/>
          <w:highlight w:val="yellow"/>
        </w:rPr>
        <w:t>water</w:t>
      </w:r>
      <w:r w:rsidR="00F75777" w:rsidRPr="00706CBA">
        <w:rPr>
          <w:color w:val="000000" w:themeColor="text1"/>
          <w:highlight w:val="yellow"/>
        </w:rPr>
        <w:t xml:space="preserve"> as vehicle control. </w:t>
      </w:r>
    </w:p>
    <w:p w14:paraId="08119AF1" w14:textId="77777777" w:rsidR="00706CBA" w:rsidRPr="00706CBA" w:rsidRDefault="00706CBA" w:rsidP="00706CBA">
      <w:pPr>
        <w:pStyle w:val="ListParagraph"/>
        <w:ind w:left="0"/>
        <w:rPr>
          <w:color w:val="000000" w:themeColor="text1"/>
          <w:highlight w:val="yellow"/>
        </w:rPr>
      </w:pPr>
    </w:p>
    <w:p w14:paraId="5102F7EF" w14:textId="2D470350" w:rsidR="00527C8E" w:rsidRPr="00706CBA" w:rsidRDefault="00E31D6C" w:rsidP="00706CBA">
      <w:pPr>
        <w:pStyle w:val="ListParagraph"/>
        <w:numPr>
          <w:ilvl w:val="1"/>
          <w:numId w:val="14"/>
        </w:numPr>
        <w:ind w:left="0" w:firstLine="0"/>
        <w:rPr>
          <w:color w:val="000000" w:themeColor="text1"/>
          <w:highlight w:val="yellow"/>
        </w:rPr>
      </w:pPr>
      <w:r w:rsidRPr="00706CBA">
        <w:rPr>
          <w:color w:val="000000" w:themeColor="text1"/>
          <w:highlight w:val="yellow"/>
        </w:rPr>
        <w:t>Hydrating the sensor</w:t>
      </w:r>
      <w:r w:rsidR="00527C8E" w:rsidRPr="00706CBA">
        <w:rPr>
          <w:color w:val="000000" w:themeColor="text1"/>
          <w:highlight w:val="yellow"/>
        </w:rPr>
        <w:t>s</w:t>
      </w:r>
      <w:r w:rsidR="00706CBA">
        <w:rPr>
          <w:color w:val="000000" w:themeColor="text1"/>
          <w:highlight w:val="yellow"/>
        </w:rPr>
        <w:t xml:space="preserve">: </w:t>
      </w:r>
      <w:r w:rsidR="00527C8E" w:rsidRPr="00706CBA">
        <w:rPr>
          <w:color w:val="000000" w:themeColor="text1"/>
          <w:highlight w:val="yellow"/>
        </w:rPr>
        <w:t>Pipet</w:t>
      </w:r>
      <w:r w:rsidR="001A1533" w:rsidRPr="00706CBA">
        <w:rPr>
          <w:color w:val="000000" w:themeColor="text1"/>
          <w:highlight w:val="yellow"/>
        </w:rPr>
        <w:t>te</w:t>
      </w:r>
      <w:r w:rsidR="00527C8E" w:rsidRPr="00706CBA">
        <w:rPr>
          <w:color w:val="000000" w:themeColor="text1"/>
          <w:highlight w:val="yellow"/>
        </w:rPr>
        <w:t xml:space="preserve"> 200 </w:t>
      </w:r>
      <w:r w:rsidR="00706CBA" w:rsidRPr="00706CBA">
        <w:rPr>
          <w:color w:val="000000" w:themeColor="text1"/>
          <w:highlight w:val="yellow"/>
        </w:rPr>
        <w:t>µ</w:t>
      </w:r>
      <w:r w:rsidR="00706CBA">
        <w:rPr>
          <w:color w:val="000000" w:themeColor="text1"/>
          <w:highlight w:val="yellow"/>
        </w:rPr>
        <w:t>L of</w:t>
      </w:r>
      <w:r w:rsidR="00706CBA" w:rsidRPr="00706CBA">
        <w:rPr>
          <w:color w:val="000000" w:themeColor="text1"/>
          <w:highlight w:val="yellow"/>
        </w:rPr>
        <w:t xml:space="preserve"> </w:t>
      </w:r>
      <w:r w:rsidR="00527C8E" w:rsidRPr="00706CBA">
        <w:rPr>
          <w:color w:val="000000" w:themeColor="text1"/>
          <w:highlight w:val="yellow"/>
        </w:rPr>
        <w:t xml:space="preserve">sterile </w:t>
      </w:r>
      <w:r w:rsidR="001F6AEA" w:rsidRPr="00706CBA">
        <w:rPr>
          <w:color w:val="000000" w:themeColor="text1"/>
          <w:highlight w:val="yellow"/>
        </w:rPr>
        <w:t>water</w:t>
      </w:r>
      <w:r w:rsidR="00527C8E" w:rsidRPr="00706CBA">
        <w:rPr>
          <w:color w:val="000000" w:themeColor="text1"/>
          <w:highlight w:val="yellow"/>
        </w:rPr>
        <w:t xml:space="preserve"> per well in the utility plate</w:t>
      </w:r>
      <w:r w:rsidR="00706CBA">
        <w:rPr>
          <w:color w:val="000000" w:themeColor="text1"/>
          <w:highlight w:val="yellow"/>
        </w:rPr>
        <w:t>,</w:t>
      </w:r>
      <w:r w:rsidR="00527C8E" w:rsidRPr="00706CBA">
        <w:rPr>
          <w:color w:val="000000" w:themeColor="text1"/>
          <w:highlight w:val="yellow"/>
        </w:rPr>
        <w:t xml:space="preserve"> then </w:t>
      </w:r>
      <w:r w:rsidR="001F6AEA" w:rsidRPr="00706CBA">
        <w:rPr>
          <w:color w:val="000000" w:themeColor="text1"/>
          <w:highlight w:val="yellow"/>
        </w:rPr>
        <w:t>carefully return</w:t>
      </w:r>
      <w:r w:rsidR="00527C8E" w:rsidRPr="00706CBA">
        <w:rPr>
          <w:color w:val="000000" w:themeColor="text1"/>
          <w:highlight w:val="yellow"/>
        </w:rPr>
        <w:t xml:space="preserve"> the sensor</w:t>
      </w:r>
      <w:r w:rsidR="001F6AEA" w:rsidRPr="00706CBA">
        <w:rPr>
          <w:color w:val="000000" w:themeColor="text1"/>
          <w:highlight w:val="yellow"/>
        </w:rPr>
        <w:t xml:space="preserve"> cartridge</w:t>
      </w:r>
      <w:r w:rsidR="00527C8E" w:rsidRPr="00706CBA">
        <w:rPr>
          <w:color w:val="000000" w:themeColor="text1"/>
          <w:highlight w:val="yellow"/>
        </w:rPr>
        <w:t xml:space="preserve"> while immersing the sensor in </w:t>
      </w:r>
      <w:r w:rsidR="001F6AEA" w:rsidRPr="00706CBA">
        <w:rPr>
          <w:color w:val="000000" w:themeColor="text1"/>
          <w:highlight w:val="yellow"/>
        </w:rPr>
        <w:t>water</w:t>
      </w:r>
      <w:r w:rsidR="00527C8E" w:rsidRPr="00706CBA">
        <w:rPr>
          <w:color w:val="000000" w:themeColor="text1"/>
          <w:highlight w:val="yellow"/>
        </w:rPr>
        <w:t xml:space="preserve">. Incubate </w:t>
      </w:r>
      <w:r w:rsidR="0025466C" w:rsidRPr="00706CBA">
        <w:rPr>
          <w:color w:val="000000" w:themeColor="text1"/>
          <w:highlight w:val="yellow"/>
        </w:rPr>
        <w:t>the cartridge</w:t>
      </w:r>
      <w:r w:rsidR="00527C8E" w:rsidRPr="00706CBA">
        <w:rPr>
          <w:color w:val="000000" w:themeColor="text1"/>
          <w:highlight w:val="yellow"/>
        </w:rPr>
        <w:t xml:space="preserve"> in </w:t>
      </w:r>
      <w:r w:rsidR="00C83E8C" w:rsidRPr="00706CBA">
        <w:rPr>
          <w:color w:val="000000" w:themeColor="text1"/>
          <w:highlight w:val="yellow"/>
        </w:rPr>
        <w:t xml:space="preserve">a </w:t>
      </w:r>
      <w:r w:rsidR="00706CBA" w:rsidRPr="00706CBA">
        <w:rPr>
          <w:color w:val="000000" w:themeColor="text1"/>
          <w:highlight w:val="yellow"/>
        </w:rPr>
        <w:t>CO</w:t>
      </w:r>
      <w:r w:rsidR="00706CBA" w:rsidRPr="00706CBA">
        <w:rPr>
          <w:color w:val="000000" w:themeColor="text1"/>
          <w:highlight w:val="yellow"/>
          <w:vertAlign w:val="subscript"/>
        </w:rPr>
        <w:t>2</w:t>
      </w:r>
      <w:r w:rsidR="00706CBA">
        <w:rPr>
          <w:color w:val="000000" w:themeColor="text1"/>
          <w:highlight w:val="yellow"/>
        </w:rPr>
        <w:t>-</w:t>
      </w:r>
      <w:r w:rsidR="00527C8E" w:rsidRPr="00706CBA">
        <w:rPr>
          <w:color w:val="000000" w:themeColor="text1"/>
          <w:highlight w:val="yellow"/>
        </w:rPr>
        <w:t xml:space="preserve">free incubator </w:t>
      </w:r>
      <w:r w:rsidR="004140CC" w:rsidRPr="00706CBA">
        <w:rPr>
          <w:color w:val="000000" w:themeColor="text1"/>
          <w:highlight w:val="yellow"/>
        </w:rPr>
        <w:t>at 37</w:t>
      </w:r>
      <w:r w:rsidR="00706CBA">
        <w:rPr>
          <w:color w:val="000000" w:themeColor="text1"/>
          <w:highlight w:val="yellow"/>
        </w:rPr>
        <w:t xml:space="preserve"> </w:t>
      </w:r>
      <w:r w:rsidR="004140CC" w:rsidRPr="00706CBA">
        <w:rPr>
          <w:color w:val="000000" w:themeColor="text1"/>
          <w:highlight w:val="yellow"/>
        </w:rPr>
        <w:t xml:space="preserve">°C </w:t>
      </w:r>
      <w:r w:rsidR="0025466C" w:rsidRPr="00706CBA">
        <w:rPr>
          <w:color w:val="000000" w:themeColor="text1"/>
          <w:highlight w:val="yellow"/>
        </w:rPr>
        <w:t>till the next day.</w:t>
      </w:r>
    </w:p>
    <w:p w14:paraId="0053AFAD" w14:textId="77777777" w:rsidR="00706CBA" w:rsidRPr="00706CBA" w:rsidRDefault="00706CBA" w:rsidP="00706CBA">
      <w:pPr>
        <w:rPr>
          <w:color w:val="000000" w:themeColor="text1"/>
          <w:highlight w:val="yellow"/>
        </w:rPr>
      </w:pPr>
    </w:p>
    <w:p w14:paraId="519E98BD" w14:textId="6700138C" w:rsidR="00706CBA" w:rsidRPr="00706CBA" w:rsidRDefault="0026034D" w:rsidP="00706CBA">
      <w:pPr>
        <w:pStyle w:val="ListParagraph"/>
        <w:numPr>
          <w:ilvl w:val="1"/>
          <w:numId w:val="14"/>
        </w:numPr>
        <w:ind w:left="0" w:firstLine="0"/>
        <w:rPr>
          <w:color w:val="000000" w:themeColor="text1"/>
          <w:highlight w:val="yellow"/>
        </w:rPr>
      </w:pPr>
      <w:r w:rsidRPr="00706CBA">
        <w:rPr>
          <w:color w:val="000000" w:themeColor="text1"/>
          <w:highlight w:val="yellow"/>
        </w:rPr>
        <w:t>The assay protocol template</w:t>
      </w:r>
      <w:r w:rsidR="00706CBA" w:rsidRPr="00706CBA">
        <w:rPr>
          <w:color w:val="000000" w:themeColor="text1"/>
          <w:highlight w:val="yellow"/>
        </w:rPr>
        <w:t xml:space="preserve">: </w:t>
      </w:r>
      <w:r w:rsidR="0025466C" w:rsidRPr="00706CBA">
        <w:rPr>
          <w:color w:val="000000" w:themeColor="text1"/>
          <w:highlight w:val="yellow"/>
        </w:rPr>
        <w:t>Switch on the analyzer</w:t>
      </w:r>
      <w:r w:rsidR="00926769">
        <w:rPr>
          <w:color w:val="000000" w:themeColor="text1"/>
          <w:highlight w:val="yellow"/>
        </w:rPr>
        <w:t xml:space="preserve"> (see </w:t>
      </w:r>
      <w:r w:rsidR="00926769" w:rsidRPr="00926769">
        <w:rPr>
          <w:b/>
          <w:bCs/>
          <w:color w:val="000000" w:themeColor="text1"/>
          <w:highlight w:val="yellow"/>
        </w:rPr>
        <w:t>Table of Materials</w:t>
      </w:r>
      <w:r w:rsidR="00926769">
        <w:rPr>
          <w:color w:val="000000" w:themeColor="text1"/>
          <w:highlight w:val="yellow"/>
        </w:rPr>
        <w:t>)</w:t>
      </w:r>
      <w:r w:rsidR="0025466C" w:rsidRPr="00706CBA">
        <w:rPr>
          <w:color w:val="000000" w:themeColor="text1"/>
          <w:highlight w:val="yellow"/>
        </w:rPr>
        <w:t xml:space="preserve"> and the controller unit. </w:t>
      </w:r>
      <w:r w:rsidR="007203B1" w:rsidRPr="00706CBA">
        <w:rPr>
          <w:color w:val="000000" w:themeColor="text1"/>
          <w:highlight w:val="yellow"/>
        </w:rPr>
        <w:t>Start</w:t>
      </w:r>
      <w:r w:rsidRPr="00706CBA">
        <w:rPr>
          <w:color w:val="000000" w:themeColor="text1"/>
          <w:highlight w:val="yellow"/>
        </w:rPr>
        <w:t xml:space="preserve"> </w:t>
      </w:r>
      <w:r w:rsidR="00C44E67" w:rsidRPr="00706CBA">
        <w:rPr>
          <w:color w:val="000000" w:themeColor="text1"/>
          <w:highlight w:val="yellow"/>
        </w:rPr>
        <w:t xml:space="preserve">the instrument control and data acquisition </w:t>
      </w:r>
      <w:r w:rsidRPr="00706CBA">
        <w:rPr>
          <w:color w:val="000000" w:themeColor="text1"/>
          <w:highlight w:val="yellow"/>
        </w:rPr>
        <w:t xml:space="preserve">software </w:t>
      </w:r>
      <w:r w:rsidR="005313CE" w:rsidRPr="00706CBA">
        <w:rPr>
          <w:color w:val="000000" w:themeColor="text1"/>
          <w:highlight w:val="yellow"/>
        </w:rPr>
        <w:t>and design</w:t>
      </w:r>
      <w:r w:rsidRPr="00706CBA">
        <w:rPr>
          <w:color w:val="000000" w:themeColor="text1"/>
          <w:highlight w:val="yellow"/>
        </w:rPr>
        <w:t xml:space="preserve"> the assay protocol as described in </w:t>
      </w:r>
      <w:r w:rsidRPr="00706CBA">
        <w:rPr>
          <w:b/>
          <w:bCs/>
          <w:color w:val="000000" w:themeColor="text1"/>
          <w:highlight w:val="yellow"/>
        </w:rPr>
        <w:t>Table 2</w:t>
      </w:r>
      <w:r w:rsidRPr="00706CBA">
        <w:rPr>
          <w:color w:val="000000" w:themeColor="text1"/>
          <w:highlight w:val="yellow"/>
        </w:rPr>
        <w:t xml:space="preserve">. Under </w:t>
      </w:r>
      <w:r w:rsidRPr="00706CBA">
        <w:rPr>
          <w:b/>
          <w:bCs/>
          <w:color w:val="000000" w:themeColor="text1"/>
          <w:highlight w:val="yellow"/>
        </w:rPr>
        <w:t>Group Definitions</w:t>
      </w:r>
      <w:r w:rsidR="00706CBA" w:rsidRPr="00706CBA">
        <w:rPr>
          <w:b/>
          <w:bCs/>
          <w:color w:val="000000" w:themeColor="text1"/>
          <w:highlight w:val="yellow"/>
        </w:rPr>
        <w:t>,</w:t>
      </w:r>
      <w:r w:rsidRPr="00706CBA">
        <w:rPr>
          <w:color w:val="000000" w:themeColor="text1"/>
          <w:highlight w:val="yellow"/>
        </w:rPr>
        <w:t xml:space="preserve"> create four injection strategies where Port A differs according to the </w:t>
      </w:r>
      <w:r w:rsidR="00C83E8C" w:rsidRPr="00706CBA">
        <w:rPr>
          <w:color w:val="000000" w:themeColor="text1"/>
          <w:highlight w:val="yellow"/>
        </w:rPr>
        <w:t>injected</w:t>
      </w:r>
      <w:r w:rsidRPr="00706CBA">
        <w:rPr>
          <w:color w:val="000000" w:themeColor="text1"/>
          <w:highlight w:val="yellow"/>
        </w:rPr>
        <w:t xml:space="preserve"> substrate</w:t>
      </w:r>
      <w:r w:rsidR="00843ADD" w:rsidRPr="00706CBA">
        <w:rPr>
          <w:color w:val="000000" w:themeColor="text1"/>
          <w:highlight w:val="yellow"/>
        </w:rPr>
        <w:t xml:space="preserve"> (</w:t>
      </w:r>
      <w:r w:rsidR="00843ADD" w:rsidRPr="00706CBA">
        <w:rPr>
          <w:b/>
          <w:bCs/>
          <w:color w:val="000000" w:themeColor="text1"/>
          <w:highlight w:val="yellow"/>
        </w:rPr>
        <w:t xml:space="preserve">Figure </w:t>
      </w:r>
      <w:r w:rsidR="008529ED" w:rsidRPr="00706CBA">
        <w:rPr>
          <w:b/>
          <w:bCs/>
          <w:color w:val="000000" w:themeColor="text1"/>
          <w:highlight w:val="yellow"/>
        </w:rPr>
        <w:t>3</w:t>
      </w:r>
      <w:r w:rsidR="00843ADD" w:rsidRPr="00706CBA">
        <w:rPr>
          <w:color w:val="000000" w:themeColor="text1"/>
          <w:highlight w:val="yellow"/>
        </w:rPr>
        <w:t>)</w:t>
      </w:r>
      <w:r w:rsidRPr="00706CBA">
        <w:rPr>
          <w:color w:val="000000" w:themeColor="text1"/>
          <w:highlight w:val="yellow"/>
        </w:rPr>
        <w:t xml:space="preserve">. Name the strategies after the substrates or their abbreviations.  </w:t>
      </w:r>
    </w:p>
    <w:p w14:paraId="6D50D43A" w14:textId="77777777" w:rsidR="00706CBA" w:rsidRPr="00706CBA" w:rsidRDefault="00706CBA" w:rsidP="00706CBA">
      <w:pPr>
        <w:pStyle w:val="ListParagraph"/>
        <w:ind w:left="0"/>
        <w:rPr>
          <w:color w:val="000000" w:themeColor="text1"/>
          <w:highlight w:val="yellow"/>
        </w:rPr>
      </w:pPr>
    </w:p>
    <w:p w14:paraId="3C131BE1" w14:textId="752E398F" w:rsidR="0025466C" w:rsidRPr="00706CBA" w:rsidRDefault="00706CBA" w:rsidP="00706CBA">
      <w:pPr>
        <w:pStyle w:val="ListParagraph"/>
        <w:numPr>
          <w:ilvl w:val="1"/>
          <w:numId w:val="14"/>
        </w:numPr>
        <w:ind w:left="0" w:firstLine="0"/>
        <w:rPr>
          <w:color w:val="000000" w:themeColor="text1"/>
          <w:highlight w:val="yellow"/>
        </w:rPr>
      </w:pPr>
      <w:r w:rsidRPr="00706CBA">
        <w:rPr>
          <w:color w:val="000000" w:themeColor="text1"/>
          <w:highlight w:val="yellow"/>
        </w:rPr>
        <w:t>Load the p</w:t>
      </w:r>
      <w:r w:rsidR="0026034D" w:rsidRPr="00706CBA">
        <w:rPr>
          <w:color w:val="000000" w:themeColor="text1"/>
          <w:highlight w:val="yellow"/>
        </w:rPr>
        <w:t>orts B, C, and D with oligomycin, FCCP, and rotenone/antimycin A</w:t>
      </w:r>
      <w:r w:rsidRPr="00706CBA">
        <w:rPr>
          <w:color w:val="000000" w:themeColor="text1"/>
          <w:highlight w:val="yellow"/>
        </w:rPr>
        <w:t>,</w:t>
      </w:r>
      <w:r w:rsidR="0026034D" w:rsidRPr="00706CBA">
        <w:rPr>
          <w:color w:val="000000" w:themeColor="text1"/>
          <w:highlight w:val="yellow"/>
        </w:rPr>
        <w:t xml:space="preserve"> respectively. </w:t>
      </w:r>
      <w:r w:rsidR="00843ADD" w:rsidRPr="00706CBA">
        <w:rPr>
          <w:color w:val="000000" w:themeColor="text1"/>
          <w:highlight w:val="yellow"/>
        </w:rPr>
        <w:t>Create</w:t>
      </w:r>
      <w:r w:rsidR="0026034D" w:rsidRPr="00706CBA">
        <w:rPr>
          <w:color w:val="000000" w:themeColor="text1"/>
          <w:highlight w:val="yellow"/>
        </w:rPr>
        <w:t xml:space="preserve"> eight groups and name them</w:t>
      </w:r>
      <w:r w:rsidRPr="00706CBA">
        <w:rPr>
          <w:color w:val="000000" w:themeColor="text1"/>
          <w:highlight w:val="yellow"/>
        </w:rPr>
        <w:t>,</w:t>
      </w:r>
      <w:r w:rsidR="0026034D" w:rsidRPr="00706CBA">
        <w:rPr>
          <w:color w:val="000000" w:themeColor="text1"/>
          <w:highlight w:val="yellow"/>
        </w:rPr>
        <w:t xml:space="preserve"> as shown in </w:t>
      </w:r>
      <w:r w:rsidR="0026034D" w:rsidRPr="00706CBA">
        <w:rPr>
          <w:b/>
          <w:bCs/>
          <w:color w:val="000000" w:themeColor="text1"/>
          <w:highlight w:val="yellow"/>
        </w:rPr>
        <w:t xml:space="preserve">Figure </w:t>
      </w:r>
      <w:r w:rsidR="008529ED" w:rsidRPr="00706CBA">
        <w:rPr>
          <w:b/>
          <w:bCs/>
          <w:color w:val="000000" w:themeColor="text1"/>
          <w:highlight w:val="yellow"/>
        </w:rPr>
        <w:t>4</w:t>
      </w:r>
      <w:r w:rsidR="0026034D" w:rsidRPr="00706CBA">
        <w:rPr>
          <w:color w:val="000000" w:themeColor="text1"/>
          <w:highlight w:val="yellow"/>
        </w:rPr>
        <w:t xml:space="preserve">. Under </w:t>
      </w:r>
      <w:r w:rsidR="0026034D" w:rsidRPr="00706CBA">
        <w:rPr>
          <w:b/>
          <w:bCs/>
          <w:color w:val="000000" w:themeColor="text1"/>
          <w:highlight w:val="yellow"/>
        </w:rPr>
        <w:t>Plate Map</w:t>
      </w:r>
      <w:r w:rsidR="0026034D" w:rsidRPr="00706CBA">
        <w:rPr>
          <w:color w:val="000000" w:themeColor="text1"/>
          <w:highlight w:val="yellow"/>
        </w:rPr>
        <w:t xml:space="preserve"> assign the groups to the corresponding wells</w:t>
      </w:r>
      <w:r w:rsidRPr="00706CBA">
        <w:rPr>
          <w:color w:val="000000" w:themeColor="text1"/>
          <w:highlight w:val="yellow"/>
        </w:rPr>
        <w:t>,</w:t>
      </w:r>
      <w:r w:rsidR="0026034D" w:rsidRPr="00706CBA">
        <w:rPr>
          <w:color w:val="000000" w:themeColor="text1"/>
          <w:highlight w:val="yellow"/>
        </w:rPr>
        <w:t xml:space="preserve"> then save the protocol as a ready</w:t>
      </w:r>
      <w:r w:rsidRPr="00706CBA">
        <w:rPr>
          <w:color w:val="000000" w:themeColor="text1"/>
          <w:highlight w:val="yellow"/>
        </w:rPr>
        <w:t>-to-</w:t>
      </w:r>
      <w:r w:rsidR="0026034D" w:rsidRPr="00706CBA">
        <w:rPr>
          <w:color w:val="000000" w:themeColor="text1"/>
          <w:highlight w:val="yellow"/>
        </w:rPr>
        <w:t>use template.</w:t>
      </w:r>
      <w:r w:rsidR="005F1E31" w:rsidRPr="00706CBA">
        <w:rPr>
          <w:color w:val="000000" w:themeColor="text1"/>
          <w:highlight w:val="yellow"/>
        </w:rPr>
        <w:t xml:space="preserve"> </w:t>
      </w:r>
      <w:r w:rsidR="0026034D" w:rsidRPr="00706CBA">
        <w:rPr>
          <w:color w:val="000000" w:themeColor="text1"/>
          <w:highlight w:val="yellow"/>
        </w:rPr>
        <w:t xml:space="preserve">Leave the analyzer switched on to </w:t>
      </w:r>
      <w:r w:rsidR="0025466C" w:rsidRPr="00706CBA">
        <w:rPr>
          <w:color w:val="000000" w:themeColor="text1"/>
          <w:highlight w:val="yellow"/>
        </w:rPr>
        <w:t xml:space="preserve">allow the temperature to stabilize overnight. </w:t>
      </w:r>
      <w:r w:rsidRPr="00706CBA">
        <w:rPr>
          <w:color w:val="000000" w:themeColor="text1"/>
          <w:highlight w:val="yellow"/>
        </w:rPr>
        <w:t>K</w:t>
      </w:r>
      <w:r w:rsidR="000C3E62" w:rsidRPr="00706CBA">
        <w:rPr>
          <w:color w:val="000000" w:themeColor="text1"/>
          <w:highlight w:val="yellow"/>
        </w:rPr>
        <w:t xml:space="preserve">eep the analyzer in a place with </w:t>
      </w:r>
      <w:r w:rsidRPr="00706CBA">
        <w:rPr>
          <w:color w:val="000000" w:themeColor="text1"/>
          <w:highlight w:val="yellow"/>
        </w:rPr>
        <w:t xml:space="preserve">a </w:t>
      </w:r>
      <w:r w:rsidR="000C3E62" w:rsidRPr="00706CBA">
        <w:rPr>
          <w:color w:val="000000" w:themeColor="text1"/>
          <w:highlight w:val="yellow"/>
        </w:rPr>
        <w:t>stable temperature to avoid sudden temperature changes.</w:t>
      </w:r>
    </w:p>
    <w:p w14:paraId="28737E7A" w14:textId="77777777" w:rsidR="00706CBA" w:rsidRPr="00706CBA" w:rsidRDefault="00706CBA" w:rsidP="00706CBA">
      <w:pPr>
        <w:pStyle w:val="ListParagraph"/>
        <w:ind w:left="0"/>
        <w:rPr>
          <w:b/>
          <w:bCs/>
          <w:color w:val="000000" w:themeColor="text1"/>
        </w:rPr>
      </w:pPr>
    </w:p>
    <w:p w14:paraId="3832E098" w14:textId="0C443108" w:rsidR="00E31D6C" w:rsidRPr="00706CBA" w:rsidRDefault="006907D8" w:rsidP="00706CBA">
      <w:pPr>
        <w:pStyle w:val="ListParagraph"/>
        <w:numPr>
          <w:ilvl w:val="0"/>
          <w:numId w:val="14"/>
        </w:numPr>
        <w:ind w:left="0" w:firstLine="0"/>
        <w:rPr>
          <w:b/>
          <w:bCs/>
          <w:color w:val="000000" w:themeColor="text1"/>
          <w:highlight w:val="yellow"/>
        </w:rPr>
      </w:pPr>
      <w:r w:rsidRPr="00706CBA">
        <w:rPr>
          <w:b/>
          <w:bCs/>
          <w:color w:val="000000" w:themeColor="text1"/>
          <w:highlight w:val="yellow"/>
        </w:rPr>
        <w:t>The day of the assay</w:t>
      </w:r>
    </w:p>
    <w:p w14:paraId="2F19B003" w14:textId="77777777" w:rsidR="00706CBA" w:rsidRPr="00706CBA" w:rsidRDefault="00706CBA" w:rsidP="00706CBA">
      <w:pPr>
        <w:pStyle w:val="ListParagraph"/>
        <w:ind w:left="0"/>
        <w:rPr>
          <w:color w:val="000000" w:themeColor="text1"/>
        </w:rPr>
      </w:pPr>
    </w:p>
    <w:p w14:paraId="7891C76D" w14:textId="3B0290C9" w:rsidR="0025466C" w:rsidRPr="00706CBA" w:rsidRDefault="006907D8" w:rsidP="00706CBA">
      <w:pPr>
        <w:pStyle w:val="ListParagraph"/>
        <w:numPr>
          <w:ilvl w:val="1"/>
          <w:numId w:val="14"/>
        </w:numPr>
        <w:ind w:left="0" w:firstLine="0"/>
        <w:rPr>
          <w:color w:val="000000" w:themeColor="text1"/>
          <w:highlight w:val="yellow"/>
        </w:rPr>
      </w:pPr>
      <w:r w:rsidRPr="00706CBA">
        <w:rPr>
          <w:color w:val="000000" w:themeColor="text1"/>
          <w:highlight w:val="yellow"/>
        </w:rPr>
        <w:t xml:space="preserve">Replacing </w:t>
      </w:r>
      <w:r w:rsidR="001F6AEA" w:rsidRPr="00706CBA">
        <w:rPr>
          <w:color w:val="000000" w:themeColor="text1"/>
          <w:highlight w:val="yellow"/>
        </w:rPr>
        <w:t>water</w:t>
      </w:r>
      <w:r w:rsidRPr="00706CBA">
        <w:rPr>
          <w:color w:val="000000" w:themeColor="text1"/>
          <w:highlight w:val="yellow"/>
        </w:rPr>
        <w:t xml:space="preserve"> with </w:t>
      </w:r>
      <w:r w:rsidR="00706CBA">
        <w:rPr>
          <w:color w:val="000000" w:themeColor="text1"/>
          <w:highlight w:val="yellow"/>
        </w:rPr>
        <w:t xml:space="preserve">the </w:t>
      </w:r>
      <w:r w:rsidRPr="00706CBA">
        <w:rPr>
          <w:color w:val="000000" w:themeColor="text1"/>
          <w:highlight w:val="yellow"/>
        </w:rPr>
        <w:t>calibrant</w:t>
      </w:r>
      <w:r w:rsidR="00706CBA">
        <w:rPr>
          <w:color w:val="000000" w:themeColor="text1"/>
          <w:highlight w:val="yellow"/>
        </w:rPr>
        <w:t xml:space="preserve">: </w:t>
      </w:r>
      <w:r w:rsidR="0025466C" w:rsidRPr="00706CBA">
        <w:rPr>
          <w:color w:val="000000" w:themeColor="text1"/>
          <w:highlight w:val="yellow"/>
        </w:rPr>
        <w:t xml:space="preserve">Discard the </w:t>
      </w:r>
      <w:r w:rsidR="001F6AEA" w:rsidRPr="00706CBA">
        <w:rPr>
          <w:color w:val="000000" w:themeColor="text1"/>
          <w:highlight w:val="yellow"/>
        </w:rPr>
        <w:t>water</w:t>
      </w:r>
      <w:r w:rsidR="0025466C" w:rsidRPr="00706CBA">
        <w:rPr>
          <w:color w:val="000000" w:themeColor="text1"/>
          <w:highlight w:val="yellow"/>
        </w:rPr>
        <w:t xml:space="preserve"> from the utility plate and pipet</w:t>
      </w:r>
      <w:r w:rsidR="001A1533" w:rsidRPr="00706CBA">
        <w:rPr>
          <w:color w:val="000000" w:themeColor="text1"/>
          <w:highlight w:val="yellow"/>
        </w:rPr>
        <w:t>te</w:t>
      </w:r>
      <w:r w:rsidR="0025466C" w:rsidRPr="00706CBA">
        <w:rPr>
          <w:color w:val="000000" w:themeColor="text1"/>
          <w:highlight w:val="yellow"/>
        </w:rPr>
        <w:t xml:space="preserve"> 200 µL per </w:t>
      </w:r>
      <w:r w:rsidR="004F4B91" w:rsidRPr="00706CBA">
        <w:rPr>
          <w:color w:val="000000" w:themeColor="text1"/>
          <w:highlight w:val="yellow"/>
        </w:rPr>
        <w:t xml:space="preserve">well </w:t>
      </w:r>
      <w:r w:rsidR="0025466C" w:rsidRPr="00706CBA">
        <w:rPr>
          <w:color w:val="000000" w:themeColor="text1"/>
          <w:highlight w:val="yellow"/>
        </w:rPr>
        <w:t xml:space="preserve">of prewarmed calibrant to the utility plate. </w:t>
      </w:r>
      <w:r w:rsidR="007A1900" w:rsidRPr="00706CBA">
        <w:rPr>
          <w:color w:val="000000" w:themeColor="text1"/>
          <w:highlight w:val="yellow"/>
        </w:rPr>
        <w:t>Return</w:t>
      </w:r>
      <w:r w:rsidR="0025466C" w:rsidRPr="00706CBA">
        <w:rPr>
          <w:color w:val="000000" w:themeColor="text1"/>
          <w:highlight w:val="yellow"/>
        </w:rPr>
        <w:t xml:space="preserve"> the cartridge </w:t>
      </w:r>
      <w:r w:rsidR="007A1900" w:rsidRPr="00706CBA">
        <w:rPr>
          <w:color w:val="000000" w:themeColor="text1"/>
          <w:highlight w:val="yellow"/>
        </w:rPr>
        <w:t>to the</w:t>
      </w:r>
      <w:r w:rsidR="001F6AEA" w:rsidRPr="00706CBA">
        <w:rPr>
          <w:color w:val="000000" w:themeColor="text1"/>
          <w:highlight w:val="yellow"/>
        </w:rPr>
        <w:t xml:space="preserve"> </w:t>
      </w:r>
      <w:r w:rsidR="00706CBA" w:rsidRPr="00706CBA">
        <w:rPr>
          <w:color w:val="000000" w:themeColor="text1"/>
          <w:highlight w:val="yellow"/>
        </w:rPr>
        <w:t>CO</w:t>
      </w:r>
      <w:r w:rsidR="00706CBA" w:rsidRPr="00706CBA">
        <w:rPr>
          <w:color w:val="000000" w:themeColor="text1"/>
          <w:highlight w:val="yellow"/>
          <w:vertAlign w:val="subscript"/>
        </w:rPr>
        <w:t>2</w:t>
      </w:r>
      <w:r w:rsidR="00706CBA">
        <w:rPr>
          <w:color w:val="000000" w:themeColor="text1"/>
          <w:highlight w:val="yellow"/>
        </w:rPr>
        <w:t>-</w:t>
      </w:r>
      <w:r w:rsidR="0025466C" w:rsidRPr="00706CBA">
        <w:rPr>
          <w:color w:val="000000" w:themeColor="text1"/>
          <w:highlight w:val="yellow"/>
        </w:rPr>
        <w:t>free incubator until the time of the assay.</w:t>
      </w:r>
      <w:r w:rsidR="007A1900" w:rsidRPr="00706CBA">
        <w:rPr>
          <w:color w:val="000000" w:themeColor="text1"/>
          <w:highlight w:val="yellow"/>
        </w:rPr>
        <w:t xml:space="preserve"> To avoid rapid evaporation of the calibrant, maintain a source of humidity inside the incubator and turn of</w:t>
      </w:r>
      <w:r w:rsidR="00AF348F" w:rsidRPr="00706CBA">
        <w:rPr>
          <w:color w:val="000000" w:themeColor="text1"/>
          <w:highlight w:val="yellow"/>
        </w:rPr>
        <w:t>f</w:t>
      </w:r>
      <w:r w:rsidR="007A1900" w:rsidRPr="00706CBA">
        <w:rPr>
          <w:color w:val="000000" w:themeColor="text1"/>
          <w:highlight w:val="yellow"/>
        </w:rPr>
        <w:t xml:space="preserve"> or reduce the fan speed to </w:t>
      </w:r>
      <w:r w:rsidR="00706CBA">
        <w:rPr>
          <w:color w:val="000000" w:themeColor="text1"/>
          <w:highlight w:val="yellow"/>
        </w:rPr>
        <w:t xml:space="preserve">a </w:t>
      </w:r>
      <w:r w:rsidR="007A1900" w:rsidRPr="00706CBA">
        <w:rPr>
          <w:color w:val="000000" w:themeColor="text1"/>
          <w:highlight w:val="yellow"/>
        </w:rPr>
        <w:t>minimum.</w:t>
      </w:r>
    </w:p>
    <w:p w14:paraId="71238165" w14:textId="77777777" w:rsidR="00706CBA" w:rsidRPr="00706CBA" w:rsidRDefault="00706CBA" w:rsidP="00706CBA">
      <w:pPr>
        <w:pStyle w:val="ListParagraph"/>
        <w:ind w:left="0"/>
        <w:rPr>
          <w:color w:val="000000" w:themeColor="text1"/>
          <w:highlight w:val="yellow"/>
        </w:rPr>
      </w:pPr>
    </w:p>
    <w:p w14:paraId="3E50D983" w14:textId="7A3B25E7" w:rsidR="0025466C" w:rsidRPr="00706CBA" w:rsidRDefault="006907D8" w:rsidP="00706CBA">
      <w:pPr>
        <w:pStyle w:val="ListParagraph"/>
        <w:numPr>
          <w:ilvl w:val="1"/>
          <w:numId w:val="14"/>
        </w:numPr>
        <w:ind w:left="0" w:firstLine="0"/>
        <w:rPr>
          <w:color w:val="000000" w:themeColor="text1"/>
          <w:highlight w:val="yellow"/>
        </w:rPr>
      </w:pPr>
      <w:r w:rsidRPr="00706CBA">
        <w:rPr>
          <w:color w:val="000000" w:themeColor="text1"/>
          <w:highlight w:val="yellow"/>
        </w:rPr>
        <w:t xml:space="preserve">Preparing </w:t>
      </w:r>
      <w:r w:rsidR="00142A69" w:rsidRPr="00706CBA">
        <w:rPr>
          <w:color w:val="000000" w:themeColor="text1"/>
          <w:highlight w:val="yellow"/>
        </w:rPr>
        <w:t xml:space="preserve">the </w:t>
      </w:r>
      <w:r w:rsidR="0025466C" w:rsidRPr="00706CBA">
        <w:rPr>
          <w:color w:val="000000" w:themeColor="text1"/>
          <w:highlight w:val="yellow"/>
        </w:rPr>
        <w:t>working</w:t>
      </w:r>
      <w:r w:rsidRPr="00706CBA">
        <w:rPr>
          <w:color w:val="000000" w:themeColor="text1"/>
          <w:highlight w:val="yellow"/>
        </w:rPr>
        <w:t xml:space="preserve"> concentration </w:t>
      </w:r>
      <w:r w:rsidR="0025466C" w:rsidRPr="00706CBA">
        <w:rPr>
          <w:color w:val="000000" w:themeColor="text1"/>
          <w:highlight w:val="yellow"/>
        </w:rPr>
        <w:t xml:space="preserve">of </w:t>
      </w:r>
      <w:r w:rsidR="00142A69" w:rsidRPr="00706CBA">
        <w:rPr>
          <w:color w:val="000000" w:themeColor="text1"/>
          <w:highlight w:val="yellow"/>
        </w:rPr>
        <w:t xml:space="preserve">the </w:t>
      </w:r>
      <w:r w:rsidR="0025466C" w:rsidRPr="00706CBA">
        <w:rPr>
          <w:color w:val="000000" w:themeColor="text1"/>
          <w:highlight w:val="yellow"/>
        </w:rPr>
        <w:t>reagents</w:t>
      </w:r>
      <w:r w:rsidR="00706CBA">
        <w:rPr>
          <w:color w:val="000000" w:themeColor="text1"/>
          <w:highlight w:val="yellow"/>
        </w:rPr>
        <w:t xml:space="preserve">: </w:t>
      </w:r>
      <w:r w:rsidR="00734931" w:rsidRPr="00706CBA">
        <w:rPr>
          <w:color w:val="000000" w:themeColor="text1"/>
          <w:highlight w:val="yellow"/>
        </w:rPr>
        <w:t xml:space="preserve">Start by </w:t>
      </w:r>
      <w:r w:rsidR="008279D7" w:rsidRPr="00706CBA">
        <w:rPr>
          <w:color w:val="000000" w:themeColor="text1"/>
          <w:highlight w:val="yellow"/>
        </w:rPr>
        <w:t>w</w:t>
      </w:r>
      <w:r w:rsidR="00734931" w:rsidRPr="00706CBA">
        <w:rPr>
          <w:color w:val="000000" w:themeColor="text1"/>
          <w:highlight w:val="yellow"/>
        </w:rPr>
        <w:t>arm</w:t>
      </w:r>
      <w:r w:rsidR="008279D7" w:rsidRPr="00706CBA">
        <w:rPr>
          <w:color w:val="000000" w:themeColor="text1"/>
          <w:highlight w:val="yellow"/>
        </w:rPr>
        <w:t>ing</w:t>
      </w:r>
      <w:r w:rsidR="00734931" w:rsidRPr="00706CBA">
        <w:rPr>
          <w:color w:val="000000" w:themeColor="text1"/>
          <w:highlight w:val="yellow"/>
        </w:rPr>
        <w:t xml:space="preserve"> 2</w:t>
      </w:r>
      <w:r w:rsidR="00706CBA">
        <w:rPr>
          <w:color w:val="000000" w:themeColor="text1"/>
          <w:highlight w:val="yellow"/>
        </w:rPr>
        <w:t>x</w:t>
      </w:r>
      <w:r w:rsidR="00706CBA" w:rsidRPr="00706CBA">
        <w:rPr>
          <w:color w:val="000000" w:themeColor="text1"/>
          <w:highlight w:val="yellow"/>
        </w:rPr>
        <w:t xml:space="preserve"> </w:t>
      </w:r>
      <w:r w:rsidR="008279D7" w:rsidRPr="00706CBA">
        <w:rPr>
          <w:color w:val="000000" w:themeColor="text1"/>
          <w:highlight w:val="yellow"/>
        </w:rPr>
        <w:t>MAS</w:t>
      </w:r>
      <w:r w:rsidR="00734931" w:rsidRPr="00706CBA">
        <w:rPr>
          <w:color w:val="000000" w:themeColor="text1"/>
          <w:highlight w:val="yellow"/>
        </w:rPr>
        <w:t xml:space="preserve">, </w:t>
      </w:r>
      <w:r w:rsidR="005261D5">
        <w:rPr>
          <w:color w:val="000000" w:themeColor="text1"/>
          <w:highlight w:val="yellow"/>
        </w:rPr>
        <w:t xml:space="preserve">5% </w:t>
      </w:r>
      <w:r w:rsidR="00734931" w:rsidRPr="00706CBA">
        <w:rPr>
          <w:color w:val="000000" w:themeColor="text1"/>
          <w:highlight w:val="yellow"/>
        </w:rPr>
        <w:t>BSA, and sterile water to 37</w:t>
      </w:r>
      <w:r w:rsidR="00706CBA">
        <w:rPr>
          <w:color w:val="000000" w:themeColor="text1"/>
          <w:highlight w:val="yellow"/>
        </w:rPr>
        <w:t xml:space="preserve"> </w:t>
      </w:r>
      <w:r w:rsidR="00734931" w:rsidRPr="00706CBA">
        <w:rPr>
          <w:color w:val="000000" w:themeColor="text1"/>
          <w:highlight w:val="yellow"/>
        </w:rPr>
        <w:t>°C</w:t>
      </w:r>
      <w:r w:rsidR="00D93D01" w:rsidRPr="00706CBA">
        <w:rPr>
          <w:color w:val="000000" w:themeColor="text1"/>
          <w:highlight w:val="yellow"/>
        </w:rPr>
        <w:t xml:space="preserve">. Meanwhile, </w:t>
      </w:r>
      <w:r w:rsidR="007257DC" w:rsidRPr="00706CBA">
        <w:rPr>
          <w:color w:val="000000" w:themeColor="text1"/>
          <w:highlight w:val="yellow"/>
        </w:rPr>
        <w:t xml:space="preserve">allow the inhibitor stocks to reach room temperature. </w:t>
      </w:r>
      <w:r w:rsidR="00734931" w:rsidRPr="00706CBA">
        <w:rPr>
          <w:color w:val="000000" w:themeColor="text1"/>
          <w:highlight w:val="yellow"/>
        </w:rPr>
        <w:t xml:space="preserve"> </w:t>
      </w:r>
      <w:r w:rsidR="00706CBA">
        <w:rPr>
          <w:color w:val="000000" w:themeColor="text1"/>
          <w:highlight w:val="yellow"/>
        </w:rPr>
        <w:t xml:space="preserve">Use </w:t>
      </w:r>
      <w:r w:rsidR="00706CBA" w:rsidRPr="00B053F2">
        <w:rPr>
          <w:color w:val="000000" w:themeColor="text1"/>
          <w:highlight w:val="yellow"/>
        </w:rPr>
        <w:t>warm 2</w:t>
      </w:r>
      <w:r w:rsidR="00706CBA">
        <w:rPr>
          <w:color w:val="000000" w:themeColor="text1"/>
          <w:highlight w:val="yellow"/>
        </w:rPr>
        <w:t>x</w:t>
      </w:r>
      <w:r w:rsidR="00706CBA" w:rsidRPr="00B053F2">
        <w:rPr>
          <w:color w:val="000000" w:themeColor="text1"/>
          <w:highlight w:val="yellow"/>
        </w:rPr>
        <w:t xml:space="preserve"> MAS and sterile distilled water</w:t>
      </w:r>
      <w:r w:rsidR="00706CBA">
        <w:rPr>
          <w:color w:val="000000" w:themeColor="text1"/>
          <w:highlight w:val="yellow"/>
        </w:rPr>
        <w:t xml:space="preserve"> to p</w:t>
      </w:r>
      <w:r w:rsidR="0025466C" w:rsidRPr="00706CBA">
        <w:rPr>
          <w:color w:val="000000" w:themeColor="text1"/>
          <w:highlight w:val="yellow"/>
        </w:rPr>
        <w:t>repa</w:t>
      </w:r>
      <w:r w:rsidR="007257DC" w:rsidRPr="00706CBA">
        <w:rPr>
          <w:color w:val="000000" w:themeColor="text1"/>
          <w:highlight w:val="yellow"/>
        </w:rPr>
        <w:t xml:space="preserve">re 5 </w:t>
      </w:r>
      <w:r w:rsidR="00706CBA" w:rsidRPr="00706CBA">
        <w:rPr>
          <w:color w:val="000000" w:themeColor="text1"/>
          <w:highlight w:val="yellow"/>
        </w:rPr>
        <w:t>m</w:t>
      </w:r>
      <w:r w:rsidR="00706CBA">
        <w:rPr>
          <w:color w:val="000000" w:themeColor="text1"/>
          <w:highlight w:val="yellow"/>
        </w:rPr>
        <w:t xml:space="preserve">L </w:t>
      </w:r>
      <w:r w:rsidR="007257DC" w:rsidRPr="00706CBA">
        <w:rPr>
          <w:color w:val="000000" w:themeColor="text1"/>
          <w:highlight w:val="yellow"/>
        </w:rPr>
        <w:t xml:space="preserve">of </w:t>
      </w:r>
      <w:r w:rsidR="0025466C" w:rsidRPr="00706CBA">
        <w:rPr>
          <w:color w:val="000000" w:themeColor="text1"/>
          <w:highlight w:val="yellow"/>
        </w:rPr>
        <w:t xml:space="preserve">the working concentration of the </w:t>
      </w:r>
      <w:r w:rsidR="007257DC" w:rsidRPr="00706CBA">
        <w:rPr>
          <w:color w:val="000000" w:themeColor="text1"/>
          <w:highlight w:val="yellow"/>
        </w:rPr>
        <w:t xml:space="preserve">substrates and </w:t>
      </w:r>
      <w:r w:rsidR="0025466C" w:rsidRPr="00706CBA">
        <w:rPr>
          <w:color w:val="000000" w:themeColor="text1"/>
          <w:highlight w:val="yellow"/>
        </w:rPr>
        <w:t>inhibitors</w:t>
      </w:r>
      <w:r w:rsidR="00706CBA">
        <w:rPr>
          <w:color w:val="000000" w:themeColor="text1"/>
          <w:highlight w:val="yellow"/>
        </w:rPr>
        <w:t xml:space="preserve"> as</w:t>
      </w:r>
      <w:r w:rsidR="0025466C" w:rsidRPr="00706CBA">
        <w:rPr>
          <w:color w:val="000000" w:themeColor="text1"/>
          <w:highlight w:val="yellow"/>
        </w:rPr>
        <w:t xml:space="preserve"> described in </w:t>
      </w:r>
      <w:r w:rsidR="008279D7" w:rsidRPr="00706CBA">
        <w:rPr>
          <w:b/>
          <w:bCs/>
          <w:color w:val="000000" w:themeColor="text1"/>
          <w:highlight w:val="yellow"/>
        </w:rPr>
        <w:t>T</w:t>
      </w:r>
      <w:r w:rsidR="0025466C" w:rsidRPr="00706CBA">
        <w:rPr>
          <w:b/>
          <w:bCs/>
          <w:color w:val="000000" w:themeColor="text1"/>
          <w:highlight w:val="yellow"/>
        </w:rPr>
        <w:t>able 3</w:t>
      </w:r>
      <w:r w:rsidR="0025466C" w:rsidRPr="00706CBA">
        <w:rPr>
          <w:color w:val="000000" w:themeColor="text1"/>
          <w:highlight w:val="yellow"/>
        </w:rPr>
        <w:t>.</w:t>
      </w:r>
      <w:r w:rsidR="00F22242" w:rsidRPr="00706CBA">
        <w:rPr>
          <w:color w:val="000000" w:themeColor="text1"/>
          <w:highlight w:val="yellow"/>
        </w:rPr>
        <w:t xml:space="preserve"> </w:t>
      </w:r>
    </w:p>
    <w:p w14:paraId="427CEAA7" w14:textId="77777777" w:rsidR="00706CBA" w:rsidRPr="00706CBA" w:rsidRDefault="00706CBA" w:rsidP="00706CBA">
      <w:pPr>
        <w:pStyle w:val="ListParagraph"/>
        <w:ind w:left="0"/>
        <w:rPr>
          <w:color w:val="000000" w:themeColor="text1"/>
          <w:highlight w:val="yellow"/>
        </w:rPr>
      </w:pPr>
    </w:p>
    <w:p w14:paraId="19348C5E" w14:textId="728A7D1B" w:rsidR="007257DC" w:rsidRPr="00706CBA" w:rsidRDefault="006907D8" w:rsidP="00706CBA">
      <w:pPr>
        <w:pStyle w:val="ListParagraph"/>
        <w:numPr>
          <w:ilvl w:val="1"/>
          <w:numId w:val="14"/>
        </w:numPr>
        <w:ind w:left="0" w:firstLine="0"/>
        <w:rPr>
          <w:color w:val="000000" w:themeColor="text1"/>
          <w:highlight w:val="yellow"/>
        </w:rPr>
      </w:pPr>
      <w:r w:rsidRPr="00706CBA">
        <w:rPr>
          <w:color w:val="000000" w:themeColor="text1"/>
          <w:highlight w:val="yellow"/>
        </w:rPr>
        <w:t>Loading the injection ports</w:t>
      </w:r>
      <w:r w:rsidR="00706CBA">
        <w:rPr>
          <w:color w:val="000000" w:themeColor="text1"/>
          <w:highlight w:val="yellow"/>
        </w:rPr>
        <w:t xml:space="preserve">: </w:t>
      </w:r>
      <w:r w:rsidR="00D02B4B" w:rsidRPr="00706CBA">
        <w:rPr>
          <w:color w:val="000000" w:themeColor="text1"/>
          <w:highlight w:val="yellow"/>
        </w:rPr>
        <w:t xml:space="preserve">As shown in </w:t>
      </w:r>
      <w:r w:rsidR="00D02B4B" w:rsidRPr="00706CBA">
        <w:rPr>
          <w:b/>
          <w:bCs/>
          <w:color w:val="000000" w:themeColor="text1"/>
          <w:highlight w:val="yellow"/>
        </w:rPr>
        <w:t>Figure 3</w:t>
      </w:r>
      <w:r w:rsidR="00D02B4B" w:rsidRPr="00706CBA">
        <w:rPr>
          <w:color w:val="000000" w:themeColor="text1"/>
          <w:highlight w:val="yellow"/>
        </w:rPr>
        <w:t>, l</w:t>
      </w:r>
      <w:r w:rsidR="00F22242" w:rsidRPr="00706CBA">
        <w:rPr>
          <w:color w:val="000000" w:themeColor="text1"/>
          <w:highlight w:val="yellow"/>
        </w:rPr>
        <w:t xml:space="preserve">oad </w:t>
      </w:r>
      <w:r w:rsidR="00CA746A" w:rsidRPr="00706CBA">
        <w:rPr>
          <w:color w:val="000000" w:themeColor="text1"/>
          <w:highlight w:val="yellow"/>
        </w:rPr>
        <w:t>20 µ</w:t>
      </w:r>
      <w:r w:rsidR="00706CBA">
        <w:rPr>
          <w:color w:val="000000" w:themeColor="text1"/>
          <w:highlight w:val="yellow"/>
        </w:rPr>
        <w:t>L</w:t>
      </w:r>
      <w:r w:rsidR="00CA746A" w:rsidRPr="00706CBA">
        <w:rPr>
          <w:color w:val="000000" w:themeColor="text1"/>
          <w:highlight w:val="yellow"/>
        </w:rPr>
        <w:t xml:space="preserve"> of the </w:t>
      </w:r>
      <w:r w:rsidR="00F22242" w:rsidRPr="00706CBA">
        <w:rPr>
          <w:color w:val="000000" w:themeColor="text1"/>
          <w:highlight w:val="yellow"/>
        </w:rPr>
        <w:t>substrates in</w:t>
      </w:r>
      <w:r w:rsidR="00CA746A" w:rsidRPr="00706CBA">
        <w:rPr>
          <w:color w:val="000000" w:themeColor="text1"/>
          <w:highlight w:val="yellow"/>
        </w:rPr>
        <w:t>to</w:t>
      </w:r>
      <w:r w:rsidR="00F22242" w:rsidRPr="00706CBA">
        <w:rPr>
          <w:color w:val="000000" w:themeColor="text1"/>
          <w:highlight w:val="yellow"/>
        </w:rPr>
        <w:t xml:space="preserve"> port A</w:t>
      </w:r>
      <w:r w:rsidR="00CA746A" w:rsidRPr="00706CBA">
        <w:rPr>
          <w:color w:val="000000" w:themeColor="text1"/>
          <w:highlight w:val="yellow"/>
        </w:rPr>
        <w:t xml:space="preserve">. </w:t>
      </w:r>
      <w:r w:rsidR="00706CBA">
        <w:rPr>
          <w:color w:val="000000" w:themeColor="text1"/>
          <w:highlight w:val="yellow"/>
        </w:rPr>
        <w:t>Load s</w:t>
      </w:r>
      <w:r w:rsidR="00706CBA" w:rsidRPr="00706CBA">
        <w:rPr>
          <w:color w:val="000000" w:themeColor="text1"/>
          <w:highlight w:val="yellow"/>
        </w:rPr>
        <w:t>uccinate</w:t>
      </w:r>
      <w:r w:rsidR="00CA746A" w:rsidRPr="00706CBA">
        <w:rPr>
          <w:color w:val="000000" w:themeColor="text1"/>
          <w:highlight w:val="yellow"/>
        </w:rPr>
        <w:t xml:space="preserve">/rotenone mixture into port A of rows A and B. Load pyruvate/malate mixture into port A of rows C and D. </w:t>
      </w:r>
      <w:r w:rsidR="00706CBA">
        <w:rPr>
          <w:color w:val="000000" w:themeColor="text1"/>
          <w:highlight w:val="yellow"/>
        </w:rPr>
        <w:t>Load g</w:t>
      </w:r>
      <w:r w:rsidR="00CA746A" w:rsidRPr="00706CBA">
        <w:rPr>
          <w:color w:val="000000" w:themeColor="text1"/>
          <w:highlight w:val="yellow"/>
        </w:rPr>
        <w:t xml:space="preserve">lutamate/malate mixture into port A of rows E and F. </w:t>
      </w:r>
      <w:r w:rsidR="00706CBA">
        <w:rPr>
          <w:color w:val="000000" w:themeColor="text1"/>
          <w:highlight w:val="yellow"/>
        </w:rPr>
        <w:t>Load p</w:t>
      </w:r>
      <w:r w:rsidR="00CA746A" w:rsidRPr="00706CBA">
        <w:rPr>
          <w:color w:val="000000" w:themeColor="text1"/>
          <w:highlight w:val="yellow"/>
        </w:rPr>
        <w:t xml:space="preserve">almitoyl carnitine/malate mixture into port A of rows G and H. </w:t>
      </w:r>
      <w:r w:rsidR="007257DC" w:rsidRPr="00706CBA">
        <w:rPr>
          <w:color w:val="000000" w:themeColor="text1"/>
          <w:highlight w:val="yellow"/>
        </w:rPr>
        <w:t>For the whole plate, load port B with 22 µ</w:t>
      </w:r>
      <w:r w:rsidR="00706CBA">
        <w:rPr>
          <w:color w:val="000000" w:themeColor="text1"/>
          <w:highlight w:val="yellow"/>
        </w:rPr>
        <w:t>L</w:t>
      </w:r>
      <w:r w:rsidR="007257DC" w:rsidRPr="00706CBA">
        <w:rPr>
          <w:color w:val="000000" w:themeColor="text1"/>
          <w:highlight w:val="yellow"/>
        </w:rPr>
        <w:t xml:space="preserve"> of oligomycin preparation, port C with 25 µ</w:t>
      </w:r>
      <w:r w:rsidR="00706CBA">
        <w:rPr>
          <w:color w:val="000000" w:themeColor="text1"/>
          <w:highlight w:val="yellow"/>
        </w:rPr>
        <w:t>L</w:t>
      </w:r>
      <w:r w:rsidR="007257DC" w:rsidRPr="00706CBA">
        <w:rPr>
          <w:color w:val="000000" w:themeColor="text1"/>
          <w:highlight w:val="yellow"/>
        </w:rPr>
        <w:t xml:space="preserve"> of FCCP preparation, and port D with 27 µ</w:t>
      </w:r>
      <w:r w:rsidR="00706CBA">
        <w:rPr>
          <w:color w:val="000000" w:themeColor="text1"/>
          <w:highlight w:val="yellow"/>
        </w:rPr>
        <w:t>L</w:t>
      </w:r>
      <w:r w:rsidR="007257DC" w:rsidRPr="00706CBA">
        <w:rPr>
          <w:color w:val="000000" w:themeColor="text1"/>
          <w:highlight w:val="yellow"/>
        </w:rPr>
        <w:t xml:space="preserve"> of rotenone/antimycin A mixture.</w:t>
      </w:r>
    </w:p>
    <w:p w14:paraId="1271F2C5" w14:textId="77777777" w:rsidR="00706CBA" w:rsidRPr="00706CBA" w:rsidRDefault="00706CBA" w:rsidP="00706CBA">
      <w:pPr>
        <w:pStyle w:val="ListParagraph"/>
        <w:ind w:left="0"/>
        <w:rPr>
          <w:color w:val="000000" w:themeColor="text1"/>
          <w:highlight w:val="yellow"/>
        </w:rPr>
      </w:pPr>
    </w:p>
    <w:p w14:paraId="07F627CD" w14:textId="0286A955" w:rsidR="005C042A" w:rsidRPr="00706CBA" w:rsidRDefault="006907D8" w:rsidP="00706CBA">
      <w:pPr>
        <w:pStyle w:val="ListParagraph"/>
        <w:numPr>
          <w:ilvl w:val="1"/>
          <w:numId w:val="14"/>
        </w:numPr>
        <w:ind w:left="0" w:firstLine="0"/>
        <w:rPr>
          <w:color w:val="000000" w:themeColor="text1"/>
          <w:highlight w:val="yellow"/>
        </w:rPr>
      </w:pPr>
      <w:r w:rsidRPr="00706CBA">
        <w:rPr>
          <w:color w:val="000000" w:themeColor="text1"/>
          <w:highlight w:val="yellow"/>
        </w:rPr>
        <w:t>Starting the calibration step</w:t>
      </w:r>
      <w:r w:rsidR="00706CBA">
        <w:rPr>
          <w:color w:val="000000" w:themeColor="text1"/>
          <w:highlight w:val="yellow"/>
        </w:rPr>
        <w:t xml:space="preserve">: </w:t>
      </w:r>
      <w:r w:rsidR="00BA57A9" w:rsidRPr="00706CBA">
        <w:rPr>
          <w:color w:val="000000" w:themeColor="text1"/>
          <w:highlight w:val="yellow"/>
        </w:rPr>
        <w:t xml:space="preserve">Under </w:t>
      </w:r>
      <w:r w:rsidR="00BA57A9" w:rsidRPr="00706CBA">
        <w:rPr>
          <w:b/>
          <w:bCs/>
          <w:color w:val="000000" w:themeColor="text1"/>
          <w:highlight w:val="yellow"/>
        </w:rPr>
        <w:t>Run Assay</w:t>
      </w:r>
      <w:r w:rsidR="00BA57A9" w:rsidRPr="00706CBA">
        <w:rPr>
          <w:color w:val="000000" w:themeColor="text1"/>
          <w:highlight w:val="yellow"/>
        </w:rPr>
        <w:t xml:space="preserve"> tab, </w:t>
      </w:r>
      <w:r w:rsidR="00140411" w:rsidRPr="00706CBA">
        <w:rPr>
          <w:color w:val="000000" w:themeColor="text1"/>
          <w:highlight w:val="yellow"/>
        </w:rPr>
        <w:t xml:space="preserve">click </w:t>
      </w:r>
      <w:r w:rsidR="00BA57A9" w:rsidRPr="00706CBA">
        <w:rPr>
          <w:color w:val="000000" w:themeColor="text1"/>
          <w:highlight w:val="yellow"/>
        </w:rPr>
        <w:t xml:space="preserve">on </w:t>
      </w:r>
      <w:r w:rsidR="00BA57A9" w:rsidRPr="00706CBA">
        <w:rPr>
          <w:b/>
          <w:bCs/>
          <w:color w:val="000000" w:themeColor="text1"/>
          <w:highlight w:val="yellow"/>
        </w:rPr>
        <w:t>S</w:t>
      </w:r>
      <w:r w:rsidR="00140411" w:rsidRPr="00706CBA">
        <w:rPr>
          <w:b/>
          <w:bCs/>
          <w:color w:val="000000" w:themeColor="text1"/>
          <w:highlight w:val="yellow"/>
        </w:rPr>
        <w:t xml:space="preserve">tart </w:t>
      </w:r>
      <w:r w:rsidR="00706CBA">
        <w:rPr>
          <w:b/>
          <w:bCs/>
          <w:color w:val="000000" w:themeColor="text1"/>
          <w:highlight w:val="yellow"/>
        </w:rPr>
        <w:t>R</w:t>
      </w:r>
      <w:r w:rsidR="00BA57A9" w:rsidRPr="00706CBA">
        <w:rPr>
          <w:b/>
          <w:bCs/>
          <w:color w:val="000000" w:themeColor="text1"/>
          <w:highlight w:val="yellow"/>
        </w:rPr>
        <w:t>un</w:t>
      </w:r>
      <w:r w:rsidR="00706CBA">
        <w:rPr>
          <w:color w:val="000000" w:themeColor="text1"/>
          <w:highlight w:val="yellow"/>
        </w:rPr>
        <w:t xml:space="preserve"> to </w:t>
      </w:r>
      <w:r w:rsidR="00706CBA" w:rsidRPr="00B053F2">
        <w:rPr>
          <w:color w:val="000000" w:themeColor="text1"/>
          <w:highlight w:val="yellow"/>
        </w:rPr>
        <w:t>start the assay</w:t>
      </w:r>
      <w:r w:rsidR="00140411" w:rsidRPr="00706CBA">
        <w:rPr>
          <w:color w:val="000000" w:themeColor="text1"/>
          <w:highlight w:val="yellow"/>
        </w:rPr>
        <w:t xml:space="preserve">. Insert the loaded sensor cartridge and </w:t>
      </w:r>
      <w:r w:rsidR="00BA57A9" w:rsidRPr="00706CBA">
        <w:rPr>
          <w:color w:val="000000" w:themeColor="text1"/>
          <w:highlight w:val="yellow"/>
        </w:rPr>
        <w:t xml:space="preserve">start </w:t>
      </w:r>
      <w:r w:rsidR="00140411" w:rsidRPr="00706CBA">
        <w:rPr>
          <w:color w:val="000000" w:themeColor="text1"/>
          <w:highlight w:val="yellow"/>
        </w:rPr>
        <w:t xml:space="preserve">the calibration step. </w:t>
      </w:r>
      <w:r w:rsidR="00BA57A9" w:rsidRPr="00706CBA">
        <w:rPr>
          <w:color w:val="000000" w:themeColor="text1"/>
          <w:highlight w:val="yellow"/>
        </w:rPr>
        <w:t xml:space="preserve">Wait for </w:t>
      </w:r>
      <w:r w:rsidR="00706CBA">
        <w:rPr>
          <w:color w:val="000000" w:themeColor="text1"/>
          <w:highlight w:val="yellow"/>
        </w:rPr>
        <w:t xml:space="preserve">the </w:t>
      </w:r>
      <w:r w:rsidR="00BA57A9" w:rsidRPr="00706CBA">
        <w:rPr>
          <w:color w:val="000000" w:themeColor="text1"/>
          <w:highlight w:val="yellow"/>
        </w:rPr>
        <w:t>calibration to complete before</w:t>
      </w:r>
      <w:r w:rsidR="00673A46" w:rsidRPr="00706CBA">
        <w:rPr>
          <w:color w:val="000000" w:themeColor="text1"/>
          <w:highlight w:val="yellow"/>
        </w:rPr>
        <w:t xml:space="preserve"> proceeding to </w:t>
      </w:r>
      <w:r w:rsidR="00701656" w:rsidRPr="00706CBA">
        <w:rPr>
          <w:color w:val="000000" w:themeColor="text1"/>
          <w:highlight w:val="yellow"/>
        </w:rPr>
        <w:t>the next step</w:t>
      </w:r>
      <w:r w:rsidR="00673A46" w:rsidRPr="00706CBA">
        <w:rPr>
          <w:color w:val="000000" w:themeColor="text1"/>
          <w:highlight w:val="yellow"/>
        </w:rPr>
        <w:t xml:space="preserve">. </w:t>
      </w:r>
      <w:r w:rsidR="00BA57A9" w:rsidRPr="00706CBA">
        <w:rPr>
          <w:color w:val="000000" w:themeColor="text1"/>
          <w:highlight w:val="yellow"/>
        </w:rPr>
        <w:t xml:space="preserve"> </w:t>
      </w:r>
    </w:p>
    <w:p w14:paraId="04D53BEE" w14:textId="77777777" w:rsidR="00706CBA" w:rsidRPr="00706CBA" w:rsidRDefault="00706CBA" w:rsidP="00706CBA">
      <w:pPr>
        <w:pStyle w:val="ListParagraph"/>
        <w:ind w:left="0"/>
        <w:rPr>
          <w:color w:val="000000" w:themeColor="text1"/>
          <w:highlight w:val="yellow"/>
        </w:rPr>
      </w:pPr>
    </w:p>
    <w:p w14:paraId="7354A260" w14:textId="4A29FBA3" w:rsidR="009878F2" w:rsidRPr="00706CBA" w:rsidRDefault="009878F2" w:rsidP="00706CBA">
      <w:pPr>
        <w:pStyle w:val="ListParagraph"/>
        <w:numPr>
          <w:ilvl w:val="1"/>
          <w:numId w:val="14"/>
        </w:numPr>
        <w:ind w:left="0" w:firstLine="0"/>
        <w:rPr>
          <w:color w:val="000000" w:themeColor="text1"/>
          <w:highlight w:val="yellow"/>
        </w:rPr>
      </w:pPr>
      <w:r w:rsidRPr="00706CBA">
        <w:rPr>
          <w:color w:val="000000" w:themeColor="text1"/>
          <w:highlight w:val="yellow"/>
        </w:rPr>
        <w:t>Preparation of the assay medium</w:t>
      </w:r>
      <w:r w:rsidR="00BF71D1" w:rsidRPr="00706CBA">
        <w:rPr>
          <w:color w:val="000000" w:themeColor="text1"/>
          <w:highlight w:val="yellow"/>
        </w:rPr>
        <w:t xml:space="preserve"> (MAS-BSA-</w:t>
      </w:r>
      <w:proofErr w:type="spellStart"/>
      <w:r w:rsidR="00BF71D1" w:rsidRPr="00706CBA">
        <w:rPr>
          <w:color w:val="000000" w:themeColor="text1"/>
          <w:highlight w:val="yellow"/>
        </w:rPr>
        <w:t>rPFO</w:t>
      </w:r>
      <w:proofErr w:type="spellEnd"/>
      <w:r w:rsidR="00BF71D1" w:rsidRPr="00706CBA">
        <w:rPr>
          <w:color w:val="000000" w:themeColor="text1"/>
          <w:highlight w:val="yellow"/>
        </w:rPr>
        <w:t>)</w:t>
      </w:r>
      <w:r w:rsidR="00706CBA">
        <w:rPr>
          <w:color w:val="000000" w:themeColor="text1"/>
          <w:highlight w:val="yellow"/>
        </w:rPr>
        <w:t>: To p</w:t>
      </w:r>
      <w:r w:rsidRPr="00706CBA">
        <w:rPr>
          <w:color w:val="000000" w:themeColor="text1"/>
          <w:highlight w:val="yellow"/>
        </w:rPr>
        <w:t>repare 20 m</w:t>
      </w:r>
      <w:r w:rsidR="00706CBA">
        <w:rPr>
          <w:color w:val="000000" w:themeColor="text1"/>
          <w:highlight w:val="yellow"/>
        </w:rPr>
        <w:t>L</w:t>
      </w:r>
      <w:r w:rsidRPr="00706CBA">
        <w:rPr>
          <w:color w:val="000000" w:themeColor="text1"/>
          <w:highlight w:val="yellow"/>
        </w:rPr>
        <w:t xml:space="preserve"> of the assay medium</w:t>
      </w:r>
      <w:r w:rsidR="00706CBA">
        <w:rPr>
          <w:color w:val="000000" w:themeColor="text1"/>
          <w:highlight w:val="yellow"/>
        </w:rPr>
        <w:t>,</w:t>
      </w:r>
      <w:r w:rsidRPr="00706CBA">
        <w:rPr>
          <w:color w:val="000000" w:themeColor="text1"/>
          <w:highlight w:val="yellow"/>
        </w:rPr>
        <w:t xml:space="preserve"> </w:t>
      </w:r>
      <w:r w:rsidR="00706CBA">
        <w:rPr>
          <w:color w:val="000000" w:themeColor="text1"/>
          <w:highlight w:val="yellow"/>
        </w:rPr>
        <w:t>mix</w:t>
      </w:r>
      <w:r w:rsidRPr="00706CBA">
        <w:rPr>
          <w:color w:val="000000" w:themeColor="text1"/>
          <w:highlight w:val="yellow"/>
        </w:rPr>
        <w:t xml:space="preserve"> 10 m</w:t>
      </w:r>
      <w:r w:rsidR="00706CBA">
        <w:rPr>
          <w:color w:val="000000" w:themeColor="text1"/>
          <w:highlight w:val="yellow"/>
        </w:rPr>
        <w:t>L</w:t>
      </w:r>
      <w:r w:rsidRPr="00706CBA">
        <w:rPr>
          <w:color w:val="000000" w:themeColor="text1"/>
          <w:highlight w:val="yellow"/>
        </w:rPr>
        <w:t xml:space="preserve"> of 2</w:t>
      </w:r>
      <w:r w:rsidR="00706CBA">
        <w:rPr>
          <w:color w:val="000000" w:themeColor="text1"/>
          <w:highlight w:val="yellow"/>
        </w:rPr>
        <w:t>x</w:t>
      </w:r>
      <w:r w:rsidRPr="00706CBA">
        <w:rPr>
          <w:color w:val="000000" w:themeColor="text1"/>
          <w:highlight w:val="yellow"/>
        </w:rPr>
        <w:t xml:space="preserve"> MAS, 9.2 m</w:t>
      </w:r>
      <w:r w:rsidR="00706CBA">
        <w:rPr>
          <w:color w:val="000000" w:themeColor="text1"/>
          <w:highlight w:val="yellow"/>
        </w:rPr>
        <w:t>L of</w:t>
      </w:r>
      <w:r w:rsidRPr="00706CBA">
        <w:rPr>
          <w:color w:val="000000" w:themeColor="text1"/>
          <w:highlight w:val="yellow"/>
        </w:rPr>
        <w:t xml:space="preserve"> sterile water, and 0.8 m</w:t>
      </w:r>
      <w:r w:rsidR="00706CBA">
        <w:rPr>
          <w:color w:val="000000" w:themeColor="text1"/>
          <w:highlight w:val="yellow"/>
        </w:rPr>
        <w:t>L of</w:t>
      </w:r>
      <w:r w:rsidRPr="00706CBA">
        <w:rPr>
          <w:color w:val="000000" w:themeColor="text1"/>
          <w:highlight w:val="yellow"/>
        </w:rPr>
        <w:t xml:space="preserve"> </w:t>
      </w:r>
      <w:r w:rsidR="005261D5">
        <w:rPr>
          <w:color w:val="000000" w:themeColor="text1"/>
          <w:highlight w:val="yellow"/>
        </w:rPr>
        <w:t xml:space="preserve">5% </w:t>
      </w:r>
      <w:r w:rsidRPr="00706CBA">
        <w:rPr>
          <w:color w:val="000000" w:themeColor="text1"/>
          <w:highlight w:val="yellow"/>
        </w:rPr>
        <w:t>BSA in a 50 m</w:t>
      </w:r>
      <w:r w:rsidR="00706CBA">
        <w:rPr>
          <w:color w:val="000000" w:themeColor="text1"/>
          <w:highlight w:val="yellow"/>
        </w:rPr>
        <w:t>L</w:t>
      </w:r>
      <w:r w:rsidRPr="00706CBA">
        <w:rPr>
          <w:color w:val="000000" w:themeColor="text1"/>
          <w:highlight w:val="yellow"/>
        </w:rPr>
        <w:t xml:space="preserve"> tube. Add 2 µ</w:t>
      </w:r>
      <w:r w:rsidR="00706CBA">
        <w:rPr>
          <w:color w:val="000000" w:themeColor="text1"/>
          <w:highlight w:val="yellow"/>
        </w:rPr>
        <w:t>L</w:t>
      </w:r>
      <w:r w:rsidRPr="00706CBA">
        <w:rPr>
          <w:color w:val="000000" w:themeColor="text1"/>
          <w:highlight w:val="yellow"/>
        </w:rPr>
        <w:t xml:space="preserve"> of </w:t>
      </w:r>
      <w:proofErr w:type="spellStart"/>
      <w:r w:rsidRPr="00706CBA">
        <w:rPr>
          <w:color w:val="000000" w:themeColor="text1"/>
          <w:highlight w:val="yellow"/>
        </w:rPr>
        <w:t>rPFO</w:t>
      </w:r>
      <w:proofErr w:type="spellEnd"/>
      <w:r w:rsidRPr="00706CBA">
        <w:rPr>
          <w:color w:val="000000" w:themeColor="text1"/>
          <w:highlight w:val="yellow"/>
        </w:rPr>
        <w:t xml:space="preserve"> and gently resuspend the mixture with gentle pipetting. Avoid shaking and do not use a vortex mixer for mixing. Incubate the tube at 37</w:t>
      </w:r>
      <w:r w:rsidR="00706CBA">
        <w:rPr>
          <w:color w:val="000000" w:themeColor="text1"/>
          <w:highlight w:val="yellow"/>
        </w:rPr>
        <w:t xml:space="preserve"> </w:t>
      </w:r>
      <w:r w:rsidRPr="00706CBA">
        <w:rPr>
          <w:color w:val="000000" w:themeColor="text1"/>
          <w:highlight w:val="yellow"/>
        </w:rPr>
        <w:t>°C until the time of use.</w:t>
      </w:r>
    </w:p>
    <w:p w14:paraId="41679B06" w14:textId="77777777" w:rsidR="00706CBA" w:rsidRPr="00706CBA" w:rsidRDefault="00706CBA" w:rsidP="00706CBA">
      <w:pPr>
        <w:pStyle w:val="ListParagraph"/>
        <w:ind w:left="0"/>
        <w:rPr>
          <w:color w:val="000000" w:themeColor="text1"/>
          <w:highlight w:val="yellow"/>
        </w:rPr>
      </w:pPr>
    </w:p>
    <w:p w14:paraId="3B5BF0B7" w14:textId="47A78BA2" w:rsidR="00937089" w:rsidRPr="00706CBA" w:rsidRDefault="006907D8" w:rsidP="00706CBA">
      <w:pPr>
        <w:pStyle w:val="ListParagraph"/>
        <w:numPr>
          <w:ilvl w:val="1"/>
          <w:numId w:val="14"/>
        </w:numPr>
        <w:ind w:left="0" w:firstLine="0"/>
        <w:rPr>
          <w:color w:val="000000" w:themeColor="text1"/>
          <w:highlight w:val="yellow"/>
        </w:rPr>
      </w:pPr>
      <w:r w:rsidRPr="00706CBA">
        <w:rPr>
          <w:color w:val="000000" w:themeColor="text1"/>
          <w:highlight w:val="yellow"/>
        </w:rPr>
        <w:t>Washing the cells</w:t>
      </w:r>
      <w:r w:rsidR="00706CBA">
        <w:rPr>
          <w:color w:val="000000" w:themeColor="text1"/>
          <w:highlight w:val="yellow"/>
        </w:rPr>
        <w:t xml:space="preserve">: </w:t>
      </w:r>
      <w:r w:rsidR="00937089" w:rsidRPr="00706CBA">
        <w:rPr>
          <w:color w:val="000000" w:themeColor="text1"/>
          <w:highlight w:val="yellow"/>
        </w:rPr>
        <w:t xml:space="preserve">Wash the cells </w:t>
      </w:r>
      <w:r w:rsidR="00337D26" w:rsidRPr="00706CBA">
        <w:rPr>
          <w:color w:val="000000" w:themeColor="text1"/>
          <w:highlight w:val="yellow"/>
        </w:rPr>
        <w:t xml:space="preserve">and the empty blank wells </w:t>
      </w:r>
      <w:r w:rsidR="00937089" w:rsidRPr="00706CBA">
        <w:rPr>
          <w:color w:val="000000" w:themeColor="text1"/>
          <w:highlight w:val="yellow"/>
        </w:rPr>
        <w:t xml:space="preserve">two times using prewarmed </w:t>
      </w:r>
      <w:r w:rsidR="00C63967" w:rsidRPr="00706CBA">
        <w:rPr>
          <w:color w:val="000000" w:themeColor="text1"/>
          <w:highlight w:val="yellow"/>
        </w:rPr>
        <w:t xml:space="preserve">calcium- and magnesium-free </w:t>
      </w:r>
      <w:r w:rsidR="00937089" w:rsidRPr="00706CBA">
        <w:rPr>
          <w:color w:val="000000" w:themeColor="text1"/>
          <w:highlight w:val="yellow"/>
        </w:rPr>
        <w:t>PBS solution. Use a multichannel pipet</w:t>
      </w:r>
      <w:r w:rsidR="001A1533" w:rsidRPr="00706CBA">
        <w:rPr>
          <w:color w:val="000000" w:themeColor="text1"/>
          <w:highlight w:val="yellow"/>
        </w:rPr>
        <w:t>te</w:t>
      </w:r>
      <w:r w:rsidR="00937089" w:rsidRPr="00706CBA">
        <w:rPr>
          <w:color w:val="000000" w:themeColor="text1"/>
          <w:highlight w:val="yellow"/>
        </w:rPr>
        <w:t xml:space="preserve"> </w:t>
      </w:r>
      <w:r w:rsidR="00706CBA">
        <w:rPr>
          <w:color w:val="000000" w:themeColor="text1"/>
          <w:highlight w:val="yellow"/>
        </w:rPr>
        <w:t>to wash. A</w:t>
      </w:r>
      <w:r w:rsidR="00937089" w:rsidRPr="00706CBA">
        <w:rPr>
          <w:color w:val="000000" w:themeColor="text1"/>
          <w:highlight w:val="yellow"/>
        </w:rPr>
        <w:t xml:space="preserve">void reusing the same tips </w:t>
      </w:r>
      <w:r w:rsidR="00C63967" w:rsidRPr="00706CBA">
        <w:rPr>
          <w:color w:val="000000" w:themeColor="text1"/>
          <w:highlight w:val="yellow"/>
        </w:rPr>
        <w:t xml:space="preserve">to discard </w:t>
      </w:r>
      <w:r w:rsidR="00706CBA">
        <w:rPr>
          <w:color w:val="000000" w:themeColor="text1"/>
          <w:highlight w:val="yellow"/>
        </w:rPr>
        <w:t xml:space="preserve">the </w:t>
      </w:r>
      <w:r w:rsidR="00C63967" w:rsidRPr="00706CBA">
        <w:rPr>
          <w:color w:val="000000" w:themeColor="text1"/>
          <w:highlight w:val="yellow"/>
        </w:rPr>
        <w:t xml:space="preserve">cell culture medium and </w:t>
      </w:r>
      <w:r w:rsidR="00706CBA">
        <w:rPr>
          <w:color w:val="000000" w:themeColor="text1"/>
          <w:highlight w:val="yellow"/>
        </w:rPr>
        <w:t xml:space="preserve">to </w:t>
      </w:r>
      <w:r w:rsidR="005261D5" w:rsidRPr="00706CBA">
        <w:rPr>
          <w:color w:val="000000" w:themeColor="text1"/>
          <w:highlight w:val="yellow"/>
        </w:rPr>
        <w:t>a</w:t>
      </w:r>
      <w:r w:rsidR="005261D5">
        <w:rPr>
          <w:color w:val="000000" w:themeColor="text1"/>
          <w:highlight w:val="yellow"/>
        </w:rPr>
        <w:t>dd</w:t>
      </w:r>
      <w:r w:rsidR="005261D5" w:rsidRPr="00706CBA">
        <w:rPr>
          <w:color w:val="000000" w:themeColor="text1"/>
          <w:highlight w:val="yellow"/>
        </w:rPr>
        <w:t xml:space="preserve"> </w:t>
      </w:r>
      <w:r w:rsidR="00C63967" w:rsidRPr="00706CBA">
        <w:rPr>
          <w:color w:val="000000" w:themeColor="text1"/>
          <w:highlight w:val="yellow"/>
        </w:rPr>
        <w:t>PBS solution</w:t>
      </w:r>
      <w:r w:rsidR="00937089" w:rsidRPr="00706CBA">
        <w:rPr>
          <w:color w:val="000000" w:themeColor="text1"/>
          <w:highlight w:val="yellow"/>
        </w:rPr>
        <w:t xml:space="preserve">. </w:t>
      </w:r>
      <w:r w:rsidR="00706CBA">
        <w:rPr>
          <w:color w:val="000000" w:themeColor="text1"/>
          <w:highlight w:val="yellow"/>
        </w:rPr>
        <w:t>Perform this</w:t>
      </w:r>
      <w:r w:rsidR="00C63967" w:rsidRPr="00706CBA">
        <w:rPr>
          <w:color w:val="000000" w:themeColor="text1"/>
          <w:highlight w:val="yellow"/>
        </w:rPr>
        <w:t xml:space="preserve"> step </w:t>
      </w:r>
      <w:r w:rsidR="00C63967" w:rsidRPr="00706CBA">
        <w:rPr>
          <w:color w:val="000000" w:themeColor="text1"/>
          <w:highlight w:val="yellow"/>
        </w:rPr>
        <w:lastRenderedPageBreak/>
        <w:t>outside the laminar</w:t>
      </w:r>
      <w:r w:rsidR="004140CC" w:rsidRPr="00706CBA">
        <w:rPr>
          <w:color w:val="000000" w:themeColor="text1"/>
          <w:highlight w:val="yellow"/>
        </w:rPr>
        <w:t xml:space="preserve"> flow</w:t>
      </w:r>
      <w:r w:rsidR="00C63967" w:rsidRPr="00706CBA">
        <w:rPr>
          <w:color w:val="000000" w:themeColor="text1"/>
          <w:highlight w:val="yellow"/>
        </w:rPr>
        <w:t xml:space="preserve"> to </w:t>
      </w:r>
      <w:r w:rsidR="004140CC" w:rsidRPr="00706CBA">
        <w:rPr>
          <w:color w:val="000000" w:themeColor="text1"/>
          <w:highlight w:val="yellow"/>
        </w:rPr>
        <w:t xml:space="preserve">protect the cells from </w:t>
      </w:r>
      <w:r w:rsidR="00C63967" w:rsidRPr="00706CBA">
        <w:rPr>
          <w:color w:val="000000" w:themeColor="text1"/>
          <w:highlight w:val="yellow"/>
        </w:rPr>
        <w:t>drying out</w:t>
      </w:r>
      <w:r w:rsidR="004140CC" w:rsidRPr="00706CBA">
        <w:rPr>
          <w:color w:val="000000" w:themeColor="text1"/>
          <w:highlight w:val="yellow"/>
        </w:rPr>
        <w:t xml:space="preserve"> by the airflow. </w:t>
      </w:r>
      <w:r w:rsidR="00C63967" w:rsidRPr="00706CBA">
        <w:rPr>
          <w:color w:val="000000" w:themeColor="text1"/>
          <w:highlight w:val="yellow"/>
        </w:rPr>
        <w:t xml:space="preserve"> </w:t>
      </w:r>
    </w:p>
    <w:p w14:paraId="48DDDD57" w14:textId="77777777" w:rsidR="00706CBA" w:rsidRPr="00706CBA" w:rsidRDefault="00706CBA" w:rsidP="00706CBA">
      <w:pPr>
        <w:pStyle w:val="ListParagraph"/>
        <w:ind w:left="0"/>
        <w:rPr>
          <w:color w:val="000000" w:themeColor="text1"/>
          <w:highlight w:val="yellow"/>
        </w:rPr>
      </w:pPr>
    </w:p>
    <w:p w14:paraId="2CCFD903" w14:textId="0E81D6C1" w:rsidR="00937089" w:rsidRPr="00706CBA" w:rsidRDefault="006907D8" w:rsidP="00706CBA">
      <w:pPr>
        <w:pStyle w:val="ListParagraph"/>
        <w:numPr>
          <w:ilvl w:val="1"/>
          <w:numId w:val="14"/>
        </w:numPr>
        <w:ind w:left="0" w:firstLine="0"/>
        <w:rPr>
          <w:color w:val="000000" w:themeColor="text1"/>
          <w:highlight w:val="yellow"/>
        </w:rPr>
      </w:pPr>
      <w:r w:rsidRPr="00706CBA">
        <w:rPr>
          <w:color w:val="000000" w:themeColor="text1"/>
          <w:highlight w:val="yellow"/>
        </w:rPr>
        <w:t>Cell permeabilization in assay medium</w:t>
      </w:r>
      <w:r w:rsidR="00706CBA">
        <w:rPr>
          <w:color w:val="000000" w:themeColor="text1"/>
          <w:highlight w:val="yellow"/>
        </w:rPr>
        <w:t>:</w:t>
      </w:r>
      <w:r w:rsidR="00653246" w:rsidRPr="00706CBA">
        <w:rPr>
          <w:color w:val="000000" w:themeColor="text1"/>
          <w:highlight w:val="yellow"/>
        </w:rPr>
        <w:t xml:space="preserve"> </w:t>
      </w:r>
      <w:r w:rsidR="001A1533" w:rsidRPr="00706CBA">
        <w:rPr>
          <w:color w:val="000000" w:themeColor="text1"/>
          <w:highlight w:val="yellow"/>
        </w:rPr>
        <w:t xml:space="preserve">Using a multichannel pipette, </w:t>
      </w:r>
      <w:r w:rsidR="00F57E2F" w:rsidRPr="00706CBA">
        <w:rPr>
          <w:color w:val="000000" w:themeColor="text1"/>
          <w:highlight w:val="yellow"/>
        </w:rPr>
        <w:t>d</w:t>
      </w:r>
      <w:r w:rsidR="00937089" w:rsidRPr="00706CBA">
        <w:rPr>
          <w:color w:val="000000" w:themeColor="text1"/>
          <w:highlight w:val="yellow"/>
        </w:rPr>
        <w:t xml:space="preserve">iscard </w:t>
      </w:r>
      <w:r w:rsidR="0046243F" w:rsidRPr="00706CBA">
        <w:rPr>
          <w:color w:val="000000" w:themeColor="text1"/>
          <w:highlight w:val="yellow"/>
        </w:rPr>
        <w:t xml:space="preserve">the </w:t>
      </w:r>
      <w:r w:rsidR="00937089" w:rsidRPr="00706CBA">
        <w:rPr>
          <w:color w:val="000000" w:themeColor="text1"/>
          <w:highlight w:val="yellow"/>
        </w:rPr>
        <w:t xml:space="preserve">PBS and replace it with </w:t>
      </w:r>
      <w:r w:rsidR="0046243F" w:rsidRPr="00706CBA">
        <w:rPr>
          <w:color w:val="000000" w:themeColor="text1"/>
          <w:highlight w:val="yellow"/>
        </w:rPr>
        <w:t>180 µ</w:t>
      </w:r>
      <w:r w:rsidR="00706CBA">
        <w:rPr>
          <w:color w:val="000000" w:themeColor="text1"/>
          <w:highlight w:val="yellow"/>
        </w:rPr>
        <w:t>L</w:t>
      </w:r>
      <w:r w:rsidR="0046243F" w:rsidRPr="00706CBA">
        <w:rPr>
          <w:color w:val="000000" w:themeColor="text1"/>
          <w:highlight w:val="yellow"/>
        </w:rPr>
        <w:t xml:space="preserve"> of </w:t>
      </w:r>
      <w:r w:rsidR="00251777" w:rsidRPr="00706CBA">
        <w:rPr>
          <w:color w:val="000000" w:themeColor="text1"/>
          <w:highlight w:val="yellow"/>
        </w:rPr>
        <w:t xml:space="preserve">the </w:t>
      </w:r>
      <w:r w:rsidR="0046243F" w:rsidRPr="00706CBA">
        <w:rPr>
          <w:color w:val="000000" w:themeColor="text1"/>
          <w:highlight w:val="yellow"/>
        </w:rPr>
        <w:t xml:space="preserve">prewarmed </w:t>
      </w:r>
      <w:r w:rsidR="00251777" w:rsidRPr="00706CBA">
        <w:rPr>
          <w:color w:val="000000" w:themeColor="text1"/>
          <w:highlight w:val="yellow"/>
        </w:rPr>
        <w:t>assay medium (</w:t>
      </w:r>
      <w:r w:rsidR="00937089" w:rsidRPr="00706CBA">
        <w:rPr>
          <w:color w:val="000000" w:themeColor="text1"/>
          <w:highlight w:val="yellow"/>
        </w:rPr>
        <w:t>MAS</w:t>
      </w:r>
      <w:r w:rsidR="00251777" w:rsidRPr="00706CBA">
        <w:rPr>
          <w:color w:val="000000" w:themeColor="text1"/>
          <w:highlight w:val="yellow"/>
        </w:rPr>
        <w:t>-</w:t>
      </w:r>
      <w:r w:rsidR="00937089" w:rsidRPr="00706CBA">
        <w:rPr>
          <w:color w:val="000000" w:themeColor="text1"/>
          <w:highlight w:val="yellow"/>
        </w:rPr>
        <w:t>BSA</w:t>
      </w:r>
      <w:r w:rsidR="00251777" w:rsidRPr="00706CBA">
        <w:rPr>
          <w:color w:val="000000" w:themeColor="text1"/>
          <w:highlight w:val="yellow"/>
        </w:rPr>
        <w:t>-</w:t>
      </w:r>
      <w:proofErr w:type="spellStart"/>
      <w:r w:rsidR="00DA7D69" w:rsidRPr="00706CBA">
        <w:rPr>
          <w:color w:val="000000" w:themeColor="text1"/>
          <w:highlight w:val="yellow"/>
        </w:rPr>
        <w:t>rPFO</w:t>
      </w:r>
      <w:proofErr w:type="spellEnd"/>
      <w:r w:rsidR="00251777" w:rsidRPr="00706CBA">
        <w:rPr>
          <w:color w:val="000000" w:themeColor="text1"/>
          <w:highlight w:val="yellow"/>
        </w:rPr>
        <w:t>)</w:t>
      </w:r>
      <w:r w:rsidR="00937089" w:rsidRPr="00706CBA">
        <w:rPr>
          <w:color w:val="000000" w:themeColor="text1"/>
          <w:highlight w:val="yellow"/>
        </w:rPr>
        <w:t>.</w:t>
      </w:r>
      <w:r w:rsidR="00A6203C" w:rsidRPr="00706CBA">
        <w:rPr>
          <w:color w:val="000000" w:themeColor="text1"/>
          <w:highlight w:val="yellow"/>
        </w:rPr>
        <w:t xml:space="preserve"> </w:t>
      </w:r>
    </w:p>
    <w:p w14:paraId="6574331E" w14:textId="77777777" w:rsidR="00706CBA" w:rsidRPr="00706CBA" w:rsidRDefault="00706CBA" w:rsidP="00706CBA">
      <w:pPr>
        <w:pStyle w:val="ListParagraph"/>
        <w:ind w:left="0"/>
        <w:rPr>
          <w:color w:val="000000" w:themeColor="text1"/>
          <w:highlight w:val="yellow"/>
        </w:rPr>
      </w:pPr>
    </w:p>
    <w:p w14:paraId="7E317229" w14:textId="2618698B" w:rsidR="00A42585" w:rsidRPr="00706CBA" w:rsidRDefault="006907D8" w:rsidP="00706CBA">
      <w:pPr>
        <w:pStyle w:val="ListParagraph"/>
        <w:numPr>
          <w:ilvl w:val="1"/>
          <w:numId w:val="14"/>
        </w:numPr>
        <w:ind w:left="0" w:firstLine="0"/>
        <w:rPr>
          <w:color w:val="000000" w:themeColor="text1"/>
          <w:highlight w:val="yellow"/>
        </w:rPr>
      </w:pPr>
      <w:r w:rsidRPr="00706CBA">
        <w:rPr>
          <w:color w:val="000000" w:themeColor="text1"/>
          <w:highlight w:val="yellow"/>
        </w:rPr>
        <w:t xml:space="preserve"> Starting the </w:t>
      </w:r>
      <w:r w:rsidR="00BF3DBF" w:rsidRPr="00706CBA">
        <w:rPr>
          <w:color w:val="000000" w:themeColor="text1"/>
          <w:highlight w:val="yellow"/>
        </w:rPr>
        <w:t>measurement</w:t>
      </w:r>
      <w:r w:rsidR="00706CBA" w:rsidRPr="00706CBA">
        <w:rPr>
          <w:color w:val="000000" w:themeColor="text1"/>
          <w:highlight w:val="yellow"/>
        </w:rPr>
        <w:t xml:space="preserve">: </w:t>
      </w:r>
      <w:r w:rsidR="00251777" w:rsidRPr="00706CBA">
        <w:rPr>
          <w:color w:val="000000" w:themeColor="text1"/>
          <w:highlight w:val="yellow"/>
        </w:rPr>
        <w:t>Immediately after permeabilization, r</w:t>
      </w:r>
      <w:r w:rsidR="00937089" w:rsidRPr="00706CBA">
        <w:rPr>
          <w:color w:val="000000" w:themeColor="text1"/>
          <w:highlight w:val="yellow"/>
        </w:rPr>
        <w:t>eplace the utility plate of the calibrated sensor cartridge with the cell plate containing permeabilized cells and start the measurement.</w:t>
      </w:r>
      <w:r w:rsidR="00566C06" w:rsidRPr="00706CBA">
        <w:rPr>
          <w:color w:val="000000" w:themeColor="text1"/>
          <w:highlight w:val="yellow"/>
        </w:rPr>
        <w:t xml:space="preserve"> </w:t>
      </w:r>
    </w:p>
    <w:p w14:paraId="4015356B" w14:textId="77777777" w:rsidR="006E4797" w:rsidRPr="00706CBA" w:rsidRDefault="006E4797">
      <w:pPr>
        <w:pBdr>
          <w:top w:val="nil"/>
          <w:left w:val="nil"/>
          <w:bottom w:val="nil"/>
          <w:right w:val="nil"/>
          <w:between w:val="nil"/>
        </w:pBdr>
        <w:rPr>
          <w:b/>
          <w:color w:val="000000" w:themeColor="text1"/>
        </w:rPr>
      </w:pPr>
    </w:p>
    <w:p w14:paraId="44443468" w14:textId="15FCBD71" w:rsidR="006E4797" w:rsidRPr="00706CBA" w:rsidRDefault="00551D82" w:rsidP="00706CBA">
      <w:pPr>
        <w:pBdr>
          <w:top w:val="nil"/>
          <w:left w:val="nil"/>
          <w:bottom w:val="nil"/>
          <w:right w:val="nil"/>
          <w:between w:val="nil"/>
        </w:pBdr>
        <w:rPr>
          <w:color w:val="000000" w:themeColor="text1"/>
        </w:rPr>
      </w:pPr>
      <w:r w:rsidRPr="00706CBA">
        <w:rPr>
          <w:b/>
          <w:color w:val="000000" w:themeColor="text1"/>
        </w:rPr>
        <w:t xml:space="preserve">REPRESENTATIVE RESULTS: </w:t>
      </w:r>
    </w:p>
    <w:p w14:paraId="01ABB4F2" w14:textId="30EDDF0D" w:rsidR="00C54321" w:rsidRPr="00706CBA" w:rsidRDefault="00C54321" w:rsidP="00843ADD">
      <w:pPr>
        <w:rPr>
          <w:color w:val="000000" w:themeColor="text1"/>
        </w:rPr>
      </w:pPr>
      <w:r w:rsidRPr="00706CBA">
        <w:rPr>
          <w:color w:val="000000" w:themeColor="text1"/>
        </w:rPr>
        <w:t xml:space="preserve">Start by normalizing the results to the second measurement of baseline respiration to show values as oxygen consumption rate percentage (OCR%). The results of the assay are shown in </w:t>
      </w:r>
      <w:r w:rsidRPr="00706CBA">
        <w:rPr>
          <w:b/>
          <w:bCs/>
          <w:color w:val="000000" w:themeColor="text1"/>
        </w:rPr>
        <w:t xml:space="preserve">Figures </w:t>
      </w:r>
      <w:r w:rsidR="008529ED" w:rsidRPr="00706CBA">
        <w:rPr>
          <w:b/>
          <w:bCs/>
          <w:color w:val="000000" w:themeColor="text1"/>
        </w:rPr>
        <w:t>5</w:t>
      </w:r>
      <w:r w:rsidR="00706CBA">
        <w:rPr>
          <w:b/>
          <w:bCs/>
          <w:color w:val="000000" w:themeColor="text1"/>
        </w:rPr>
        <w:t xml:space="preserve">, Figure 6, Figure 7, </w:t>
      </w:r>
      <w:r w:rsidR="00706CBA" w:rsidRPr="00706CBA">
        <w:rPr>
          <w:color w:val="000000" w:themeColor="text1"/>
        </w:rPr>
        <w:t>and</w:t>
      </w:r>
      <w:r w:rsidR="00706CBA">
        <w:rPr>
          <w:b/>
          <w:bCs/>
          <w:color w:val="000000" w:themeColor="text1"/>
        </w:rPr>
        <w:t xml:space="preserve"> Figure </w:t>
      </w:r>
      <w:r w:rsidR="008529ED" w:rsidRPr="00706CBA">
        <w:rPr>
          <w:b/>
          <w:bCs/>
          <w:color w:val="000000" w:themeColor="text1"/>
        </w:rPr>
        <w:t>8</w:t>
      </w:r>
      <w:r w:rsidRPr="00706CBA">
        <w:rPr>
          <w:color w:val="000000" w:themeColor="text1"/>
        </w:rPr>
        <w:t>. It is important to assign the proper background wells for each</w:t>
      </w:r>
      <w:r w:rsidR="00266838" w:rsidRPr="00706CBA">
        <w:rPr>
          <w:color w:val="000000" w:themeColor="text1"/>
        </w:rPr>
        <w:t xml:space="preserve"> </w:t>
      </w:r>
      <w:r w:rsidR="000D4830" w:rsidRPr="00706CBA">
        <w:rPr>
          <w:color w:val="000000" w:themeColor="text1"/>
        </w:rPr>
        <w:t>group and inactivate the background wells of other groups</w:t>
      </w:r>
      <w:r w:rsidR="00266838" w:rsidRPr="00706CBA">
        <w:rPr>
          <w:color w:val="000000" w:themeColor="text1"/>
        </w:rPr>
        <w:t xml:space="preserve">. </w:t>
      </w:r>
      <w:r w:rsidR="00266838" w:rsidRPr="00706CBA">
        <w:rPr>
          <w:b/>
          <w:bCs/>
          <w:color w:val="000000" w:themeColor="text1"/>
        </w:rPr>
        <w:t xml:space="preserve">Figure </w:t>
      </w:r>
      <w:r w:rsidR="008529ED" w:rsidRPr="00706CBA">
        <w:rPr>
          <w:b/>
          <w:bCs/>
          <w:color w:val="000000" w:themeColor="text1"/>
        </w:rPr>
        <w:t>5</w:t>
      </w:r>
      <w:r w:rsidR="008529ED" w:rsidRPr="00706CBA">
        <w:rPr>
          <w:color w:val="000000" w:themeColor="text1"/>
        </w:rPr>
        <w:t xml:space="preserve"> </w:t>
      </w:r>
      <w:r w:rsidR="00266838" w:rsidRPr="00706CBA">
        <w:rPr>
          <w:color w:val="000000" w:themeColor="text1"/>
        </w:rPr>
        <w:t>shows that the treatment group has a higher rate of succinate-induced respiration. The response of A549 cells to metformin treatment (</w:t>
      </w:r>
      <w:r w:rsidR="00266838" w:rsidRPr="00706CBA">
        <w:rPr>
          <w:b/>
          <w:bCs/>
          <w:color w:val="000000" w:themeColor="text1"/>
        </w:rPr>
        <w:t xml:space="preserve">Figure </w:t>
      </w:r>
      <w:r w:rsidR="008529ED" w:rsidRPr="00706CBA">
        <w:rPr>
          <w:b/>
          <w:bCs/>
          <w:color w:val="000000" w:themeColor="text1"/>
        </w:rPr>
        <w:t>5</w:t>
      </w:r>
      <w:r w:rsidR="00266838" w:rsidRPr="00706CBA">
        <w:rPr>
          <w:b/>
          <w:bCs/>
          <w:color w:val="000000" w:themeColor="text1"/>
        </w:rPr>
        <w:t>A</w:t>
      </w:r>
      <w:r w:rsidR="00266838" w:rsidRPr="00706CBA">
        <w:rPr>
          <w:color w:val="000000" w:themeColor="text1"/>
        </w:rPr>
        <w:t>) was higher than HepG2 (</w:t>
      </w:r>
      <w:r w:rsidR="00266838" w:rsidRPr="00706CBA">
        <w:rPr>
          <w:b/>
          <w:bCs/>
          <w:color w:val="000000" w:themeColor="text1"/>
        </w:rPr>
        <w:t xml:space="preserve">Figure </w:t>
      </w:r>
      <w:r w:rsidR="008529ED" w:rsidRPr="00706CBA">
        <w:rPr>
          <w:b/>
          <w:bCs/>
          <w:color w:val="000000" w:themeColor="text1"/>
        </w:rPr>
        <w:t>5</w:t>
      </w:r>
      <w:r w:rsidR="00266838" w:rsidRPr="00706CBA">
        <w:rPr>
          <w:b/>
          <w:bCs/>
          <w:color w:val="000000" w:themeColor="text1"/>
        </w:rPr>
        <w:t>B</w:t>
      </w:r>
      <w:r w:rsidR="00266838" w:rsidRPr="00706CBA">
        <w:rPr>
          <w:color w:val="000000" w:themeColor="text1"/>
        </w:rPr>
        <w:t>). The background control wells were only those from the same rows of the compared group, in this case</w:t>
      </w:r>
      <w:r w:rsidR="00706CBA">
        <w:rPr>
          <w:color w:val="000000" w:themeColor="text1"/>
        </w:rPr>
        <w:t>,</w:t>
      </w:r>
      <w:r w:rsidR="00266838" w:rsidRPr="00706CBA">
        <w:rPr>
          <w:color w:val="000000" w:themeColor="text1"/>
        </w:rPr>
        <w:t xml:space="preserve"> wells A1, B1, A12, and B12.  </w:t>
      </w:r>
      <w:r w:rsidR="00266838" w:rsidRPr="00706CBA">
        <w:rPr>
          <w:b/>
          <w:bCs/>
          <w:color w:val="000000" w:themeColor="text1"/>
        </w:rPr>
        <w:t xml:space="preserve">Figure </w:t>
      </w:r>
      <w:r w:rsidR="008529ED" w:rsidRPr="00706CBA">
        <w:rPr>
          <w:b/>
          <w:bCs/>
          <w:color w:val="000000" w:themeColor="text1"/>
        </w:rPr>
        <w:t>6</w:t>
      </w:r>
      <w:r w:rsidR="008529ED" w:rsidRPr="00706CBA">
        <w:rPr>
          <w:color w:val="000000" w:themeColor="text1"/>
        </w:rPr>
        <w:t xml:space="preserve"> </w:t>
      </w:r>
      <w:r w:rsidR="00266838" w:rsidRPr="00706CBA">
        <w:rPr>
          <w:color w:val="000000" w:themeColor="text1"/>
        </w:rPr>
        <w:t>shows the changes in pyruvate/</w:t>
      </w:r>
      <w:r w:rsidR="00706CBA" w:rsidRPr="00706CBA">
        <w:rPr>
          <w:color w:val="000000" w:themeColor="text1"/>
        </w:rPr>
        <w:t>malate</w:t>
      </w:r>
      <w:r w:rsidR="00706CBA">
        <w:rPr>
          <w:color w:val="000000" w:themeColor="text1"/>
        </w:rPr>
        <w:t>-</w:t>
      </w:r>
      <w:r w:rsidR="00266838" w:rsidRPr="00706CBA">
        <w:rPr>
          <w:color w:val="000000" w:themeColor="text1"/>
        </w:rPr>
        <w:t xml:space="preserve">induced respiration. </w:t>
      </w:r>
      <w:r w:rsidR="00266838" w:rsidRPr="00706CBA">
        <w:rPr>
          <w:b/>
          <w:bCs/>
          <w:color w:val="000000" w:themeColor="text1"/>
        </w:rPr>
        <w:t xml:space="preserve">Figure </w:t>
      </w:r>
      <w:r w:rsidR="008529ED" w:rsidRPr="00706CBA">
        <w:rPr>
          <w:b/>
          <w:bCs/>
          <w:color w:val="000000" w:themeColor="text1"/>
        </w:rPr>
        <w:t>7</w:t>
      </w:r>
      <w:r w:rsidR="008529ED" w:rsidRPr="00706CBA">
        <w:rPr>
          <w:color w:val="000000" w:themeColor="text1"/>
        </w:rPr>
        <w:t xml:space="preserve"> </w:t>
      </w:r>
      <w:r w:rsidR="00266838" w:rsidRPr="00706CBA">
        <w:rPr>
          <w:color w:val="000000" w:themeColor="text1"/>
        </w:rPr>
        <w:t>shows the changes in glutamate/malate</w:t>
      </w:r>
      <w:r w:rsidR="0060362C" w:rsidRPr="00706CBA">
        <w:rPr>
          <w:color w:val="000000" w:themeColor="text1"/>
        </w:rPr>
        <w:t>-induced respiration</w:t>
      </w:r>
      <w:r w:rsidR="00706CBA">
        <w:rPr>
          <w:color w:val="000000" w:themeColor="text1"/>
        </w:rPr>
        <w:t xml:space="preserve">, and </w:t>
      </w:r>
      <w:r w:rsidR="0060362C" w:rsidRPr="00706CBA">
        <w:rPr>
          <w:b/>
          <w:bCs/>
          <w:color w:val="000000" w:themeColor="text1"/>
        </w:rPr>
        <w:t xml:space="preserve">Figure </w:t>
      </w:r>
      <w:r w:rsidR="008529ED" w:rsidRPr="00706CBA">
        <w:rPr>
          <w:b/>
          <w:bCs/>
          <w:color w:val="000000" w:themeColor="text1"/>
        </w:rPr>
        <w:t>8</w:t>
      </w:r>
      <w:r w:rsidR="008529ED" w:rsidRPr="00706CBA">
        <w:rPr>
          <w:color w:val="000000" w:themeColor="text1"/>
        </w:rPr>
        <w:t xml:space="preserve"> </w:t>
      </w:r>
      <w:r w:rsidR="0060362C" w:rsidRPr="00706CBA">
        <w:rPr>
          <w:color w:val="000000" w:themeColor="text1"/>
        </w:rPr>
        <w:t>shows the changes in palmitoyl carnitine/malate-induced respiration.</w:t>
      </w:r>
    </w:p>
    <w:p w14:paraId="5A4DA05B" w14:textId="77777777" w:rsidR="00843ADD" w:rsidRPr="00706CBA" w:rsidRDefault="00843ADD">
      <w:pPr>
        <w:rPr>
          <w:color w:val="000000" w:themeColor="text1"/>
        </w:rPr>
      </w:pPr>
    </w:p>
    <w:p w14:paraId="6D510784" w14:textId="3FDA7B54" w:rsidR="006E4797" w:rsidRPr="00706CBA" w:rsidRDefault="00551D82">
      <w:pPr>
        <w:rPr>
          <w:color w:val="000000" w:themeColor="text1"/>
        </w:rPr>
      </w:pPr>
      <w:r w:rsidRPr="00706CBA">
        <w:rPr>
          <w:b/>
          <w:color w:val="000000" w:themeColor="text1"/>
        </w:rPr>
        <w:t>FIGURE AND TABLE LEGENDS:</w:t>
      </w:r>
    </w:p>
    <w:p w14:paraId="34C38CE8" w14:textId="6E6E766F" w:rsidR="00435F0B" w:rsidRPr="00706CBA" w:rsidRDefault="00435F0B">
      <w:pPr>
        <w:rPr>
          <w:color w:val="000000" w:themeColor="text1"/>
        </w:rPr>
      </w:pPr>
      <w:r w:rsidRPr="00706CBA">
        <w:rPr>
          <w:b/>
          <w:bCs/>
          <w:color w:val="000000" w:themeColor="text1"/>
        </w:rPr>
        <w:t>Figure 1:</w:t>
      </w:r>
      <w:r w:rsidR="00706CBA" w:rsidRPr="00706CBA">
        <w:rPr>
          <w:b/>
          <w:bCs/>
          <w:color w:val="000000" w:themeColor="text1"/>
        </w:rPr>
        <w:t xml:space="preserve"> </w:t>
      </w:r>
      <w:r w:rsidRPr="00706CBA">
        <w:rPr>
          <w:b/>
          <w:bCs/>
          <w:color w:val="000000" w:themeColor="text1"/>
        </w:rPr>
        <w:t>A schematic representation of citric acid cycle.</w:t>
      </w:r>
      <w:r w:rsidRPr="00706CBA">
        <w:rPr>
          <w:color w:val="000000" w:themeColor="text1"/>
        </w:rPr>
        <w:t xml:space="preserve"> The used substrates to test mitochondrial substrate flux are in red.</w:t>
      </w:r>
      <w:r w:rsidR="00B248B2" w:rsidRPr="00706CBA">
        <w:rPr>
          <w:color w:val="000000" w:themeColor="text1"/>
        </w:rPr>
        <w:t xml:space="preserve"> Malate is not used alone but used in combination with pyruvate, palmitoyl carnitine, and glutamate. The role of malate in pyruvate/malate- and palmitoyl carnitine/malate-induced respiration is to provide oxaloacetate through the action of </w:t>
      </w:r>
      <w:r w:rsidR="00706CBA">
        <w:rPr>
          <w:color w:val="000000" w:themeColor="text1"/>
        </w:rPr>
        <w:t xml:space="preserve">the </w:t>
      </w:r>
      <w:r w:rsidR="00B248B2" w:rsidRPr="00706CBA">
        <w:rPr>
          <w:color w:val="000000" w:themeColor="text1"/>
        </w:rPr>
        <w:t xml:space="preserve">malate dehydrogenase enzyme. In glutamate/malate-induced respiration, malate takes part in the malate-aspartate shuttle. </w:t>
      </w:r>
    </w:p>
    <w:p w14:paraId="2DE0AA9D" w14:textId="1EFE0C06" w:rsidR="00435F0B" w:rsidRPr="00706CBA" w:rsidRDefault="00435F0B">
      <w:pPr>
        <w:rPr>
          <w:color w:val="000000" w:themeColor="text1"/>
        </w:rPr>
      </w:pPr>
    </w:p>
    <w:p w14:paraId="7627DD6E" w14:textId="529AA769" w:rsidR="00435F0B" w:rsidRPr="00706CBA" w:rsidRDefault="00435F0B">
      <w:pPr>
        <w:rPr>
          <w:color w:val="000000" w:themeColor="text1"/>
        </w:rPr>
      </w:pPr>
      <w:r w:rsidRPr="00706CBA">
        <w:rPr>
          <w:b/>
          <w:bCs/>
          <w:color w:val="000000" w:themeColor="text1"/>
        </w:rPr>
        <w:t xml:space="preserve">Figure </w:t>
      </w:r>
      <w:r w:rsidR="008529ED" w:rsidRPr="00706CBA">
        <w:rPr>
          <w:b/>
          <w:bCs/>
          <w:color w:val="000000" w:themeColor="text1"/>
        </w:rPr>
        <w:t>2</w:t>
      </w:r>
      <w:r w:rsidRPr="00706CBA">
        <w:rPr>
          <w:b/>
          <w:bCs/>
          <w:color w:val="000000" w:themeColor="text1"/>
        </w:rPr>
        <w:t>:</w:t>
      </w:r>
      <w:r w:rsidR="00706CBA" w:rsidRPr="00706CBA">
        <w:rPr>
          <w:b/>
          <w:bCs/>
          <w:color w:val="000000" w:themeColor="text1"/>
        </w:rPr>
        <w:t xml:space="preserve"> </w:t>
      </w:r>
      <w:r w:rsidR="001B1900" w:rsidRPr="00706CBA">
        <w:rPr>
          <w:b/>
          <w:bCs/>
          <w:color w:val="000000" w:themeColor="text1"/>
        </w:rPr>
        <w:t xml:space="preserve">Illustration of the cell seeding </w:t>
      </w:r>
      <w:r w:rsidR="00F37AF3" w:rsidRPr="00706CBA">
        <w:rPr>
          <w:b/>
          <w:bCs/>
          <w:color w:val="000000" w:themeColor="text1"/>
        </w:rPr>
        <w:t xml:space="preserve">plan </w:t>
      </w:r>
      <w:r w:rsidR="001B1900" w:rsidRPr="00706CBA">
        <w:rPr>
          <w:b/>
          <w:bCs/>
          <w:color w:val="000000" w:themeColor="text1"/>
        </w:rPr>
        <w:t xml:space="preserve">in </w:t>
      </w:r>
      <w:r w:rsidR="00F37AF3" w:rsidRPr="00706CBA">
        <w:rPr>
          <w:b/>
          <w:bCs/>
          <w:color w:val="000000" w:themeColor="text1"/>
        </w:rPr>
        <w:t>the</w:t>
      </w:r>
      <w:r w:rsidR="001B1900" w:rsidRPr="00706CBA">
        <w:rPr>
          <w:b/>
          <w:bCs/>
          <w:color w:val="000000" w:themeColor="text1"/>
        </w:rPr>
        <w:t xml:space="preserve"> cell culture microplate</w:t>
      </w:r>
      <w:r w:rsidRPr="00706CBA">
        <w:rPr>
          <w:color w:val="000000" w:themeColor="text1"/>
        </w:rPr>
        <w:t xml:space="preserve">. Blank </w:t>
      </w:r>
      <w:r w:rsidR="00F37AF3" w:rsidRPr="00706CBA">
        <w:rPr>
          <w:color w:val="000000" w:themeColor="text1"/>
        </w:rPr>
        <w:t xml:space="preserve">wells </w:t>
      </w:r>
      <w:r w:rsidR="00B04F1E" w:rsidRPr="00706CBA">
        <w:rPr>
          <w:color w:val="000000" w:themeColor="text1"/>
        </w:rPr>
        <w:t xml:space="preserve">in columns 1 and 12 </w:t>
      </w:r>
      <w:r w:rsidRPr="00706CBA">
        <w:rPr>
          <w:color w:val="000000" w:themeColor="text1"/>
        </w:rPr>
        <w:t xml:space="preserve">must be left empty without cells. </w:t>
      </w:r>
      <w:r w:rsidR="00B04F1E" w:rsidRPr="00706CBA">
        <w:rPr>
          <w:color w:val="000000" w:themeColor="text1"/>
        </w:rPr>
        <w:t>Columns 7</w:t>
      </w:r>
      <w:r w:rsidR="00706CBA">
        <w:rPr>
          <w:color w:val="000000" w:themeColor="text1"/>
        </w:rPr>
        <w:t>–</w:t>
      </w:r>
      <w:r w:rsidR="00B04F1E" w:rsidRPr="00706CBA">
        <w:rPr>
          <w:color w:val="000000" w:themeColor="text1"/>
        </w:rPr>
        <w:t>11 are used to treat the experimental group.</w:t>
      </w:r>
    </w:p>
    <w:p w14:paraId="5F973CA0" w14:textId="47FDAD9A" w:rsidR="00221806" w:rsidRPr="00706CBA" w:rsidRDefault="00221806">
      <w:pPr>
        <w:rPr>
          <w:color w:val="000000" w:themeColor="text1"/>
        </w:rPr>
      </w:pPr>
    </w:p>
    <w:p w14:paraId="19F54417" w14:textId="3BFB0C37" w:rsidR="000E2B42" w:rsidRPr="00706CBA" w:rsidRDefault="00221806">
      <w:pPr>
        <w:rPr>
          <w:color w:val="000000" w:themeColor="text1"/>
        </w:rPr>
      </w:pPr>
      <w:r w:rsidRPr="00706CBA">
        <w:rPr>
          <w:b/>
          <w:bCs/>
          <w:color w:val="000000" w:themeColor="text1"/>
        </w:rPr>
        <w:t xml:space="preserve">Figure </w:t>
      </w:r>
      <w:r w:rsidR="008529ED" w:rsidRPr="00706CBA">
        <w:rPr>
          <w:b/>
          <w:bCs/>
          <w:color w:val="000000" w:themeColor="text1"/>
        </w:rPr>
        <w:t>3</w:t>
      </w:r>
      <w:r w:rsidRPr="00706CBA">
        <w:rPr>
          <w:b/>
          <w:bCs/>
          <w:color w:val="000000" w:themeColor="text1"/>
        </w:rPr>
        <w:t>:</w:t>
      </w:r>
      <w:r w:rsidR="00706CBA" w:rsidRPr="00706CBA">
        <w:rPr>
          <w:b/>
          <w:bCs/>
          <w:color w:val="000000" w:themeColor="text1"/>
        </w:rPr>
        <w:t xml:space="preserve"> </w:t>
      </w:r>
      <w:r w:rsidR="001B1900" w:rsidRPr="00706CBA">
        <w:rPr>
          <w:b/>
          <w:bCs/>
          <w:color w:val="000000" w:themeColor="text1"/>
        </w:rPr>
        <w:t>Illustration of the injection strategy</w:t>
      </w:r>
      <w:r w:rsidR="001B1900" w:rsidRPr="00706CBA">
        <w:rPr>
          <w:color w:val="000000" w:themeColor="text1"/>
        </w:rPr>
        <w:t xml:space="preserve">. </w:t>
      </w:r>
      <w:r w:rsidR="003B5422" w:rsidRPr="00706CBA">
        <w:rPr>
          <w:color w:val="000000" w:themeColor="text1"/>
        </w:rPr>
        <w:t xml:space="preserve">Port A of rows A and B </w:t>
      </w:r>
      <w:r w:rsidR="00706CBA">
        <w:rPr>
          <w:color w:val="000000" w:themeColor="text1"/>
        </w:rPr>
        <w:t>are</w:t>
      </w:r>
      <w:r w:rsidR="00706CBA" w:rsidRPr="00706CBA">
        <w:rPr>
          <w:color w:val="000000" w:themeColor="text1"/>
        </w:rPr>
        <w:t xml:space="preserve"> </w:t>
      </w:r>
      <w:r w:rsidR="003B5422" w:rsidRPr="00706CBA">
        <w:rPr>
          <w:color w:val="000000" w:themeColor="text1"/>
        </w:rPr>
        <w:t xml:space="preserve">loaded with </w:t>
      </w:r>
      <w:r w:rsidR="00706CBA">
        <w:rPr>
          <w:color w:val="000000" w:themeColor="text1"/>
        </w:rPr>
        <w:t>s</w:t>
      </w:r>
      <w:r w:rsidR="00706CBA" w:rsidRPr="00706CBA">
        <w:rPr>
          <w:color w:val="000000" w:themeColor="text1"/>
        </w:rPr>
        <w:t>uccinate</w:t>
      </w:r>
      <w:r w:rsidR="003B5422" w:rsidRPr="00706CBA">
        <w:rPr>
          <w:color w:val="000000" w:themeColor="text1"/>
        </w:rPr>
        <w:t>/rotenone mixture</w:t>
      </w:r>
      <w:r w:rsidR="000E2B42" w:rsidRPr="00706CBA">
        <w:rPr>
          <w:color w:val="000000" w:themeColor="text1"/>
        </w:rPr>
        <w:t>.</w:t>
      </w:r>
      <w:r w:rsidR="003B5422" w:rsidRPr="00706CBA">
        <w:rPr>
          <w:color w:val="000000" w:themeColor="text1"/>
        </w:rPr>
        <w:t xml:space="preserve"> </w:t>
      </w:r>
      <w:r w:rsidR="000E2B42" w:rsidRPr="00706CBA">
        <w:rPr>
          <w:color w:val="000000" w:themeColor="text1"/>
        </w:rPr>
        <w:t xml:space="preserve">Port A of rows C and D </w:t>
      </w:r>
      <w:r w:rsidR="00706CBA">
        <w:rPr>
          <w:color w:val="000000" w:themeColor="text1"/>
        </w:rPr>
        <w:t>are</w:t>
      </w:r>
      <w:r w:rsidR="00706CBA" w:rsidRPr="00706CBA">
        <w:rPr>
          <w:color w:val="000000" w:themeColor="text1"/>
        </w:rPr>
        <w:t xml:space="preserve"> </w:t>
      </w:r>
      <w:r w:rsidR="000E2B42" w:rsidRPr="00706CBA">
        <w:rPr>
          <w:color w:val="000000" w:themeColor="text1"/>
        </w:rPr>
        <w:t xml:space="preserve">loaded with pyruvate/malate mixture. Port A of rows E and F </w:t>
      </w:r>
      <w:r w:rsidR="00706CBA">
        <w:rPr>
          <w:color w:val="000000" w:themeColor="text1"/>
        </w:rPr>
        <w:t>are</w:t>
      </w:r>
      <w:r w:rsidR="00706CBA" w:rsidRPr="00706CBA">
        <w:rPr>
          <w:color w:val="000000" w:themeColor="text1"/>
        </w:rPr>
        <w:t xml:space="preserve"> </w:t>
      </w:r>
      <w:r w:rsidR="000E2B42" w:rsidRPr="00706CBA">
        <w:rPr>
          <w:color w:val="000000" w:themeColor="text1"/>
        </w:rPr>
        <w:t xml:space="preserve">loaded with glutamate/malate mixture. Port A of rows G and H </w:t>
      </w:r>
      <w:r w:rsidR="00706CBA">
        <w:rPr>
          <w:color w:val="000000" w:themeColor="text1"/>
        </w:rPr>
        <w:t>are</w:t>
      </w:r>
      <w:r w:rsidR="00706CBA" w:rsidRPr="00706CBA">
        <w:rPr>
          <w:color w:val="000000" w:themeColor="text1"/>
        </w:rPr>
        <w:t xml:space="preserve"> </w:t>
      </w:r>
      <w:r w:rsidR="000E2B42" w:rsidRPr="00706CBA">
        <w:rPr>
          <w:color w:val="000000" w:themeColor="text1"/>
        </w:rPr>
        <w:t>loaded with palmitoyl carnitine/malate mixture.</w:t>
      </w:r>
      <w:r w:rsidR="001F6214" w:rsidRPr="00706CBA">
        <w:rPr>
          <w:color w:val="000000" w:themeColor="text1"/>
        </w:rPr>
        <w:t xml:space="preserve"> </w:t>
      </w:r>
      <w:r w:rsidR="00843ADD" w:rsidRPr="00706CBA">
        <w:rPr>
          <w:color w:val="000000" w:themeColor="text1"/>
        </w:rPr>
        <w:t xml:space="preserve">For the whole plate, ports B, C, and D </w:t>
      </w:r>
      <w:r w:rsidR="00566C06" w:rsidRPr="00706CBA">
        <w:rPr>
          <w:color w:val="000000" w:themeColor="text1"/>
        </w:rPr>
        <w:t>are</w:t>
      </w:r>
      <w:r w:rsidR="00843ADD" w:rsidRPr="00706CBA">
        <w:rPr>
          <w:color w:val="000000" w:themeColor="text1"/>
        </w:rPr>
        <w:t xml:space="preserve"> loaded with oligomycin, FCCP, and rotenone/antimycin A</w:t>
      </w:r>
      <w:r w:rsidR="00706CBA">
        <w:rPr>
          <w:color w:val="000000" w:themeColor="text1"/>
        </w:rPr>
        <w:t>,</w:t>
      </w:r>
      <w:r w:rsidR="00843ADD" w:rsidRPr="00706CBA">
        <w:rPr>
          <w:color w:val="000000" w:themeColor="text1"/>
        </w:rPr>
        <w:t xml:space="preserve"> respectively.</w:t>
      </w:r>
    </w:p>
    <w:p w14:paraId="08009E87" w14:textId="77777777" w:rsidR="000E2B42" w:rsidRPr="00706CBA" w:rsidRDefault="000E2B42">
      <w:pPr>
        <w:rPr>
          <w:color w:val="000000" w:themeColor="text1"/>
        </w:rPr>
      </w:pPr>
    </w:p>
    <w:p w14:paraId="2CF36C33" w14:textId="1F6F40F2" w:rsidR="000E2B42" w:rsidRPr="00706CBA" w:rsidRDefault="000E2B42">
      <w:pPr>
        <w:rPr>
          <w:color w:val="000000" w:themeColor="text1"/>
        </w:rPr>
      </w:pPr>
      <w:r w:rsidRPr="00706CBA">
        <w:rPr>
          <w:b/>
          <w:bCs/>
          <w:color w:val="000000" w:themeColor="text1"/>
        </w:rPr>
        <w:t xml:space="preserve">Figure </w:t>
      </w:r>
      <w:r w:rsidR="008529ED" w:rsidRPr="00706CBA">
        <w:rPr>
          <w:b/>
          <w:bCs/>
          <w:color w:val="000000" w:themeColor="text1"/>
        </w:rPr>
        <w:t>4</w:t>
      </w:r>
      <w:r w:rsidRPr="00706CBA">
        <w:rPr>
          <w:b/>
          <w:bCs/>
          <w:color w:val="000000" w:themeColor="text1"/>
        </w:rPr>
        <w:t>:</w:t>
      </w:r>
      <w:r w:rsidR="00706CBA" w:rsidRPr="00706CBA">
        <w:rPr>
          <w:b/>
          <w:bCs/>
          <w:color w:val="000000" w:themeColor="text1"/>
        </w:rPr>
        <w:t xml:space="preserve"> </w:t>
      </w:r>
      <w:r w:rsidR="00316039" w:rsidRPr="00706CBA">
        <w:rPr>
          <w:b/>
          <w:bCs/>
          <w:color w:val="000000" w:themeColor="text1"/>
        </w:rPr>
        <w:t>G</w:t>
      </w:r>
      <w:r w:rsidRPr="00706CBA">
        <w:rPr>
          <w:b/>
          <w:bCs/>
          <w:color w:val="000000" w:themeColor="text1"/>
        </w:rPr>
        <w:t>roup names and plate map</w:t>
      </w:r>
      <w:r w:rsidRPr="00706CBA">
        <w:rPr>
          <w:color w:val="000000" w:themeColor="text1"/>
        </w:rPr>
        <w:t>. Each group is named according to the phenotype (control or treated) and the substrate used to induce respiration. (S)</w:t>
      </w:r>
      <w:r w:rsidR="005E230A" w:rsidRPr="00706CBA">
        <w:rPr>
          <w:color w:val="000000" w:themeColor="text1"/>
        </w:rPr>
        <w:t>,</w:t>
      </w:r>
      <w:r w:rsidRPr="00706CBA">
        <w:rPr>
          <w:color w:val="000000" w:themeColor="text1"/>
        </w:rPr>
        <w:t xml:space="preserve"> succinate-</w:t>
      </w:r>
      <w:r w:rsidR="005E230A" w:rsidRPr="00706CBA">
        <w:rPr>
          <w:color w:val="000000" w:themeColor="text1"/>
        </w:rPr>
        <w:t xml:space="preserve">induced respiration. (P/M), pyruvate/malate-induced respiration. (G/M), glutamate/malate-induced respiration. (CP/M), palmitoyl carnitine/malate-induced respiration. </w:t>
      </w:r>
    </w:p>
    <w:p w14:paraId="328FD264" w14:textId="528718F9" w:rsidR="00203116" w:rsidRPr="00706CBA" w:rsidRDefault="00203116">
      <w:pPr>
        <w:rPr>
          <w:color w:val="000000" w:themeColor="text1"/>
        </w:rPr>
      </w:pPr>
    </w:p>
    <w:p w14:paraId="3ED00820" w14:textId="4D18A451" w:rsidR="00203116" w:rsidRPr="00706CBA" w:rsidRDefault="00203116">
      <w:pPr>
        <w:rPr>
          <w:color w:val="000000" w:themeColor="text1"/>
        </w:rPr>
      </w:pPr>
      <w:r w:rsidRPr="00706CBA">
        <w:rPr>
          <w:b/>
          <w:bCs/>
          <w:color w:val="000000" w:themeColor="text1"/>
        </w:rPr>
        <w:lastRenderedPageBreak/>
        <w:t xml:space="preserve">Figure </w:t>
      </w:r>
      <w:r w:rsidR="008529ED" w:rsidRPr="00706CBA">
        <w:rPr>
          <w:b/>
          <w:bCs/>
          <w:color w:val="000000" w:themeColor="text1"/>
        </w:rPr>
        <w:t>5</w:t>
      </w:r>
      <w:r w:rsidRPr="00706CBA">
        <w:rPr>
          <w:b/>
          <w:bCs/>
          <w:color w:val="000000" w:themeColor="text1"/>
        </w:rPr>
        <w:t>:</w:t>
      </w:r>
      <w:r w:rsidR="00706CBA" w:rsidRPr="00706CBA">
        <w:rPr>
          <w:b/>
          <w:bCs/>
          <w:color w:val="000000" w:themeColor="text1"/>
        </w:rPr>
        <w:t xml:space="preserve"> </w:t>
      </w:r>
      <w:r w:rsidRPr="00706CBA">
        <w:rPr>
          <w:b/>
          <w:bCs/>
          <w:color w:val="000000" w:themeColor="text1"/>
        </w:rPr>
        <w:t>Succinate-induced respiration</w:t>
      </w:r>
      <w:r w:rsidR="00706CBA" w:rsidRPr="00706CBA">
        <w:rPr>
          <w:color w:val="000000" w:themeColor="text1"/>
        </w:rPr>
        <w:t>.</w:t>
      </w:r>
      <w:r w:rsidRPr="00706CBA">
        <w:rPr>
          <w:color w:val="000000" w:themeColor="text1"/>
        </w:rPr>
        <w:t xml:space="preserve"> </w:t>
      </w:r>
      <w:r w:rsidR="00706CBA" w:rsidRPr="00706CBA">
        <w:rPr>
          <w:color w:val="000000" w:themeColor="text1"/>
        </w:rPr>
        <w:t>(</w:t>
      </w:r>
      <w:r w:rsidRPr="00706CBA">
        <w:rPr>
          <w:b/>
          <w:bCs/>
          <w:color w:val="000000" w:themeColor="text1"/>
        </w:rPr>
        <w:t>A</w:t>
      </w:r>
      <w:r w:rsidR="00706CBA" w:rsidRPr="00706CBA">
        <w:rPr>
          <w:color w:val="000000" w:themeColor="text1"/>
        </w:rPr>
        <w:t>)</w:t>
      </w:r>
      <w:r w:rsidRPr="00706CBA">
        <w:rPr>
          <w:color w:val="000000" w:themeColor="text1"/>
        </w:rPr>
        <w:t xml:space="preserve"> A549 and </w:t>
      </w:r>
      <w:r w:rsidR="00706CBA" w:rsidRPr="00706CBA">
        <w:rPr>
          <w:color w:val="000000" w:themeColor="text1"/>
        </w:rPr>
        <w:t>(</w:t>
      </w:r>
      <w:r w:rsidRPr="00706CBA">
        <w:rPr>
          <w:b/>
          <w:bCs/>
          <w:color w:val="000000" w:themeColor="text1"/>
        </w:rPr>
        <w:t>B</w:t>
      </w:r>
      <w:r w:rsidR="00706CBA" w:rsidRPr="00706CBA">
        <w:rPr>
          <w:color w:val="000000" w:themeColor="text1"/>
        </w:rPr>
        <w:t>)</w:t>
      </w:r>
      <w:r w:rsidRPr="00706CBA">
        <w:rPr>
          <w:color w:val="000000" w:themeColor="text1"/>
        </w:rPr>
        <w:t xml:space="preserve"> HepG2.</w:t>
      </w:r>
      <w:r w:rsidRPr="00706CBA">
        <w:rPr>
          <w:b/>
          <w:bCs/>
          <w:color w:val="000000" w:themeColor="text1"/>
        </w:rPr>
        <w:t xml:space="preserve"> </w:t>
      </w:r>
      <w:r w:rsidR="005F43C3" w:rsidRPr="00706CBA">
        <w:rPr>
          <w:color w:val="000000" w:themeColor="text1"/>
        </w:rPr>
        <w:t>The t</w:t>
      </w:r>
      <w:r w:rsidR="00162D69" w:rsidRPr="00706CBA">
        <w:rPr>
          <w:color w:val="000000" w:themeColor="text1"/>
        </w:rPr>
        <w:t>ested</w:t>
      </w:r>
      <w:r w:rsidR="005F43C3" w:rsidRPr="00706CBA">
        <w:rPr>
          <w:color w:val="000000" w:themeColor="text1"/>
        </w:rPr>
        <w:t xml:space="preserve"> group w</w:t>
      </w:r>
      <w:r w:rsidR="00162D69" w:rsidRPr="00706CBA">
        <w:rPr>
          <w:color w:val="000000" w:themeColor="text1"/>
        </w:rPr>
        <w:t>as</w:t>
      </w:r>
      <w:r w:rsidR="005F43C3" w:rsidRPr="00706CBA">
        <w:rPr>
          <w:color w:val="000000" w:themeColor="text1"/>
        </w:rPr>
        <w:t xml:space="preserve"> treated with 1 mM metformin hydrochloride for 16 h. </w:t>
      </w:r>
      <w:r w:rsidRPr="00706CBA">
        <w:rPr>
          <w:color w:val="000000" w:themeColor="text1"/>
        </w:rPr>
        <w:t>Only the background wells A1, B1, A12, and B12 are used for correction.</w:t>
      </w:r>
      <w:r w:rsidR="008A08AD" w:rsidRPr="00706CBA">
        <w:rPr>
          <w:color w:val="000000" w:themeColor="text1"/>
        </w:rPr>
        <w:t xml:space="preserve"> The results ar</w:t>
      </w:r>
      <w:r w:rsidR="005F43C3" w:rsidRPr="00706CBA">
        <w:rPr>
          <w:color w:val="000000" w:themeColor="text1"/>
        </w:rPr>
        <w:t xml:space="preserve">e </w:t>
      </w:r>
      <w:r w:rsidR="008A08AD" w:rsidRPr="00706CBA">
        <w:rPr>
          <w:color w:val="000000" w:themeColor="text1"/>
        </w:rPr>
        <w:t>shown as average</w:t>
      </w:r>
      <w:r w:rsidR="005F43C3" w:rsidRPr="00706CBA">
        <w:rPr>
          <w:color w:val="000000" w:themeColor="text1"/>
        </w:rPr>
        <w:t xml:space="preserve"> OCR% ±</w:t>
      </w:r>
      <w:r w:rsidR="008A08AD" w:rsidRPr="00706CBA">
        <w:rPr>
          <w:color w:val="000000" w:themeColor="text1"/>
        </w:rPr>
        <w:t xml:space="preserve"> SD. </w:t>
      </w:r>
      <w:r w:rsidR="005F43C3" w:rsidRPr="00706CBA">
        <w:rPr>
          <w:color w:val="000000" w:themeColor="text1"/>
        </w:rPr>
        <w:t>The graph and plate grid were created and exported as image files by</w:t>
      </w:r>
      <w:r w:rsidR="00C718CA" w:rsidRPr="00706CBA">
        <w:rPr>
          <w:color w:val="000000" w:themeColor="text1"/>
        </w:rPr>
        <w:t xml:space="preserve"> the assay design, data analysis, and file management software</w:t>
      </w:r>
      <w:r w:rsidR="005F43C3" w:rsidRPr="00706CBA">
        <w:rPr>
          <w:color w:val="000000" w:themeColor="text1"/>
        </w:rPr>
        <w:t>.</w:t>
      </w:r>
    </w:p>
    <w:p w14:paraId="2E9ECC0E" w14:textId="1D06F3A7" w:rsidR="00203116" w:rsidRPr="00706CBA" w:rsidRDefault="00203116">
      <w:pPr>
        <w:rPr>
          <w:color w:val="000000" w:themeColor="text1"/>
        </w:rPr>
      </w:pPr>
    </w:p>
    <w:p w14:paraId="4854FF5B" w14:textId="668824DF" w:rsidR="005F43C3" w:rsidRPr="00706CBA" w:rsidRDefault="00203116" w:rsidP="005F43C3">
      <w:pPr>
        <w:rPr>
          <w:color w:val="000000" w:themeColor="text1"/>
        </w:rPr>
      </w:pPr>
      <w:r w:rsidRPr="00706CBA">
        <w:rPr>
          <w:b/>
          <w:bCs/>
          <w:color w:val="000000" w:themeColor="text1"/>
        </w:rPr>
        <w:t xml:space="preserve">Figure </w:t>
      </w:r>
      <w:r w:rsidR="008529ED" w:rsidRPr="00706CBA">
        <w:rPr>
          <w:b/>
          <w:bCs/>
          <w:color w:val="000000" w:themeColor="text1"/>
        </w:rPr>
        <w:t>6</w:t>
      </w:r>
      <w:r w:rsidRPr="00706CBA">
        <w:rPr>
          <w:b/>
          <w:bCs/>
          <w:color w:val="000000" w:themeColor="text1"/>
        </w:rPr>
        <w:t>:</w:t>
      </w:r>
      <w:r w:rsidR="00706CBA" w:rsidRPr="00706CBA">
        <w:rPr>
          <w:b/>
          <w:bCs/>
          <w:color w:val="000000" w:themeColor="text1"/>
        </w:rPr>
        <w:t xml:space="preserve"> </w:t>
      </w:r>
      <w:r w:rsidRPr="00706CBA">
        <w:rPr>
          <w:b/>
          <w:bCs/>
          <w:color w:val="000000" w:themeColor="text1"/>
        </w:rPr>
        <w:t>Pyruvate/malate-induced respiration</w:t>
      </w:r>
      <w:r w:rsidR="00706CBA">
        <w:rPr>
          <w:b/>
          <w:bCs/>
          <w:color w:val="000000" w:themeColor="text1"/>
        </w:rPr>
        <w:t>.</w:t>
      </w:r>
      <w:r w:rsidRPr="00706CBA">
        <w:rPr>
          <w:b/>
          <w:bCs/>
          <w:color w:val="000000" w:themeColor="text1"/>
        </w:rPr>
        <w:t xml:space="preserve"> </w:t>
      </w:r>
      <w:r w:rsidR="00706CBA" w:rsidRPr="00706CBA">
        <w:rPr>
          <w:color w:val="000000" w:themeColor="text1"/>
        </w:rPr>
        <w:t>(</w:t>
      </w:r>
      <w:r w:rsidRPr="00706CBA">
        <w:rPr>
          <w:b/>
          <w:bCs/>
          <w:color w:val="000000" w:themeColor="text1"/>
        </w:rPr>
        <w:t>A</w:t>
      </w:r>
      <w:r w:rsidR="00706CBA" w:rsidRPr="00706CBA">
        <w:rPr>
          <w:color w:val="000000" w:themeColor="text1"/>
        </w:rPr>
        <w:t xml:space="preserve">) </w:t>
      </w:r>
      <w:r w:rsidRPr="00706CBA">
        <w:rPr>
          <w:color w:val="000000" w:themeColor="text1"/>
        </w:rPr>
        <w:t xml:space="preserve">A549 and </w:t>
      </w:r>
      <w:r w:rsidR="00706CBA" w:rsidRPr="00706CBA">
        <w:rPr>
          <w:color w:val="000000" w:themeColor="text1"/>
        </w:rPr>
        <w:t>(</w:t>
      </w:r>
      <w:r w:rsidRPr="00706CBA">
        <w:rPr>
          <w:b/>
          <w:bCs/>
          <w:color w:val="000000" w:themeColor="text1"/>
        </w:rPr>
        <w:t>B</w:t>
      </w:r>
      <w:r w:rsidR="00706CBA" w:rsidRPr="00706CBA">
        <w:rPr>
          <w:color w:val="000000" w:themeColor="text1"/>
        </w:rPr>
        <w:t>)</w:t>
      </w:r>
      <w:r w:rsidRPr="00706CBA">
        <w:rPr>
          <w:color w:val="000000" w:themeColor="text1"/>
        </w:rPr>
        <w:t xml:space="preserve"> HepG2.</w:t>
      </w:r>
      <w:r w:rsidR="005F43C3" w:rsidRPr="00706CBA">
        <w:rPr>
          <w:color w:val="000000" w:themeColor="text1"/>
        </w:rPr>
        <w:t xml:space="preserve"> The t</w:t>
      </w:r>
      <w:r w:rsidR="00566C06" w:rsidRPr="00706CBA">
        <w:rPr>
          <w:color w:val="000000" w:themeColor="text1"/>
        </w:rPr>
        <w:t>ested</w:t>
      </w:r>
      <w:r w:rsidR="005F43C3" w:rsidRPr="00706CBA">
        <w:rPr>
          <w:color w:val="000000" w:themeColor="text1"/>
        </w:rPr>
        <w:t xml:space="preserve"> group </w:t>
      </w:r>
      <w:r w:rsidR="00F00BD0" w:rsidRPr="00706CBA">
        <w:rPr>
          <w:color w:val="000000" w:themeColor="text1"/>
        </w:rPr>
        <w:t>was</w:t>
      </w:r>
      <w:r w:rsidR="005F43C3" w:rsidRPr="00706CBA">
        <w:rPr>
          <w:color w:val="000000" w:themeColor="text1"/>
        </w:rPr>
        <w:t xml:space="preserve"> treated with 1 mM metformin hydrochloride for 16 h.</w:t>
      </w:r>
      <w:r w:rsidRPr="00706CBA">
        <w:rPr>
          <w:color w:val="000000" w:themeColor="text1"/>
        </w:rPr>
        <w:t xml:space="preserve"> Only the background wells C1, D1, C12, and D12 are used for correction.</w:t>
      </w:r>
      <w:r w:rsidR="008A08AD" w:rsidRPr="00706CBA">
        <w:rPr>
          <w:color w:val="000000" w:themeColor="text1"/>
        </w:rPr>
        <w:t xml:space="preserve"> </w:t>
      </w:r>
      <w:r w:rsidR="005F43C3" w:rsidRPr="00706CBA">
        <w:rPr>
          <w:color w:val="000000" w:themeColor="text1"/>
        </w:rPr>
        <w:t xml:space="preserve">The results are shown as average OCR% ± SD. The graph and plate grid were created and exported as image files </w:t>
      </w:r>
      <w:r w:rsidR="00C718CA" w:rsidRPr="00706CBA">
        <w:rPr>
          <w:color w:val="000000" w:themeColor="text1"/>
        </w:rPr>
        <w:t>by the assay design, data analysis, and file management software</w:t>
      </w:r>
      <w:r w:rsidR="005F43C3" w:rsidRPr="00706CBA">
        <w:rPr>
          <w:color w:val="000000" w:themeColor="text1"/>
        </w:rPr>
        <w:t>.</w:t>
      </w:r>
    </w:p>
    <w:p w14:paraId="626C5AD3" w14:textId="7FD52DD5" w:rsidR="00203116" w:rsidRPr="00706CBA" w:rsidRDefault="00203116">
      <w:pPr>
        <w:rPr>
          <w:color w:val="000000" w:themeColor="text1"/>
        </w:rPr>
      </w:pPr>
    </w:p>
    <w:p w14:paraId="767A561F" w14:textId="7B60A3F0" w:rsidR="005F43C3" w:rsidRPr="00706CBA" w:rsidRDefault="007A132B" w:rsidP="005F43C3">
      <w:pPr>
        <w:rPr>
          <w:color w:val="000000" w:themeColor="text1"/>
        </w:rPr>
      </w:pPr>
      <w:r w:rsidRPr="00706CBA">
        <w:rPr>
          <w:b/>
          <w:bCs/>
          <w:color w:val="000000" w:themeColor="text1"/>
        </w:rPr>
        <w:t xml:space="preserve">Figure </w:t>
      </w:r>
      <w:r w:rsidR="008529ED" w:rsidRPr="00706CBA">
        <w:rPr>
          <w:b/>
          <w:bCs/>
          <w:color w:val="000000" w:themeColor="text1"/>
        </w:rPr>
        <w:t>7</w:t>
      </w:r>
      <w:r w:rsidRPr="00706CBA">
        <w:rPr>
          <w:b/>
          <w:bCs/>
          <w:color w:val="000000" w:themeColor="text1"/>
        </w:rPr>
        <w:t>:</w:t>
      </w:r>
      <w:r w:rsidR="00706CBA">
        <w:rPr>
          <w:b/>
          <w:bCs/>
          <w:color w:val="000000" w:themeColor="text1"/>
        </w:rPr>
        <w:t xml:space="preserve"> </w:t>
      </w:r>
      <w:r w:rsidRPr="00706CBA">
        <w:rPr>
          <w:b/>
          <w:bCs/>
          <w:color w:val="000000" w:themeColor="text1"/>
        </w:rPr>
        <w:t>Glutamate/malate-induced respiration</w:t>
      </w:r>
      <w:r w:rsidR="00706CBA" w:rsidRPr="00706CBA">
        <w:rPr>
          <w:color w:val="000000" w:themeColor="text1"/>
        </w:rPr>
        <w:t>. (</w:t>
      </w:r>
      <w:r w:rsidRPr="00706CBA">
        <w:rPr>
          <w:b/>
          <w:bCs/>
          <w:color w:val="000000" w:themeColor="text1"/>
        </w:rPr>
        <w:t>A</w:t>
      </w:r>
      <w:r w:rsidR="00706CBA" w:rsidRPr="00706CBA">
        <w:rPr>
          <w:color w:val="000000" w:themeColor="text1"/>
        </w:rPr>
        <w:t>)</w:t>
      </w:r>
      <w:r w:rsidRPr="00706CBA">
        <w:rPr>
          <w:color w:val="000000" w:themeColor="text1"/>
        </w:rPr>
        <w:t xml:space="preserve"> A549 and </w:t>
      </w:r>
      <w:r w:rsidR="00706CBA" w:rsidRPr="00706CBA">
        <w:rPr>
          <w:color w:val="000000" w:themeColor="text1"/>
        </w:rPr>
        <w:t>(</w:t>
      </w:r>
      <w:r w:rsidRPr="00706CBA">
        <w:rPr>
          <w:b/>
          <w:bCs/>
          <w:color w:val="000000" w:themeColor="text1"/>
        </w:rPr>
        <w:t>B</w:t>
      </w:r>
      <w:r w:rsidR="00706CBA" w:rsidRPr="00706CBA">
        <w:rPr>
          <w:color w:val="000000" w:themeColor="text1"/>
        </w:rPr>
        <w:t>)</w:t>
      </w:r>
      <w:r w:rsidRPr="00706CBA">
        <w:rPr>
          <w:color w:val="000000" w:themeColor="text1"/>
        </w:rPr>
        <w:t xml:space="preserve"> HepG2. </w:t>
      </w:r>
      <w:r w:rsidR="005F43C3" w:rsidRPr="00706CBA">
        <w:rPr>
          <w:color w:val="000000" w:themeColor="text1"/>
        </w:rPr>
        <w:t>The t</w:t>
      </w:r>
      <w:r w:rsidR="00C92D78" w:rsidRPr="00706CBA">
        <w:rPr>
          <w:color w:val="000000" w:themeColor="text1"/>
        </w:rPr>
        <w:t>ested</w:t>
      </w:r>
      <w:r w:rsidR="005F43C3" w:rsidRPr="00706CBA">
        <w:rPr>
          <w:color w:val="000000" w:themeColor="text1"/>
        </w:rPr>
        <w:t xml:space="preserve"> group w</w:t>
      </w:r>
      <w:r w:rsidR="00C92D78" w:rsidRPr="00706CBA">
        <w:rPr>
          <w:color w:val="000000" w:themeColor="text1"/>
        </w:rPr>
        <w:t>as</w:t>
      </w:r>
      <w:r w:rsidR="005F43C3" w:rsidRPr="00706CBA">
        <w:rPr>
          <w:color w:val="000000" w:themeColor="text1"/>
        </w:rPr>
        <w:t xml:space="preserve"> treated with 1 mM metformin hydrochloride for 16 h. </w:t>
      </w:r>
      <w:r w:rsidRPr="00706CBA">
        <w:rPr>
          <w:color w:val="000000" w:themeColor="text1"/>
        </w:rPr>
        <w:t>Only the background wells E1, F1, E12, and F12 are used for correction.</w:t>
      </w:r>
      <w:r w:rsidR="008A08AD" w:rsidRPr="00706CBA">
        <w:rPr>
          <w:color w:val="000000" w:themeColor="text1"/>
        </w:rPr>
        <w:t xml:space="preserve"> </w:t>
      </w:r>
      <w:r w:rsidR="005F43C3" w:rsidRPr="00706CBA">
        <w:rPr>
          <w:color w:val="000000" w:themeColor="text1"/>
        </w:rPr>
        <w:t>The results are shown as average OCR% ± SD. The graph and plate grid were created and exported as image files by</w:t>
      </w:r>
      <w:r w:rsidR="00C718CA" w:rsidRPr="00706CBA">
        <w:rPr>
          <w:color w:val="000000" w:themeColor="text1"/>
        </w:rPr>
        <w:t xml:space="preserve"> the assay design, data analysis, and file management software</w:t>
      </w:r>
      <w:r w:rsidR="005F43C3" w:rsidRPr="00706CBA">
        <w:rPr>
          <w:color w:val="000000" w:themeColor="text1"/>
        </w:rPr>
        <w:t>.</w:t>
      </w:r>
    </w:p>
    <w:p w14:paraId="5971AEF6" w14:textId="4E46D0CE" w:rsidR="007A132B" w:rsidRPr="00706CBA" w:rsidRDefault="007A132B">
      <w:pPr>
        <w:rPr>
          <w:color w:val="000000" w:themeColor="text1"/>
        </w:rPr>
      </w:pPr>
    </w:p>
    <w:p w14:paraId="67BDC146" w14:textId="7FBF9A8E" w:rsidR="005F43C3" w:rsidRPr="00706CBA" w:rsidRDefault="007A132B" w:rsidP="005F43C3">
      <w:pPr>
        <w:rPr>
          <w:color w:val="000000" w:themeColor="text1"/>
        </w:rPr>
      </w:pPr>
      <w:r w:rsidRPr="00706CBA">
        <w:rPr>
          <w:b/>
          <w:bCs/>
          <w:color w:val="000000" w:themeColor="text1"/>
        </w:rPr>
        <w:t xml:space="preserve">Figure </w:t>
      </w:r>
      <w:r w:rsidR="008529ED" w:rsidRPr="00706CBA">
        <w:rPr>
          <w:b/>
          <w:bCs/>
          <w:color w:val="000000" w:themeColor="text1"/>
        </w:rPr>
        <w:t>8</w:t>
      </w:r>
      <w:r w:rsidRPr="00706CBA">
        <w:rPr>
          <w:b/>
          <w:bCs/>
          <w:color w:val="000000" w:themeColor="text1"/>
        </w:rPr>
        <w:t>:</w:t>
      </w:r>
      <w:r w:rsidR="00706CBA" w:rsidRPr="00706CBA">
        <w:rPr>
          <w:b/>
          <w:bCs/>
          <w:color w:val="000000" w:themeColor="text1"/>
        </w:rPr>
        <w:t xml:space="preserve"> </w:t>
      </w:r>
      <w:r w:rsidRPr="00706CBA">
        <w:rPr>
          <w:b/>
          <w:bCs/>
          <w:color w:val="000000" w:themeColor="text1"/>
        </w:rPr>
        <w:t>Palmitoyl carnitine/malate-induced respiration</w:t>
      </w:r>
      <w:r w:rsidR="00706CBA">
        <w:rPr>
          <w:b/>
          <w:bCs/>
          <w:color w:val="000000" w:themeColor="text1"/>
        </w:rPr>
        <w:t>.</w:t>
      </w:r>
      <w:r w:rsidRPr="00706CBA">
        <w:rPr>
          <w:b/>
          <w:bCs/>
          <w:color w:val="000000" w:themeColor="text1"/>
        </w:rPr>
        <w:t xml:space="preserve"> </w:t>
      </w:r>
      <w:r w:rsidR="00706CBA" w:rsidRPr="00706CBA">
        <w:rPr>
          <w:color w:val="000000" w:themeColor="text1"/>
        </w:rPr>
        <w:t>(</w:t>
      </w:r>
      <w:r w:rsidRPr="00706CBA">
        <w:rPr>
          <w:b/>
          <w:bCs/>
          <w:color w:val="000000" w:themeColor="text1"/>
        </w:rPr>
        <w:t>A</w:t>
      </w:r>
      <w:r w:rsidR="00706CBA" w:rsidRPr="00706CBA">
        <w:rPr>
          <w:color w:val="000000" w:themeColor="text1"/>
        </w:rPr>
        <w:t>)</w:t>
      </w:r>
      <w:r w:rsidRPr="00706CBA">
        <w:rPr>
          <w:color w:val="000000" w:themeColor="text1"/>
        </w:rPr>
        <w:t xml:space="preserve"> A549 and </w:t>
      </w:r>
      <w:r w:rsidR="00706CBA" w:rsidRPr="00706CBA">
        <w:rPr>
          <w:color w:val="000000" w:themeColor="text1"/>
        </w:rPr>
        <w:t>(</w:t>
      </w:r>
      <w:r w:rsidRPr="00706CBA">
        <w:rPr>
          <w:b/>
          <w:bCs/>
          <w:color w:val="000000" w:themeColor="text1"/>
        </w:rPr>
        <w:t>B</w:t>
      </w:r>
      <w:r w:rsidR="00706CBA" w:rsidRPr="00706CBA">
        <w:rPr>
          <w:color w:val="000000" w:themeColor="text1"/>
        </w:rPr>
        <w:t xml:space="preserve">) </w:t>
      </w:r>
      <w:r w:rsidRPr="00706CBA">
        <w:rPr>
          <w:color w:val="000000" w:themeColor="text1"/>
        </w:rPr>
        <w:t xml:space="preserve">HepG2. </w:t>
      </w:r>
      <w:r w:rsidR="005F43C3" w:rsidRPr="00706CBA">
        <w:rPr>
          <w:color w:val="000000" w:themeColor="text1"/>
        </w:rPr>
        <w:t>The t</w:t>
      </w:r>
      <w:r w:rsidR="003A5355" w:rsidRPr="00706CBA">
        <w:rPr>
          <w:color w:val="000000" w:themeColor="text1"/>
        </w:rPr>
        <w:t>ested</w:t>
      </w:r>
      <w:r w:rsidR="005F43C3" w:rsidRPr="00706CBA">
        <w:rPr>
          <w:color w:val="000000" w:themeColor="text1"/>
        </w:rPr>
        <w:t xml:space="preserve"> group </w:t>
      </w:r>
      <w:r w:rsidR="003A5355" w:rsidRPr="00706CBA">
        <w:rPr>
          <w:color w:val="000000" w:themeColor="text1"/>
        </w:rPr>
        <w:t>was</w:t>
      </w:r>
      <w:r w:rsidR="005F43C3" w:rsidRPr="00706CBA">
        <w:rPr>
          <w:color w:val="000000" w:themeColor="text1"/>
        </w:rPr>
        <w:t xml:space="preserve"> treated with 1 mM metformin hydrochloride for 16 h. </w:t>
      </w:r>
      <w:r w:rsidRPr="00706CBA">
        <w:rPr>
          <w:color w:val="000000" w:themeColor="text1"/>
        </w:rPr>
        <w:t>Only the background wells G1, H1, G12, and H12 are used for correction.</w:t>
      </w:r>
      <w:r w:rsidR="008A08AD" w:rsidRPr="00706CBA">
        <w:rPr>
          <w:color w:val="000000" w:themeColor="text1"/>
        </w:rPr>
        <w:t xml:space="preserve"> </w:t>
      </w:r>
      <w:r w:rsidR="005F43C3" w:rsidRPr="00706CBA">
        <w:rPr>
          <w:color w:val="000000" w:themeColor="text1"/>
        </w:rPr>
        <w:t>The results are shown as average OCR% ± SD. The graph and plate grid were created and exported as image files by</w:t>
      </w:r>
      <w:r w:rsidR="00C718CA" w:rsidRPr="00706CBA">
        <w:rPr>
          <w:color w:val="000000" w:themeColor="text1"/>
        </w:rPr>
        <w:t xml:space="preserve"> the assay design, data analysis, and file management software</w:t>
      </w:r>
      <w:r w:rsidR="005F43C3" w:rsidRPr="00706CBA">
        <w:rPr>
          <w:color w:val="000000" w:themeColor="text1"/>
        </w:rPr>
        <w:t>.</w:t>
      </w:r>
    </w:p>
    <w:p w14:paraId="2516C60E" w14:textId="75AC7637" w:rsidR="007A132B" w:rsidRPr="00706CBA" w:rsidRDefault="007A132B">
      <w:pPr>
        <w:rPr>
          <w:color w:val="000000" w:themeColor="text1"/>
        </w:rPr>
      </w:pPr>
    </w:p>
    <w:p w14:paraId="5DFF6BCF" w14:textId="01A4A384" w:rsidR="00435F0B" w:rsidRPr="00706CBA" w:rsidRDefault="00435F0B">
      <w:pPr>
        <w:rPr>
          <w:color w:val="000000" w:themeColor="text1"/>
        </w:rPr>
      </w:pPr>
      <w:r w:rsidRPr="00706CBA">
        <w:rPr>
          <w:b/>
          <w:bCs/>
          <w:color w:val="000000" w:themeColor="text1"/>
        </w:rPr>
        <w:t>Table 1:</w:t>
      </w:r>
      <w:r w:rsidR="00706CBA" w:rsidRPr="00706CBA">
        <w:rPr>
          <w:b/>
          <w:bCs/>
          <w:color w:val="000000" w:themeColor="text1"/>
        </w:rPr>
        <w:t xml:space="preserve"> </w:t>
      </w:r>
      <w:r w:rsidR="0046015B" w:rsidRPr="00706CBA">
        <w:rPr>
          <w:b/>
          <w:bCs/>
          <w:color w:val="000000" w:themeColor="text1"/>
        </w:rPr>
        <w:t>Mitochondrial assay solution</w:t>
      </w:r>
      <w:r w:rsidR="00CA7792" w:rsidRPr="00706CBA">
        <w:rPr>
          <w:color w:val="000000" w:themeColor="text1"/>
        </w:rPr>
        <w:t xml:space="preserve">. Mix the indicated volume of each ingredient stock solution to prepare </w:t>
      </w:r>
      <w:r w:rsidR="0046015B" w:rsidRPr="00706CBA">
        <w:rPr>
          <w:color w:val="000000" w:themeColor="text1"/>
        </w:rPr>
        <w:t>(2</w:t>
      </w:r>
      <w:r w:rsidR="00706CBA">
        <w:rPr>
          <w:color w:val="000000" w:themeColor="text1"/>
        </w:rPr>
        <w:t>x</w:t>
      </w:r>
      <w:r w:rsidR="00706CBA" w:rsidRPr="00706CBA">
        <w:rPr>
          <w:color w:val="000000" w:themeColor="text1"/>
        </w:rPr>
        <w:t xml:space="preserve"> </w:t>
      </w:r>
      <w:r w:rsidR="0046015B" w:rsidRPr="00706CBA">
        <w:rPr>
          <w:color w:val="000000" w:themeColor="text1"/>
        </w:rPr>
        <w:t>MAS)</w:t>
      </w:r>
      <w:r w:rsidR="00CA7792" w:rsidRPr="00706CBA">
        <w:rPr>
          <w:color w:val="000000" w:themeColor="text1"/>
        </w:rPr>
        <w:t>. Warm the solution at 37</w:t>
      </w:r>
      <w:r w:rsidR="00706CBA">
        <w:rPr>
          <w:color w:val="000000" w:themeColor="text1"/>
        </w:rPr>
        <w:t xml:space="preserve"> </w:t>
      </w:r>
      <w:r w:rsidR="00CA7792" w:rsidRPr="00706CBA">
        <w:rPr>
          <w:color w:val="000000" w:themeColor="text1"/>
        </w:rPr>
        <w:t>°C</w:t>
      </w:r>
      <w:r w:rsidR="00706CBA">
        <w:rPr>
          <w:color w:val="000000" w:themeColor="text1"/>
        </w:rPr>
        <w:t>,</w:t>
      </w:r>
      <w:r w:rsidR="00CA7792" w:rsidRPr="00706CBA">
        <w:rPr>
          <w:color w:val="000000" w:themeColor="text1"/>
        </w:rPr>
        <w:t xml:space="preserve"> then adjust pH with 5N KOH to 7.4. Add distilled water </w:t>
      </w:r>
      <w:r w:rsidR="005261D5">
        <w:rPr>
          <w:color w:val="000000" w:themeColor="text1"/>
        </w:rPr>
        <w:t>to bring the</w:t>
      </w:r>
      <w:r w:rsidR="005261D5" w:rsidRPr="00706CBA">
        <w:rPr>
          <w:color w:val="000000" w:themeColor="text1"/>
        </w:rPr>
        <w:t xml:space="preserve"> volume </w:t>
      </w:r>
      <w:r w:rsidR="005261D5">
        <w:rPr>
          <w:color w:val="000000" w:themeColor="text1"/>
        </w:rPr>
        <w:t>up to</w:t>
      </w:r>
      <w:r w:rsidR="005261D5" w:rsidRPr="00706CBA">
        <w:rPr>
          <w:color w:val="000000" w:themeColor="text1"/>
        </w:rPr>
        <w:t xml:space="preserve"> </w:t>
      </w:r>
      <w:r w:rsidR="00CA7792" w:rsidRPr="00706CBA">
        <w:rPr>
          <w:color w:val="000000" w:themeColor="text1"/>
        </w:rPr>
        <w:t xml:space="preserve">1 </w:t>
      </w:r>
      <w:r w:rsidR="00706CBA">
        <w:rPr>
          <w:color w:val="000000" w:themeColor="text1"/>
        </w:rPr>
        <w:t>L</w:t>
      </w:r>
      <w:r w:rsidR="00CA7792" w:rsidRPr="00706CBA">
        <w:rPr>
          <w:color w:val="000000" w:themeColor="text1"/>
        </w:rPr>
        <w:t xml:space="preserve">. Filter </w:t>
      </w:r>
      <w:r w:rsidR="00706CBA" w:rsidRPr="00706CBA">
        <w:rPr>
          <w:color w:val="000000" w:themeColor="text1"/>
        </w:rPr>
        <w:t>steril</w:t>
      </w:r>
      <w:r w:rsidR="00706CBA">
        <w:rPr>
          <w:color w:val="000000" w:themeColor="text1"/>
        </w:rPr>
        <w:t>ize and</w:t>
      </w:r>
      <w:r w:rsidR="00706CBA" w:rsidRPr="00706CBA">
        <w:rPr>
          <w:color w:val="000000" w:themeColor="text1"/>
        </w:rPr>
        <w:t xml:space="preserve"> </w:t>
      </w:r>
      <w:r w:rsidR="00CA7792" w:rsidRPr="00706CBA">
        <w:rPr>
          <w:color w:val="000000" w:themeColor="text1"/>
        </w:rPr>
        <w:t>then store aliquots at -20</w:t>
      </w:r>
      <w:r w:rsidR="00706CBA">
        <w:rPr>
          <w:color w:val="000000" w:themeColor="text1"/>
        </w:rPr>
        <w:t xml:space="preserve"> </w:t>
      </w:r>
      <w:r w:rsidR="00CA7792" w:rsidRPr="00706CBA">
        <w:rPr>
          <w:color w:val="000000" w:themeColor="text1"/>
        </w:rPr>
        <w:t xml:space="preserve">°C.  </w:t>
      </w:r>
      <w:r w:rsidR="00706CBA">
        <w:rPr>
          <w:color w:val="000000" w:themeColor="text1"/>
        </w:rPr>
        <w:t>P</w:t>
      </w:r>
      <w:r w:rsidR="00706CBA" w:rsidRPr="00706CBA">
        <w:rPr>
          <w:color w:val="000000" w:themeColor="text1"/>
        </w:rPr>
        <w:t xml:space="preserve">repare </w:t>
      </w:r>
      <w:r w:rsidR="00633238" w:rsidRPr="00706CBA">
        <w:rPr>
          <w:color w:val="000000" w:themeColor="text1"/>
        </w:rPr>
        <w:t>the assay medium</w:t>
      </w:r>
      <w:r w:rsidR="00706CBA">
        <w:rPr>
          <w:color w:val="000000" w:themeColor="text1"/>
        </w:rPr>
        <w:t xml:space="preserve"> </w:t>
      </w:r>
      <w:r w:rsidR="00633238" w:rsidRPr="00706CBA">
        <w:rPr>
          <w:color w:val="000000" w:themeColor="text1"/>
        </w:rPr>
        <w:t>and working concentrations of mitochondrial substrates and inhibitors</w:t>
      </w:r>
      <w:r w:rsidR="00706CBA">
        <w:rPr>
          <w:color w:val="000000" w:themeColor="text1"/>
        </w:rPr>
        <w:t xml:space="preserve"> using </w:t>
      </w:r>
      <w:r w:rsidR="00706CBA" w:rsidRPr="00B053F2">
        <w:rPr>
          <w:color w:val="000000" w:themeColor="text1"/>
        </w:rPr>
        <w:t>2</w:t>
      </w:r>
      <w:r w:rsidR="00706CBA">
        <w:rPr>
          <w:color w:val="000000" w:themeColor="text1"/>
        </w:rPr>
        <w:t>x</w:t>
      </w:r>
      <w:r w:rsidR="00706CBA" w:rsidRPr="00B053F2">
        <w:rPr>
          <w:color w:val="000000" w:themeColor="text1"/>
        </w:rPr>
        <w:t xml:space="preserve"> MAS</w:t>
      </w:r>
      <w:r w:rsidR="00633238" w:rsidRPr="00706CBA">
        <w:rPr>
          <w:color w:val="000000" w:themeColor="text1"/>
        </w:rPr>
        <w:t>.</w:t>
      </w:r>
    </w:p>
    <w:p w14:paraId="6CEE7683" w14:textId="13457F32" w:rsidR="0046015B" w:rsidRPr="00706CBA" w:rsidRDefault="0046015B">
      <w:pPr>
        <w:rPr>
          <w:color w:val="000000" w:themeColor="text1"/>
        </w:rPr>
      </w:pPr>
    </w:p>
    <w:p w14:paraId="23B91A8A" w14:textId="0B777D6E" w:rsidR="0046015B" w:rsidRPr="00706CBA" w:rsidRDefault="0046015B">
      <w:pPr>
        <w:rPr>
          <w:b/>
          <w:bCs/>
          <w:color w:val="000000" w:themeColor="text1"/>
        </w:rPr>
      </w:pPr>
      <w:r w:rsidRPr="00706CBA">
        <w:rPr>
          <w:b/>
          <w:bCs/>
          <w:color w:val="000000" w:themeColor="text1"/>
        </w:rPr>
        <w:t>Table 2:</w:t>
      </w:r>
      <w:r w:rsidR="00706CBA" w:rsidRPr="00706CBA">
        <w:rPr>
          <w:b/>
          <w:bCs/>
          <w:color w:val="000000" w:themeColor="text1"/>
        </w:rPr>
        <w:t xml:space="preserve"> </w:t>
      </w:r>
      <w:r w:rsidRPr="00706CBA">
        <w:rPr>
          <w:b/>
          <w:bCs/>
          <w:color w:val="000000" w:themeColor="text1"/>
        </w:rPr>
        <w:t>Commands of the assay protocol.</w:t>
      </w:r>
      <w:r w:rsidR="00CA7792" w:rsidRPr="00706CBA">
        <w:rPr>
          <w:b/>
          <w:bCs/>
          <w:color w:val="000000" w:themeColor="text1"/>
        </w:rPr>
        <w:t xml:space="preserve"> </w:t>
      </w:r>
    </w:p>
    <w:p w14:paraId="6679C85B" w14:textId="690848A3" w:rsidR="00221806" w:rsidRPr="00706CBA" w:rsidRDefault="00221806">
      <w:pPr>
        <w:rPr>
          <w:color w:val="000000" w:themeColor="text1"/>
        </w:rPr>
      </w:pPr>
    </w:p>
    <w:p w14:paraId="4B974A65" w14:textId="15373C9C" w:rsidR="00221806" w:rsidRPr="00706CBA" w:rsidRDefault="00221806">
      <w:pPr>
        <w:rPr>
          <w:color w:val="000000" w:themeColor="text1"/>
        </w:rPr>
      </w:pPr>
      <w:r w:rsidRPr="00706CBA">
        <w:rPr>
          <w:b/>
          <w:bCs/>
          <w:color w:val="000000" w:themeColor="text1"/>
        </w:rPr>
        <w:t>Table 3:</w:t>
      </w:r>
      <w:r w:rsidR="00706CBA" w:rsidRPr="00706CBA">
        <w:rPr>
          <w:b/>
          <w:bCs/>
          <w:color w:val="000000" w:themeColor="text1"/>
        </w:rPr>
        <w:t xml:space="preserve"> </w:t>
      </w:r>
      <w:r w:rsidR="00633238" w:rsidRPr="00706CBA">
        <w:rPr>
          <w:b/>
          <w:bCs/>
          <w:color w:val="000000" w:themeColor="text1"/>
        </w:rPr>
        <w:t>List of mitochondrial substrates and inhibitor</w:t>
      </w:r>
      <w:r w:rsidR="00FC3C8B" w:rsidRPr="00706CBA">
        <w:rPr>
          <w:b/>
          <w:bCs/>
          <w:color w:val="000000" w:themeColor="text1"/>
        </w:rPr>
        <w:t>s</w:t>
      </w:r>
      <w:r w:rsidR="00633238" w:rsidRPr="00706CBA">
        <w:rPr>
          <w:b/>
          <w:bCs/>
          <w:color w:val="000000" w:themeColor="text1"/>
        </w:rPr>
        <w:t xml:space="preserve"> to be loaded into injection ports of the sensor cartridges as previously discussed in Figure </w:t>
      </w:r>
      <w:r w:rsidR="00AE1A08" w:rsidRPr="00706CBA">
        <w:rPr>
          <w:b/>
          <w:bCs/>
          <w:color w:val="000000" w:themeColor="text1"/>
        </w:rPr>
        <w:t>3</w:t>
      </w:r>
      <w:r w:rsidR="00633238" w:rsidRPr="00706CBA">
        <w:rPr>
          <w:color w:val="000000" w:themeColor="text1"/>
        </w:rPr>
        <w:t>. Mix the indicated volumes from stock solutions, 2</w:t>
      </w:r>
      <w:r w:rsidR="00706CBA">
        <w:rPr>
          <w:color w:val="000000" w:themeColor="text1"/>
        </w:rPr>
        <w:t>x</w:t>
      </w:r>
      <w:r w:rsidR="00706CBA" w:rsidRPr="00706CBA">
        <w:rPr>
          <w:color w:val="000000" w:themeColor="text1"/>
        </w:rPr>
        <w:t xml:space="preserve"> </w:t>
      </w:r>
      <w:r w:rsidR="00633238" w:rsidRPr="00706CBA">
        <w:rPr>
          <w:color w:val="000000" w:themeColor="text1"/>
        </w:rPr>
        <w:t xml:space="preserve">MAS, and distilled water to prepare the 5 </w:t>
      </w:r>
      <w:r w:rsidR="00706CBA" w:rsidRPr="00706CBA">
        <w:rPr>
          <w:color w:val="000000" w:themeColor="text1"/>
        </w:rPr>
        <w:t>m</w:t>
      </w:r>
      <w:r w:rsidR="00706CBA">
        <w:rPr>
          <w:color w:val="000000" w:themeColor="text1"/>
        </w:rPr>
        <w:t>L</w:t>
      </w:r>
      <w:r w:rsidR="00706CBA" w:rsidRPr="00706CBA">
        <w:rPr>
          <w:color w:val="000000" w:themeColor="text1"/>
        </w:rPr>
        <w:t xml:space="preserve"> </w:t>
      </w:r>
      <w:r w:rsidR="00633238" w:rsidRPr="00706CBA">
        <w:rPr>
          <w:color w:val="000000" w:themeColor="text1"/>
        </w:rPr>
        <w:t>of the w</w:t>
      </w:r>
      <w:r w:rsidR="003B5422" w:rsidRPr="00706CBA">
        <w:rPr>
          <w:color w:val="000000" w:themeColor="text1"/>
        </w:rPr>
        <w:t>orking concentration</w:t>
      </w:r>
      <w:r w:rsidR="00633238" w:rsidRPr="00706CBA">
        <w:rPr>
          <w:color w:val="000000" w:themeColor="text1"/>
        </w:rPr>
        <w:t xml:space="preserve"> of each substrate or inhibitor mixture.</w:t>
      </w:r>
      <w:r w:rsidR="003B5422" w:rsidRPr="00706CBA">
        <w:rPr>
          <w:color w:val="000000" w:themeColor="text1"/>
        </w:rPr>
        <w:t xml:space="preserve"> </w:t>
      </w:r>
      <w:r w:rsidR="00633238" w:rsidRPr="00706CBA">
        <w:rPr>
          <w:color w:val="000000" w:themeColor="text1"/>
        </w:rPr>
        <w:t>The final concentration is the concentration achieved in the wells after the injection process.</w:t>
      </w:r>
    </w:p>
    <w:p w14:paraId="52C3B71D" w14:textId="77777777" w:rsidR="0046015B" w:rsidRPr="00706CBA" w:rsidRDefault="0046015B">
      <w:pPr>
        <w:rPr>
          <w:color w:val="000000" w:themeColor="text1"/>
        </w:rPr>
      </w:pPr>
    </w:p>
    <w:p w14:paraId="7C0B6465" w14:textId="0E8B9C14" w:rsidR="006E4797" w:rsidRPr="00706CBA" w:rsidRDefault="00551D82">
      <w:pPr>
        <w:rPr>
          <w:b/>
          <w:color w:val="000000" w:themeColor="text1"/>
        </w:rPr>
      </w:pPr>
      <w:r w:rsidRPr="00706CBA">
        <w:rPr>
          <w:b/>
          <w:color w:val="000000" w:themeColor="text1"/>
        </w:rPr>
        <w:t>DISCUSSION:</w:t>
      </w:r>
    </w:p>
    <w:p w14:paraId="6AE1C2F1" w14:textId="4A3D01FB" w:rsidR="00A06ABC" w:rsidRPr="00706CBA" w:rsidRDefault="0013796A">
      <w:pPr>
        <w:rPr>
          <w:color w:val="000000" w:themeColor="text1"/>
        </w:rPr>
      </w:pPr>
      <w:r w:rsidRPr="00706CBA">
        <w:rPr>
          <w:color w:val="000000" w:themeColor="text1"/>
        </w:rPr>
        <w:t>This protocol is a modification of previously published studies</w:t>
      </w:r>
      <w:r w:rsidR="000837C4" w:rsidRPr="00706CBA">
        <w:rPr>
          <w:color w:val="000000" w:themeColor="text1"/>
          <w:vertAlign w:val="superscript"/>
        </w:rPr>
        <w:t>7</w:t>
      </w:r>
      <w:r w:rsidR="00706CBA">
        <w:rPr>
          <w:color w:val="000000" w:themeColor="text1"/>
          <w:vertAlign w:val="superscript"/>
        </w:rPr>
        <w:t>–</w:t>
      </w:r>
      <w:r w:rsidRPr="00706CBA">
        <w:rPr>
          <w:color w:val="000000" w:themeColor="text1"/>
          <w:vertAlign w:val="superscript"/>
        </w:rPr>
        <w:t xml:space="preserve">10 </w:t>
      </w:r>
      <w:r w:rsidRPr="00706CBA">
        <w:rPr>
          <w:color w:val="000000" w:themeColor="text1"/>
        </w:rPr>
        <w:t xml:space="preserve">and the </w:t>
      </w:r>
      <w:r w:rsidR="004C3215" w:rsidRPr="00706CBA">
        <w:rPr>
          <w:color w:val="000000" w:themeColor="text1"/>
        </w:rPr>
        <w:t>product</w:t>
      </w:r>
      <w:r w:rsidRPr="00706CBA">
        <w:rPr>
          <w:color w:val="000000" w:themeColor="text1"/>
        </w:rPr>
        <w:t xml:space="preserve"> user guide.  </w:t>
      </w:r>
      <w:r w:rsidR="009A0715" w:rsidRPr="00706CBA">
        <w:rPr>
          <w:color w:val="000000" w:themeColor="text1"/>
        </w:rPr>
        <w:t>In contrast to the manufacturer</w:t>
      </w:r>
      <w:r w:rsidR="000F6D67" w:rsidRPr="00706CBA">
        <w:rPr>
          <w:color w:val="000000" w:themeColor="text1"/>
        </w:rPr>
        <w:t>’s</w:t>
      </w:r>
      <w:r w:rsidR="009A0715" w:rsidRPr="00706CBA">
        <w:rPr>
          <w:color w:val="000000" w:themeColor="text1"/>
        </w:rPr>
        <w:t xml:space="preserve"> </w:t>
      </w:r>
      <w:r w:rsidR="000F6D67" w:rsidRPr="00706CBA">
        <w:rPr>
          <w:color w:val="000000" w:themeColor="text1"/>
        </w:rPr>
        <w:t>protocol, 2</w:t>
      </w:r>
      <w:r w:rsidR="00706CBA">
        <w:rPr>
          <w:color w:val="000000" w:themeColor="text1"/>
        </w:rPr>
        <w:t>x</w:t>
      </w:r>
      <w:r w:rsidR="00706CBA" w:rsidRPr="00706CBA">
        <w:rPr>
          <w:color w:val="000000" w:themeColor="text1"/>
        </w:rPr>
        <w:t xml:space="preserve"> </w:t>
      </w:r>
      <w:r w:rsidR="000F6D67" w:rsidRPr="00706CBA">
        <w:rPr>
          <w:color w:val="000000" w:themeColor="text1"/>
        </w:rPr>
        <w:t>MAS</w:t>
      </w:r>
      <w:r w:rsidR="009A0715" w:rsidRPr="00706CBA">
        <w:rPr>
          <w:color w:val="000000" w:themeColor="text1"/>
        </w:rPr>
        <w:t xml:space="preserve"> </w:t>
      </w:r>
      <w:r w:rsidR="004C3215" w:rsidRPr="00706CBA">
        <w:rPr>
          <w:color w:val="000000" w:themeColor="text1"/>
        </w:rPr>
        <w:t xml:space="preserve">is used </w:t>
      </w:r>
      <w:r w:rsidR="000F6D67" w:rsidRPr="00706CBA">
        <w:rPr>
          <w:color w:val="000000" w:themeColor="text1"/>
        </w:rPr>
        <w:t>instead of 3</w:t>
      </w:r>
      <w:r w:rsidR="00706CBA">
        <w:rPr>
          <w:color w:val="000000" w:themeColor="text1"/>
        </w:rPr>
        <w:t>x</w:t>
      </w:r>
      <w:r w:rsidR="00706CBA" w:rsidRPr="00706CBA">
        <w:rPr>
          <w:color w:val="000000" w:themeColor="text1"/>
        </w:rPr>
        <w:t xml:space="preserve"> </w:t>
      </w:r>
      <w:r w:rsidR="000F6D67" w:rsidRPr="00706CBA">
        <w:rPr>
          <w:color w:val="000000" w:themeColor="text1"/>
        </w:rPr>
        <w:t>MAS</w:t>
      </w:r>
      <w:r w:rsidR="00EA3EB7" w:rsidRPr="00706CBA">
        <w:rPr>
          <w:color w:val="000000" w:themeColor="text1"/>
        </w:rPr>
        <w:t>, since</w:t>
      </w:r>
      <w:r w:rsidR="000F6D67" w:rsidRPr="00706CBA">
        <w:rPr>
          <w:color w:val="000000" w:themeColor="text1"/>
        </w:rPr>
        <w:t xml:space="preserve"> 2× MAS is easier to dissolve and does not form precipitations</w:t>
      </w:r>
      <w:r w:rsidR="00EA3EB7" w:rsidRPr="00706CBA">
        <w:rPr>
          <w:color w:val="000000" w:themeColor="text1"/>
        </w:rPr>
        <w:t xml:space="preserve"> after freezing</w:t>
      </w:r>
      <w:r w:rsidR="00DE0E70" w:rsidRPr="00706CBA">
        <w:rPr>
          <w:color w:val="000000" w:themeColor="text1"/>
        </w:rPr>
        <w:t>. Frozen 2</w:t>
      </w:r>
      <w:r w:rsidR="00706CBA">
        <w:rPr>
          <w:color w:val="000000" w:themeColor="text1"/>
        </w:rPr>
        <w:t>x</w:t>
      </w:r>
      <w:r w:rsidR="00706CBA" w:rsidRPr="00706CBA">
        <w:rPr>
          <w:color w:val="000000" w:themeColor="text1"/>
        </w:rPr>
        <w:t xml:space="preserve"> </w:t>
      </w:r>
      <w:r w:rsidR="00DE0E70" w:rsidRPr="00706CBA">
        <w:rPr>
          <w:color w:val="000000" w:themeColor="text1"/>
        </w:rPr>
        <w:t xml:space="preserve">MAS aliquots </w:t>
      </w:r>
      <w:r w:rsidR="00EA3EB7" w:rsidRPr="00706CBA">
        <w:rPr>
          <w:color w:val="000000" w:themeColor="text1"/>
        </w:rPr>
        <w:t>can</w:t>
      </w:r>
      <w:r w:rsidR="00DE0E70" w:rsidRPr="00706CBA">
        <w:rPr>
          <w:color w:val="000000" w:themeColor="text1"/>
        </w:rPr>
        <w:t xml:space="preserve"> be stored up to 6 months and show consistent results.</w:t>
      </w:r>
      <w:r w:rsidR="00A06ABC" w:rsidRPr="00706CBA">
        <w:rPr>
          <w:color w:val="000000" w:themeColor="text1"/>
        </w:rPr>
        <w:t xml:space="preserve"> </w:t>
      </w:r>
      <w:r w:rsidR="008A08AD" w:rsidRPr="00706CBA">
        <w:rPr>
          <w:color w:val="000000" w:themeColor="text1"/>
        </w:rPr>
        <w:t xml:space="preserve">Another difference is including </w:t>
      </w:r>
      <w:r w:rsidR="000F6D67" w:rsidRPr="00706CBA">
        <w:rPr>
          <w:color w:val="000000" w:themeColor="text1"/>
        </w:rPr>
        <w:t xml:space="preserve">ADP in the components </w:t>
      </w:r>
      <w:r w:rsidR="00DE0E70" w:rsidRPr="00706CBA">
        <w:rPr>
          <w:color w:val="000000" w:themeColor="text1"/>
        </w:rPr>
        <w:t>of 2</w:t>
      </w:r>
      <w:r w:rsidR="00706CBA">
        <w:rPr>
          <w:color w:val="000000" w:themeColor="text1"/>
        </w:rPr>
        <w:t>x</w:t>
      </w:r>
      <w:r w:rsidR="00706CBA" w:rsidRPr="00706CBA">
        <w:rPr>
          <w:color w:val="000000" w:themeColor="text1"/>
        </w:rPr>
        <w:t xml:space="preserve"> </w:t>
      </w:r>
      <w:r w:rsidR="00DE0E70" w:rsidRPr="00706CBA">
        <w:rPr>
          <w:color w:val="000000" w:themeColor="text1"/>
        </w:rPr>
        <w:t xml:space="preserve">MAS </w:t>
      </w:r>
      <w:r w:rsidR="000F6D67" w:rsidRPr="00706CBA">
        <w:rPr>
          <w:color w:val="000000" w:themeColor="text1"/>
        </w:rPr>
        <w:t>and omit</w:t>
      </w:r>
      <w:r w:rsidR="008A08AD" w:rsidRPr="00706CBA">
        <w:rPr>
          <w:color w:val="000000" w:themeColor="text1"/>
        </w:rPr>
        <w:t>ting</w:t>
      </w:r>
      <w:r w:rsidR="000F6D67" w:rsidRPr="00706CBA">
        <w:rPr>
          <w:color w:val="000000" w:themeColor="text1"/>
        </w:rPr>
        <w:t xml:space="preserve"> BSA from the formula. </w:t>
      </w:r>
      <w:r w:rsidR="008A08AD" w:rsidRPr="00706CBA">
        <w:rPr>
          <w:color w:val="000000" w:themeColor="text1"/>
        </w:rPr>
        <w:t xml:space="preserve">Solutions containing BSA are </w:t>
      </w:r>
      <w:r w:rsidR="004C3215" w:rsidRPr="00706CBA">
        <w:rPr>
          <w:color w:val="000000" w:themeColor="text1"/>
        </w:rPr>
        <w:t xml:space="preserve">more </w:t>
      </w:r>
      <w:r w:rsidR="008A08AD" w:rsidRPr="00706CBA">
        <w:rPr>
          <w:color w:val="000000" w:themeColor="text1"/>
        </w:rPr>
        <w:lastRenderedPageBreak/>
        <w:t xml:space="preserve">difficult to inject and cause a larger possibility of errors and outliers. </w:t>
      </w:r>
      <w:r w:rsidR="00DE0E70" w:rsidRPr="00706CBA">
        <w:rPr>
          <w:color w:val="000000" w:themeColor="text1"/>
        </w:rPr>
        <w:t xml:space="preserve">However, the presence of BSA is essential to reduce the amount needed of </w:t>
      </w:r>
      <w:proofErr w:type="spellStart"/>
      <w:r w:rsidR="00DA7D69" w:rsidRPr="00706CBA">
        <w:rPr>
          <w:color w:val="000000" w:themeColor="text1"/>
        </w:rPr>
        <w:t>rPFO</w:t>
      </w:r>
      <w:proofErr w:type="spellEnd"/>
      <w:r w:rsidR="00DE0E70" w:rsidRPr="00706CBA">
        <w:rPr>
          <w:color w:val="000000" w:themeColor="text1"/>
        </w:rPr>
        <w:t xml:space="preserve"> to achieve proper permeabilization. Therefore, BSA </w:t>
      </w:r>
      <w:r w:rsidR="0076708F" w:rsidRPr="00706CBA">
        <w:rPr>
          <w:color w:val="000000" w:themeColor="text1"/>
        </w:rPr>
        <w:t xml:space="preserve">is added </w:t>
      </w:r>
      <w:r w:rsidR="00DE0E70" w:rsidRPr="00706CBA">
        <w:rPr>
          <w:color w:val="000000" w:themeColor="text1"/>
        </w:rPr>
        <w:t xml:space="preserve">only </w:t>
      </w:r>
      <w:r w:rsidR="00EA3EB7" w:rsidRPr="00706CBA">
        <w:rPr>
          <w:color w:val="000000" w:themeColor="text1"/>
        </w:rPr>
        <w:t>to the assay medium (MAS-BSA-</w:t>
      </w:r>
      <w:proofErr w:type="spellStart"/>
      <w:r w:rsidR="00EA3EB7" w:rsidRPr="00706CBA">
        <w:rPr>
          <w:color w:val="000000" w:themeColor="text1"/>
        </w:rPr>
        <w:t>rPFO</w:t>
      </w:r>
      <w:proofErr w:type="spellEnd"/>
      <w:r w:rsidR="00EA3EB7" w:rsidRPr="00706CBA">
        <w:rPr>
          <w:color w:val="000000" w:themeColor="text1"/>
        </w:rPr>
        <w:t xml:space="preserve">) that is used </w:t>
      </w:r>
      <w:r w:rsidR="00DE0E70" w:rsidRPr="00706CBA">
        <w:rPr>
          <w:color w:val="000000" w:themeColor="text1"/>
        </w:rPr>
        <w:t xml:space="preserve">in the </w:t>
      </w:r>
      <w:r w:rsidR="006A5B2E" w:rsidRPr="00706CBA">
        <w:rPr>
          <w:color w:val="000000" w:themeColor="text1"/>
        </w:rPr>
        <w:t xml:space="preserve">permeabilization </w:t>
      </w:r>
      <w:r w:rsidR="00DE0E70" w:rsidRPr="00706CBA">
        <w:rPr>
          <w:color w:val="000000" w:themeColor="text1"/>
        </w:rPr>
        <w:t xml:space="preserve">step after cell washing. </w:t>
      </w:r>
    </w:p>
    <w:p w14:paraId="0A9D01B0" w14:textId="77777777" w:rsidR="0013796A" w:rsidRPr="00706CBA" w:rsidRDefault="0013796A">
      <w:pPr>
        <w:rPr>
          <w:color w:val="000000" w:themeColor="text1"/>
        </w:rPr>
      </w:pPr>
    </w:p>
    <w:p w14:paraId="4FCA6EB7" w14:textId="314E3F86" w:rsidR="009A0715" w:rsidRPr="00706CBA" w:rsidRDefault="004C3215">
      <w:pPr>
        <w:rPr>
          <w:color w:val="000000" w:themeColor="text1"/>
        </w:rPr>
      </w:pPr>
      <w:r w:rsidRPr="00706CBA">
        <w:rPr>
          <w:color w:val="000000" w:themeColor="text1"/>
        </w:rPr>
        <w:t>To wash the cells from cell culture medium, this protocol uses</w:t>
      </w:r>
      <w:r w:rsidR="00DE0E70" w:rsidRPr="00706CBA">
        <w:rPr>
          <w:color w:val="000000" w:themeColor="text1"/>
        </w:rPr>
        <w:t xml:space="preserve"> PBS </w:t>
      </w:r>
      <w:r w:rsidRPr="00706CBA">
        <w:rPr>
          <w:color w:val="000000" w:themeColor="text1"/>
        </w:rPr>
        <w:t>instead of</w:t>
      </w:r>
      <w:r w:rsidR="00DE0E70" w:rsidRPr="00706CBA">
        <w:rPr>
          <w:color w:val="000000" w:themeColor="text1"/>
        </w:rPr>
        <w:t xml:space="preserve"> MAS. PBS is isotonic and does not cause any change in cellular shape, in contrast to </w:t>
      </w:r>
      <w:r w:rsidR="004C47DD" w:rsidRPr="00706CBA">
        <w:rPr>
          <w:color w:val="000000" w:themeColor="text1"/>
        </w:rPr>
        <w:t xml:space="preserve">the sodium-free </w:t>
      </w:r>
      <w:r w:rsidR="00DE0E70" w:rsidRPr="00706CBA">
        <w:rPr>
          <w:color w:val="000000" w:themeColor="text1"/>
        </w:rPr>
        <w:t xml:space="preserve">MAS that </w:t>
      </w:r>
      <w:r w:rsidR="004C47DD" w:rsidRPr="00706CBA">
        <w:rPr>
          <w:color w:val="000000" w:themeColor="text1"/>
        </w:rPr>
        <w:t xml:space="preserve">is </w:t>
      </w:r>
      <w:r w:rsidR="00DE0E70" w:rsidRPr="00706CBA">
        <w:rPr>
          <w:color w:val="000000" w:themeColor="text1"/>
        </w:rPr>
        <w:t>rich in potassium and can alter cellular morphology.</w:t>
      </w:r>
      <w:r w:rsidR="00A06ABC" w:rsidRPr="00706CBA">
        <w:rPr>
          <w:color w:val="000000" w:themeColor="text1"/>
        </w:rPr>
        <w:t xml:space="preserve"> </w:t>
      </w:r>
      <w:r w:rsidR="008A08AD" w:rsidRPr="00706CBA">
        <w:rPr>
          <w:color w:val="000000" w:themeColor="text1"/>
        </w:rPr>
        <w:t>A</w:t>
      </w:r>
      <w:r w:rsidR="003A6DCD" w:rsidRPr="00706CBA">
        <w:rPr>
          <w:color w:val="000000" w:themeColor="text1"/>
        </w:rPr>
        <w:t>nother</w:t>
      </w:r>
      <w:r w:rsidR="008A08AD" w:rsidRPr="00706CBA">
        <w:rPr>
          <w:color w:val="000000" w:themeColor="text1"/>
        </w:rPr>
        <w:t xml:space="preserve"> major difference is keeping the equilibration step</w:t>
      </w:r>
      <w:r w:rsidR="00DE0E70" w:rsidRPr="00706CBA">
        <w:rPr>
          <w:color w:val="000000" w:themeColor="text1"/>
        </w:rPr>
        <w:t xml:space="preserve"> in the assay protocol</w:t>
      </w:r>
      <w:r w:rsidR="008A08AD" w:rsidRPr="00706CBA">
        <w:rPr>
          <w:color w:val="000000" w:themeColor="text1"/>
        </w:rPr>
        <w:t xml:space="preserve">. The equilibration step lasts for 12 min, which is </w:t>
      </w:r>
      <w:r w:rsidR="00DE0E70" w:rsidRPr="00706CBA">
        <w:rPr>
          <w:color w:val="000000" w:themeColor="text1"/>
        </w:rPr>
        <w:t>equal to</w:t>
      </w:r>
      <w:r w:rsidR="008A08AD" w:rsidRPr="00706CBA">
        <w:rPr>
          <w:color w:val="000000" w:themeColor="text1"/>
        </w:rPr>
        <w:t xml:space="preserve"> 2 measurement cycles. </w:t>
      </w:r>
      <w:r w:rsidR="00E27242" w:rsidRPr="00706CBA">
        <w:rPr>
          <w:color w:val="000000" w:themeColor="text1"/>
        </w:rPr>
        <w:t>The aim of</w:t>
      </w:r>
      <w:r w:rsidR="00DE0E70" w:rsidRPr="00706CBA">
        <w:rPr>
          <w:color w:val="000000" w:themeColor="text1"/>
        </w:rPr>
        <w:t xml:space="preserve"> keeping </w:t>
      </w:r>
      <w:r w:rsidR="00E27242" w:rsidRPr="00706CBA">
        <w:rPr>
          <w:color w:val="000000" w:themeColor="text1"/>
        </w:rPr>
        <w:t xml:space="preserve">the </w:t>
      </w:r>
      <w:r w:rsidR="00DE0E70" w:rsidRPr="00706CBA">
        <w:rPr>
          <w:color w:val="000000" w:themeColor="text1"/>
        </w:rPr>
        <w:t>equilibration</w:t>
      </w:r>
      <w:r w:rsidR="00E27242" w:rsidRPr="00706CBA">
        <w:rPr>
          <w:color w:val="000000" w:themeColor="text1"/>
        </w:rPr>
        <w:t xml:space="preserve"> step is</w:t>
      </w:r>
      <w:r w:rsidR="00DE0E70" w:rsidRPr="00706CBA">
        <w:rPr>
          <w:color w:val="000000" w:themeColor="text1"/>
        </w:rPr>
        <w:t xml:space="preserve"> </w:t>
      </w:r>
      <w:r w:rsidR="008A08AD" w:rsidRPr="00706CBA">
        <w:rPr>
          <w:color w:val="000000" w:themeColor="text1"/>
        </w:rPr>
        <w:t>to stabilize the temperature</w:t>
      </w:r>
      <w:r w:rsidR="00DE0E70" w:rsidRPr="00706CBA">
        <w:rPr>
          <w:color w:val="000000" w:themeColor="text1"/>
        </w:rPr>
        <w:t xml:space="preserve"> inside the instrument and</w:t>
      </w:r>
      <w:r w:rsidR="00706CBA">
        <w:rPr>
          <w:color w:val="000000" w:themeColor="text1"/>
        </w:rPr>
        <w:t>,</w:t>
      </w:r>
      <w:r w:rsidR="00DE0E70" w:rsidRPr="00706CBA">
        <w:rPr>
          <w:color w:val="000000" w:themeColor="text1"/>
        </w:rPr>
        <w:t xml:space="preserve"> at the same time, allow the cells to oxidize any possible internal oxidizable stores, which is enhanced by the presence of ADP in the assay medium. </w:t>
      </w:r>
      <w:r w:rsidR="008A08AD" w:rsidRPr="00706CBA">
        <w:rPr>
          <w:color w:val="000000" w:themeColor="text1"/>
        </w:rPr>
        <w:t xml:space="preserve">  </w:t>
      </w:r>
      <w:r w:rsidR="000F6D67" w:rsidRPr="00706CBA">
        <w:rPr>
          <w:color w:val="000000" w:themeColor="text1"/>
        </w:rPr>
        <w:t xml:space="preserve">  </w:t>
      </w:r>
    </w:p>
    <w:p w14:paraId="44EF4F7D" w14:textId="77777777" w:rsidR="0013796A" w:rsidRPr="00706CBA" w:rsidRDefault="0013796A">
      <w:pPr>
        <w:rPr>
          <w:color w:val="000000" w:themeColor="text1"/>
        </w:rPr>
      </w:pPr>
    </w:p>
    <w:p w14:paraId="770AABF3" w14:textId="27858D5B" w:rsidR="00F75777" w:rsidRPr="00706CBA" w:rsidRDefault="003216DD">
      <w:pPr>
        <w:rPr>
          <w:color w:val="000000" w:themeColor="text1"/>
        </w:rPr>
      </w:pPr>
      <w:r w:rsidRPr="00706CBA">
        <w:rPr>
          <w:color w:val="000000" w:themeColor="text1"/>
        </w:rPr>
        <w:t xml:space="preserve">Some considerations concerning cell culture techniques should be given. </w:t>
      </w:r>
      <w:r w:rsidR="00F75777" w:rsidRPr="00706CBA">
        <w:rPr>
          <w:color w:val="000000" w:themeColor="text1"/>
        </w:rPr>
        <w:t xml:space="preserve">In </w:t>
      </w:r>
      <w:r w:rsidR="00FA0626" w:rsidRPr="00706CBA">
        <w:rPr>
          <w:color w:val="000000" w:themeColor="text1"/>
        </w:rPr>
        <w:t>this work,</w:t>
      </w:r>
      <w:r w:rsidR="00F75777" w:rsidRPr="00706CBA">
        <w:rPr>
          <w:color w:val="000000" w:themeColor="text1"/>
        </w:rPr>
        <w:t xml:space="preserve"> the examined cells </w:t>
      </w:r>
      <w:r w:rsidR="00FA0626" w:rsidRPr="00706CBA">
        <w:rPr>
          <w:color w:val="000000" w:themeColor="text1"/>
        </w:rPr>
        <w:t xml:space="preserve">were seeded </w:t>
      </w:r>
      <w:r w:rsidR="00F75777" w:rsidRPr="00706CBA">
        <w:rPr>
          <w:color w:val="000000" w:themeColor="text1"/>
        </w:rPr>
        <w:t>on the day before the assay. However, some cells require longer culture or treatment time</w:t>
      </w:r>
      <w:r w:rsidRPr="00706CBA">
        <w:rPr>
          <w:color w:val="000000" w:themeColor="text1"/>
        </w:rPr>
        <w:t xml:space="preserve">. </w:t>
      </w:r>
      <w:r w:rsidR="00606C1B" w:rsidRPr="00706CBA">
        <w:rPr>
          <w:color w:val="000000" w:themeColor="text1"/>
        </w:rPr>
        <w:t xml:space="preserve">If the study design includes differentiated cells, freshly isolated, or non-adherent cells, a proper coating is required to fix cells into the cell culture microplate. This protocol is not suitable for cells in suspension, and the use of </w:t>
      </w:r>
      <w:r w:rsidR="004342C0" w:rsidRPr="00706CBA">
        <w:rPr>
          <w:color w:val="000000" w:themeColor="text1"/>
        </w:rPr>
        <w:t xml:space="preserve">cell and </w:t>
      </w:r>
      <w:r w:rsidR="00606C1B" w:rsidRPr="00706CBA">
        <w:rPr>
          <w:color w:val="000000" w:themeColor="text1"/>
        </w:rPr>
        <w:t xml:space="preserve">tissue adhesive is recommended. Another limitation to this </w:t>
      </w:r>
      <w:r w:rsidR="00460B79" w:rsidRPr="00706CBA">
        <w:rPr>
          <w:color w:val="000000" w:themeColor="text1"/>
        </w:rPr>
        <w:t>protocol</w:t>
      </w:r>
      <w:r w:rsidR="00606C1B" w:rsidRPr="00706CBA">
        <w:rPr>
          <w:color w:val="000000" w:themeColor="text1"/>
        </w:rPr>
        <w:t xml:space="preserve"> is</w:t>
      </w:r>
      <w:r w:rsidR="00B0151F" w:rsidRPr="00706CBA">
        <w:rPr>
          <w:color w:val="000000" w:themeColor="text1"/>
        </w:rPr>
        <w:t xml:space="preserve"> that this method is not suitable to conclude quantitative data. In other words, it is not possible by this method to estimate the actual amount of mitochondrial protein in each well before the measurement. Therefore, this method generates a quick screening of mitochondrial substrate flux without providing an accurate estimate of the </w:t>
      </w:r>
      <w:r w:rsidR="004342C0" w:rsidRPr="00706CBA">
        <w:rPr>
          <w:color w:val="000000" w:themeColor="text1"/>
        </w:rPr>
        <w:t>phosphate/oxygen ratio (</w:t>
      </w:r>
      <w:r w:rsidR="00B0151F" w:rsidRPr="00706CBA">
        <w:rPr>
          <w:color w:val="000000" w:themeColor="text1"/>
        </w:rPr>
        <w:t>P/O ratio</w:t>
      </w:r>
      <w:r w:rsidR="004342C0" w:rsidRPr="00706CBA">
        <w:rPr>
          <w:color w:val="000000" w:themeColor="text1"/>
        </w:rPr>
        <w:t>)</w:t>
      </w:r>
      <w:r w:rsidR="00B0151F" w:rsidRPr="00706CBA">
        <w:rPr>
          <w:color w:val="000000" w:themeColor="text1"/>
          <w:vertAlign w:val="superscript"/>
        </w:rPr>
        <w:t>5</w:t>
      </w:r>
      <w:r w:rsidR="00B0151F" w:rsidRPr="00706CBA">
        <w:rPr>
          <w:color w:val="000000" w:themeColor="text1"/>
        </w:rPr>
        <w:t xml:space="preserve">. </w:t>
      </w:r>
      <w:r w:rsidR="00D14F63" w:rsidRPr="00706CBA">
        <w:rPr>
          <w:color w:val="000000" w:themeColor="text1"/>
        </w:rPr>
        <w:t>However, it is possible to use this protocol for quantitative studies on small samples</w:t>
      </w:r>
      <w:r w:rsidR="00D14F63" w:rsidRPr="00706CBA">
        <w:rPr>
          <w:color w:val="000000" w:themeColor="text1"/>
          <w:vertAlign w:val="superscript"/>
        </w:rPr>
        <w:t>11</w:t>
      </w:r>
      <w:r w:rsidR="00D14F63" w:rsidRPr="00706CBA">
        <w:rPr>
          <w:color w:val="000000" w:themeColor="text1"/>
        </w:rPr>
        <w:t xml:space="preserve">. For this purpose, it is necessary to obtain freshly isolated mitochondria and use </w:t>
      </w:r>
      <w:r w:rsidR="000E70E9" w:rsidRPr="00706CBA">
        <w:rPr>
          <w:color w:val="000000" w:themeColor="text1"/>
        </w:rPr>
        <w:t xml:space="preserve">cell and tissue </w:t>
      </w:r>
      <w:r w:rsidR="00D14F63" w:rsidRPr="00706CBA">
        <w:rPr>
          <w:color w:val="000000" w:themeColor="text1"/>
        </w:rPr>
        <w:t>adhesive to fix mitochondria to the cell culture microplate.</w:t>
      </w:r>
    </w:p>
    <w:p w14:paraId="2FC57930" w14:textId="46B990E9" w:rsidR="004830E8" w:rsidRPr="00706CBA" w:rsidRDefault="004830E8" w:rsidP="00F75D58">
      <w:pPr>
        <w:rPr>
          <w:color w:val="000000" w:themeColor="text1"/>
        </w:rPr>
      </w:pPr>
    </w:p>
    <w:p w14:paraId="644ADFD1" w14:textId="00CDFDCE" w:rsidR="00F75D58" w:rsidRPr="00706CBA" w:rsidRDefault="00F75D58" w:rsidP="00F75D58">
      <w:pPr>
        <w:rPr>
          <w:color w:val="000000" w:themeColor="text1"/>
        </w:rPr>
      </w:pPr>
      <w:r w:rsidRPr="00706CBA">
        <w:rPr>
          <w:color w:val="000000" w:themeColor="text1"/>
        </w:rPr>
        <w:t xml:space="preserve">For obtaining the best reproducible results from using this protocol, </w:t>
      </w:r>
      <w:r w:rsidR="0076708F" w:rsidRPr="00706CBA">
        <w:rPr>
          <w:color w:val="000000" w:themeColor="text1"/>
        </w:rPr>
        <w:t xml:space="preserve">pay </w:t>
      </w:r>
      <w:r w:rsidRPr="00706CBA">
        <w:rPr>
          <w:color w:val="000000" w:themeColor="text1"/>
        </w:rPr>
        <w:t xml:space="preserve">attention to the concentration of the </w:t>
      </w:r>
      <w:r w:rsidR="0076708F" w:rsidRPr="00706CBA">
        <w:rPr>
          <w:color w:val="000000" w:themeColor="text1"/>
        </w:rPr>
        <w:t xml:space="preserve">used </w:t>
      </w:r>
      <w:r w:rsidRPr="00706CBA">
        <w:rPr>
          <w:color w:val="000000" w:themeColor="text1"/>
        </w:rPr>
        <w:t>reagents. T</w:t>
      </w:r>
      <w:r w:rsidR="00706CBA">
        <w:rPr>
          <w:color w:val="000000" w:themeColor="text1"/>
        </w:rPr>
        <w:t>he t</w:t>
      </w:r>
      <w:r w:rsidRPr="00706CBA">
        <w:rPr>
          <w:color w:val="000000" w:themeColor="text1"/>
        </w:rPr>
        <w:t>emperature of the used solutions, incubators</w:t>
      </w:r>
      <w:r w:rsidR="00706CBA">
        <w:rPr>
          <w:color w:val="000000" w:themeColor="text1"/>
        </w:rPr>
        <w:t>,</w:t>
      </w:r>
      <w:r w:rsidRPr="00706CBA">
        <w:rPr>
          <w:color w:val="000000" w:themeColor="text1"/>
        </w:rPr>
        <w:t xml:space="preserve"> and instrument should be stable. </w:t>
      </w:r>
      <w:r w:rsidR="0088111F" w:rsidRPr="00706CBA">
        <w:rPr>
          <w:color w:val="000000" w:themeColor="text1"/>
        </w:rPr>
        <w:t>Ensure that a</w:t>
      </w:r>
      <w:r w:rsidRPr="00706CBA">
        <w:rPr>
          <w:color w:val="000000" w:themeColor="text1"/>
        </w:rPr>
        <w:t xml:space="preserve">ll the solutions and substrates have an adjusted </w:t>
      </w:r>
      <w:proofErr w:type="spellStart"/>
      <w:r w:rsidRPr="00706CBA">
        <w:rPr>
          <w:color w:val="000000" w:themeColor="text1"/>
        </w:rPr>
        <w:t>pH.</w:t>
      </w:r>
      <w:proofErr w:type="spellEnd"/>
      <w:r w:rsidRPr="00706CBA">
        <w:rPr>
          <w:color w:val="000000" w:themeColor="text1"/>
        </w:rPr>
        <w:t xml:space="preserve"> As previously mentioned, it is </w:t>
      </w:r>
      <w:r w:rsidR="0076708F" w:rsidRPr="00706CBA">
        <w:rPr>
          <w:color w:val="000000" w:themeColor="text1"/>
        </w:rPr>
        <w:t xml:space="preserve">not </w:t>
      </w:r>
      <w:r w:rsidRPr="00706CBA">
        <w:rPr>
          <w:color w:val="000000" w:themeColor="text1"/>
        </w:rPr>
        <w:t xml:space="preserve">recommended to include BSA in the solutions planned to be injected. If the results show </w:t>
      </w:r>
      <w:r w:rsidR="0076708F" w:rsidRPr="00706CBA">
        <w:rPr>
          <w:color w:val="000000" w:themeColor="text1"/>
        </w:rPr>
        <w:t xml:space="preserve">a </w:t>
      </w:r>
      <w:r w:rsidRPr="00706CBA">
        <w:rPr>
          <w:color w:val="000000" w:themeColor="text1"/>
        </w:rPr>
        <w:t xml:space="preserve">wide error range, </w:t>
      </w:r>
      <w:r w:rsidR="0088111F" w:rsidRPr="00706CBA">
        <w:rPr>
          <w:color w:val="000000" w:themeColor="text1"/>
        </w:rPr>
        <w:t xml:space="preserve">display </w:t>
      </w:r>
      <w:r w:rsidRPr="00706CBA">
        <w:rPr>
          <w:color w:val="000000" w:themeColor="text1"/>
        </w:rPr>
        <w:t xml:space="preserve">the results in the well format instead of group format to look for </w:t>
      </w:r>
      <w:r w:rsidR="0076708F" w:rsidRPr="00706CBA">
        <w:rPr>
          <w:color w:val="000000" w:themeColor="text1"/>
        </w:rPr>
        <w:t xml:space="preserve">and delete possible </w:t>
      </w:r>
      <w:r w:rsidRPr="00706CBA">
        <w:rPr>
          <w:color w:val="000000" w:themeColor="text1"/>
        </w:rPr>
        <w:t xml:space="preserve">outliers. </w:t>
      </w:r>
    </w:p>
    <w:p w14:paraId="62C05E1C" w14:textId="77777777" w:rsidR="0013796A" w:rsidRPr="00706CBA" w:rsidRDefault="0013796A" w:rsidP="00F75D58">
      <w:pPr>
        <w:rPr>
          <w:color w:val="000000" w:themeColor="text1"/>
        </w:rPr>
      </w:pPr>
    </w:p>
    <w:p w14:paraId="6B823A73" w14:textId="798E72EB" w:rsidR="00B65976" w:rsidRPr="00706CBA" w:rsidRDefault="0013796A">
      <w:pPr>
        <w:rPr>
          <w:color w:val="000000" w:themeColor="text1"/>
        </w:rPr>
      </w:pPr>
      <w:r w:rsidRPr="00706CBA">
        <w:rPr>
          <w:color w:val="000000" w:themeColor="text1"/>
        </w:rPr>
        <w:t>In this work</w:t>
      </w:r>
      <w:r w:rsidR="00706CBA">
        <w:rPr>
          <w:color w:val="000000" w:themeColor="text1"/>
        </w:rPr>
        <w:t>,</w:t>
      </w:r>
      <w:r w:rsidRPr="00706CBA">
        <w:rPr>
          <w:color w:val="000000" w:themeColor="text1"/>
        </w:rPr>
        <w:t xml:space="preserve"> we tried to achieve maximum use of a single measurement to simultaneously screen multiple mitochondrial substrate flux</w:t>
      </w:r>
      <w:r w:rsidR="00706CBA">
        <w:rPr>
          <w:color w:val="000000" w:themeColor="text1"/>
        </w:rPr>
        <w:t>es</w:t>
      </w:r>
      <w:r w:rsidRPr="00706CBA">
        <w:rPr>
          <w:color w:val="000000" w:themeColor="text1"/>
        </w:rPr>
        <w:t xml:space="preserve"> with proper background control and enough replicates</w:t>
      </w:r>
      <w:r w:rsidR="00B65976" w:rsidRPr="00706CBA">
        <w:rPr>
          <w:color w:val="000000" w:themeColor="text1"/>
        </w:rPr>
        <w:t xml:space="preserve"> in a relatively short time</w:t>
      </w:r>
      <w:r w:rsidRPr="00706CBA">
        <w:rPr>
          <w:color w:val="000000" w:themeColor="text1"/>
        </w:rPr>
        <w:t>.</w:t>
      </w:r>
      <w:r w:rsidR="00A6203C" w:rsidRPr="00706CBA">
        <w:rPr>
          <w:color w:val="000000" w:themeColor="text1"/>
        </w:rPr>
        <w:t xml:space="preserve"> </w:t>
      </w:r>
      <w:r w:rsidR="00B65976" w:rsidRPr="00706CBA">
        <w:rPr>
          <w:color w:val="000000" w:themeColor="text1"/>
        </w:rPr>
        <w:t>As shown in the results, the method is useful in comparing two phenotypes created by treating one group with one concentration of a drug. It can be employed to compare different cell lines or gen</w:t>
      </w:r>
      <w:r w:rsidR="00AE154D" w:rsidRPr="00706CBA">
        <w:rPr>
          <w:color w:val="000000" w:themeColor="text1"/>
        </w:rPr>
        <w:t>etically engineered cells</w:t>
      </w:r>
      <w:r w:rsidR="00B65976" w:rsidRPr="00706CBA">
        <w:rPr>
          <w:color w:val="000000" w:themeColor="text1"/>
        </w:rPr>
        <w:t>. The protocol is versatile and different substrates</w:t>
      </w:r>
      <w:r w:rsidR="00706CBA">
        <w:rPr>
          <w:color w:val="000000" w:themeColor="text1"/>
        </w:rPr>
        <w:t>,</w:t>
      </w:r>
      <w:r w:rsidR="00B65976" w:rsidRPr="00706CBA">
        <w:rPr>
          <w:color w:val="000000" w:themeColor="text1"/>
        </w:rPr>
        <w:t xml:space="preserve"> or inhibitors can be </w:t>
      </w:r>
      <w:r w:rsidR="00AE154D" w:rsidRPr="00706CBA">
        <w:rPr>
          <w:color w:val="000000" w:themeColor="text1"/>
        </w:rPr>
        <w:t>used</w:t>
      </w:r>
      <w:r w:rsidR="00B65976" w:rsidRPr="00706CBA">
        <w:rPr>
          <w:color w:val="000000" w:themeColor="text1"/>
        </w:rPr>
        <w:t xml:space="preserve"> to screen adaptation of mitochondrial substrate flux in any cellular model.</w:t>
      </w:r>
    </w:p>
    <w:p w14:paraId="2E895354" w14:textId="2CC70E74" w:rsidR="00A6203C" w:rsidRPr="00706CBA" w:rsidRDefault="00B65976">
      <w:pPr>
        <w:rPr>
          <w:color w:val="000000" w:themeColor="text1"/>
        </w:rPr>
      </w:pPr>
      <w:r w:rsidRPr="00706CBA">
        <w:rPr>
          <w:color w:val="000000" w:themeColor="text1"/>
        </w:rPr>
        <w:t xml:space="preserve"> </w:t>
      </w:r>
      <w:r w:rsidR="00A6203C" w:rsidRPr="00706CBA">
        <w:rPr>
          <w:color w:val="000000" w:themeColor="text1"/>
        </w:rPr>
        <w:t xml:space="preserve"> </w:t>
      </w:r>
    </w:p>
    <w:p w14:paraId="59F37CC4" w14:textId="3341A4D9" w:rsidR="006E4797" w:rsidRPr="00706CBA" w:rsidRDefault="00551D82">
      <w:pPr>
        <w:pBdr>
          <w:top w:val="nil"/>
          <w:left w:val="nil"/>
          <w:bottom w:val="nil"/>
          <w:right w:val="nil"/>
          <w:between w:val="nil"/>
        </w:pBdr>
        <w:rPr>
          <w:color w:val="000000" w:themeColor="text1"/>
        </w:rPr>
      </w:pPr>
      <w:r w:rsidRPr="00706CBA">
        <w:rPr>
          <w:b/>
          <w:color w:val="000000" w:themeColor="text1"/>
        </w:rPr>
        <w:t xml:space="preserve">ACKNOWLEDGMENTS: </w:t>
      </w:r>
    </w:p>
    <w:p w14:paraId="6D064C88" w14:textId="3F2D7320" w:rsidR="006E4797" w:rsidRPr="00706CBA" w:rsidRDefault="00365AB1">
      <w:pPr>
        <w:rPr>
          <w:color w:val="000000" w:themeColor="text1"/>
        </w:rPr>
      </w:pPr>
      <w:r w:rsidRPr="00706CBA">
        <w:rPr>
          <w:color w:val="000000" w:themeColor="text1"/>
        </w:rPr>
        <w:t xml:space="preserve">The authors thank the staff members of the Department of Physiology in the Faculty of Medicine in Hradec </w:t>
      </w:r>
      <w:proofErr w:type="spellStart"/>
      <w:r w:rsidRPr="00706CBA">
        <w:rPr>
          <w:color w:val="000000" w:themeColor="text1"/>
        </w:rPr>
        <w:t>Králové</w:t>
      </w:r>
      <w:proofErr w:type="spellEnd"/>
      <w:r w:rsidRPr="00706CBA">
        <w:rPr>
          <w:color w:val="000000" w:themeColor="text1"/>
        </w:rPr>
        <w:t xml:space="preserve"> and the Department of Pathophysiology in the Third Faculty of Medicine for </w:t>
      </w:r>
      <w:r w:rsidRPr="00706CBA">
        <w:rPr>
          <w:color w:val="000000" w:themeColor="text1"/>
        </w:rPr>
        <w:lastRenderedPageBreak/>
        <w:t xml:space="preserve">the help with chemicals and samples preparation. </w:t>
      </w:r>
      <w:r w:rsidR="0059036D" w:rsidRPr="00706CBA">
        <w:rPr>
          <w:color w:val="000000" w:themeColor="text1"/>
        </w:rPr>
        <w:t>This work was supported by Charles University grant</w:t>
      </w:r>
      <w:r w:rsidR="009372AA" w:rsidRPr="00706CBA">
        <w:rPr>
          <w:color w:val="000000" w:themeColor="text1"/>
        </w:rPr>
        <w:t xml:space="preserve"> programs </w:t>
      </w:r>
      <w:r w:rsidR="0059036D" w:rsidRPr="00706CBA">
        <w:rPr>
          <w:color w:val="000000" w:themeColor="text1"/>
        </w:rPr>
        <w:t>PROGRES Q40</w:t>
      </w:r>
      <w:r w:rsidR="004140CC" w:rsidRPr="00706CBA">
        <w:rPr>
          <w:color w:val="000000" w:themeColor="text1"/>
        </w:rPr>
        <w:t>/O2</w:t>
      </w:r>
      <w:r w:rsidR="0059036D" w:rsidRPr="00706CBA">
        <w:rPr>
          <w:color w:val="000000" w:themeColor="text1"/>
        </w:rPr>
        <w:t>, Czech Ministry of Health grant NU21-01-00259</w:t>
      </w:r>
      <w:r w:rsidR="00D644EE" w:rsidRPr="00706CBA">
        <w:rPr>
          <w:color w:val="000000" w:themeColor="text1"/>
        </w:rPr>
        <w:t xml:space="preserve">, </w:t>
      </w:r>
      <w:r w:rsidR="0059036D" w:rsidRPr="00706CBA">
        <w:rPr>
          <w:color w:val="000000" w:themeColor="text1"/>
        </w:rPr>
        <w:t xml:space="preserve">Czech science foundation </w:t>
      </w:r>
      <w:r w:rsidR="009372AA" w:rsidRPr="00706CBA">
        <w:rPr>
          <w:color w:val="000000" w:themeColor="text1"/>
        </w:rPr>
        <w:t>grant</w:t>
      </w:r>
      <w:r w:rsidR="00D644EE" w:rsidRPr="00706CBA">
        <w:rPr>
          <w:color w:val="000000" w:themeColor="text1"/>
        </w:rPr>
        <w:t xml:space="preserve"> 18-10144 and INOMED project CZ.02.1.01/0.0/0.0/18_069/0010046</w:t>
      </w:r>
      <w:r w:rsidR="00EB688E" w:rsidRPr="00706CBA">
        <w:rPr>
          <w:color w:val="000000" w:themeColor="text1"/>
        </w:rPr>
        <w:t xml:space="preserve"> funded by the Ministry of Education, Youth and Sports of the Czech Republic and by the European Union</w:t>
      </w:r>
      <w:r w:rsidR="009372AA" w:rsidRPr="00706CBA">
        <w:rPr>
          <w:color w:val="000000" w:themeColor="text1"/>
        </w:rPr>
        <w:t>.</w:t>
      </w:r>
      <w:r w:rsidR="0059036D" w:rsidRPr="00706CBA">
        <w:rPr>
          <w:color w:val="000000" w:themeColor="text1"/>
        </w:rPr>
        <w:t xml:space="preserve"> </w:t>
      </w:r>
    </w:p>
    <w:p w14:paraId="25B2FBBD" w14:textId="77777777" w:rsidR="006E4797" w:rsidRPr="00706CBA" w:rsidRDefault="006E4797">
      <w:pPr>
        <w:rPr>
          <w:b/>
          <w:color w:val="000000" w:themeColor="text1"/>
        </w:rPr>
      </w:pPr>
    </w:p>
    <w:p w14:paraId="5E703EBA" w14:textId="0CA5305F" w:rsidR="006E4797" w:rsidRPr="00706CBA" w:rsidRDefault="00551D82">
      <w:pPr>
        <w:pBdr>
          <w:top w:val="nil"/>
          <w:left w:val="nil"/>
          <w:bottom w:val="nil"/>
          <w:right w:val="nil"/>
          <w:between w:val="nil"/>
        </w:pBdr>
        <w:rPr>
          <w:color w:val="000000" w:themeColor="text1"/>
        </w:rPr>
      </w:pPr>
      <w:r w:rsidRPr="00706CBA">
        <w:rPr>
          <w:b/>
          <w:color w:val="000000" w:themeColor="text1"/>
        </w:rPr>
        <w:t xml:space="preserve">DISCLOSURES: </w:t>
      </w:r>
    </w:p>
    <w:p w14:paraId="132340D6" w14:textId="763270E2" w:rsidR="006E4797" w:rsidRPr="00706CBA" w:rsidRDefault="00FE4F18">
      <w:pPr>
        <w:rPr>
          <w:color w:val="000000" w:themeColor="text1"/>
        </w:rPr>
      </w:pPr>
      <w:r w:rsidRPr="00706CBA">
        <w:rPr>
          <w:color w:val="000000" w:themeColor="text1"/>
        </w:rPr>
        <w:t>The authors</w:t>
      </w:r>
      <w:r w:rsidR="00365AB1" w:rsidRPr="00706CBA">
        <w:rPr>
          <w:color w:val="000000" w:themeColor="text1"/>
        </w:rPr>
        <w:t xml:space="preserve"> have no conflict of interest to declare</w:t>
      </w:r>
      <w:r w:rsidR="00551D82" w:rsidRPr="00706CBA">
        <w:rPr>
          <w:color w:val="000000" w:themeColor="text1"/>
        </w:rPr>
        <w:t>.</w:t>
      </w:r>
    </w:p>
    <w:p w14:paraId="4A7B0E5C" w14:textId="77777777" w:rsidR="006E4797" w:rsidRPr="00706CBA" w:rsidRDefault="006E4797">
      <w:pPr>
        <w:rPr>
          <w:color w:val="000000" w:themeColor="text1"/>
        </w:rPr>
      </w:pPr>
    </w:p>
    <w:p w14:paraId="6DE2B73C" w14:textId="4682C3BF" w:rsidR="006E4797" w:rsidRPr="00706CBA" w:rsidRDefault="00551D82">
      <w:pPr>
        <w:rPr>
          <w:b/>
          <w:color w:val="000000" w:themeColor="text1"/>
        </w:rPr>
      </w:pPr>
      <w:r w:rsidRPr="00706CBA">
        <w:rPr>
          <w:b/>
          <w:color w:val="000000" w:themeColor="text1"/>
        </w:rPr>
        <w:t>REFERENCES:</w:t>
      </w:r>
      <w:r w:rsidRPr="00706CBA">
        <w:rPr>
          <w:color w:val="000000" w:themeColor="text1"/>
        </w:rPr>
        <w:t xml:space="preserve"> </w:t>
      </w:r>
    </w:p>
    <w:p w14:paraId="662E4E81" w14:textId="20D69F30" w:rsidR="006E4797" w:rsidRPr="00706CBA" w:rsidRDefault="00137CE3" w:rsidP="00706CBA">
      <w:pPr>
        <w:pStyle w:val="ListParagraph"/>
        <w:numPr>
          <w:ilvl w:val="0"/>
          <w:numId w:val="15"/>
        </w:numPr>
        <w:ind w:left="0" w:firstLine="0"/>
        <w:rPr>
          <w:b/>
          <w:color w:val="000000" w:themeColor="text1"/>
        </w:rPr>
      </w:pPr>
      <w:r w:rsidRPr="00706CBA">
        <w:rPr>
          <w:color w:val="000000" w:themeColor="text1"/>
        </w:rPr>
        <w:t xml:space="preserve">Gerencser, A. A. et al. Quantitative microplate-based respirometry with correction for oxygen diffusion. </w:t>
      </w:r>
      <w:r w:rsidR="0088111F" w:rsidRPr="00706CBA">
        <w:rPr>
          <w:i/>
          <w:iCs/>
          <w:color w:val="000000" w:themeColor="text1"/>
        </w:rPr>
        <w:t>Analytical Chemistry</w:t>
      </w:r>
      <w:r w:rsidRPr="00706CBA">
        <w:rPr>
          <w:color w:val="000000" w:themeColor="text1"/>
        </w:rPr>
        <w:t xml:space="preserve">. </w:t>
      </w:r>
      <w:r w:rsidRPr="00706CBA">
        <w:rPr>
          <w:b/>
          <w:bCs/>
          <w:color w:val="000000" w:themeColor="text1"/>
        </w:rPr>
        <w:t>81</w:t>
      </w:r>
      <w:r w:rsidR="00706CBA">
        <w:rPr>
          <w:b/>
          <w:bCs/>
          <w:color w:val="000000" w:themeColor="text1"/>
        </w:rPr>
        <w:t xml:space="preserve"> </w:t>
      </w:r>
      <w:r w:rsidRPr="00706CBA">
        <w:rPr>
          <w:color w:val="000000" w:themeColor="text1"/>
        </w:rPr>
        <w:t>(16)</w:t>
      </w:r>
      <w:r w:rsidR="00BB2E5A" w:rsidRPr="00706CBA">
        <w:rPr>
          <w:color w:val="000000" w:themeColor="text1"/>
        </w:rPr>
        <w:t xml:space="preserve">, </w:t>
      </w:r>
      <w:r w:rsidRPr="00706CBA">
        <w:rPr>
          <w:color w:val="000000" w:themeColor="text1"/>
        </w:rPr>
        <w:t>6868</w:t>
      </w:r>
      <w:r w:rsidR="00706CBA">
        <w:rPr>
          <w:color w:val="000000" w:themeColor="text1"/>
        </w:rPr>
        <w:t>–</w:t>
      </w:r>
      <w:r w:rsidRPr="00706CBA">
        <w:rPr>
          <w:color w:val="000000" w:themeColor="text1"/>
        </w:rPr>
        <w:t>6878. (2009)</w:t>
      </w:r>
      <w:r w:rsidR="0010245C" w:rsidRPr="00706CBA">
        <w:rPr>
          <w:color w:val="000000" w:themeColor="text1"/>
        </w:rPr>
        <w:t>.</w:t>
      </w:r>
    </w:p>
    <w:p w14:paraId="131D3BC6" w14:textId="6E17202A" w:rsidR="00BE22A2" w:rsidRPr="00706CBA" w:rsidRDefault="0010245C" w:rsidP="00706CBA">
      <w:pPr>
        <w:pStyle w:val="ListParagraph"/>
        <w:numPr>
          <w:ilvl w:val="0"/>
          <w:numId w:val="15"/>
        </w:numPr>
        <w:ind w:left="0" w:firstLine="0"/>
        <w:rPr>
          <w:b/>
          <w:color w:val="000000" w:themeColor="text1"/>
        </w:rPr>
      </w:pPr>
      <w:r w:rsidRPr="00706CBA">
        <w:rPr>
          <w:color w:val="000000" w:themeColor="text1"/>
        </w:rPr>
        <w:t xml:space="preserve">Murphy. E. et al. Mitochondrial function, biology, and role in disease: A scientific statement from the American Heart Association. </w:t>
      </w:r>
      <w:r w:rsidR="0026677E" w:rsidRPr="00706CBA">
        <w:rPr>
          <w:i/>
          <w:iCs/>
          <w:color w:val="000000" w:themeColor="text1"/>
        </w:rPr>
        <w:t>Circulation Research</w:t>
      </w:r>
      <w:r w:rsidR="00706CBA">
        <w:rPr>
          <w:i/>
          <w:iCs/>
          <w:color w:val="000000" w:themeColor="text1"/>
        </w:rPr>
        <w:t>.</w:t>
      </w:r>
      <w:r w:rsidRPr="00706CBA">
        <w:rPr>
          <w:color w:val="000000" w:themeColor="text1"/>
        </w:rPr>
        <w:t xml:space="preserve"> </w:t>
      </w:r>
      <w:r w:rsidRPr="00706CBA">
        <w:rPr>
          <w:b/>
          <w:bCs/>
          <w:color w:val="000000" w:themeColor="text1"/>
        </w:rPr>
        <w:t>118</w:t>
      </w:r>
      <w:r w:rsidR="00706CBA">
        <w:rPr>
          <w:b/>
          <w:bCs/>
          <w:color w:val="000000" w:themeColor="text1"/>
        </w:rPr>
        <w:t xml:space="preserve"> </w:t>
      </w:r>
      <w:r w:rsidRPr="00706CBA">
        <w:rPr>
          <w:color w:val="000000" w:themeColor="text1"/>
        </w:rPr>
        <w:t>(12)</w:t>
      </w:r>
      <w:r w:rsidR="00BB2E5A" w:rsidRPr="00706CBA">
        <w:rPr>
          <w:color w:val="000000" w:themeColor="text1"/>
        </w:rPr>
        <w:t xml:space="preserve">, </w:t>
      </w:r>
      <w:r w:rsidRPr="00706CBA">
        <w:rPr>
          <w:color w:val="000000" w:themeColor="text1"/>
        </w:rPr>
        <w:t>1960</w:t>
      </w:r>
      <w:r w:rsidR="00706CBA">
        <w:rPr>
          <w:color w:val="000000" w:themeColor="text1"/>
        </w:rPr>
        <w:t>–</w:t>
      </w:r>
      <w:r w:rsidR="0026677E" w:rsidRPr="00706CBA">
        <w:rPr>
          <w:color w:val="000000" w:themeColor="text1"/>
        </w:rPr>
        <w:t>19</w:t>
      </w:r>
      <w:r w:rsidRPr="00706CBA">
        <w:rPr>
          <w:color w:val="000000" w:themeColor="text1"/>
        </w:rPr>
        <w:t>91</w:t>
      </w:r>
      <w:r w:rsidR="00AE7B58" w:rsidRPr="00706CBA">
        <w:rPr>
          <w:color w:val="000000" w:themeColor="text1"/>
        </w:rPr>
        <w:t xml:space="preserve"> </w:t>
      </w:r>
      <w:r w:rsidRPr="00706CBA">
        <w:rPr>
          <w:color w:val="000000" w:themeColor="text1"/>
        </w:rPr>
        <w:t>(2016).</w:t>
      </w:r>
    </w:p>
    <w:p w14:paraId="6AA6CE51" w14:textId="73A69562" w:rsidR="0010245C" w:rsidRPr="00706CBA" w:rsidRDefault="00345EF5" w:rsidP="00706CBA">
      <w:pPr>
        <w:pStyle w:val="ListParagraph"/>
        <w:numPr>
          <w:ilvl w:val="0"/>
          <w:numId w:val="15"/>
        </w:numPr>
        <w:ind w:left="0" w:firstLine="0"/>
        <w:rPr>
          <w:bCs/>
          <w:color w:val="000000" w:themeColor="text1"/>
        </w:rPr>
      </w:pPr>
      <w:r w:rsidRPr="00706CBA">
        <w:rPr>
          <w:bCs/>
          <w:color w:val="000000" w:themeColor="text1"/>
        </w:rPr>
        <w:t>Owen</w:t>
      </w:r>
      <w:r w:rsidR="00706CBA">
        <w:rPr>
          <w:bCs/>
          <w:color w:val="000000" w:themeColor="text1"/>
        </w:rPr>
        <w:t>,</w:t>
      </w:r>
      <w:r w:rsidRPr="00706CBA">
        <w:rPr>
          <w:bCs/>
          <w:color w:val="000000" w:themeColor="text1"/>
        </w:rPr>
        <w:t xml:space="preserve"> O. E., </w:t>
      </w:r>
      <w:proofErr w:type="spellStart"/>
      <w:r w:rsidRPr="00706CBA">
        <w:rPr>
          <w:bCs/>
          <w:color w:val="000000" w:themeColor="text1"/>
        </w:rPr>
        <w:t>Kalhan</w:t>
      </w:r>
      <w:proofErr w:type="spellEnd"/>
      <w:r w:rsidR="00706CBA">
        <w:rPr>
          <w:bCs/>
          <w:color w:val="000000" w:themeColor="text1"/>
        </w:rPr>
        <w:t>,</w:t>
      </w:r>
      <w:r w:rsidRPr="00706CBA">
        <w:rPr>
          <w:bCs/>
          <w:color w:val="000000" w:themeColor="text1"/>
        </w:rPr>
        <w:t xml:space="preserve"> S. C., Hanson</w:t>
      </w:r>
      <w:r w:rsidR="00706CBA">
        <w:rPr>
          <w:bCs/>
          <w:color w:val="000000" w:themeColor="text1"/>
        </w:rPr>
        <w:t>,</w:t>
      </w:r>
      <w:r w:rsidRPr="00706CBA">
        <w:rPr>
          <w:bCs/>
          <w:color w:val="000000" w:themeColor="text1"/>
        </w:rPr>
        <w:t xml:space="preserve"> R. W. The key role of </w:t>
      </w:r>
      <w:proofErr w:type="spellStart"/>
      <w:r w:rsidRPr="00706CBA">
        <w:rPr>
          <w:bCs/>
          <w:color w:val="000000" w:themeColor="text1"/>
        </w:rPr>
        <w:t>anaplerosis</w:t>
      </w:r>
      <w:proofErr w:type="spellEnd"/>
      <w:r w:rsidRPr="00706CBA">
        <w:rPr>
          <w:bCs/>
          <w:color w:val="000000" w:themeColor="text1"/>
        </w:rPr>
        <w:t xml:space="preserve"> and cataplerosis for citric acid cycle function. </w:t>
      </w:r>
      <w:r w:rsidR="00AD4DA0" w:rsidRPr="00706CBA">
        <w:rPr>
          <w:bCs/>
          <w:i/>
          <w:iCs/>
          <w:color w:val="000000" w:themeColor="text1"/>
        </w:rPr>
        <w:t>Journal of Biological Chemistry</w:t>
      </w:r>
      <w:r w:rsidRPr="00706CBA">
        <w:rPr>
          <w:bCs/>
          <w:color w:val="000000" w:themeColor="text1"/>
        </w:rPr>
        <w:t xml:space="preserve">. </w:t>
      </w:r>
      <w:r w:rsidRPr="00706CBA">
        <w:rPr>
          <w:b/>
          <w:color w:val="000000" w:themeColor="text1"/>
        </w:rPr>
        <w:t>277</w:t>
      </w:r>
      <w:r w:rsidR="00706CBA">
        <w:rPr>
          <w:b/>
          <w:color w:val="000000" w:themeColor="text1"/>
        </w:rPr>
        <w:t xml:space="preserve"> </w:t>
      </w:r>
      <w:r w:rsidRPr="00706CBA">
        <w:rPr>
          <w:bCs/>
          <w:color w:val="000000" w:themeColor="text1"/>
        </w:rPr>
        <w:t>(34)</w:t>
      </w:r>
      <w:r w:rsidR="00BB2E5A" w:rsidRPr="00706CBA">
        <w:rPr>
          <w:bCs/>
          <w:color w:val="000000" w:themeColor="text1"/>
        </w:rPr>
        <w:t xml:space="preserve">, </w:t>
      </w:r>
      <w:r w:rsidRPr="00706CBA">
        <w:rPr>
          <w:bCs/>
          <w:color w:val="000000" w:themeColor="text1"/>
        </w:rPr>
        <w:t>30409</w:t>
      </w:r>
      <w:r w:rsidR="00706CBA">
        <w:rPr>
          <w:bCs/>
          <w:color w:val="000000" w:themeColor="text1"/>
        </w:rPr>
        <w:t>–</w:t>
      </w:r>
      <w:r w:rsidR="00AD4DA0" w:rsidRPr="00706CBA">
        <w:rPr>
          <w:bCs/>
          <w:color w:val="000000" w:themeColor="text1"/>
        </w:rPr>
        <w:t>304</w:t>
      </w:r>
      <w:r w:rsidRPr="00706CBA">
        <w:rPr>
          <w:bCs/>
          <w:color w:val="000000" w:themeColor="text1"/>
        </w:rPr>
        <w:t>12 (2002).</w:t>
      </w:r>
    </w:p>
    <w:p w14:paraId="64ADC983" w14:textId="6B115BDF" w:rsidR="00345EF5" w:rsidRPr="00706CBA" w:rsidRDefault="004B5FA7" w:rsidP="00706CBA">
      <w:pPr>
        <w:pStyle w:val="ListParagraph"/>
        <w:numPr>
          <w:ilvl w:val="0"/>
          <w:numId w:val="15"/>
        </w:numPr>
        <w:ind w:left="0" w:firstLine="0"/>
        <w:rPr>
          <w:bCs/>
          <w:color w:val="000000" w:themeColor="text1"/>
        </w:rPr>
      </w:pPr>
      <w:r w:rsidRPr="00706CBA">
        <w:rPr>
          <w:bCs/>
          <w:color w:val="000000" w:themeColor="text1"/>
        </w:rPr>
        <w:t>Nicholls</w:t>
      </w:r>
      <w:r w:rsidR="00706CBA">
        <w:rPr>
          <w:bCs/>
          <w:color w:val="000000" w:themeColor="text1"/>
        </w:rPr>
        <w:t>,</w:t>
      </w:r>
      <w:r w:rsidRPr="00706CBA">
        <w:rPr>
          <w:bCs/>
          <w:color w:val="000000" w:themeColor="text1"/>
        </w:rPr>
        <w:t xml:space="preserve"> D. G.</w:t>
      </w:r>
      <w:r w:rsidR="00AB558E" w:rsidRPr="00706CBA">
        <w:rPr>
          <w:bCs/>
          <w:color w:val="000000" w:themeColor="text1"/>
        </w:rPr>
        <w:t xml:space="preserve">, </w:t>
      </w:r>
      <w:r w:rsidRPr="00706CBA">
        <w:rPr>
          <w:bCs/>
          <w:color w:val="000000" w:themeColor="text1"/>
        </w:rPr>
        <w:t>Ferguson</w:t>
      </w:r>
      <w:r w:rsidR="00706CBA">
        <w:rPr>
          <w:bCs/>
          <w:color w:val="000000" w:themeColor="text1"/>
        </w:rPr>
        <w:t>,</w:t>
      </w:r>
      <w:r w:rsidRPr="00706CBA">
        <w:rPr>
          <w:bCs/>
          <w:color w:val="000000" w:themeColor="text1"/>
        </w:rPr>
        <w:t xml:space="preserve"> S. J. </w:t>
      </w:r>
      <w:r w:rsidRPr="00706CBA">
        <w:rPr>
          <w:bCs/>
          <w:i/>
          <w:iCs/>
          <w:color w:val="000000" w:themeColor="text1"/>
        </w:rPr>
        <w:t>Bioenergetics 3</w:t>
      </w:r>
      <w:r w:rsidRPr="00706CBA">
        <w:rPr>
          <w:bCs/>
          <w:color w:val="000000" w:themeColor="text1"/>
        </w:rPr>
        <w:t xml:space="preserve">. </w:t>
      </w:r>
      <w:r w:rsidR="00413C1B" w:rsidRPr="00706CBA">
        <w:rPr>
          <w:bCs/>
          <w:color w:val="000000" w:themeColor="text1"/>
        </w:rPr>
        <w:t>Academic press</w:t>
      </w:r>
      <w:r w:rsidR="005261D5">
        <w:rPr>
          <w:bCs/>
          <w:color w:val="000000" w:themeColor="text1"/>
        </w:rPr>
        <w:t>, London</w:t>
      </w:r>
      <w:r w:rsidR="00413C1B" w:rsidRPr="00706CBA">
        <w:rPr>
          <w:bCs/>
          <w:color w:val="000000" w:themeColor="text1"/>
        </w:rPr>
        <w:t xml:space="preserve"> (2002)</w:t>
      </w:r>
      <w:r w:rsidR="00347874" w:rsidRPr="00706CBA">
        <w:rPr>
          <w:bCs/>
          <w:color w:val="000000" w:themeColor="text1"/>
        </w:rPr>
        <w:t>.</w:t>
      </w:r>
    </w:p>
    <w:p w14:paraId="6977EA7C" w14:textId="705A58B7" w:rsidR="00347874" w:rsidRPr="00706CBA" w:rsidRDefault="00AB558E" w:rsidP="00706CBA">
      <w:pPr>
        <w:pStyle w:val="ListParagraph"/>
        <w:numPr>
          <w:ilvl w:val="0"/>
          <w:numId w:val="15"/>
        </w:numPr>
        <w:ind w:left="0" w:firstLine="0"/>
        <w:rPr>
          <w:bCs/>
          <w:color w:val="000000" w:themeColor="text1"/>
        </w:rPr>
      </w:pPr>
      <w:r w:rsidRPr="00706CBA">
        <w:rPr>
          <w:bCs/>
          <w:color w:val="000000" w:themeColor="text1"/>
        </w:rPr>
        <w:t>Brand</w:t>
      </w:r>
      <w:r w:rsidR="00706CBA">
        <w:rPr>
          <w:bCs/>
          <w:color w:val="000000" w:themeColor="text1"/>
        </w:rPr>
        <w:t>,</w:t>
      </w:r>
      <w:r w:rsidRPr="00706CBA">
        <w:rPr>
          <w:bCs/>
          <w:color w:val="000000" w:themeColor="text1"/>
        </w:rPr>
        <w:t xml:space="preserve"> M. D., Nicholls</w:t>
      </w:r>
      <w:r w:rsidR="00706CBA">
        <w:rPr>
          <w:bCs/>
          <w:color w:val="000000" w:themeColor="text1"/>
        </w:rPr>
        <w:t>,</w:t>
      </w:r>
      <w:r w:rsidRPr="00706CBA">
        <w:rPr>
          <w:bCs/>
          <w:color w:val="000000" w:themeColor="text1"/>
        </w:rPr>
        <w:t xml:space="preserve"> D. G. Assessing mitochondrial dysfunction in cells. </w:t>
      </w:r>
      <w:r w:rsidR="0041415D" w:rsidRPr="00706CBA">
        <w:rPr>
          <w:bCs/>
          <w:i/>
          <w:iCs/>
          <w:color w:val="000000" w:themeColor="text1"/>
        </w:rPr>
        <w:t>Biochemical Journal</w:t>
      </w:r>
      <w:r w:rsidR="00706CBA">
        <w:rPr>
          <w:bCs/>
          <w:color w:val="000000" w:themeColor="text1"/>
        </w:rPr>
        <w:t xml:space="preserve">. </w:t>
      </w:r>
      <w:r w:rsidRPr="00706CBA">
        <w:rPr>
          <w:b/>
          <w:color w:val="000000" w:themeColor="text1"/>
        </w:rPr>
        <w:t>435</w:t>
      </w:r>
      <w:r w:rsidR="00706CBA">
        <w:rPr>
          <w:b/>
          <w:color w:val="000000" w:themeColor="text1"/>
        </w:rPr>
        <w:t xml:space="preserve"> </w:t>
      </w:r>
      <w:r w:rsidRPr="00706CBA">
        <w:rPr>
          <w:bCs/>
          <w:color w:val="000000" w:themeColor="text1"/>
        </w:rPr>
        <w:t>(2)</w:t>
      </w:r>
      <w:r w:rsidR="00BB2E5A" w:rsidRPr="00706CBA">
        <w:rPr>
          <w:bCs/>
          <w:color w:val="000000" w:themeColor="text1"/>
        </w:rPr>
        <w:t xml:space="preserve">, </w:t>
      </w:r>
      <w:r w:rsidRPr="00706CBA">
        <w:rPr>
          <w:bCs/>
          <w:color w:val="000000" w:themeColor="text1"/>
        </w:rPr>
        <w:t>297</w:t>
      </w:r>
      <w:r w:rsidR="00706CBA">
        <w:rPr>
          <w:bCs/>
          <w:color w:val="000000" w:themeColor="text1"/>
        </w:rPr>
        <w:t>–</w:t>
      </w:r>
      <w:r w:rsidRPr="00706CBA">
        <w:rPr>
          <w:bCs/>
          <w:color w:val="000000" w:themeColor="text1"/>
        </w:rPr>
        <w:t>312</w:t>
      </w:r>
      <w:r w:rsidR="0041415D" w:rsidRPr="00706CBA">
        <w:rPr>
          <w:bCs/>
          <w:color w:val="000000" w:themeColor="text1"/>
        </w:rPr>
        <w:t xml:space="preserve"> </w:t>
      </w:r>
      <w:r w:rsidRPr="00706CBA">
        <w:rPr>
          <w:bCs/>
          <w:color w:val="000000" w:themeColor="text1"/>
        </w:rPr>
        <w:t>(2011).</w:t>
      </w:r>
    </w:p>
    <w:p w14:paraId="799147EC" w14:textId="2FB2856D" w:rsidR="00AB558E" w:rsidRPr="00706CBA" w:rsidRDefault="00FA084D" w:rsidP="00706CBA">
      <w:pPr>
        <w:pStyle w:val="ListParagraph"/>
        <w:numPr>
          <w:ilvl w:val="0"/>
          <w:numId w:val="15"/>
        </w:numPr>
        <w:ind w:left="0" w:firstLine="0"/>
        <w:rPr>
          <w:bCs/>
          <w:color w:val="000000" w:themeColor="text1"/>
        </w:rPr>
      </w:pPr>
      <w:proofErr w:type="spellStart"/>
      <w:r w:rsidRPr="00706CBA">
        <w:rPr>
          <w:bCs/>
          <w:color w:val="000000" w:themeColor="text1"/>
        </w:rPr>
        <w:t>Staňková</w:t>
      </w:r>
      <w:proofErr w:type="spellEnd"/>
      <w:r w:rsidR="00706CBA">
        <w:rPr>
          <w:bCs/>
          <w:color w:val="000000" w:themeColor="text1"/>
        </w:rPr>
        <w:t>,</w:t>
      </w:r>
      <w:r w:rsidRPr="00706CBA">
        <w:rPr>
          <w:bCs/>
          <w:color w:val="000000" w:themeColor="text1"/>
        </w:rPr>
        <w:t xml:space="preserve"> P. et al. Adaptation of mitochondrial substrate flux in a mouse model of </w:t>
      </w:r>
      <w:r w:rsidR="004140CC" w:rsidRPr="00706CBA">
        <w:rPr>
          <w:bCs/>
          <w:color w:val="000000" w:themeColor="text1"/>
        </w:rPr>
        <w:t>n</w:t>
      </w:r>
      <w:r w:rsidRPr="00706CBA">
        <w:rPr>
          <w:bCs/>
          <w:color w:val="000000" w:themeColor="text1"/>
        </w:rPr>
        <w:t xml:space="preserve">onalcoholic fatty liver disease. </w:t>
      </w:r>
      <w:r w:rsidR="000A47B6" w:rsidRPr="00706CBA">
        <w:rPr>
          <w:bCs/>
          <w:i/>
          <w:iCs/>
          <w:color w:val="000000" w:themeColor="text1"/>
        </w:rPr>
        <w:t>International Journal of Molecular Sciences</w:t>
      </w:r>
      <w:r w:rsidRPr="00706CBA">
        <w:rPr>
          <w:bCs/>
          <w:color w:val="000000" w:themeColor="text1"/>
        </w:rPr>
        <w:t xml:space="preserve">. </w:t>
      </w:r>
      <w:r w:rsidRPr="00706CBA">
        <w:rPr>
          <w:b/>
          <w:color w:val="000000" w:themeColor="text1"/>
        </w:rPr>
        <w:t>21</w:t>
      </w:r>
      <w:r w:rsidRPr="00706CBA">
        <w:rPr>
          <w:bCs/>
          <w:color w:val="000000" w:themeColor="text1"/>
        </w:rPr>
        <w:t>(3), 1101</w:t>
      </w:r>
      <w:r w:rsidR="00706CBA">
        <w:rPr>
          <w:bCs/>
          <w:color w:val="000000" w:themeColor="text1"/>
        </w:rPr>
        <w:t xml:space="preserve"> </w:t>
      </w:r>
      <w:r w:rsidRPr="00706CBA">
        <w:rPr>
          <w:bCs/>
          <w:color w:val="000000" w:themeColor="text1"/>
        </w:rPr>
        <w:t>(2020).</w:t>
      </w:r>
    </w:p>
    <w:p w14:paraId="10CDBE19" w14:textId="25F63449" w:rsidR="0057687E" w:rsidRPr="00706CBA" w:rsidRDefault="0057687E" w:rsidP="00706CBA">
      <w:pPr>
        <w:pStyle w:val="ListParagraph"/>
        <w:numPr>
          <w:ilvl w:val="0"/>
          <w:numId w:val="15"/>
        </w:numPr>
        <w:ind w:left="0" w:firstLine="0"/>
        <w:rPr>
          <w:bCs/>
          <w:color w:val="000000" w:themeColor="text1"/>
        </w:rPr>
      </w:pPr>
      <w:proofErr w:type="spellStart"/>
      <w:r w:rsidRPr="00706CBA">
        <w:rPr>
          <w:bCs/>
          <w:color w:val="000000" w:themeColor="text1"/>
        </w:rPr>
        <w:t>Salabei</w:t>
      </w:r>
      <w:proofErr w:type="spellEnd"/>
      <w:r w:rsidR="00706CBA">
        <w:rPr>
          <w:bCs/>
          <w:color w:val="000000" w:themeColor="text1"/>
        </w:rPr>
        <w:t>,</w:t>
      </w:r>
      <w:r w:rsidRPr="00706CBA">
        <w:rPr>
          <w:bCs/>
          <w:color w:val="000000" w:themeColor="text1"/>
        </w:rPr>
        <w:t xml:space="preserve"> J. K., Gibb</w:t>
      </w:r>
      <w:r w:rsidR="00706CBA">
        <w:rPr>
          <w:bCs/>
          <w:color w:val="000000" w:themeColor="text1"/>
        </w:rPr>
        <w:t>,</w:t>
      </w:r>
      <w:r w:rsidRPr="00706CBA">
        <w:rPr>
          <w:bCs/>
          <w:color w:val="000000" w:themeColor="text1"/>
        </w:rPr>
        <w:t xml:space="preserve"> A. A., Hill</w:t>
      </w:r>
      <w:r w:rsidR="00706CBA">
        <w:rPr>
          <w:bCs/>
          <w:color w:val="000000" w:themeColor="text1"/>
        </w:rPr>
        <w:t>,</w:t>
      </w:r>
      <w:r w:rsidRPr="00706CBA">
        <w:rPr>
          <w:bCs/>
          <w:color w:val="000000" w:themeColor="text1"/>
        </w:rPr>
        <w:t xml:space="preserve"> B. G. Comprehensive measurement of respiratory activity in permeabilized cells using extracellular flux analysis. </w:t>
      </w:r>
      <w:r w:rsidR="000A47B6" w:rsidRPr="00706CBA">
        <w:rPr>
          <w:bCs/>
          <w:i/>
          <w:iCs/>
          <w:color w:val="000000" w:themeColor="text1"/>
        </w:rPr>
        <w:t>Nature Protocols</w:t>
      </w:r>
      <w:r w:rsidRPr="00706CBA">
        <w:rPr>
          <w:bCs/>
          <w:color w:val="000000" w:themeColor="text1"/>
        </w:rPr>
        <w:t xml:space="preserve">. </w:t>
      </w:r>
      <w:r w:rsidRPr="00706CBA">
        <w:rPr>
          <w:b/>
          <w:color w:val="000000" w:themeColor="text1"/>
        </w:rPr>
        <w:t>9</w:t>
      </w:r>
      <w:r w:rsidRPr="00706CBA">
        <w:rPr>
          <w:bCs/>
          <w:color w:val="000000" w:themeColor="text1"/>
        </w:rPr>
        <w:t>(2)</w:t>
      </w:r>
      <w:r w:rsidR="00EF71AF" w:rsidRPr="00706CBA">
        <w:rPr>
          <w:bCs/>
          <w:color w:val="000000" w:themeColor="text1"/>
        </w:rPr>
        <w:t xml:space="preserve">, </w:t>
      </w:r>
      <w:r w:rsidRPr="00706CBA">
        <w:rPr>
          <w:bCs/>
          <w:color w:val="000000" w:themeColor="text1"/>
        </w:rPr>
        <w:t>421</w:t>
      </w:r>
      <w:r w:rsidR="00706CBA">
        <w:rPr>
          <w:bCs/>
          <w:color w:val="000000" w:themeColor="text1"/>
        </w:rPr>
        <w:t>–</w:t>
      </w:r>
      <w:r w:rsidR="000A47B6" w:rsidRPr="00706CBA">
        <w:rPr>
          <w:bCs/>
          <w:color w:val="000000" w:themeColor="text1"/>
        </w:rPr>
        <w:t>4</w:t>
      </w:r>
      <w:r w:rsidRPr="00706CBA">
        <w:rPr>
          <w:bCs/>
          <w:color w:val="000000" w:themeColor="text1"/>
        </w:rPr>
        <w:t>38</w:t>
      </w:r>
      <w:r w:rsidR="00706CBA">
        <w:rPr>
          <w:bCs/>
          <w:color w:val="000000" w:themeColor="text1"/>
        </w:rPr>
        <w:t xml:space="preserve"> </w:t>
      </w:r>
      <w:r w:rsidRPr="00706CBA">
        <w:rPr>
          <w:bCs/>
          <w:color w:val="000000" w:themeColor="text1"/>
        </w:rPr>
        <w:t>(2014).</w:t>
      </w:r>
    </w:p>
    <w:p w14:paraId="17D03902" w14:textId="36264376" w:rsidR="00FA084D" w:rsidRPr="00706CBA" w:rsidRDefault="00873FD7" w:rsidP="00706CBA">
      <w:pPr>
        <w:pStyle w:val="ListParagraph"/>
        <w:numPr>
          <w:ilvl w:val="0"/>
          <w:numId w:val="15"/>
        </w:numPr>
        <w:ind w:left="0" w:firstLine="0"/>
        <w:rPr>
          <w:bCs/>
          <w:color w:val="000000" w:themeColor="text1"/>
        </w:rPr>
      </w:pPr>
      <w:proofErr w:type="spellStart"/>
      <w:r w:rsidRPr="00706CBA">
        <w:rPr>
          <w:bCs/>
          <w:color w:val="000000" w:themeColor="text1"/>
        </w:rPr>
        <w:t>Divakaruni</w:t>
      </w:r>
      <w:proofErr w:type="spellEnd"/>
      <w:r w:rsidR="00706CBA">
        <w:rPr>
          <w:bCs/>
          <w:color w:val="000000" w:themeColor="text1"/>
        </w:rPr>
        <w:t>,</w:t>
      </w:r>
      <w:r w:rsidRPr="00706CBA">
        <w:rPr>
          <w:bCs/>
          <w:color w:val="000000" w:themeColor="text1"/>
        </w:rPr>
        <w:t xml:space="preserve"> A. S. et al. Thiazolidinediones are acute, specific inhibitors of the mitochondrial pyruvate carrier. </w:t>
      </w:r>
      <w:r w:rsidR="006A4DA7" w:rsidRPr="00706CBA">
        <w:rPr>
          <w:bCs/>
          <w:i/>
          <w:iCs/>
          <w:color w:val="000000" w:themeColor="text1"/>
        </w:rPr>
        <w:t>Proceedings of the National Academy of Sciences of the United States of America</w:t>
      </w:r>
      <w:r w:rsidRPr="00706CBA">
        <w:rPr>
          <w:bCs/>
          <w:color w:val="000000" w:themeColor="text1"/>
        </w:rPr>
        <w:t xml:space="preserve">. </w:t>
      </w:r>
      <w:r w:rsidRPr="00706CBA">
        <w:rPr>
          <w:b/>
          <w:color w:val="000000" w:themeColor="text1"/>
        </w:rPr>
        <w:t>110</w:t>
      </w:r>
      <w:r w:rsidR="00706CBA">
        <w:rPr>
          <w:b/>
          <w:color w:val="000000" w:themeColor="text1"/>
        </w:rPr>
        <w:t xml:space="preserve"> </w:t>
      </w:r>
      <w:r w:rsidRPr="00706CBA">
        <w:rPr>
          <w:bCs/>
          <w:color w:val="000000" w:themeColor="text1"/>
        </w:rPr>
        <w:t>(14)</w:t>
      </w:r>
      <w:r w:rsidR="00C14938" w:rsidRPr="00706CBA">
        <w:rPr>
          <w:bCs/>
          <w:color w:val="000000" w:themeColor="text1"/>
        </w:rPr>
        <w:t>,</w:t>
      </w:r>
      <w:r w:rsidR="00704BAD" w:rsidRPr="00706CBA">
        <w:rPr>
          <w:bCs/>
          <w:color w:val="000000" w:themeColor="text1"/>
        </w:rPr>
        <w:t xml:space="preserve"> </w:t>
      </w:r>
      <w:r w:rsidRPr="00706CBA">
        <w:rPr>
          <w:bCs/>
          <w:color w:val="000000" w:themeColor="text1"/>
        </w:rPr>
        <w:t>5422</w:t>
      </w:r>
      <w:r w:rsidR="00706CBA">
        <w:rPr>
          <w:bCs/>
          <w:color w:val="000000" w:themeColor="text1"/>
        </w:rPr>
        <w:t>–</w:t>
      </w:r>
      <w:r w:rsidR="006A4DA7" w:rsidRPr="00706CBA">
        <w:rPr>
          <w:bCs/>
          <w:color w:val="000000" w:themeColor="text1"/>
        </w:rPr>
        <w:t>542</w:t>
      </w:r>
      <w:r w:rsidRPr="00706CBA">
        <w:rPr>
          <w:bCs/>
          <w:color w:val="000000" w:themeColor="text1"/>
        </w:rPr>
        <w:t>7 (2011).</w:t>
      </w:r>
    </w:p>
    <w:p w14:paraId="5D094B8C" w14:textId="0E6DF17E" w:rsidR="00873FD7" w:rsidRPr="00706CBA" w:rsidRDefault="00873FD7" w:rsidP="00706CBA">
      <w:pPr>
        <w:pStyle w:val="ListParagraph"/>
        <w:numPr>
          <w:ilvl w:val="0"/>
          <w:numId w:val="15"/>
        </w:numPr>
        <w:ind w:left="0" w:firstLine="0"/>
        <w:rPr>
          <w:bCs/>
          <w:color w:val="000000" w:themeColor="text1"/>
        </w:rPr>
      </w:pPr>
      <w:proofErr w:type="spellStart"/>
      <w:r w:rsidRPr="00706CBA">
        <w:rPr>
          <w:bCs/>
          <w:color w:val="000000" w:themeColor="text1"/>
        </w:rPr>
        <w:t>Divakaruni</w:t>
      </w:r>
      <w:proofErr w:type="spellEnd"/>
      <w:r w:rsidR="00706CBA">
        <w:rPr>
          <w:bCs/>
          <w:color w:val="000000" w:themeColor="text1"/>
        </w:rPr>
        <w:t>,</w:t>
      </w:r>
      <w:r w:rsidRPr="00706CBA">
        <w:rPr>
          <w:bCs/>
          <w:color w:val="000000" w:themeColor="text1"/>
        </w:rPr>
        <w:t xml:space="preserve"> A. S., Rogers</w:t>
      </w:r>
      <w:r w:rsidR="00706CBA">
        <w:rPr>
          <w:bCs/>
          <w:color w:val="000000" w:themeColor="text1"/>
        </w:rPr>
        <w:t>,</w:t>
      </w:r>
      <w:r w:rsidRPr="00706CBA">
        <w:rPr>
          <w:bCs/>
          <w:color w:val="000000" w:themeColor="text1"/>
        </w:rPr>
        <w:t xml:space="preserve"> G. W., Murphy</w:t>
      </w:r>
      <w:r w:rsidR="00706CBA">
        <w:rPr>
          <w:bCs/>
          <w:color w:val="000000" w:themeColor="text1"/>
        </w:rPr>
        <w:t>,</w:t>
      </w:r>
      <w:r w:rsidRPr="00706CBA">
        <w:rPr>
          <w:bCs/>
          <w:color w:val="000000" w:themeColor="text1"/>
        </w:rPr>
        <w:t xml:space="preserve"> A. N. Measuring mitochondrial function in permeabilized cells using the seahorse XF analyzer or a Clark-type oxygen electrode. </w:t>
      </w:r>
      <w:r w:rsidR="00295086" w:rsidRPr="00706CBA">
        <w:rPr>
          <w:bCs/>
          <w:i/>
          <w:iCs/>
          <w:color w:val="000000" w:themeColor="text1"/>
        </w:rPr>
        <w:t>Current Protocols in Toxicology</w:t>
      </w:r>
      <w:r w:rsidRPr="00706CBA">
        <w:rPr>
          <w:bCs/>
          <w:color w:val="000000" w:themeColor="text1"/>
        </w:rPr>
        <w:t xml:space="preserve">. </w:t>
      </w:r>
      <w:r w:rsidRPr="00706CBA">
        <w:rPr>
          <w:b/>
          <w:color w:val="000000" w:themeColor="text1"/>
        </w:rPr>
        <w:t>60</w:t>
      </w:r>
      <w:r w:rsidR="00492B86" w:rsidRPr="00706CBA">
        <w:rPr>
          <w:bCs/>
          <w:color w:val="000000" w:themeColor="text1"/>
        </w:rPr>
        <w:t xml:space="preserve">, </w:t>
      </w:r>
      <w:r w:rsidRPr="00706CBA">
        <w:rPr>
          <w:bCs/>
          <w:color w:val="000000" w:themeColor="text1"/>
        </w:rPr>
        <w:t>25.2.1</w:t>
      </w:r>
      <w:r w:rsidR="00706CBA">
        <w:rPr>
          <w:bCs/>
          <w:color w:val="000000" w:themeColor="text1"/>
        </w:rPr>
        <w:t>–</w:t>
      </w:r>
      <w:r w:rsidR="00295086" w:rsidRPr="00706CBA">
        <w:rPr>
          <w:bCs/>
          <w:color w:val="000000" w:themeColor="text1"/>
        </w:rPr>
        <w:t>25.2.</w:t>
      </w:r>
      <w:r w:rsidRPr="00706CBA">
        <w:rPr>
          <w:bCs/>
          <w:color w:val="000000" w:themeColor="text1"/>
        </w:rPr>
        <w:t>16</w:t>
      </w:r>
      <w:r w:rsidR="00AE7B58" w:rsidRPr="00706CBA">
        <w:rPr>
          <w:bCs/>
          <w:color w:val="000000" w:themeColor="text1"/>
        </w:rPr>
        <w:t xml:space="preserve"> </w:t>
      </w:r>
      <w:r w:rsidRPr="00706CBA">
        <w:rPr>
          <w:bCs/>
          <w:color w:val="000000" w:themeColor="text1"/>
        </w:rPr>
        <w:t>(2014).</w:t>
      </w:r>
    </w:p>
    <w:p w14:paraId="79CB5D59" w14:textId="74BE997A" w:rsidR="00873FD7" w:rsidRPr="00706CBA" w:rsidRDefault="00873FD7" w:rsidP="00706CBA">
      <w:pPr>
        <w:pStyle w:val="ListParagraph"/>
        <w:numPr>
          <w:ilvl w:val="0"/>
          <w:numId w:val="15"/>
        </w:numPr>
        <w:ind w:left="0" w:firstLine="0"/>
        <w:rPr>
          <w:bCs/>
          <w:color w:val="000000" w:themeColor="text1"/>
        </w:rPr>
      </w:pPr>
      <w:proofErr w:type="spellStart"/>
      <w:r w:rsidRPr="00706CBA">
        <w:rPr>
          <w:bCs/>
          <w:color w:val="000000" w:themeColor="text1"/>
        </w:rPr>
        <w:t>Elkalaf</w:t>
      </w:r>
      <w:proofErr w:type="spellEnd"/>
      <w:r w:rsidR="00706CBA">
        <w:rPr>
          <w:bCs/>
          <w:color w:val="000000" w:themeColor="text1"/>
        </w:rPr>
        <w:t>,</w:t>
      </w:r>
      <w:r w:rsidRPr="00706CBA">
        <w:rPr>
          <w:bCs/>
          <w:color w:val="000000" w:themeColor="text1"/>
        </w:rPr>
        <w:t xml:space="preserve"> M., </w:t>
      </w:r>
      <w:proofErr w:type="spellStart"/>
      <w:r w:rsidRPr="00706CBA">
        <w:rPr>
          <w:bCs/>
          <w:color w:val="000000" w:themeColor="text1"/>
        </w:rPr>
        <w:t>Tůma</w:t>
      </w:r>
      <w:proofErr w:type="spellEnd"/>
      <w:r w:rsidR="00706CBA">
        <w:rPr>
          <w:bCs/>
          <w:color w:val="000000" w:themeColor="text1"/>
        </w:rPr>
        <w:t>,</w:t>
      </w:r>
      <w:r w:rsidRPr="00706CBA">
        <w:rPr>
          <w:bCs/>
          <w:color w:val="000000" w:themeColor="text1"/>
        </w:rPr>
        <w:t xml:space="preserve"> P., </w:t>
      </w:r>
      <w:proofErr w:type="spellStart"/>
      <w:r w:rsidRPr="00706CBA">
        <w:rPr>
          <w:bCs/>
          <w:color w:val="000000" w:themeColor="text1"/>
        </w:rPr>
        <w:t>Weiszenstein</w:t>
      </w:r>
      <w:proofErr w:type="spellEnd"/>
      <w:r w:rsidR="00706CBA">
        <w:rPr>
          <w:bCs/>
          <w:color w:val="000000" w:themeColor="text1"/>
        </w:rPr>
        <w:t>,</w:t>
      </w:r>
      <w:r w:rsidRPr="00706CBA">
        <w:rPr>
          <w:bCs/>
          <w:color w:val="000000" w:themeColor="text1"/>
        </w:rPr>
        <w:t xml:space="preserve"> M., </w:t>
      </w:r>
      <w:proofErr w:type="spellStart"/>
      <w:r w:rsidRPr="00706CBA">
        <w:rPr>
          <w:bCs/>
          <w:color w:val="000000" w:themeColor="text1"/>
        </w:rPr>
        <w:t>Polák</w:t>
      </w:r>
      <w:proofErr w:type="spellEnd"/>
      <w:r w:rsidR="00706CBA">
        <w:rPr>
          <w:bCs/>
          <w:color w:val="000000" w:themeColor="text1"/>
        </w:rPr>
        <w:t>,</w:t>
      </w:r>
      <w:r w:rsidRPr="00706CBA">
        <w:rPr>
          <w:bCs/>
          <w:color w:val="000000" w:themeColor="text1"/>
        </w:rPr>
        <w:t xml:space="preserve"> J., </w:t>
      </w:r>
      <w:proofErr w:type="spellStart"/>
      <w:r w:rsidRPr="00706CBA">
        <w:rPr>
          <w:bCs/>
          <w:color w:val="000000" w:themeColor="text1"/>
        </w:rPr>
        <w:t>Trnka</w:t>
      </w:r>
      <w:proofErr w:type="spellEnd"/>
      <w:r w:rsidR="00706CBA">
        <w:rPr>
          <w:bCs/>
          <w:color w:val="000000" w:themeColor="text1"/>
        </w:rPr>
        <w:t>,</w:t>
      </w:r>
      <w:r w:rsidRPr="00706CBA">
        <w:rPr>
          <w:bCs/>
          <w:color w:val="000000" w:themeColor="text1"/>
        </w:rPr>
        <w:t xml:space="preserve"> J. Mitochondrial </w:t>
      </w:r>
      <w:r w:rsidR="00706CBA" w:rsidRPr="00706CBA">
        <w:rPr>
          <w:bCs/>
          <w:color w:val="000000" w:themeColor="text1"/>
        </w:rPr>
        <w:t>pr</w:t>
      </w:r>
      <w:r w:rsidRPr="00706CBA">
        <w:rPr>
          <w:bCs/>
          <w:color w:val="000000" w:themeColor="text1"/>
        </w:rPr>
        <w:t xml:space="preserve">obe </w:t>
      </w:r>
      <w:proofErr w:type="spellStart"/>
      <w:r w:rsidRPr="00706CBA">
        <w:rPr>
          <w:bCs/>
          <w:color w:val="000000" w:themeColor="text1"/>
        </w:rPr>
        <w:t>Methyltriphenylphosphonium</w:t>
      </w:r>
      <w:proofErr w:type="spellEnd"/>
      <w:r w:rsidRPr="00706CBA">
        <w:rPr>
          <w:bCs/>
          <w:color w:val="000000" w:themeColor="text1"/>
        </w:rPr>
        <w:t xml:space="preserve"> (TPMP) </w:t>
      </w:r>
      <w:r w:rsidR="00706CBA" w:rsidRPr="00706CBA">
        <w:rPr>
          <w:bCs/>
          <w:color w:val="000000" w:themeColor="text1"/>
        </w:rPr>
        <w:t xml:space="preserve">inhibits </w:t>
      </w:r>
      <w:r w:rsidRPr="00706CBA">
        <w:rPr>
          <w:bCs/>
          <w:color w:val="000000" w:themeColor="text1"/>
        </w:rPr>
        <w:t xml:space="preserve">the Krebs </w:t>
      </w:r>
      <w:r w:rsidR="00706CBA" w:rsidRPr="00706CBA">
        <w:rPr>
          <w:bCs/>
          <w:color w:val="000000" w:themeColor="text1"/>
        </w:rPr>
        <w:t>cy</w:t>
      </w:r>
      <w:r w:rsidRPr="00706CBA">
        <w:rPr>
          <w:bCs/>
          <w:color w:val="000000" w:themeColor="text1"/>
        </w:rPr>
        <w:t xml:space="preserve">cle </w:t>
      </w:r>
      <w:r w:rsidR="00706CBA" w:rsidRPr="00706CBA">
        <w:rPr>
          <w:bCs/>
          <w:color w:val="000000" w:themeColor="text1"/>
        </w:rPr>
        <w:t>en</w:t>
      </w:r>
      <w:r w:rsidRPr="00706CBA">
        <w:rPr>
          <w:bCs/>
          <w:color w:val="000000" w:themeColor="text1"/>
        </w:rPr>
        <w:t xml:space="preserve">zyme 2-Oxoglutarate </w:t>
      </w:r>
      <w:r w:rsidR="00706CBA" w:rsidRPr="00706CBA">
        <w:rPr>
          <w:bCs/>
          <w:color w:val="000000" w:themeColor="text1"/>
        </w:rPr>
        <w:t>d</w:t>
      </w:r>
      <w:r w:rsidRPr="00706CBA">
        <w:rPr>
          <w:bCs/>
          <w:color w:val="000000" w:themeColor="text1"/>
        </w:rPr>
        <w:t xml:space="preserve">ehydrogenase. </w:t>
      </w:r>
      <w:proofErr w:type="spellStart"/>
      <w:r w:rsidRPr="00706CBA">
        <w:rPr>
          <w:bCs/>
          <w:i/>
          <w:iCs/>
          <w:color w:val="000000" w:themeColor="text1"/>
        </w:rPr>
        <w:t>PLoS</w:t>
      </w:r>
      <w:proofErr w:type="spellEnd"/>
      <w:r w:rsidRPr="00706CBA">
        <w:rPr>
          <w:bCs/>
          <w:i/>
          <w:iCs/>
          <w:color w:val="000000" w:themeColor="text1"/>
        </w:rPr>
        <w:t xml:space="preserve"> One</w:t>
      </w:r>
      <w:r w:rsidRPr="00706CBA">
        <w:rPr>
          <w:bCs/>
          <w:color w:val="000000" w:themeColor="text1"/>
        </w:rPr>
        <w:t xml:space="preserve">. </w:t>
      </w:r>
      <w:r w:rsidRPr="00706CBA">
        <w:rPr>
          <w:b/>
          <w:color w:val="000000" w:themeColor="text1"/>
        </w:rPr>
        <w:t>11</w:t>
      </w:r>
      <w:r w:rsidR="00706CBA">
        <w:rPr>
          <w:b/>
          <w:color w:val="000000" w:themeColor="text1"/>
        </w:rPr>
        <w:t xml:space="preserve"> </w:t>
      </w:r>
      <w:r w:rsidRPr="00706CBA">
        <w:rPr>
          <w:bCs/>
          <w:color w:val="000000" w:themeColor="text1"/>
        </w:rPr>
        <w:t>(8)</w:t>
      </w:r>
      <w:r w:rsidR="00C14938" w:rsidRPr="00706CBA">
        <w:rPr>
          <w:bCs/>
          <w:color w:val="000000" w:themeColor="text1"/>
        </w:rPr>
        <w:t>,</w:t>
      </w:r>
      <w:r w:rsidR="00C14938" w:rsidRPr="00706CBA" w:rsidDel="00C14938">
        <w:rPr>
          <w:bCs/>
          <w:color w:val="000000" w:themeColor="text1"/>
        </w:rPr>
        <w:t xml:space="preserve"> </w:t>
      </w:r>
      <w:r w:rsidRPr="00706CBA">
        <w:rPr>
          <w:bCs/>
          <w:color w:val="000000" w:themeColor="text1"/>
        </w:rPr>
        <w:t>e0161413 (2016).</w:t>
      </w:r>
    </w:p>
    <w:p w14:paraId="3B5BD30F" w14:textId="4153CC2D" w:rsidR="00D14F63" w:rsidRPr="00706CBA" w:rsidRDefault="00D14F63" w:rsidP="00706CBA">
      <w:pPr>
        <w:pStyle w:val="ListParagraph"/>
        <w:numPr>
          <w:ilvl w:val="0"/>
          <w:numId w:val="15"/>
        </w:numPr>
        <w:ind w:left="0" w:firstLine="0"/>
        <w:rPr>
          <w:bCs/>
          <w:color w:val="000000" w:themeColor="text1"/>
        </w:rPr>
      </w:pPr>
      <w:r w:rsidRPr="00706CBA">
        <w:rPr>
          <w:bCs/>
          <w:color w:val="000000" w:themeColor="text1"/>
        </w:rPr>
        <w:t xml:space="preserve">Rogers G. W. et al. High throughput microplate respiratory measurements using minimal quantities of isolated mitochondria. </w:t>
      </w:r>
      <w:proofErr w:type="spellStart"/>
      <w:r w:rsidRPr="00706CBA">
        <w:rPr>
          <w:bCs/>
          <w:i/>
          <w:iCs/>
          <w:color w:val="000000" w:themeColor="text1"/>
        </w:rPr>
        <w:t>PLoS</w:t>
      </w:r>
      <w:proofErr w:type="spellEnd"/>
      <w:r w:rsidRPr="00706CBA">
        <w:rPr>
          <w:bCs/>
          <w:i/>
          <w:iCs/>
          <w:color w:val="000000" w:themeColor="text1"/>
        </w:rPr>
        <w:t xml:space="preserve"> One</w:t>
      </w:r>
      <w:r w:rsidRPr="00706CBA">
        <w:rPr>
          <w:bCs/>
          <w:color w:val="000000" w:themeColor="text1"/>
        </w:rPr>
        <w:t xml:space="preserve">. </w:t>
      </w:r>
      <w:r w:rsidRPr="00706CBA">
        <w:rPr>
          <w:b/>
          <w:color w:val="000000" w:themeColor="text1"/>
        </w:rPr>
        <w:t>6</w:t>
      </w:r>
      <w:r w:rsidR="00706CBA">
        <w:rPr>
          <w:b/>
          <w:color w:val="000000" w:themeColor="text1"/>
        </w:rPr>
        <w:t xml:space="preserve"> </w:t>
      </w:r>
      <w:r w:rsidRPr="00706CBA">
        <w:rPr>
          <w:bCs/>
          <w:color w:val="000000" w:themeColor="text1"/>
        </w:rPr>
        <w:t>(7)</w:t>
      </w:r>
      <w:r w:rsidR="00C14938" w:rsidRPr="00706CBA">
        <w:rPr>
          <w:bCs/>
          <w:color w:val="000000" w:themeColor="text1"/>
        </w:rPr>
        <w:t>,</w:t>
      </w:r>
      <w:r w:rsidR="00492B86" w:rsidRPr="00706CBA">
        <w:rPr>
          <w:bCs/>
          <w:color w:val="000000" w:themeColor="text1"/>
        </w:rPr>
        <w:t xml:space="preserve"> </w:t>
      </w:r>
      <w:r w:rsidRPr="00706CBA">
        <w:rPr>
          <w:bCs/>
          <w:color w:val="000000" w:themeColor="text1"/>
        </w:rPr>
        <w:t>e21746</w:t>
      </w:r>
      <w:r w:rsidR="00AE7B58" w:rsidRPr="00706CBA">
        <w:rPr>
          <w:bCs/>
          <w:color w:val="000000" w:themeColor="text1"/>
        </w:rPr>
        <w:t xml:space="preserve"> </w:t>
      </w:r>
      <w:r w:rsidRPr="00706CBA">
        <w:rPr>
          <w:bCs/>
          <w:color w:val="000000" w:themeColor="text1"/>
        </w:rPr>
        <w:t>(2011).</w:t>
      </w:r>
    </w:p>
    <w:p w14:paraId="6B2B1AA9" w14:textId="69D64CB0" w:rsidR="006E4797" w:rsidRPr="00706CBA" w:rsidRDefault="006E4797" w:rsidP="00706CBA">
      <w:pPr>
        <w:pBdr>
          <w:top w:val="nil"/>
          <w:left w:val="nil"/>
          <w:bottom w:val="nil"/>
          <w:right w:val="nil"/>
          <w:between w:val="nil"/>
        </w:pBdr>
        <w:ind w:left="360"/>
        <w:rPr>
          <w:color w:val="000000" w:themeColor="text1"/>
        </w:rPr>
      </w:pPr>
      <w:bookmarkStart w:id="1" w:name="gjdgxs" w:colFirst="0" w:colLast="0"/>
      <w:bookmarkStart w:id="2" w:name="30j0zll" w:colFirst="0" w:colLast="0"/>
      <w:bookmarkStart w:id="3" w:name="kix.dnstqay1kwjl" w:colFirst="0" w:colLast="0"/>
      <w:bookmarkStart w:id="4" w:name="3znysh7" w:colFirst="0" w:colLast="0"/>
      <w:bookmarkStart w:id="5" w:name="2et92p0" w:colFirst="0" w:colLast="0"/>
      <w:bookmarkStart w:id="6" w:name="tyjcwt" w:colFirst="0" w:colLast="0"/>
      <w:bookmarkStart w:id="7" w:name="3dy6vkm" w:colFirst="0" w:colLast="0"/>
      <w:bookmarkStart w:id="8" w:name="1t3h5sf" w:colFirst="0" w:colLast="0"/>
      <w:bookmarkStart w:id="9" w:name="4d34og8" w:colFirst="0" w:colLast="0"/>
      <w:bookmarkStart w:id="10" w:name="2s8eyo1" w:colFirst="0" w:colLast="0"/>
      <w:bookmarkStart w:id="11" w:name="17dp8vu" w:colFirst="0" w:colLast="0"/>
      <w:bookmarkStart w:id="12" w:name="3rdcrjn" w:colFirst="0" w:colLast="0"/>
      <w:bookmarkEnd w:id="1"/>
      <w:bookmarkEnd w:id="2"/>
      <w:bookmarkEnd w:id="3"/>
      <w:bookmarkEnd w:id="4"/>
      <w:bookmarkEnd w:id="5"/>
      <w:bookmarkEnd w:id="6"/>
      <w:bookmarkEnd w:id="7"/>
      <w:bookmarkEnd w:id="8"/>
      <w:bookmarkEnd w:id="9"/>
      <w:bookmarkEnd w:id="10"/>
      <w:bookmarkEnd w:id="11"/>
      <w:bookmarkEnd w:id="12"/>
    </w:p>
    <w:sectPr w:rsidR="006E4797" w:rsidRPr="00706CBA" w:rsidSect="00B045C8">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92EC6" w14:textId="77777777" w:rsidR="00F62A62" w:rsidRDefault="00F62A62">
      <w:r>
        <w:separator/>
      </w:r>
    </w:p>
  </w:endnote>
  <w:endnote w:type="continuationSeparator" w:id="0">
    <w:p w14:paraId="4274DC22" w14:textId="77777777" w:rsidR="00F62A62" w:rsidRDefault="00F6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B65976" w:rsidRDefault="00B6597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DCFD6" w14:textId="77777777" w:rsidR="00F62A62" w:rsidRDefault="00F62A62">
      <w:r>
        <w:separator/>
      </w:r>
    </w:p>
  </w:footnote>
  <w:footnote w:type="continuationSeparator" w:id="0">
    <w:p w14:paraId="5916D5F2" w14:textId="77777777" w:rsidR="00F62A62" w:rsidRDefault="00F6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B65976" w:rsidRDefault="00B6597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B65976" w:rsidRDefault="00B65976">
    <w:pPr>
      <w:pBdr>
        <w:top w:val="nil"/>
        <w:left w:val="nil"/>
        <w:bottom w:val="nil"/>
        <w:right w:val="nil"/>
        <w:between w:val="nil"/>
      </w:pBdr>
      <w:tabs>
        <w:tab w:val="center" w:pos="4680"/>
        <w:tab w:val="right" w:pos="9360"/>
        <w:tab w:val="left" w:pos="5724"/>
      </w:tabs>
      <w:rPr>
        <w:b/>
        <w:color w:val="1F497D"/>
        <w:sz w:val="28"/>
        <w:szCs w:val="28"/>
      </w:rPr>
    </w:pPr>
    <w:bookmarkStart w:id="13" w:name="_26in1rg" w:colFirst="0" w:colLast="0"/>
    <w:bookmarkEnd w:id="1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4ADFE4ED" w:rsidR="00B65976" w:rsidRDefault="00B6597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025F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65138D"/>
    <w:multiLevelType w:val="hybridMultilevel"/>
    <w:tmpl w:val="E444C4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1F728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13"/>
  </w:num>
  <w:num w:numId="4">
    <w:abstractNumId w:val="0"/>
  </w:num>
  <w:num w:numId="5">
    <w:abstractNumId w:val="10"/>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1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NTY0sjA0MDE0tzBR0lEKTi0uzszPAykwrQUAGsz4wCwAAAA="/>
  </w:docVars>
  <w:rsids>
    <w:rsidRoot w:val="006E4797"/>
    <w:rsid w:val="00003AD1"/>
    <w:rsid w:val="0002411B"/>
    <w:rsid w:val="00026554"/>
    <w:rsid w:val="000340C2"/>
    <w:rsid w:val="00051F58"/>
    <w:rsid w:val="000764E2"/>
    <w:rsid w:val="000837C4"/>
    <w:rsid w:val="00084C3F"/>
    <w:rsid w:val="000A47B6"/>
    <w:rsid w:val="000C3E62"/>
    <w:rsid w:val="000D2BF5"/>
    <w:rsid w:val="000D4830"/>
    <w:rsid w:val="000D6CEF"/>
    <w:rsid w:val="000E2B42"/>
    <w:rsid w:val="000E70E9"/>
    <w:rsid w:val="000F4C98"/>
    <w:rsid w:val="000F6D67"/>
    <w:rsid w:val="0010245C"/>
    <w:rsid w:val="001045F2"/>
    <w:rsid w:val="00107A4E"/>
    <w:rsid w:val="001117CD"/>
    <w:rsid w:val="00125E62"/>
    <w:rsid w:val="00130200"/>
    <w:rsid w:val="0013796A"/>
    <w:rsid w:val="00137CE3"/>
    <w:rsid w:val="00140411"/>
    <w:rsid w:val="00141100"/>
    <w:rsid w:val="00142A69"/>
    <w:rsid w:val="001441E3"/>
    <w:rsid w:val="00162D69"/>
    <w:rsid w:val="001720AC"/>
    <w:rsid w:val="001775B4"/>
    <w:rsid w:val="00184364"/>
    <w:rsid w:val="001A1533"/>
    <w:rsid w:val="001A52FA"/>
    <w:rsid w:val="001B1900"/>
    <w:rsid w:val="001C29EF"/>
    <w:rsid w:val="001C3DCD"/>
    <w:rsid w:val="001C7E38"/>
    <w:rsid w:val="001E775F"/>
    <w:rsid w:val="001F6214"/>
    <w:rsid w:val="001F6AEA"/>
    <w:rsid w:val="001F766A"/>
    <w:rsid w:val="00203116"/>
    <w:rsid w:val="002064B4"/>
    <w:rsid w:val="00221806"/>
    <w:rsid w:val="00231914"/>
    <w:rsid w:val="00251777"/>
    <w:rsid w:val="00253465"/>
    <w:rsid w:val="0025466C"/>
    <w:rsid w:val="0026034D"/>
    <w:rsid w:val="0026398D"/>
    <w:rsid w:val="0026677E"/>
    <w:rsid w:val="00266838"/>
    <w:rsid w:val="00266849"/>
    <w:rsid w:val="0028538E"/>
    <w:rsid w:val="00287E23"/>
    <w:rsid w:val="0029005A"/>
    <w:rsid w:val="00295086"/>
    <w:rsid w:val="002A2B20"/>
    <w:rsid w:val="002B4F2F"/>
    <w:rsid w:val="002C42C1"/>
    <w:rsid w:val="002C7CE0"/>
    <w:rsid w:val="002D5B14"/>
    <w:rsid w:val="002D6554"/>
    <w:rsid w:val="002E0620"/>
    <w:rsid w:val="002F2639"/>
    <w:rsid w:val="00301BE0"/>
    <w:rsid w:val="00303C76"/>
    <w:rsid w:val="0030529F"/>
    <w:rsid w:val="00316039"/>
    <w:rsid w:val="003216DD"/>
    <w:rsid w:val="00324B26"/>
    <w:rsid w:val="00337D26"/>
    <w:rsid w:val="003424AD"/>
    <w:rsid w:val="00343E81"/>
    <w:rsid w:val="00345EF5"/>
    <w:rsid w:val="00347874"/>
    <w:rsid w:val="00351087"/>
    <w:rsid w:val="00355C77"/>
    <w:rsid w:val="00365AB1"/>
    <w:rsid w:val="003A0221"/>
    <w:rsid w:val="003A5355"/>
    <w:rsid w:val="003A6DCD"/>
    <w:rsid w:val="003B5422"/>
    <w:rsid w:val="003B689F"/>
    <w:rsid w:val="003D6F21"/>
    <w:rsid w:val="003E6D7D"/>
    <w:rsid w:val="003F013E"/>
    <w:rsid w:val="00403CD1"/>
    <w:rsid w:val="00413C1B"/>
    <w:rsid w:val="004140CC"/>
    <w:rsid w:val="0041415D"/>
    <w:rsid w:val="00431DC0"/>
    <w:rsid w:val="00432585"/>
    <w:rsid w:val="004342C0"/>
    <w:rsid w:val="00435F0B"/>
    <w:rsid w:val="0046015B"/>
    <w:rsid w:val="00460B79"/>
    <w:rsid w:val="0046243F"/>
    <w:rsid w:val="0046278A"/>
    <w:rsid w:val="004664B6"/>
    <w:rsid w:val="004678AB"/>
    <w:rsid w:val="004830E8"/>
    <w:rsid w:val="00492B86"/>
    <w:rsid w:val="00497D3D"/>
    <w:rsid w:val="004A12CD"/>
    <w:rsid w:val="004B0F7F"/>
    <w:rsid w:val="004B5FA7"/>
    <w:rsid w:val="004B7BFA"/>
    <w:rsid w:val="004B7E81"/>
    <w:rsid w:val="004C014C"/>
    <w:rsid w:val="004C3215"/>
    <w:rsid w:val="004C47DD"/>
    <w:rsid w:val="004D4131"/>
    <w:rsid w:val="004D6BD3"/>
    <w:rsid w:val="004D7D37"/>
    <w:rsid w:val="004E44C0"/>
    <w:rsid w:val="004F1C41"/>
    <w:rsid w:val="004F4B91"/>
    <w:rsid w:val="005261D5"/>
    <w:rsid w:val="00527C8E"/>
    <w:rsid w:val="005313CE"/>
    <w:rsid w:val="00542B24"/>
    <w:rsid w:val="005450DC"/>
    <w:rsid w:val="00545F1D"/>
    <w:rsid w:val="0055106A"/>
    <w:rsid w:val="00551D82"/>
    <w:rsid w:val="00555CCB"/>
    <w:rsid w:val="00566C06"/>
    <w:rsid w:val="0057687E"/>
    <w:rsid w:val="0059036D"/>
    <w:rsid w:val="005B0E7D"/>
    <w:rsid w:val="005C042A"/>
    <w:rsid w:val="005E230A"/>
    <w:rsid w:val="005F1E31"/>
    <w:rsid w:val="005F43C3"/>
    <w:rsid w:val="0060362C"/>
    <w:rsid w:val="00606C1B"/>
    <w:rsid w:val="006209F0"/>
    <w:rsid w:val="00622578"/>
    <w:rsid w:val="00633238"/>
    <w:rsid w:val="006350BC"/>
    <w:rsid w:val="00640A45"/>
    <w:rsid w:val="00644AFC"/>
    <w:rsid w:val="00653246"/>
    <w:rsid w:val="00656894"/>
    <w:rsid w:val="00673A46"/>
    <w:rsid w:val="00677FC2"/>
    <w:rsid w:val="006907D8"/>
    <w:rsid w:val="006A4DA7"/>
    <w:rsid w:val="006A5B2E"/>
    <w:rsid w:val="006C1F9E"/>
    <w:rsid w:val="006E06DE"/>
    <w:rsid w:val="006E4797"/>
    <w:rsid w:val="006F6BE4"/>
    <w:rsid w:val="00701656"/>
    <w:rsid w:val="0070444F"/>
    <w:rsid w:val="00704ACA"/>
    <w:rsid w:val="00704BAD"/>
    <w:rsid w:val="00706CBA"/>
    <w:rsid w:val="00711F02"/>
    <w:rsid w:val="007203B1"/>
    <w:rsid w:val="007257DC"/>
    <w:rsid w:val="00726899"/>
    <w:rsid w:val="00734931"/>
    <w:rsid w:val="00753543"/>
    <w:rsid w:val="00756B06"/>
    <w:rsid w:val="0076708F"/>
    <w:rsid w:val="00773EEB"/>
    <w:rsid w:val="00776BEC"/>
    <w:rsid w:val="00777414"/>
    <w:rsid w:val="00780242"/>
    <w:rsid w:val="00783CDF"/>
    <w:rsid w:val="007A132B"/>
    <w:rsid w:val="007A1900"/>
    <w:rsid w:val="007A380B"/>
    <w:rsid w:val="007D1E5B"/>
    <w:rsid w:val="008030EE"/>
    <w:rsid w:val="00823ED9"/>
    <w:rsid w:val="008279D7"/>
    <w:rsid w:val="00843ADD"/>
    <w:rsid w:val="008529ED"/>
    <w:rsid w:val="008564E2"/>
    <w:rsid w:val="008709D0"/>
    <w:rsid w:val="00873FD7"/>
    <w:rsid w:val="0088111F"/>
    <w:rsid w:val="008A08AD"/>
    <w:rsid w:val="008A572D"/>
    <w:rsid w:val="008A6B70"/>
    <w:rsid w:val="008B5E5E"/>
    <w:rsid w:val="008C4BA7"/>
    <w:rsid w:val="008E0262"/>
    <w:rsid w:val="008E23F2"/>
    <w:rsid w:val="008E66AC"/>
    <w:rsid w:val="00912A2D"/>
    <w:rsid w:val="00921977"/>
    <w:rsid w:val="00925CC4"/>
    <w:rsid w:val="00926769"/>
    <w:rsid w:val="00937089"/>
    <w:rsid w:val="009372AA"/>
    <w:rsid w:val="00943243"/>
    <w:rsid w:val="00947090"/>
    <w:rsid w:val="00960268"/>
    <w:rsid w:val="0097507A"/>
    <w:rsid w:val="009828BE"/>
    <w:rsid w:val="00985AB9"/>
    <w:rsid w:val="009878F2"/>
    <w:rsid w:val="009950C8"/>
    <w:rsid w:val="009A0715"/>
    <w:rsid w:val="009A6822"/>
    <w:rsid w:val="009B52D7"/>
    <w:rsid w:val="009B7E51"/>
    <w:rsid w:val="009D29E1"/>
    <w:rsid w:val="009D38CA"/>
    <w:rsid w:val="00A00E72"/>
    <w:rsid w:val="00A06ABC"/>
    <w:rsid w:val="00A42585"/>
    <w:rsid w:val="00A535C8"/>
    <w:rsid w:val="00A54CA1"/>
    <w:rsid w:val="00A6203C"/>
    <w:rsid w:val="00A76229"/>
    <w:rsid w:val="00A86A5D"/>
    <w:rsid w:val="00A94180"/>
    <w:rsid w:val="00A97660"/>
    <w:rsid w:val="00AA6190"/>
    <w:rsid w:val="00AA782F"/>
    <w:rsid w:val="00AB4F5D"/>
    <w:rsid w:val="00AB558E"/>
    <w:rsid w:val="00AD162C"/>
    <w:rsid w:val="00AD4DA0"/>
    <w:rsid w:val="00AE154D"/>
    <w:rsid w:val="00AE1A08"/>
    <w:rsid w:val="00AE7B58"/>
    <w:rsid w:val="00AF348F"/>
    <w:rsid w:val="00AF7DD3"/>
    <w:rsid w:val="00B0151F"/>
    <w:rsid w:val="00B045C8"/>
    <w:rsid w:val="00B04F1E"/>
    <w:rsid w:val="00B0556E"/>
    <w:rsid w:val="00B13A7D"/>
    <w:rsid w:val="00B13E67"/>
    <w:rsid w:val="00B22DED"/>
    <w:rsid w:val="00B248B2"/>
    <w:rsid w:val="00B25F50"/>
    <w:rsid w:val="00B471B4"/>
    <w:rsid w:val="00B60B6D"/>
    <w:rsid w:val="00B62458"/>
    <w:rsid w:val="00B65976"/>
    <w:rsid w:val="00B77628"/>
    <w:rsid w:val="00B90EE1"/>
    <w:rsid w:val="00BA57A9"/>
    <w:rsid w:val="00BA7CF8"/>
    <w:rsid w:val="00BB2E5A"/>
    <w:rsid w:val="00BB5A09"/>
    <w:rsid w:val="00BE22A2"/>
    <w:rsid w:val="00BF3DBF"/>
    <w:rsid w:val="00BF71D1"/>
    <w:rsid w:val="00C14938"/>
    <w:rsid w:val="00C174D9"/>
    <w:rsid w:val="00C44E67"/>
    <w:rsid w:val="00C54321"/>
    <w:rsid w:val="00C63967"/>
    <w:rsid w:val="00C718CA"/>
    <w:rsid w:val="00C748B0"/>
    <w:rsid w:val="00C77131"/>
    <w:rsid w:val="00C83E8C"/>
    <w:rsid w:val="00C918FE"/>
    <w:rsid w:val="00C92D78"/>
    <w:rsid w:val="00CA746A"/>
    <w:rsid w:val="00CA7792"/>
    <w:rsid w:val="00CB1CB9"/>
    <w:rsid w:val="00CB3B9D"/>
    <w:rsid w:val="00CC7D55"/>
    <w:rsid w:val="00CD1540"/>
    <w:rsid w:val="00CD5761"/>
    <w:rsid w:val="00CE0258"/>
    <w:rsid w:val="00CE10B2"/>
    <w:rsid w:val="00D02B4B"/>
    <w:rsid w:val="00D14F63"/>
    <w:rsid w:val="00D156B4"/>
    <w:rsid w:val="00D2252E"/>
    <w:rsid w:val="00D22B21"/>
    <w:rsid w:val="00D644EE"/>
    <w:rsid w:val="00D93D01"/>
    <w:rsid w:val="00DA7D69"/>
    <w:rsid w:val="00DB2607"/>
    <w:rsid w:val="00DD027D"/>
    <w:rsid w:val="00DD0A53"/>
    <w:rsid w:val="00DE0E70"/>
    <w:rsid w:val="00DE795B"/>
    <w:rsid w:val="00E27242"/>
    <w:rsid w:val="00E31D6C"/>
    <w:rsid w:val="00E31D8E"/>
    <w:rsid w:val="00E47621"/>
    <w:rsid w:val="00E4797F"/>
    <w:rsid w:val="00E61B45"/>
    <w:rsid w:val="00E70514"/>
    <w:rsid w:val="00E7065A"/>
    <w:rsid w:val="00E83B9C"/>
    <w:rsid w:val="00E83EFB"/>
    <w:rsid w:val="00E93642"/>
    <w:rsid w:val="00EA2987"/>
    <w:rsid w:val="00EA3EB7"/>
    <w:rsid w:val="00EB1E68"/>
    <w:rsid w:val="00EB688E"/>
    <w:rsid w:val="00ED2BA3"/>
    <w:rsid w:val="00EE0BDD"/>
    <w:rsid w:val="00EF71AF"/>
    <w:rsid w:val="00F00BD0"/>
    <w:rsid w:val="00F22242"/>
    <w:rsid w:val="00F37AF3"/>
    <w:rsid w:val="00F46B41"/>
    <w:rsid w:val="00F55AE1"/>
    <w:rsid w:val="00F57E2F"/>
    <w:rsid w:val="00F62A62"/>
    <w:rsid w:val="00F75777"/>
    <w:rsid w:val="00F75D58"/>
    <w:rsid w:val="00F80E0B"/>
    <w:rsid w:val="00F81C46"/>
    <w:rsid w:val="00F835A9"/>
    <w:rsid w:val="00FA0626"/>
    <w:rsid w:val="00FA084D"/>
    <w:rsid w:val="00FA60B2"/>
    <w:rsid w:val="00FA687B"/>
    <w:rsid w:val="00FB26DD"/>
    <w:rsid w:val="00FC3C8B"/>
    <w:rsid w:val="00FC4A68"/>
    <w:rsid w:val="00FC660A"/>
    <w:rsid w:val="00FE4F18"/>
    <w:rsid w:val="00FF6250"/>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76229"/>
    <w:pPr>
      <w:ind w:left="720"/>
      <w:contextualSpacing/>
    </w:pPr>
  </w:style>
  <w:style w:type="character" w:styleId="FollowedHyperlink">
    <w:name w:val="FollowedHyperlink"/>
    <w:basedOn w:val="DefaultParagraphFont"/>
    <w:uiPriority w:val="99"/>
    <w:semiHidden/>
    <w:unhideWhenUsed/>
    <w:rsid w:val="007A380B"/>
    <w:rPr>
      <w:color w:val="800080" w:themeColor="followedHyperlink"/>
      <w:u w:val="single"/>
    </w:rPr>
  </w:style>
  <w:style w:type="paragraph" w:styleId="BalloonText">
    <w:name w:val="Balloon Text"/>
    <w:basedOn w:val="Normal"/>
    <w:link w:val="BalloonTextChar"/>
    <w:uiPriority w:val="99"/>
    <w:semiHidden/>
    <w:unhideWhenUsed/>
    <w:rsid w:val="00E706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5A"/>
    <w:rPr>
      <w:rFonts w:ascii="Segoe UI" w:hAnsi="Segoe UI" w:cs="Segoe UI"/>
      <w:sz w:val="18"/>
      <w:szCs w:val="18"/>
    </w:rPr>
  </w:style>
  <w:style w:type="character" w:styleId="LineNumber">
    <w:name w:val="line number"/>
    <w:basedOn w:val="DefaultParagraphFont"/>
    <w:uiPriority w:val="99"/>
    <w:semiHidden/>
    <w:unhideWhenUsed/>
    <w:rsid w:val="00B045C8"/>
  </w:style>
  <w:style w:type="paragraph" w:styleId="Footer">
    <w:name w:val="footer"/>
    <w:basedOn w:val="Normal"/>
    <w:link w:val="FooterChar"/>
    <w:uiPriority w:val="99"/>
    <w:unhideWhenUsed/>
    <w:rsid w:val="0030529F"/>
    <w:pPr>
      <w:tabs>
        <w:tab w:val="center" w:pos="4703"/>
        <w:tab w:val="right" w:pos="9406"/>
      </w:tabs>
    </w:pPr>
  </w:style>
  <w:style w:type="character" w:customStyle="1" w:styleId="FooterChar">
    <w:name w:val="Footer Char"/>
    <w:basedOn w:val="DefaultParagraphFont"/>
    <w:link w:val="Footer"/>
    <w:uiPriority w:val="99"/>
    <w:rsid w:val="0030529F"/>
  </w:style>
  <w:style w:type="character" w:styleId="UnresolvedMention">
    <w:name w:val="Unresolved Mention"/>
    <w:basedOn w:val="DefaultParagraphFont"/>
    <w:uiPriority w:val="99"/>
    <w:semiHidden/>
    <w:unhideWhenUsed/>
    <w:rsid w:val="00706CBA"/>
    <w:rPr>
      <w:color w:val="605E5C"/>
      <w:shd w:val="clear" w:color="auto" w:fill="E1DFDD"/>
    </w:rPr>
  </w:style>
  <w:style w:type="character" w:styleId="CommentReference">
    <w:name w:val="annotation reference"/>
    <w:basedOn w:val="DefaultParagraphFont"/>
    <w:uiPriority w:val="99"/>
    <w:semiHidden/>
    <w:unhideWhenUsed/>
    <w:rsid w:val="00706CBA"/>
    <w:rPr>
      <w:sz w:val="16"/>
      <w:szCs w:val="16"/>
    </w:rPr>
  </w:style>
  <w:style w:type="paragraph" w:styleId="CommentText">
    <w:name w:val="annotation text"/>
    <w:basedOn w:val="Normal"/>
    <w:link w:val="CommentTextChar"/>
    <w:uiPriority w:val="99"/>
    <w:unhideWhenUsed/>
    <w:rsid w:val="00706CBA"/>
    <w:rPr>
      <w:sz w:val="20"/>
      <w:szCs w:val="20"/>
    </w:rPr>
  </w:style>
  <w:style w:type="character" w:customStyle="1" w:styleId="CommentTextChar">
    <w:name w:val="Comment Text Char"/>
    <w:basedOn w:val="DefaultParagraphFont"/>
    <w:link w:val="CommentText"/>
    <w:uiPriority w:val="99"/>
    <w:rsid w:val="00706CBA"/>
    <w:rPr>
      <w:sz w:val="20"/>
      <w:szCs w:val="20"/>
    </w:rPr>
  </w:style>
  <w:style w:type="paragraph" w:styleId="CommentSubject">
    <w:name w:val="annotation subject"/>
    <w:basedOn w:val="CommentText"/>
    <w:next w:val="CommentText"/>
    <w:link w:val="CommentSubjectChar"/>
    <w:uiPriority w:val="99"/>
    <w:semiHidden/>
    <w:unhideWhenUsed/>
    <w:rsid w:val="00706CBA"/>
    <w:rPr>
      <w:b/>
      <w:bCs/>
    </w:rPr>
  </w:style>
  <w:style w:type="character" w:customStyle="1" w:styleId="CommentSubjectChar">
    <w:name w:val="Comment Subject Char"/>
    <w:basedOn w:val="CommentTextChar"/>
    <w:link w:val="CommentSubject"/>
    <w:uiPriority w:val="99"/>
    <w:semiHidden/>
    <w:rsid w:val="0070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lkalafm@lfhk.cuni.cz" TargetMode="External"/><Relationship Id="rId13" Type="http://schemas.openxmlformats.org/officeDocument/2006/relationships/hyperlink" Target="mailto:kucerao@lfhk.cuni.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polak@lf3.cuni.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lff@lfhk.cuni.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ankovap@lfhk.cuni.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neckokar@lfhk.cuni.cz" TargetMode="External"/><Relationship Id="rId14" Type="http://schemas.openxmlformats.org/officeDocument/2006/relationships/hyperlink" Target="mailto:elkalafm@lfhk.cu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C968DD57-451C-401C-9475-F98122E8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2021-07-15T08:22:00Z</dcterms:created>
  <dcterms:modified xsi:type="dcterms:W3CDTF">2021-07-15T21:34:00Z</dcterms:modified>
</cp:coreProperties>
</file>