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6CB11" w14:textId="5118720A" w:rsidR="0070224D" w:rsidRPr="008D7E04" w:rsidRDefault="0070224D" w:rsidP="00B42B09">
      <w:pPr>
        <w:jc w:val="center"/>
        <w:rPr>
          <w:rFonts w:ascii="Helvetica" w:hAnsi="Helvetica"/>
          <w:color w:val="000000"/>
          <w:sz w:val="20"/>
          <w:szCs w:val="20"/>
          <w:lang w:val="en-US"/>
        </w:rPr>
      </w:pPr>
      <w:r w:rsidRPr="008D7E04">
        <w:rPr>
          <w:rFonts w:ascii="Helvetica" w:hAnsi="Helvetica"/>
          <w:color w:val="000000"/>
          <w:sz w:val="20"/>
          <w:szCs w:val="20"/>
          <w:lang w:val="en-US"/>
        </w:rPr>
        <w:t>Point by point answer to the reviewer</w:t>
      </w:r>
      <w:r w:rsidR="000959C9">
        <w:rPr>
          <w:rFonts w:ascii="Helvetica" w:hAnsi="Helvetica"/>
          <w:color w:val="000000"/>
          <w:sz w:val="20"/>
          <w:szCs w:val="20"/>
          <w:lang w:val="en-US"/>
        </w:rPr>
        <w:t>s</w:t>
      </w:r>
    </w:p>
    <w:p w14:paraId="1CF177C5" w14:textId="768C7F81" w:rsidR="000875AA" w:rsidRPr="008D7E04" w:rsidRDefault="000875AA" w:rsidP="00B42B09">
      <w:pPr>
        <w:jc w:val="center"/>
        <w:rPr>
          <w:rFonts w:ascii="Helvetica" w:hAnsi="Helvetica"/>
          <w:color w:val="000000"/>
          <w:sz w:val="20"/>
          <w:szCs w:val="20"/>
          <w:lang w:val="en-US"/>
        </w:rPr>
      </w:pPr>
    </w:p>
    <w:p w14:paraId="1DAE4E88" w14:textId="720A687C" w:rsidR="00244C1E"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Editorial comments:</w:t>
      </w:r>
    </w:p>
    <w:p w14:paraId="145744AD" w14:textId="77777777" w:rsidR="00244C1E" w:rsidRDefault="00244C1E" w:rsidP="000959C9">
      <w:pPr>
        <w:rPr>
          <w:rFonts w:ascii="Helvetica" w:hAnsi="Helvetica"/>
          <w:color w:val="000000"/>
          <w:sz w:val="20"/>
          <w:szCs w:val="20"/>
          <w:lang w:val="en-US"/>
        </w:rPr>
      </w:pPr>
    </w:p>
    <w:p w14:paraId="307E75D8" w14:textId="77777777" w:rsidR="00244C1E" w:rsidRDefault="000959C9" w:rsidP="00244C1E">
      <w:pPr>
        <w:pStyle w:val="ListParagraph"/>
        <w:numPr>
          <w:ilvl w:val="0"/>
          <w:numId w:val="4"/>
        </w:numPr>
        <w:rPr>
          <w:rFonts w:ascii="Helvetica" w:hAnsi="Helvetica"/>
          <w:color w:val="000000"/>
          <w:sz w:val="20"/>
          <w:szCs w:val="20"/>
          <w:lang w:val="en-US"/>
        </w:rPr>
      </w:pPr>
      <w:r w:rsidRPr="00244C1E">
        <w:rPr>
          <w:rFonts w:ascii="Helvetica" w:hAnsi="Helvetica"/>
          <w:color w:val="000000"/>
          <w:sz w:val="20"/>
          <w:szCs w:val="20"/>
          <w:lang w:val="en-US"/>
        </w:rPr>
        <w:t>Please take this opportunity to thoroughly proofread the manuscript to ensure that there are no spelling or grammar issues.</w:t>
      </w:r>
    </w:p>
    <w:p w14:paraId="6A5E8A6E" w14:textId="77777777" w:rsidR="00244C1E" w:rsidRDefault="00244C1E" w:rsidP="00244C1E">
      <w:pPr>
        <w:pStyle w:val="ListParagraph"/>
        <w:rPr>
          <w:rFonts w:ascii="Helvetica" w:hAnsi="Helvetica"/>
          <w:color w:val="000000"/>
          <w:sz w:val="20"/>
          <w:szCs w:val="20"/>
          <w:lang w:val="en-US"/>
        </w:rPr>
      </w:pPr>
    </w:p>
    <w:p w14:paraId="56D037DB" w14:textId="7A4D723D" w:rsidR="00244C1E" w:rsidRPr="00244C1E" w:rsidRDefault="00B30E29" w:rsidP="00244C1E">
      <w:pPr>
        <w:ind w:left="708"/>
        <w:rPr>
          <w:rFonts w:ascii="Helvetica" w:hAnsi="Helvetica"/>
          <w:color w:val="2F5496" w:themeColor="accent1" w:themeShade="BF"/>
          <w:sz w:val="20"/>
          <w:szCs w:val="20"/>
          <w:lang w:val="en-US"/>
        </w:rPr>
      </w:pPr>
      <w:r>
        <w:rPr>
          <w:rFonts w:ascii="Helvetica" w:hAnsi="Helvetica"/>
          <w:color w:val="2F5496" w:themeColor="accent1" w:themeShade="BF"/>
          <w:sz w:val="20"/>
          <w:szCs w:val="20"/>
          <w:lang w:val="en-US"/>
        </w:rPr>
        <w:t>Done.</w:t>
      </w:r>
      <w:r w:rsidR="000959C9" w:rsidRPr="00244C1E">
        <w:rPr>
          <w:rFonts w:ascii="Helvetica" w:hAnsi="Helvetica"/>
          <w:color w:val="2F5496" w:themeColor="accent1" w:themeShade="BF"/>
          <w:sz w:val="20"/>
          <w:szCs w:val="20"/>
          <w:lang w:val="en-US"/>
        </w:rPr>
        <w:br/>
      </w:r>
    </w:p>
    <w:p w14:paraId="3E0A805C" w14:textId="0A7EF562" w:rsidR="00C766A1" w:rsidRDefault="000959C9" w:rsidP="00B00EED">
      <w:pPr>
        <w:pStyle w:val="ListParagraph"/>
        <w:numPr>
          <w:ilvl w:val="0"/>
          <w:numId w:val="4"/>
        </w:numPr>
        <w:rPr>
          <w:rFonts w:ascii="Helvetica" w:hAnsi="Helvetica"/>
          <w:color w:val="000000"/>
          <w:sz w:val="20"/>
          <w:szCs w:val="20"/>
          <w:lang w:val="en-US"/>
        </w:rPr>
      </w:pPr>
      <w:r w:rsidRPr="00244C1E">
        <w:rPr>
          <w:rFonts w:ascii="Helvetica" w:hAnsi="Helvetica"/>
          <w:color w:val="000000"/>
          <w:sz w:val="20"/>
          <w:szCs w:val="20"/>
          <w:lang w:val="en-US"/>
        </w:rPr>
        <w:t>Please revise the following lines to avoid previously published work: 133-139, 189-194.</w:t>
      </w:r>
      <w:r w:rsidRPr="00244C1E">
        <w:rPr>
          <w:rFonts w:ascii="Helvetica" w:hAnsi="Helvetica"/>
          <w:color w:val="000000"/>
          <w:sz w:val="20"/>
          <w:szCs w:val="20"/>
          <w:lang w:val="en-US"/>
        </w:rPr>
        <w:br/>
      </w:r>
    </w:p>
    <w:p w14:paraId="2F6A4EDD" w14:textId="5EB0CF85" w:rsidR="00244C1E" w:rsidRPr="00C766A1" w:rsidRDefault="00C766A1" w:rsidP="00C766A1">
      <w:pPr>
        <w:ind w:left="708"/>
        <w:rPr>
          <w:rFonts w:ascii="Helvetica" w:hAnsi="Helvetica"/>
          <w:color w:val="2F5496" w:themeColor="accent1" w:themeShade="BF"/>
          <w:sz w:val="20"/>
          <w:szCs w:val="20"/>
          <w:lang w:val="en-US"/>
        </w:rPr>
      </w:pPr>
      <w:r>
        <w:rPr>
          <w:rFonts w:ascii="Helvetica" w:hAnsi="Helvetica"/>
          <w:color w:val="2F5496" w:themeColor="accent1" w:themeShade="BF"/>
          <w:sz w:val="20"/>
          <w:szCs w:val="20"/>
          <w:lang w:val="en-US"/>
        </w:rPr>
        <w:t>Done.</w:t>
      </w:r>
      <w:r w:rsidRPr="00244C1E">
        <w:rPr>
          <w:rFonts w:ascii="Helvetica" w:hAnsi="Helvetica"/>
          <w:color w:val="2F5496" w:themeColor="accent1" w:themeShade="BF"/>
          <w:sz w:val="20"/>
          <w:szCs w:val="20"/>
          <w:lang w:val="en-US"/>
        </w:rPr>
        <w:br/>
      </w:r>
    </w:p>
    <w:p w14:paraId="4DEC9DE0" w14:textId="4A91CB16" w:rsidR="00C766A1" w:rsidRDefault="000959C9" w:rsidP="00B00EED">
      <w:pPr>
        <w:pStyle w:val="ListParagraph"/>
        <w:numPr>
          <w:ilvl w:val="0"/>
          <w:numId w:val="4"/>
        </w:numPr>
        <w:rPr>
          <w:rFonts w:ascii="Helvetica" w:hAnsi="Helvetica"/>
          <w:color w:val="000000"/>
          <w:sz w:val="20"/>
          <w:szCs w:val="20"/>
          <w:lang w:val="en-US"/>
        </w:rPr>
      </w:pPr>
      <w:r w:rsidRPr="00244C1E">
        <w:rPr>
          <w:rFonts w:ascii="Helvetica" w:hAnsi="Helvetica"/>
          <w:color w:val="000000"/>
          <w:sz w:val="20"/>
          <w:szCs w:val="20"/>
          <w:lang w:val="en-US"/>
        </w:rPr>
        <w:t>Please revise the text to avoid the use of any personal pronouns (e.g., "we", "you", "our" etc.).</w:t>
      </w:r>
    </w:p>
    <w:p w14:paraId="75D2583B" w14:textId="77777777" w:rsidR="00C766A1" w:rsidRDefault="00C766A1" w:rsidP="00C766A1">
      <w:pPr>
        <w:pStyle w:val="ListParagraph"/>
        <w:rPr>
          <w:rFonts w:ascii="Helvetica" w:hAnsi="Helvetica"/>
          <w:color w:val="000000"/>
          <w:sz w:val="20"/>
          <w:szCs w:val="20"/>
          <w:lang w:val="en-US"/>
        </w:rPr>
      </w:pPr>
    </w:p>
    <w:p w14:paraId="32C7D426" w14:textId="0772CC66" w:rsidR="00244C1E" w:rsidRPr="00C766A1" w:rsidRDefault="00C766A1" w:rsidP="00C766A1">
      <w:pPr>
        <w:ind w:left="708"/>
        <w:rPr>
          <w:rFonts w:ascii="Helvetica" w:hAnsi="Helvetica"/>
          <w:color w:val="2F5496" w:themeColor="accent1" w:themeShade="BF"/>
          <w:sz w:val="20"/>
          <w:szCs w:val="20"/>
          <w:lang w:val="en-US"/>
        </w:rPr>
      </w:pPr>
      <w:r>
        <w:rPr>
          <w:rFonts w:ascii="Helvetica" w:hAnsi="Helvetica"/>
          <w:color w:val="2F5496" w:themeColor="accent1" w:themeShade="BF"/>
          <w:sz w:val="20"/>
          <w:szCs w:val="20"/>
          <w:lang w:val="en-US"/>
        </w:rPr>
        <w:t>Done.</w:t>
      </w:r>
      <w:r w:rsidR="000959C9" w:rsidRPr="00C766A1">
        <w:rPr>
          <w:rFonts w:ascii="Helvetica" w:hAnsi="Helvetica"/>
          <w:color w:val="000000"/>
          <w:sz w:val="20"/>
          <w:szCs w:val="20"/>
          <w:lang w:val="en-US"/>
        </w:rPr>
        <w:br/>
      </w:r>
    </w:p>
    <w:p w14:paraId="5D8440A8" w14:textId="1CB10DDF" w:rsidR="00C766A1" w:rsidRDefault="000959C9" w:rsidP="00B00EED">
      <w:pPr>
        <w:pStyle w:val="ListParagraph"/>
        <w:numPr>
          <w:ilvl w:val="0"/>
          <w:numId w:val="4"/>
        </w:numPr>
        <w:rPr>
          <w:rFonts w:ascii="Helvetica" w:hAnsi="Helvetica"/>
          <w:color w:val="000000"/>
          <w:sz w:val="20"/>
          <w:szCs w:val="20"/>
          <w:lang w:val="en-US"/>
        </w:rPr>
      </w:pPr>
      <w:r w:rsidRPr="00244C1E">
        <w:rPr>
          <w:rFonts w:ascii="Helvetica" w:hAnsi="Helvetica"/>
          <w:color w:val="000000"/>
          <w:sz w:val="20"/>
          <w:szCs w:val="20"/>
          <w:lang w:val="en-US"/>
        </w:rPr>
        <w:t>Please adjust the numbering of the Protocol to follow the JoVE Instructions for Authors. For example, 1 should be followed by 1.1 and then 1.1.1 and 1.1.2 if necessary. Please refrain from using bullets or dashes.</w:t>
      </w:r>
      <w:r w:rsidRPr="00244C1E">
        <w:rPr>
          <w:rFonts w:ascii="Helvetica" w:hAnsi="Helvetica"/>
          <w:color w:val="000000"/>
          <w:sz w:val="20"/>
          <w:szCs w:val="20"/>
          <w:lang w:val="en-US"/>
        </w:rPr>
        <w:br/>
      </w:r>
    </w:p>
    <w:p w14:paraId="3FC02EB9" w14:textId="029BCBA3" w:rsidR="00244C1E" w:rsidRPr="00C766A1" w:rsidRDefault="00C766A1" w:rsidP="00C766A1">
      <w:pPr>
        <w:ind w:left="708"/>
        <w:rPr>
          <w:rFonts w:ascii="Helvetica" w:hAnsi="Helvetica"/>
          <w:color w:val="2F5496" w:themeColor="accent1" w:themeShade="BF"/>
          <w:sz w:val="20"/>
          <w:szCs w:val="20"/>
          <w:lang w:val="en-US"/>
        </w:rPr>
      </w:pPr>
      <w:r>
        <w:rPr>
          <w:rFonts w:ascii="Helvetica" w:hAnsi="Helvetica"/>
          <w:color w:val="2F5496" w:themeColor="accent1" w:themeShade="BF"/>
          <w:sz w:val="20"/>
          <w:szCs w:val="20"/>
          <w:lang w:val="en-US"/>
        </w:rPr>
        <w:t>Done.</w:t>
      </w:r>
      <w:r w:rsidRPr="00C766A1">
        <w:rPr>
          <w:rFonts w:ascii="Helvetica" w:hAnsi="Helvetica"/>
          <w:color w:val="000000"/>
          <w:sz w:val="20"/>
          <w:szCs w:val="20"/>
          <w:lang w:val="en-US"/>
        </w:rPr>
        <w:br/>
      </w:r>
    </w:p>
    <w:p w14:paraId="23B337FB" w14:textId="77777777" w:rsidR="00AC5241" w:rsidRDefault="000959C9" w:rsidP="00244C1E">
      <w:pPr>
        <w:pStyle w:val="ListParagraph"/>
        <w:numPr>
          <w:ilvl w:val="0"/>
          <w:numId w:val="4"/>
        </w:numPr>
        <w:rPr>
          <w:rFonts w:ascii="Helvetica" w:hAnsi="Helvetica"/>
          <w:color w:val="000000"/>
          <w:sz w:val="20"/>
          <w:szCs w:val="20"/>
          <w:lang w:val="en-US"/>
        </w:rPr>
      </w:pPr>
      <w:r w:rsidRPr="00244C1E">
        <w:rPr>
          <w:rFonts w:ascii="Helvetica" w:hAnsi="Helvetica"/>
          <w:color w:val="000000"/>
          <w:sz w:val="20"/>
          <w:szCs w:val="20"/>
          <w:lang w:val="en-US"/>
        </w:rPr>
        <w:t>The Protocol should be made up almost entirely of discrete steps without large paragraphs of text between sections. Please simplify the Protocol so that individual steps contain only 2-3 actions per step and a maximum of 4 sentences per step.</w:t>
      </w:r>
    </w:p>
    <w:p w14:paraId="0AC3B26F" w14:textId="77777777" w:rsidR="00AC5241" w:rsidRDefault="00AC5241" w:rsidP="00AC5241">
      <w:pPr>
        <w:pStyle w:val="ListParagraph"/>
        <w:rPr>
          <w:rFonts w:ascii="Helvetica" w:hAnsi="Helvetica"/>
          <w:color w:val="000000"/>
          <w:sz w:val="20"/>
          <w:szCs w:val="20"/>
          <w:lang w:val="en-US"/>
        </w:rPr>
      </w:pPr>
    </w:p>
    <w:p w14:paraId="402D6665" w14:textId="10A107BF" w:rsidR="00244C1E" w:rsidRPr="00AC5241" w:rsidRDefault="00AC5241" w:rsidP="00AC5241">
      <w:pPr>
        <w:pStyle w:val="ListParagraph"/>
        <w:rPr>
          <w:rFonts w:ascii="Helvetica" w:hAnsi="Helvetica"/>
          <w:color w:val="000000"/>
          <w:sz w:val="20"/>
          <w:szCs w:val="20"/>
          <w:lang w:val="en-US"/>
        </w:rPr>
      </w:pPr>
      <w:r w:rsidRPr="00AC5241">
        <w:rPr>
          <w:rFonts w:ascii="Helvetica" w:hAnsi="Helvetica"/>
          <w:color w:val="2F5496" w:themeColor="accent1" w:themeShade="BF"/>
          <w:sz w:val="20"/>
          <w:szCs w:val="20"/>
          <w:lang w:val="en-US"/>
        </w:rPr>
        <w:t>Done.</w:t>
      </w:r>
      <w:r w:rsidR="000959C9" w:rsidRPr="00AC5241">
        <w:rPr>
          <w:rFonts w:ascii="Helvetica" w:hAnsi="Helvetica"/>
          <w:color w:val="000000"/>
          <w:sz w:val="20"/>
          <w:szCs w:val="20"/>
          <w:lang w:val="en-US"/>
        </w:rPr>
        <w:br/>
      </w:r>
    </w:p>
    <w:p w14:paraId="38681E9D" w14:textId="537B23A3" w:rsidR="00244C1E" w:rsidRDefault="000959C9" w:rsidP="00244C1E">
      <w:pPr>
        <w:pStyle w:val="ListParagraph"/>
        <w:numPr>
          <w:ilvl w:val="0"/>
          <w:numId w:val="4"/>
        </w:numPr>
        <w:rPr>
          <w:rFonts w:ascii="Helvetica" w:hAnsi="Helvetica"/>
          <w:color w:val="000000"/>
          <w:sz w:val="20"/>
          <w:szCs w:val="20"/>
          <w:lang w:val="en-US"/>
        </w:rPr>
      </w:pPr>
      <w:r w:rsidRPr="00244C1E">
        <w:rPr>
          <w:rFonts w:ascii="Helvetica" w:hAnsi="Helvetica"/>
          <w:color w:val="000000"/>
          <w:sz w:val="20"/>
          <w:szCs w:val="20"/>
          <w:lang w:val="en-US"/>
        </w:rPr>
        <w:t>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36130612" w14:textId="12DCC2EC" w:rsidR="00AC5241" w:rsidRDefault="00AC5241" w:rsidP="00AC5241">
      <w:pPr>
        <w:pStyle w:val="ListParagraph"/>
        <w:rPr>
          <w:rFonts w:ascii="Helvetica" w:hAnsi="Helvetica"/>
          <w:color w:val="000000"/>
          <w:sz w:val="20"/>
          <w:szCs w:val="20"/>
          <w:lang w:val="en-US"/>
        </w:rPr>
      </w:pPr>
    </w:p>
    <w:p w14:paraId="3A2E9E2B" w14:textId="48075E9C" w:rsidR="00AC5241" w:rsidRPr="00244C1E" w:rsidRDefault="00AC5241" w:rsidP="00AC5241">
      <w:pPr>
        <w:pStyle w:val="ListParagraph"/>
        <w:rPr>
          <w:rFonts w:ascii="Helvetica" w:hAnsi="Helvetica"/>
          <w:color w:val="000000"/>
          <w:sz w:val="20"/>
          <w:szCs w:val="20"/>
          <w:lang w:val="en-US"/>
        </w:rPr>
      </w:pPr>
      <w:r>
        <w:rPr>
          <w:rFonts w:ascii="Helvetica" w:hAnsi="Helvetica"/>
          <w:color w:val="2F5496" w:themeColor="accent1" w:themeShade="BF"/>
          <w:sz w:val="20"/>
          <w:szCs w:val="20"/>
          <w:lang w:val="en-US"/>
        </w:rPr>
        <w:t>Done.</w:t>
      </w:r>
    </w:p>
    <w:p w14:paraId="7A4CC459" w14:textId="77777777" w:rsidR="00244C1E" w:rsidRDefault="00244C1E" w:rsidP="000959C9">
      <w:pPr>
        <w:rPr>
          <w:rFonts w:ascii="Helvetica" w:hAnsi="Helvetica"/>
          <w:color w:val="000000"/>
          <w:sz w:val="20"/>
          <w:szCs w:val="20"/>
          <w:lang w:val="en-US"/>
        </w:rPr>
      </w:pPr>
    </w:p>
    <w:p w14:paraId="67A1D003" w14:textId="7139C16D" w:rsidR="00244C1E" w:rsidRDefault="000959C9" w:rsidP="00244C1E">
      <w:pPr>
        <w:pStyle w:val="ListParagraph"/>
        <w:numPr>
          <w:ilvl w:val="0"/>
          <w:numId w:val="4"/>
        </w:numPr>
        <w:rPr>
          <w:rFonts w:ascii="Helvetica" w:hAnsi="Helvetica"/>
          <w:color w:val="000000"/>
          <w:sz w:val="20"/>
          <w:szCs w:val="20"/>
          <w:lang w:val="en-US"/>
        </w:rPr>
      </w:pPr>
      <w:r w:rsidRPr="00244C1E">
        <w:rPr>
          <w:rFonts w:ascii="Helvetica" w:hAnsi="Helvetica"/>
          <w:color w:val="000000"/>
          <w:sz w:val="20"/>
          <w:szCs w:val="20"/>
          <w:lang w:val="en-US"/>
        </w:rPr>
        <w:t>Please add more details to your protocol steps:</w:t>
      </w:r>
      <w:r w:rsidRPr="00244C1E">
        <w:rPr>
          <w:rFonts w:ascii="Helvetica" w:hAnsi="Helvetica"/>
          <w:color w:val="000000"/>
          <w:sz w:val="20"/>
          <w:szCs w:val="20"/>
          <w:lang w:val="en-US"/>
        </w:rPr>
        <w:br/>
        <w:t>Step 1: Please include any patient inclusion/exclusion criteria.</w:t>
      </w:r>
      <w:r w:rsidRPr="00244C1E">
        <w:rPr>
          <w:rFonts w:ascii="Helvetica" w:hAnsi="Helvetica"/>
          <w:color w:val="000000"/>
          <w:sz w:val="20"/>
          <w:szCs w:val="20"/>
          <w:lang w:val="en-US"/>
        </w:rPr>
        <w:br/>
        <w:t>Line 98: Please provide the ultrasound probe details in the Table of Materials.</w:t>
      </w:r>
      <w:r w:rsidRPr="00244C1E">
        <w:rPr>
          <w:rFonts w:ascii="Helvetica" w:hAnsi="Helvetica"/>
          <w:color w:val="000000"/>
          <w:sz w:val="20"/>
          <w:szCs w:val="20"/>
          <w:lang w:val="en-US"/>
        </w:rPr>
        <w:br/>
        <w:t>Line 103: Please provide the details of the ultrasound gel used in the Table of Materials.</w:t>
      </w:r>
    </w:p>
    <w:p w14:paraId="43333D61" w14:textId="77777777" w:rsidR="00D17EEF" w:rsidRPr="00D17EEF" w:rsidRDefault="00D17EEF" w:rsidP="00D17EEF">
      <w:pPr>
        <w:ind w:left="360"/>
        <w:rPr>
          <w:rFonts w:ascii="Helvetica" w:hAnsi="Helvetica"/>
          <w:color w:val="000000"/>
          <w:sz w:val="20"/>
          <w:szCs w:val="20"/>
          <w:lang w:val="en-US"/>
        </w:rPr>
      </w:pPr>
    </w:p>
    <w:p w14:paraId="4FBE6C21" w14:textId="5D8C39FA" w:rsidR="00D17EEF" w:rsidRPr="00D17EEF" w:rsidRDefault="00D17EEF" w:rsidP="00D17EEF">
      <w:pPr>
        <w:pStyle w:val="ListParagraph"/>
        <w:rPr>
          <w:rFonts w:ascii="Helvetica" w:hAnsi="Helvetica"/>
          <w:color w:val="000000"/>
          <w:sz w:val="20"/>
          <w:szCs w:val="20"/>
          <w:lang w:val="en-US"/>
        </w:rPr>
      </w:pPr>
      <w:r>
        <w:rPr>
          <w:rFonts w:ascii="Helvetica" w:hAnsi="Helvetica"/>
          <w:color w:val="2F5496" w:themeColor="accent1" w:themeShade="BF"/>
          <w:sz w:val="20"/>
          <w:szCs w:val="20"/>
          <w:lang w:val="en-US"/>
        </w:rPr>
        <w:t>Done</w:t>
      </w:r>
      <w:r w:rsidR="0075554E">
        <w:rPr>
          <w:rFonts w:ascii="Helvetica" w:hAnsi="Helvetica"/>
          <w:color w:val="2F5496" w:themeColor="accent1" w:themeShade="BF"/>
          <w:sz w:val="20"/>
          <w:szCs w:val="20"/>
          <w:lang w:val="en-US"/>
        </w:rPr>
        <w:t xml:space="preserve"> (see protocol no 1-2 and table of materials)</w:t>
      </w:r>
      <w:r>
        <w:rPr>
          <w:rFonts w:ascii="Helvetica" w:hAnsi="Helvetica"/>
          <w:color w:val="2F5496" w:themeColor="accent1" w:themeShade="BF"/>
          <w:sz w:val="20"/>
          <w:szCs w:val="20"/>
          <w:lang w:val="en-US"/>
        </w:rPr>
        <w:t>.</w:t>
      </w:r>
    </w:p>
    <w:p w14:paraId="3A4D8FD3" w14:textId="77777777" w:rsidR="00244C1E" w:rsidRDefault="00244C1E" w:rsidP="000959C9">
      <w:pPr>
        <w:rPr>
          <w:rFonts w:ascii="Helvetica" w:hAnsi="Helvetica"/>
          <w:color w:val="000000"/>
          <w:sz w:val="20"/>
          <w:szCs w:val="20"/>
          <w:lang w:val="en-US"/>
        </w:rPr>
      </w:pPr>
    </w:p>
    <w:p w14:paraId="6DA71F98" w14:textId="54054037" w:rsidR="00244C1E" w:rsidRDefault="000959C9" w:rsidP="00244C1E">
      <w:pPr>
        <w:pStyle w:val="ListParagraph"/>
        <w:numPr>
          <w:ilvl w:val="0"/>
          <w:numId w:val="4"/>
        </w:numPr>
        <w:rPr>
          <w:rFonts w:ascii="Helvetica" w:hAnsi="Helvetica"/>
          <w:color w:val="000000"/>
          <w:sz w:val="20"/>
          <w:szCs w:val="20"/>
          <w:lang w:val="en-US"/>
        </w:rPr>
      </w:pPr>
      <w:r w:rsidRPr="00244C1E">
        <w:rPr>
          <w:rFonts w:ascii="Helvetica" w:hAnsi="Helvetica"/>
          <w:color w:val="000000"/>
          <w:sz w:val="20"/>
          <w:szCs w:val="20"/>
          <w:lang w:val="en-US"/>
        </w:rPr>
        <w:t>Please mention the duration for each ultrasound scan.</w:t>
      </w:r>
    </w:p>
    <w:p w14:paraId="687D5A5D" w14:textId="77777777" w:rsidR="00943E3E" w:rsidRPr="00943E3E" w:rsidRDefault="00943E3E" w:rsidP="00943E3E">
      <w:pPr>
        <w:rPr>
          <w:rFonts w:ascii="Helvetica" w:hAnsi="Helvetica"/>
          <w:color w:val="000000"/>
          <w:sz w:val="20"/>
          <w:szCs w:val="20"/>
          <w:lang w:val="en-US"/>
        </w:rPr>
      </w:pPr>
    </w:p>
    <w:p w14:paraId="7250BB15" w14:textId="1F247E85" w:rsidR="00943E3E" w:rsidRPr="00D17EEF" w:rsidRDefault="00943E3E" w:rsidP="00943E3E">
      <w:pPr>
        <w:pStyle w:val="ListParagraph"/>
        <w:rPr>
          <w:rFonts w:ascii="Helvetica" w:hAnsi="Helvetica"/>
          <w:color w:val="000000"/>
          <w:sz w:val="20"/>
          <w:szCs w:val="20"/>
          <w:lang w:val="en-US"/>
        </w:rPr>
      </w:pPr>
      <w:r>
        <w:rPr>
          <w:rFonts w:ascii="Helvetica" w:hAnsi="Helvetica"/>
          <w:color w:val="2F5496" w:themeColor="accent1" w:themeShade="BF"/>
          <w:sz w:val="20"/>
          <w:szCs w:val="20"/>
          <w:lang w:val="en-US"/>
        </w:rPr>
        <w:t>Done (see protocol no 3).</w:t>
      </w:r>
    </w:p>
    <w:p w14:paraId="6EC0D82F" w14:textId="77777777" w:rsidR="00244C1E" w:rsidRDefault="00244C1E" w:rsidP="000959C9">
      <w:pPr>
        <w:rPr>
          <w:rFonts w:ascii="Helvetica" w:hAnsi="Helvetica"/>
          <w:color w:val="000000"/>
          <w:sz w:val="20"/>
          <w:szCs w:val="20"/>
          <w:lang w:val="en-US"/>
        </w:rPr>
      </w:pPr>
    </w:p>
    <w:p w14:paraId="612B29B4" w14:textId="24CA871F" w:rsidR="00244C1E" w:rsidRDefault="000959C9" w:rsidP="00244C1E">
      <w:pPr>
        <w:pStyle w:val="ListParagraph"/>
        <w:numPr>
          <w:ilvl w:val="0"/>
          <w:numId w:val="4"/>
        </w:numPr>
        <w:rPr>
          <w:rFonts w:ascii="Helvetica" w:hAnsi="Helvetica"/>
          <w:color w:val="000000"/>
          <w:sz w:val="20"/>
          <w:szCs w:val="20"/>
          <w:lang w:val="en-US"/>
        </w:rPr>
      </w:pPr>
      <w:r w:rsidRPr="00244C1E">
        <w:rPr>
          <w:rFonts w:ascii="Helvetica" w:hAnsi="Helvetica"/>
          <w:color w:val="000000"/>
          <w:sz w:val="20"/>
          <w:szCs w:val="20"/>
          <w:lang w:val="en-US"/>
        </w:rPr>
        <w:t>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Also, please ensure that it is in line with the title of the manuscript. Remember that non-highlighted Protocol steps will remain in the manuscript, and therefore will still be available to the reader.</w:t>
      </w:r>
    </w:p>
    <w:p w14:paraId="08AE8083" w14:textId="2984E9AC" w:rsidR="0075554E" w:rsidRDefault="0075554E" w:rsidP="0075554E">
      <w:pPr>
        <w:pStyle w:val="ListParagraph"/>
        <w:rPr>
          <w:rFonts w:ascii="Helvetica" w:hAnsi="Helvetica"/>
          <w:color w:val="000000"/>
          <w:sz w:val="20"/>
          <w:szCs w:val="20"/>
          <w:lang w:val="en-US"/>
        </w:rPr>
      </w:pPr>
    </w:p>
    <w:p w14:paraId="6B053B48" w14:textId="186AC33C" w:rsidR="0075554E" w:rsidRPr="00244C1E" w:rsidRDefault="00BA7844" w:rsidP="0075554E">
      <w:pPr>
        <w:pStyle w:val="ListParagraph"/>
        <w:rPr>
          <w:rFonts w:ascii="Helvetica" w:hAnsi="Helvetica"/>
          <w:color w:val="000000"/>
          <w:sz w:val="20"/>
          <w:szCs w:val="20"/>
          <w:lang w:val="en-US"/>
        </w:rPr>
      </w:pPr>
      <w:r>
        <w:rPr>
          <w:rFonts w:ascii="Helvetica" w:hAnsi="Helvetica"/>
          <w:color w:val="2F5496" w:themeColor="accent1" w:themeShade="BF"/>
          <w:sz w:val="20"/>
          <w:szCs w:val="20"/>
          <w:lang w:val="en-US"/>
        </w:rPr>
        <w:t xml:space="preserve">Done. </w:t>
      </w:r>
      <w:r w:rsidR="0075554E">
        <w:rPr>
          <w:rFonts w:ascii="Helvetica" w:hAnsi="Helvetica"/>
          <w:color w:val="2F5496" w:themeColor="accent1" w:themeShade="BF"/>
          <w:sz w:val="20"/>
          <w:szCs w:val="20"/>
          <w:lang w:val="en-US"/>
        </w:rPr>
        <w:t>Essential steps of the protocol for the video were highlighted in yellow.</w:t>
      </w:r>
    </w:p>
    <w:p w14:paraId="0F22BA83" w14:textId="77777777" w:rsidR="00244C1E" w:rsidRDefault="00244C1E" w:rsidP="000959C9">
      <w:pPr>
        <w:rPr>
          <w:rFonts w:ascii="Helvetica" w:hAnsi="Helvetica"/>
          <w:color w:val="000000"/>
          <w:sz w:val="20"/>
          <w:szCs w:val="20"/>
          <w:lang w:val="en-US"/>
        </w:rPr>
      </w:pPr>
    </w:p>
    <w:p w14:paraId="255FEF0F" w14:textId="5D5C7EEA" w:rsidR="00244C1E" w:rsidRDefault="000959C9" w:rsidP="00244C1E">
      <w:pPr>
        <w:pStyle w:val="ListParagraph"/>
        <w:numPr>
          <w:ilvl w:val="0"/>
          <w:numId w:val="4"/>
        </w:numPr>
        <w:rPr>
          <w:rFonts w:ascii="Helvetica" w:hAnsi="Helvetica"/>
          <w:color w:val="000000"/>
          <w:sz w:val="20"/>
          <w:szCs w:val="20"/>
          <w:lang w:val="en-US"/>
        </w:rPr>
      </w:pPr>
      <w:r w:rsidRPr="00244C1E">
        <w:rPr>
          <w:rFonts w:ascii="Helvetica" w:hAnsi="Helvetica"/>
          <w:color w:val="000000"/>
          <w:sz w:val="20"/>
          <w:szCs w:val="20"/>
          <w:lang w:val="en-US"/>
        </w:rPr>
        <w:t>As we are a methods journal, please revise the Discussion to explicitly cover the following in detail in 3-6 paragraphs with citations:</w:t>
      </w:r>
      <w:r w:rsidRPr="00244C1E">
        <w:rPr>
          <w:rFonts w:ascii="Helvetica" w:hAnsi="Helvetica"/>
          <w:color w:val="000000"/>
          <w:sz w:val="20"/>
          <w:szCs w:val="20"/>
          <w:lang w:val="en-US"/>
        </w:rPr>
        <w:br/>
        <w:t>a) Critical steps within the protocol</w:t>
      </w:r>
      <w:r w:rsidRPr="00244C1E">
        <w:rPr>
          <w:rFonts w:ascii="Helvetica" w:hAnsi="Helvetica"/>
          <w:color w:val="000000"/>
          <w:sz w:val="20"/>
          <w:szCs w:val="20"/>
          <w:lang w:val="en-US"/>
        </w:rPr>
        <w:br/>
        <w:t>b) Any modifications and troubleshooting of the technique</w:t>
      </w:r>
      <w:r w:rsidRPr="00244C1E">
        <w:rPr>
          <w:rFonts w:ascii="Helvetica" w:hAnsi="Helvetica"/>
          <w:color w:val="000000"/>
          <w:sz w:val="20"/>
          <w:szCs w:val="20"/>
          <w:lang w:val="en-US"/>
        </w:rPr>
        <w:br/>
      </w:r>
      <w:r w:rsidRPr="00244C1E">
        <w:rPr>
          <w:rFonts w:ascii="Helvetica" w:hAnsi="Helvetica"/>
          <w:color w:val="000000"/>
          <w:sz w:val="20"/>
          <w:szCs w:val="20"/>
          <w:lang w:val="en-US"/>
        </w:rPr>
        <w:lastRenderedPageBreak/>
        <w:t>c) Any limitations of the technique</w:t>
      </w:r>
      <w:r w:rsidRPr="00244C1E">
        <w:rPr>
          <w:rFonts w:ascii="Helvetica" w:hAnsi="Helvetica"/>
          <w:color w:val="000000"/>
          <w:sz w:val="20"/>
          <w:szCs w:val="20"/>
          <w:lang w:val="en-US"/>
        </w:rPr>
        <w:br/>
        <w:t>d) The significance with respect to existing methods</w:t>
      </w:r>
      <w:r w:rsidRPr="00244C1E">
        <w:rPr>
          <w:rFonts w:ascii="Helvetica" w:hAnsi="Helvetica"/>
          <w:color w:val="000000"/>
          <w:sz w:val="20"/>
          <w:szCs w:val="20"/>
          <w:lang w:val="en-US"/>
        </w:rPr>
        <w:br/>
        <w:t>e) Any future applications of the technique</w:t>
      </w:r>
    </w:p>
    <w:p w14:paraId="407DCC7F" w14:textId="4D6F966E" w:rsidR="002F527E" w:rsidRDefault="002F527E" w:rsidP="002F527E">
      <w:pPr>
        <w:rPr>
          <w:rFonts w:ascii="Helvetica" w:hAnsi="Helvetica"/>
          <w:color w:val="000000"/>
          <w:sz w:val="20"/>
          <w:szCs w:val="20"/>
          <w:lang w:val="en-US"/>
        </w:rPr>
      </w:pPr>
    </w:p>
    <w:p w14:paraId="4CEAE6D5" w14:textId="0E77FBF7" w:rsidR="002F527E" w:rsidRPr="002F527E" w:rsidRDefault="002F527E" w:rsidP="002F527E">
      <w:pPr>
        <w:pStyle w:val="ListParagraph"/>
        <w:rPr>
          <w:rFonts w:ascii="Helvetica" w:hAnsi="Helvetica"/>
          <w:color w:val="2F5496" w:themeColor="accent1" w:themeShade="BF"/>
          <w:sz w:val="20"/>
          <w:szCs w:val="20"/>
          <w:lang w:val="en-US"/>
        </w:rPr>
      </w:pPr>
      <w:r w:rsidRPr="002F527E">
        <w:rPr>
          <w:rFonts w:ascii="Helvetica" w:hAnsi="Helvetica"/>
          <w:color w:val="2F5496" w:themeColor="accent1" w:themeShade="BF"/>
          <w:sz w:val="20"/>
          <w:szCs w:val="20"/>
          <w:lang w:val="en-US"/>
        </w:rPr>
        <w:t xml:space="preserve">The according sections were added in the discussion part. </w:t>
      </w:r>
    </w:p>
    <w:p w14:paraId="14B67024" w14:textId="77777777" w:rsidR="00244C1E" w:rsidRDefault="00244C1E" w:rsidP="000959C9">
      <w:pPr>
        <w:rPr>
          <w:rFonts w:ascii="Helvetica" w:hAnsi="Helvetica"/>
          <w:color w:val="000000"/>
          <w:sz w:val="20"/>
          <w:szCs w:val="20"/>
          <w:lang w:val="en-US"/>
        </w:rPr>
      </w:pPr>
    </w:p>
    <w:p w14:paraId="26B42B3A" w14:textId="750EBAE5" w:rsidR="00244C1E" w:rsidRDefault="000959C9" w:rsidP="00244C1E">
      <w:pPr>
        <w:pStyle w:val="ListParagraph"/>
        <w:numPr>
          <w:ilvl w:val="0"/>
          <w:numId w:val="4"/>
        </w:numPr>
        <w:rPr>
          <w:rFonts w:ascii="Helvetica" w:hAnsi="Helvetica"/>
          <w:color w:val="000000"/>
          <w:sz w:val="20"/>
          <w:szCs w:val="20"/>
          <w:lang w:val="en-US"/>
        </w:rPr>
      </w:pPr>
      <w:r w:rsidRPr="00244C1E">
        <w:rPr>
          <w:rFonts w:ascii="Helvetica" w:hAnsi="Helvetica"/>
          <w:color w:val="000000"/>
          <w:sz w:val="20"/>
          <w:szCs w:val="20"/>
          <w:lang w:val="en-US"/>
        </w:rPr>
        <w:t>Please provide reprint permissions for the reuse of the data for the Table.</w:t>
      </w:r>
      <w:r w:rsidR="00B040D9">
        <w:rPr>
          <w:rFonts w:ascii="Helvetica" w:hAnsi="Helvetica"/>
          <w:color w:val="000000"/>
          <w:sz w:val="20"/>
          <w:szCs w:val="20"/>
          <w:lang w:val="en-US"/>
        </w:rPr>
        <w:t xml:space="preserve"> </w:t>
      </w:r>
    </w:p>
    <w:p w14:paraId="2B1F2852" w14:textId="77777777" w:rsidR="00B040D9" w:rsidRPr="00B040D9" w:rsidRDefault="00B040D9" w:rsidP="00B040D9">
      <w:pPr>
        <w:pStyle w:val="ListParagraph"/>
        <w:rPr>
          <w:rFonts w:ascii="Helvetica" w:hAnsi="Helvetica"/>
          <w:color w:val="000000"/>
          <w:sz w:val="20"/>
          <w:szCs w:val="20"/>
          <w:lang w:val="en-US"/>
        </w:rPr>
      </w:pPr>
    </w:p>
    <w:p w14:paraId="321001BB" w14:textId="75A5AD5B" w:rsidR="00B040D9" w:rsidRPr="004D6DB9" w:rsidRDefault="00B040D9" w:rsidP="00B040D9">
      <w:pPr>
        <w:pStyle w:val="ListParagraph"/>
        <w:rPr>
          <w:rFonts w:ascii="Helvetica" w:hAnsi="Helvetica"/>
          <w:color w:val="2F5496" w:themeColor="accent1" w:themeShade="BF"/>
          <w:sz w:val="20"/>
          <w:szCs w:val="20"/>
          <w:lang w:val="en-US"/>
        </w:rPr>
      </w:pPr>
      <w:r w:rsidRPr="004D6DB9">
        <w:rPr>
          <w:rFonts w:ascii="Helvetica" w:hAnsi="Helvetica"/>
          <w:color w:val="2F5496" w:themeColor="accent1" w:themeShade="BF"/>
          <w:sz w:val="20"/>
          <w:szCs w:val="20"/>
          <w:lang w:val="en-US"/>
        </w:rPr>
        <w:t xml:space="preserve">The table itself is not a reprint but was created for this article. Source of original data are cited. If, in addition, a permission for the use of the data is required, can </w:t>
      </w:r>
      <w:r w:rsidR="00224A5B">
        <w:rPr>
          <w:rFonts w:ascii="Helvetica" w:hAnsi="Helvetica"/>
          <w:color w:val="2F5496" w:themeColor="accent1" w:themeShade="BF"/>
          <w:sz w:val="20"/>
          <w:szCs w:val="20"/>
          <w:lang w:val="en-US"/>
        </w:rPr>
        <w:t>the editorial office</w:t>
      </w:r>
      <w:r w:rsidRPr="004D6DB9">
        <w:rPr>
          <w:rFonts w:ascii="Helvetica" w:hAnsi="Helvetica"/>
          <w:color w:val="2F5496" w:themeColor="accent1" w:themeShade="BF"/>
          <w:sz w:val="20"/>
          <w:szCs w:val="20"/>
          <w:lang w:val="en-US"/>
        </w:rPr>
        <w:t xml:space="preserve"> provide an appropriate template so that we can contact the authors of the cited data?</w:t>
      </w:r>
    </w:p>
    <w:p w14:paraId="5B4ADEF1" w14:textId="77777777" w:rsidR="00244C1E" w:rsidRPr="004D6DB9" w:rsidRDefault="00244C1E" w:rsidP="004D6DB9">
      <w:pPr>
        <w:pStyle w:val="ListParagraph"/>
        <w:rPr>
          <w:rFonts w:ascii="Helvetica" w:hAnsi="Helvetica"/>
          <w:color w:val="2F5496" w:themeColor="accent1" w:themeShade="BF"/>
          <w:sz w:val="20"/>
          <w:szCs w:val="20"/>
          <w:lang w:val="en-US"/>
        </w:rPr>
      </w:pPr>
    </w:p>
    <w:p w14:paraId="4712EAA8" w14:textId="091169B7" w:rsidR="00244C1E" w:rsidRPr="00244C1E" w:rsidRDefault="000959C9" w:rsidP="00244C1E">
      <w:pPr>
        <w:pStyle w:val="ListParagraph"/>
        <w:numPr>
          <w:ilvl w:val="0"/>
          <w:numId w:val="4"/>
        </w:numPr>
        <w:rPr>
          <w:rFonts w:ascii="Helvetica" w:hAnsi="Helvetica"/>
          <w:color w:val="000000"/>
          <w:sz w:val="20"/>
          <w:szCs w:val="20"/>
          <w:lang w:val="en-US"/>
        </w:rPr>
      </w:pPr>
      <w:r w:rsidRPr="00244C1E">
        <w:rPr>
          <w:rFonts w:ascii="Helvetica" w:hAnsi="Helvetica"/>
          <w:color w:val="000000"/>
          <w:sz w:val="20"/>
          <w:szCs w:val="20"/>
          <w:lang w:val="en-US"/>
        </w:rPr>
        <w:t>Please ensure that the references appear as the following: [Lastname, F.I., LastName, F.I., LastName, F.I. Article Title. Source. Volume (Issue), FirstPage – LastPage (YEAR).] For more than 6 authors, list only the first author then et al. Please include volume and issue numbers for all references.</w:t>
      </w:r>
    </w:p>
    <w:p w14:paraId="11E873AF" w14:textId="77777777" w:rsidR="00AC420C" w:rsidRDefault="00AC420C" w:rsidP="00AC420C">
      <w:pPr>
        <w:pStyle w:val="ListParagraph"/>
        <w:rPr>
          <w:rFonts w:ascii="Helvetica" w:hAnsi="Helvetica"/>
          <w:color w:val="000000"/>
          <w:sz w:val="20"/>
          <w:szCs w:val="20"/>
          <w:lang w:val="en-US"/>
        </w:rPr>
      </w:pPr>
    </w:p>
    <w:p w14:paraId="1DAACAE8" w14:textId="77777777" w:rsidR="00AC420C" w:rsidRPr="00244C1E" w:rsidRDefault="00AC420C" w:rsidP="00AC420C">
      <w:pPr>
        <w:pStyle w:val="ListParagraph"/>
        <w:rPr>
          <w:rFonts w:ascii="Helvetica" w:hAnsi="Helvetica"/>
          <w:color w:val="000000"/>
          <w:sz w:val="20"/>
          <w:szCs w:val="20"/>
          <w:lang w:val="en-US"/>
        </w:rPr>
      </w:pPr>
      <w:r>
        <w:rPr>
          <w:rFonts w:ascii="Helvetica" w:hAnsi="Helvetica"/>
          <w:color w:val="2F5496" w:themeColor="accent1" w:themeShade="BF"/>
          <w:sz w:val="20"/>
          <w:szCs w:val="20"/>
          <w:lang w:val="en-US"/>
        </w:rPr>
        <w:t>Done.</w:t>
      </w:r>
    </w:p>
    <w:p w14:paraId="3C36E0F3" w14:textId="77777777" w:rsidR="00AC420C" w:rsidRDefault="00AC420C" w:rsidP="00AC420C">
      <w:pPr>
        <w:rPr>
          <w:rFonts w:ascii="Helvetica" w:hAnsi="Helvetica"/>
          <w:color w:val="000000"/>
          <w:sz w:val="20"/>
          <w:szCs w:val="20"/>
          <w:lang w:val="en-US"/>
        </w:rPr>
      </w:pPr>
    </w:p>
    <w:p w14:paraId="1CC3783D" w14:textId="77777777" w:rsidR="00AC420C" w:rsidRDefault="00AC420C" w:rsidP="000959C9">
      <w:pPr>
        <w:rPr>
          <w:rFonts w:ascii="Helvetica" w:hAnsi="Helvetica"/>
          <w:color w:val="000000"/>
          <w:sz w:val="20"/>
          <w:szCs w:val="20"/>
          <w:lang w:val="en-US"/>
        </w:rPr>
      </w:pPr>
    </w:p>
    <w:p w14:paraId="07E69628" w14:textId="77777777" w:rsidR="00244C1E" w:rsidRDefault="00244C1E" w:rsidP="000959C9">
      <w:pPr>
        <w:rPr>
          <w:rFonts w:ascii="Helvetica" w:hAnsi="Helvetica"/>
          <w:color w:val="000000"/>
          <w:sz w:val="20"/>
          <w:szCs w:val="20"/>
          <w:lang w:val="en-US"/>
        </w:rPr>
      </w:pPr>
    </w:p>
    <w:p w14:paraId="214EA4A9" w14:textId="341B3028" w:rsidR="00244C1E" w:rsidRDefault="00244C1E">
      <w:pPr>
        <w:rPr>
          <w:rFonts w:ascii="Helvetica" w:hAnsi="Helvetica"/>
          <w:color w:val="000000"/>
          <w:sz w:val="20"/>
          <w:szCs w:val="20"/>
          <w:lang w:val="en-US"/>
        </w:rPr>
      </w:pPr>
      <w:r>
        <w:rPr>
          <w:rFonts w:ascii="Helvetica" w:hAnsi="Helvetica"/>
          <w:color w:val="000000"/>
          <w:sz w:val="20"/>
          <w:szCs w:val="20"/>
          <w:lang w:val="en-US"/>
        </w:rPr>
        <w:br w:type="page"/>
      </w:r>
    </w:p>
    <w:p w14:paraId="3A1A0DAF" w14:textId="5EE7C3C3" w:rsidR="00244C1E"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lastRenderedPageBreak/>
        <w:t>Reviewer #1: </w:t>
      </w:r>
    </w:p>
    <w:p w14:paraId="31A8F5AD" w14:textId="77777777" w:rsidR="00244C1E"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Manuscript summary:</w:t>
      </w:r>
      <w:r w:rsidRPr="00244C1E">
        <w:rPr>
          <w:rFonts w:ascii="Helvetica" w:hAnsi="Helvetica"/>
          <w:color w:val="000000"/>
          <w:sz w:val="20"/>
          <w:szCs w:val="20"/>
          <w:lang w:val="en-US"/>
        </w:rPr>
        <w:br/>
        <w:t>The manuscript by Fisse and colleagues is a methodological study about Nerve ultrasound protocol to detect morphological alterations of cross-sectional area in</w:t>
      </w:r>
      <w:r w:rsidR="00244C1E">
        <w:rPr>
          <w:rFonts w:ascii="Helvetica" w:hAnsi="Helvetica"/>
          <w:color w:val="000000"/>
          <w:sz w:val="20"/>
          <w:szCs w:val="20"/>
          <w:lang w:val="en-US"/>
        </w:rPr>
        <w:t xml:space="preserve"> </w:t>
      </w:r>
      <w:r w:rsidRPr="00244C1E">
        <w:rPr>
          <w:rFonts w:ascii="Helvetica" w:hAnsi="Helvetica"/>
          <w:color w:val="000000"/>
          <w:sz w:val="20"/>
          <w:szCs w:val="20"/>
          <w:lang w:val="en-US"/>
        </w:rPr>
        <w:t>patients with inflammatory neuropathies. The main object of the study is to present technical requirements for nerve</w:t>
      </w:r>
      <w:r w:rsidR="00244C1E">
        <w:rPr>
          <w:rFonts w:ascii="Helvetica" w:hAnsi="Helvetica"/>
          <w:color w:val="000000"/>
          <w:sz w:val="20"/>
          <w:szCs w:val="20"/>
          <w:lang w:val="en-US"/>
        </w:rPr>
        <w:t xml:space="preserve"> </w:t>
      </w:r>
      <w:r w:rsidRPr="00244C1E">
        <w:rPr>
          <w:rFonts w:ascii="Helvetica" w:hAnsi="Helvetica"/>
          <w:color w:val="000000"/>
          <w:sz w:val="20"/>
          <w:szCs w:val="20"/>
          <w:lang w:val="en-US"/>
        </w:rPr>
        <w:t>ultrasound, and a standardized examination protocol,</w:t>
      </w:r>
      <w:r w:rsidRPr="00244C1E">
        <w:rPr>
          <w:rFonts w:ascii="Helvetica" w:hAnsi="Helvetica"/>
          <w:color w:val="000000"/>
          <w:sz w:val="20"/>
          <w:szCs w:val="20"/>
          <w:lang w:val="en-US"/>
        </w:rPr>
        <w:br/>
        <w:t>The paper itself is of interest and therefore</w:t>
      </w:r>
      <w:r w:rsidR="00244C1E">
        <w:rPr>
          <w:rFonts w:ascii="Helvetica" w:hAnsi="Helvetica"/>
          <w:color w:val="000000"/>
          <w:sz w:val="20"/>
          <w:szCs w:val="20"/>
          <w:lang w:val="en-US"/>
        </w:rPr>
        <w:t xml:space="preserve"> </w:t>
      </w:r>
      <w:r w:rsidRPr="00244C1E">
        <w:rPr>
          <w:rFonts w:ascii="Helvetica" w:hAnsi="Helvetica"/>
          <w:color w:val="000000"/>
          <w:sz w:val="20"/>
          <w:szCs w:val="20"/>
          <w:lang w:val="en-US"/>
        </w:rPr>
        <w:t>potentially suitable for publication, provided it undergoes successful revision. The paper is adaequate in length.</w:t>
      </w:r>
      <w:r w:rsidRPr="00244C1E">
        <w:rPr>
          <w:rFonts w:ascii="Helvetica" w:hAnsi="Helvetica"/>
          <w:color w:val="000000"/>
          <w:sz w:val="20"/>
          <w:szCs w:val="20"/>
          <w:lang w:val="en-US"/>
        </w:rPr>
        <w:br/>
      </w:r>
      <w:r w:rsidRPr="00244C1E">
        <w:rPr>
          <w:rFonts w:ascii="Helvetica" w:hAnsi="Helvetica"/>
          <w:color w:val="000000"/>
          <w:sz w:val="20"/>
          <w:szCs w:val="20"/>
          <w:lang w:val="en-US"/>
        </w:rPr>
        <w:br/>
        <w:t>Introduction:</w:t>
      </w:r>
      <w:r w:rsidRPr="00244C1E">
        <w:rPr>
          <w:rFonts w:ascii="Helvetica" w:hAnsi="Helvetica"/>
          <w:color w:val="000000"/>
          <w:sz w:val="20"/>
          <w:szCs w:val="20"/>
          <w:lang w:val="en-US"/>
        </w:rPr>
        <w:br/>
        <w:t>Introduction is well written.</w:t>
      </w:r>
      <w:r w:rsidRPr="00244C1E">
        <w:rPr>
          <w:rFonts w:ascii="Helvetica" w:hAnsi="Helvetica"/>
          <w:color w:val="000000"/>
          <w:sz w:val="20"/>
          <w:szCs w:val="20"/>
          <w:lang w:val="en-US"/>
        </w:rPr>
        <w:br/>
      </w:r>
      <w:r w:rsidRPr="00A45D39">
        <w:rPr>
          <w:rFonts w:ascii="Helvetica" w:hAnsi="Helvetica"/>
          <w:color w:val="000000"/>
          <w:sz w:val="20"/>
          <w:szCs w:val="20"/>
          <w:lang w:val="en-US"/>
        </w:rPr>
        <w:t>Please also include more recent references of CIDP and GBS</w:t>
      </w:r>
    </w:p>
    <w:p w14:paraId="3F8F1815" w14:textId="77777777" w:rsidR="00244C1E" w:rsidRDefault="00244C1E" w:rsidP="000959C9">
      <w:pPr>
        <w:rPr>
          <w:rFonts w:ascii="Helvetica" w:hAnsi="Helvetica"/>
          <w:color w:val="000000"/>
          <w:sz w:val="20"/>
          <w:szCs w:val="20"/>
          <w:lang w:val="en-US"/>
        </w:rPr>
      </w:pPr>
    </w:p>
    <w:p w14:paraId="2819126B" w14:textId="77777777" w:rsidR="00177A1C" w:rsidRDefault="00177A1C" w:rsidP="002E5941">
      <w:pPr>
        <w:ind w:firstLine="708"/>
        <w:rPr>
          <w:rFonts w:ascii="Helvetica" w:hAnsi="Helvetica"/>
          <w:color w:val="2F5496" w:themeColor="accent1" w:themeShade="BF"/>
          <w:sz w:val="20"/>
          <w:szCs w:val="20"/>
          <w:lang w:val="en-US"/>
        </w:rPr>
      </w:pPr>
      <w:r>
        <w:rPr>
          <w:rFonts w:ascii="Helvetica" w:hAnsi="Helvetica"/>
          <w:color w:val="2F5496" w:themeColor="accent1" w:themeShade="BF"/>
          <w:sz w:val="20"/>
          <w:szCs w:val="20"/>
          <w:lang w:val="en-US"/>
        </w:rPr>
        <w:t xml:space="preserve">We added some more recent references: </w:t>
      </w:r>
    </w:p>
    <w:p w14:paraId="726B1CD4" w14:textId="61FA5F9B" w:rsidR="00177A1C" w:rsidRPr="002E5941" w:rsidRDefault="00177A1C" w:rsidP="002E5941">
      <w:pPr>
        <w:pStyle w:val="ListParagraph"/>
        <w:numPr>
          <w:ilvl w:val="0"/>
          <w:numId w:val="12"/>
        </w:numPr>
        <w:rPr>
          <w:rFonts w:ascii="Helvetica" w:hAnsi="Helvetica"/>
          <w:color w:val="2F5496" w:themeColor="accent1" w:themeShade="BF"/>
          <w:sz w:val="20"/>
          <w:szCs w:val="20"/>
          <w:lang w:val="en-US"/>
        </w:rPr>
      </w:pPr>
      <w:r w:rsidRPr="002E5941">
        <w:rPr>
          <w:rFonts w:ascii="Helvetica" w:hAnsi="Helvetica"/>
          <w:color w:val="2F5496" w:themeColor="accent1" w:themeShade="BF"/>
          <w:sz w:val="20"/>
          <w:szCs w:val="20"/>
        </w:rPr>
        <w:t xml:space="preserve">Lehmann, H.C., Wunderlich, G., Fink, G.R., Sommer, C. Diagnosis of peripheral neuropathy. </w:t>
      </w:r>
      <w:r w:rsidRPr="002E5941">
        <w:rPr>
          <w:rFonts w:ascii="Helvetica" w:hAnsi="Helvetica"/>
          <w:color w:val="2F5496" w:themeColor="accent1" w:themeShade="BF"/>
          <w:sz w:val="20"/>
          <w:szCs w:val="20"/>
          <w:lang w:val="en-US"/>
        </w:rPr>
        <w:t>Neurological Research and Practice. 2 (1), 20 (2020).</w:t>
      </w:r>
    </w:p>
    <w:p w14:paraId="6AC980C7" w14:textId="19B875C7" w:rsidR="00177A1C" w:rsidRPr="002E5941" w:rsidRDefault="00177A1C" w:rsidP="002E5941">
      <w:pPr>
        <w:pStyle w:val="ListParagraph"/>
        <w:numPr>
          <w:ilvl w:val="0"/>
          <w:numId w:val="12"/>
        </w:numPr>
        <w:rPr>
          <w:rFonts w:ascii="Helvetica" w:hAnsi="Helvetica"/>
          <w:color w:val="2F5496" w:themeColor="accent1" w:themeShade="BF"/>
          <w:sz w:val="20"/>
          <w:szCs w:val="20"/>
          <w:lang w:val="en-US"/>
        </w:rPr>
      </w:pPr>
      <w:r w:rsidRPr="002E5941">
        <w:rPr>
          <w:rFonts w:ascii="Helvetica" w:hAnsi="Helvetica"/>
          <w:color w:val="2F5496" w:themeColor="accent1" w:themeShade="BF"/>
          <w:sz w:val="20"/>
          <w:szCs w:val="20"/>
          <w:lang w:val="en-US"/>
        </w:rPr>
        <w:t>Shahrizaila, N., Lehmann, H.C., Kuwabara, S. Guillain-Barré syndrome. The Lancet. 397 (10280), 1214–1228 (2021).</w:t>
      </w:r>
    </w:p>
    <w:p w14:paraId="04C24AD2" w14:textId="65B5CD4C" w:rsidR="00244C1E" w:rsidRPr="002E5941" w:rsidRDefault="00177A1C" w:rsidP="002E5941">
      <w:pPr>
        <w:pStyle w:val="ListParagraph"/>
        <w:numPr>
          <w:ilvl w:val="0"/>
          <w:numId w:val="12"/>
        </w:numPr>
        <w:rPr>
          <w:rFonts w:ascii="Helvetica" w:hAnsi="Helvetica"/>
          <w:color w:val="2F5496" w:themeColor="accent1" w:themeShade="BF"/>
          <w:sz w:val="20"/>
          <w:szCs w:val="20"/>
          <w:lang w:val="en-US"/>
        </w:rPr>
      </w:pPr>
      <w:r w:rsidRPr="002E5941">
        <w:rPr>
          <w:rFonts w:ascii="Helvetica" w:hAnsi="Helvetica"/>
          <w:color w:val="2F5496" w:themeColor="accent1" w:themeShade="BF"/>
          <w:sz w:val="20"/>
          <w:szCs w:val="20"/>
          <w:lang w:val="en-US"/>
        </w:rPr>
        <w:t>Lehmann, H.C., Burke, D., Kuwabara, S. Chronic inflammatory demyelinating polyneuropathy: update on diagnosis, immunopathogenesis and treatment. Journal of neurology, neurosurgery, and psychiatry. 90 (9), 981–987 (2019).</w:t>
      </w:r>
    </w:p>
    <w:p w14:paraId="0CB17E11" w14:textId="77777777" w:rsidR="00177A1C" w:rsidRDefault="00177A1C" w:rsidP="00177A1C">
      <w:pPr>
        <w:rPr>
          <w:rFonts w:ascii="Helvetica" w:hAnsi="Helvetica"/>
          <w:color w:val="000000"/>
          <w:sz w:val="20"/>
          <w:szCs w:val="20"/>
          <w:lang w:val="en-US"/>
        </w:rPr>
      </w:pPr>
    </w:p>
    <w:p w14:paraId="6AB1F64A" w14:textId="77777777" w:rsidR="00244C1E"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Methods/Technical requreiments:</w:t>
      </w:r>
      <w:r w:rsidRPr="00244C1E">
        <w:rPr>
          <w:rFonts w:ascii="Helvetica" w:hAnsi="Helvetica"/>
          <w:color w:val="000000"/>
          <w:sz w:val="20"/>
          <w:szCs w:val="20"/>
          <w:lang w:val="en-US"/>
        </w:rPr>
        <w:br/>
        <w:t>Methods are described sufficiently, but</w:t>
      </w:r>
      <w:r w:rsidRPr="00244C1E">
        <w:rPr>
          <w:rFonts w:ascii="Helvetica" w:hAnsi="Helvetica"/>
          <w:color w:val="000000"/>
          <w:sz w:val="20"/>
          <w:szCs w:val="20"/>
          <w:lang w:val="en-US"/>
        </w:rPr>
        <w:br/>
        <w:t>„For neuromuscular ultrasound, a high-resolution ultrasound probe with 18 MHz linear array transducer, for deeper nerves, an additional 12 MHz linear array probe (e.g., to display tibial and fibular nerve in the popliteal fossa) is used" -&gt; please indicate if this is mandatory i.e.what happens if you use ultrasound wih less than 18Mhz.</w:t>
      </w:r>
    </w:p>
    <w:p w14:paraId="348D8CF7" w14:textId="77777777" w:rsidR="00244C1E" w:rsidRDefault="00244C1E" w:rsidP="000959C9">
      <w:pPr>
        <w:rPr>
          <w:rFonts w:ascii="Helvetica" w:hAnsi="Helvetica"/>
          <w:color w:val="000000"/>
          <w:sz w:val="20"/>
          <w:szCs w:val="20"/>
          <w:lang w:val="en-US"/>
        </w:rPr>
      </w:pPr>
    </w:p>
    <w:p w14:paraId="768186B4" w14:textId="77777777" w:rsidR="00554852" w:rsidRDefault="00554852" w:rsidP="002E5941">
      <w:pPr>
        <w:ind w:left="708"/>
        <w:rPr>
          <w:rFonts w:ascii="Helvetica" w:hAnsi="Helvetica"/>
          <w:color w:val="2F5496" w:themeColor="accent1" w:themeShade="BF"/>
          <w:sz w:val="20"/>
          <w:szCs w:val="20"/>
          <w:lang w:val="en-US"/>
        </w:rPr>
      </w:pPr>
      <w:r>
        <w:rPr>
          <w:rFonts w:ascii="Helvetica" w:hAnsi="Helvetica"/>
          <w:color w:val="2F5496" w:themeColor="accent1" w:themeShade="BF"/>
          <w:sz w:val="20"/>
          <w:szCs w:val="20"/>
          <w:lang w:val="en-US"/>
        </w:rPr>
        <w:t xml:space="preserve">Thank you for that suggestion. We added the following sentence to the technical requirements part: </w:t>
      </w:r>
    </w:p>
    <w:p w14:paraId="7CD0F1DD" w14:textId="7E3C8348" w:rsidR="00244C1E" w:rsidRDefault="00554852" w:rsidP="002E5941">
      <w:pPr>
        <w:ind w:left="708"/>
        <w:rPr>
          <w:rFonts w:ascii="Helvetica" w:hAnsi="Helvetica"/>
          <w:color w:val="2F5496" w:themeColor="accent1" w:themeShade="BF"/>
          <w:sz w:val="20"/>
          <w:szCs w:val="20"/>
          <w:lang w:val="en-US"/>
        </w:rPr>
      </w:pPr>
      <w:r>
        <w:rPr>
          <w:rFonts w:ascii="Helvetica" w:hAnsi="Helvetica"/>
          <w:color w:val="2F5496" w:themeColor="accent1" w:themeShade="BF"/>
          <w:sz w:val="20"/>
          <w:szCs w:val="20"/>
          <w:lang w:val="en-US"/>
        </w:rPr>
        <w:t>“</w:t>
      </w:r>
      <w:r w:rsidRPr="00554852">
        <w:rPr>
          <w:rFonts w:ascii="Helvetica" w:hAnsi="Helvetica"/>
          <w:color w:val="2F5496" w:themeColor="accent1" w:themeShade="BF"/>
          <w:sz w:val="20"/>
          <w:szCs w:val="20"/>
          <w:lang w:val="en-US"/>
        </w:rPr>
        <w:t>Transducers with lower frequencies result in reduced spatial and lateral resolution, so that the differentiation of the nerve boundaries from surrounding structures is less precise.</w:t>
      </w:r>
      <w:r>
        <w:rPr>
          <w:rFonts w:ascii="Helvetica" w:hAnsi="Helvetica"/>
          <w:color w:val="2F5496" w:themeColor="accent1" w:themeShade="BF"/>
          <w:sz w:val="20"/>
          <w:szCs w:val="20"/>
          <w:lang w:val="en-US"/>
        </w:rPr>
        <w:t>” (</w:t>
      </w:r>
      <w:r w:rsidR="00393C13">
        <w:rPr>
          <w:rFonts w:ascii="Helvetica" w:hAnsi="Helvetica"/>
          <w:color w:val="2F5496" w:themeColor="accent1" w:themeShade="BF"/>
          <w:sz w:val="20"/>
          <w:szCs w:val="20"/>
          <w:lang w:val="en-US"/>
        </w:rPr>
        <w:t>p</w:t>
      </w:r>
      <w:r>
        <w:rPr>
          <w:rFonts w:ascii="Helvetica" w:hAnsi="Helvetica"/>
          <w:color w:val="2F5496" w:themeColor="accent1" w:themeShade="BF"/>
          <w:sz w:val="20"/>
          <w:szCs w:val="20"/>
          <w:lang w:val="en-US"/>
        </w:rPr>
        <w:t>age 2)</w:t>
      </w:r>
    </w:p>
    <w:p w14:paraId="07B2F905" w14:textId="77777777" w:rsidR="00554852" w:rsidRDefault="00554852" w:rsidP="000959C9">
      <w:pPr>
        <w:rPr>
          <w:rFonts w:ascii="Helvetica" w:hAnsi="Helvetica"/>
          <w:color w:val="000000"/>
          <w:sz w:val="20"/>
          <w:szCs w:val="20"/>
          <w:lang w:val="en-US"/>
        </w:rPr>
      </w:pPr>
    </w:p>
    <w:p w14:paraId="127F3BB9" w14:textId="77777777" w:rsidR="00244C1E"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„The "adjusted Bochum Ultrasound Score" is calculated from six of the above-described</w:t>
      </w:r>
      <w:r w:rsidRPr="00244C1E">
        <w:rPr>
          <w:rFonts w:ascii="Helvetica" w:hAnsi="Helvetica"/>
          <w:color w:val="000000"/>
          <w:sz w:val="20"/>
          <w:szCs w:val="20"/>
          <w:lang w:val="en-US"/>
        </w:rPr>
        <w:br/>
        <w:t>measurement sites, resulting from the number of sites with significantly enlarged CSA:"</w:t>
      </w:r>
      <w:r w:rsidRPr="00244C1E">
        <w:rPr>
          <w:rFonts w:ascii="Helvetica" w:hAnsi="Helvetica"/>
          <w:color w:val="000000"/>
          <w:sz w:val="20"/>
          <w:szCs w:val="20"/>
          <w:lang w:val="en-US"/>
        </w:rPr>
        <w:br/>
        <w:t>The autors should indicate how long it takes to measure the nerves.</w:t>
      </w:r>
    </w:p>
    <w:p w14:paraId="75ED50BB" w14:textId="77777777" w:rsidR="00244C1E" w:rsidRDefault="00244C1E" w:rsidP="000959C9">
      <w:pPr>
        <w:rPr>
          <w:rFonts w:ascii="Helvetica" w:hAnsi="Helvetica"/>
          <w:color w:val="000000"/>
          <w:sz w:val="20"/>
          <w:szCs w:val="20"/>
          <w:lang w:val="en-US"/>
        </w:rPr>
      </w:pPr>
    </w:p>
    <w:p w14:paraId="6FADCA42" w14:textId="67839E7D" w:rsidR="00A45D39" w:rsidRDefault="0049372D" w:rsidP="002E5941">
      <w:pPr>
        <w:ind w:left="708"/>
        <w:rPr>
          <w:rFonts w:ascii="Helvetica" w:hAnsi="Helvetica"/>
          <w:color w:val="2F5496" w:themeColor="accent1" w:themeShade="BF"/>
          <w:sz w:val="20"/>
          <w:szCs w:val="20"/>
          <w:lang w:val="en-US"/>
        </w:rPr>
      </w:pPr>
      <w:r>
        <w:rPr>
          <w:rFonts w:ascii="Helvetica" w:hAnsi="Helvetica"/>
          <w:color w:val="2F5496" w:themeColor="accent1" w:themeShade="BF"/>
          <w:sz w:val="20"/>
          <w:szCs w:val="20"/>
          <w:lang w:val="en-US"/>
        </w:rPr>
        <w:t>We added to the manuscript: “</w:t>
      </w:r>
      <w:r w:rsidRPr="0049372D">
        <w:rPr>
          <w:rFonts w:ascii="Helvetica" w:hAnsi="Helvetica"/>
          <w:color w:val="2F5496" w:themeColor="accent1" w:themeShade="BF"/>
          <w:sz w:val="20"/>
          <w:szCs w:val="20"/>
          <w:lang w:val="en-US"/>
        </w:rPr>
        <w:t>Examination of only these six sites will take approx. 15 minutes.</w:t>
      </w:r>
      <w:r>
        <w:rPr>
          <w:rFonts w:ascii="Helvetica" w:hAnsi="Helvetica"/>
          <w:color w:val="2F5496" w:themeColor="accent1" w:themeShade="BF"/>
          <w:sz w:val="20"/>
          <w:szCs w:val="20"/>
          <w:lang w:val="en-US"/>
        </w:rPr>
        <w:t>” (</w:t>
      </w:r>
      <w:r w:rsidR="00393C13">
        <w:rPr>
          <w:rFonts w:ascii="Helvetica" w:hAnsi="Helvetica"/>
          <w:color w:val="2F5496" w:themeColor="accent1" w:themeShade="BF"/>
          <w:sz w:val="20"/>
          <w:szCs w:val="20"/>
          <w:lang w:val="en-US"/>
        </w:rPr>
        <w:t>p</w:t>
      </w:r>
      <w:r>
        <w:rPr>
          <w:rFonts w:ascii="Helvetica" w:hAnsi="Helvetica"/>
          <w:color w:val="2F5496" w:themeColor="accent1" w:themeShade="BF"/>
          <w:sz w:val="20"/>
          <w:szCs w:val="20"/>
          <w:lang w:val="en-US"/>
        </w:rPr>
        <w:t>age 7)</w:t>
      </w:r>
    </w:p>
    <w:p w14:paraId="0B1720CB" w14:textId="77777777" w:rsidR="0049372D" w:rsidRDefault="0049372D" w:rsidP="000959C9">
      <w:pPr>
        <w:rPr>
          <w:rFonts w:ascii="Helvetica" w:hAnsi="Helvetica"/>
          <w:color w:val="000000"/>
          <w:sz w:val="20"/>
          <w:szCs w:val="20"/>
          <w:lang w:val="en-US"/>
        </w:rPr>
      </w:pPr>
    </w:p>
    <w:p w14:paraId="39413E53" w14:textId="6817AF52" w:rsidR="00244C1E"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Discussion:</w:t>
      </w:r>
      <w:r w:rsidRPr="00244C1E">
        <w:rPr>
          <w:rFonts w:ascii="Helvetica" w:hAnsi="Helvetica"/>
          <w:color w:val="000000"/>
          <w:sz w:val="20"/>
          <w:szCs w:val="20"/>
          <w:lang w:val="en-US"/>
        </w:rPr>
        <w:br/>
        <w:t>Discusson is ok, but limitations of the methods should be more clearly indicated</w:t>
      </w:r>
    </w:p>
    <w:p w14:paraId="11724067" w14:textId="77777777" w:rsidR="00244C1E" w:rsidRDefault="00244C1E" w:rsidP="000959C9">
      <w:pPr>
        <w:rPr>
          <w:rFonts w:ascii="Helvetica" w:hAnsi="Helvetica"/>
          <w:color w:val="000000"/>
          <w:sz w:val="20"/>
          <w:szCs w:val="20"/>
          <w:lang w:val="en-US"/>
        </w:rPr>
      </w:pPr>
    </w:p>
    <w:p w14:paraId="6DE0776E" w14:textId="7C50ABD6" w:rsidR="00244C1E" w:rsidRDefault="00393C13" w:rsidP="002E5941">
      <w:pPr>
        <w:ind w:left="708"/>
        <w:rPr>
          <w:rFonts w:ascii="Helvetica" w:hAnsi="Helvetica"/>
          <w:color w:val="000000"/>
          <w:sz w:val="20"/>
          <w:szCs w:val="20"/>
          <w:lang w:val="en-US"/>
        </w:rPr>
      </w:pPr>
      <w:r>
        <w:rPr>
          <w:rFonts w:ascii="Helvetica" w:hAnsi="Helvetica"/>
          <w:color w:val="2F5496" w:themeColor="accent1" w:themeShade="BF"/>
          <w:sz w:val="20"/>
          <w:szCs w:val="20"/>
          <w:lang w:val="en-US"/>
        </w:rPr>
        <w:t>We added a subheading to the discussion part “</w:t>
      </w:r>
      <w:r w:rsidRPr="00393C13">
        <w:rPr>
          <w:rFonts w:ascii="Helvetica" w:hAnsi="Helvetica"/>
          <w:color w:val="2F5496" w:themeColor="accent1" w:themeShade="BF"/>
          <w:sz w:val="20"/>
          <w:szCs w:val="20"/>
          <w:lang w:val="en-US"/>
        </w:rPr>
        <w:t>Limitations of the technique</w:t>
      </w:r>
      <w:r>
        <w:rPr>
          <w:rFonts w:ascii="Helvetica" w:hAnsi="Helvetica"/>
          <w:color w:val="2F5496" w:themeColor="accent1" w:themeShade="BF"/>
          <w:sz w:val="20"/>
          <w:szCs w:val="20"/>
          <w:lang w:val="en-US"/>
        </w:rPr>
        <w:t>” to be more specific. Also, the limitations were described more clearly: “</w:t>
      </w:r>
      <w:r w:rsidRPr="00393C13">
        <w:rPr>
          <w:rFonts w:ascii="Helvetica" w:hAnsi="Helvetica"/>
          <w:color w:val="2F5496" w:themeColor="accent1" w:themeShade="BF"/>
          <w:sz w:val="20"/>
          <w:szCs w:val="20"/>
          <w:lang w:val="en-US"/>
        </w:rPr>
        <w:t>There are anatomical limitations for nerve ultrasound i.e., examination of cervical nerve roots can be difficult to impossible in patients with obesity and short neck. Also, imaging of proximal nerve roots of the lower extremity nerves or the lumbosacral plexus is not possible due to limited penetration depth of the ultrasonic rays.</w:t>
      </w:r>
      <w:r>
        <w:rPr>
          <w:rFonts w:ascii="Helvetica" w:hAnsi="Helvetica"/>
          <w:color w:val="2F5496" w:themeColor="accent1" w:themeShade="BF"/>
          <w:sz w:val="20"/>
          <w:szCs w:val="20"/>
          <w:lang w:val="en-US"/>
        </w:rPr>
        <w:t>” (page 8).</w:t>
      </w:r>
    </w:p>
    <w:p w14:paraId="36E079B0" w14:textId="77777777" w:rsidR="00A45D39" w:rsidRDefault="00A45D39" w:rsidP="000959C9">
      <w:pPr>
        <w:rPr>
          <w:rFonts w:ascii="Helvetica" w:hAnsi="Helvetica"/>
          <w:color w:val="000000"/>
          <w:sz w:val="20"/>
          <w:szCs w:val="20"/>
          <w:lang w:val="en-US"/>
        </w:rPr>
      </w:pPr>
    </w:p>
    <w:p w14:paraId="18473AAB" w14:textId="2E0CA9F2" w:rsidR="00244C1E"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References:</w:t>
      </w:r>
      <w:r w:rsidRPr="00244C1E">
        <w:rPr>
          <w:rFonts w:ascii="Helvetica" w:hAnsi="Helvetica"/>
          <w:color w:val="000000"/>
          <w:sz w:val="20"/>
          <w:szCs w:val="20"/>
          <w:lang w:val="en-US"/>
        </w:rPr>
        <w:br/>
        <w:t>Please also include more recent references of CIDP and GBS</w:t>
      </w:r>
    </w:p>
    <w:p w14:paraId="13E412F9" w14:textId="77777777" w:rsidR="00244C1E" w:rsidRDefault="00244C1E" w:rsidP="000959C9">
      <w:pPr>
        <w:rPr>
          <w:rFonts w:ascii="Helvetica" w:hAnsi="Helvetica"/>
          <w:color w:val="000000"/>
          <w:sz w:val="20"/>
          <w:szCs w:val="20"/>
          <w:lang w:val="en-US"/>
        </w:rPr>
      </w:pPr>
    </w:p>
    <w:p w14:paraId="57940B33" w14:textId="39427B54" w:rsidR="00244C1E" w:rsidRDefault="00393C13" w:rsidP="002E5941">
      <w:pPr>
        <w:ind w:firstLine="708"/>
        <w:rPr>
          <w:rFonts w:ascii="Helvetica" w:hAnsi="Helvetica"/>
          <w:color w:val="000000"/>
          <w:sz w:val="20"/>
          <w:szCs w:val="20"/>
          <w:lang w:val="en-US"/>
        </w:rPr>
      </w:pPr>
      <w:r>
        <w:rPr>
          <w:rFonts w:ascii="Helvetica" w:hAnsi="Helvetica"/>
          <w:color w:val="2F5496" w:themeColor="accent1" w:themeShade="BF"/>
          <w:sz w:val="20"/>
          <w:szCs w:val="20"/>
          <w:lang w:val="en-US"/>
        </w:rPr>
        <w:t xml:space="preserve">Please see </w:t>
      </w:r>
      <w:r w:rsidR="00336C44">
        <w:rPr>
          <w:rFonts w:ascii="Helvetica" w:hAnsi="Helvetica"/>
          <w:color w:val="2F5496" w:themeColor="accent1" w:themeShade="BF"/>
          <w:sz w:val="20"/>
          <w:szCs w:val="20"/>
          <w:lang w:val="en-US"/>
        </w:rPr>
        <w:t xml:space="preserve">first comment on </w:t>
      </w:r>
      <w:r>
        <w:rPr>
          <w:rFonts w:ascii="Helvetica" w:hAnsi="Helvetica"/>
          <w:color w:val="2F5496" w:themeColor="accent1" w:themeShade="BF"/>
          <w:sz w:val="20"/>
          <w:szCs w:val="20"/>
          <w:lang w:val="en-US"/>
        </w:rPr>
        <w:t xml:space="preserve">added references above. </w:t>
      </w:r>
    </w:p>
    <w:p w14:paraId="10B7A8D7" w14:textId="77777777" w:rsidR="00A45D39" w:rsidRDefault="00A45D39" w:rsidP="000959C9">
      <w:pPr>
        <w:rPr>
          <w:rFonts w:ascii="Helvetica" w:hAnsi="Helvetica"/>
          <w:color w:val="000000"/>
          <w:sz w:val="20"/>
          <w:szCs w:val="20"/>
          <w:lang w:val="en-US"/>
        </w:rPr>
      </w:pPr>
    </w:p>
    <w:p w14:paraId="33131E01" w14:textId="13CCC47F" w:rsidR="00A45D39"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Figures are ok.</w:t>
      </w:r>
    </w:p>
    <w:p w14:paraId="71CE9A69" w14:textId="77777777" w:rsidR="00A45D39" w:rsidRDefault="00A45D39">
      <w:pPr>
        <w:rPr>
          <w:rFonts w:ascii="Helvetica" w:hAnsi="Helvetica"/>
          <w:color w:val="000000"/>
          <w:sz w:val="20"/>
          <w:szCs w:val="20"/>
          <w:lang w:val="en-US"/>
        </w:rPr>
      </w:pPr>
      <w:r>
        <w:rPr>
          <w:rFonts w:ascii="Helvetica" w:hAnsi="Helvetica"/>
          <w:color w:val="000000"/>
          <w:sz w:val="20"/>
          <w:szCs w:val="20"/>
          <w:lang w:val="en-US"/>
        </w:rPr>
        <w:br w:type="page"/>
      </w:r>
    </w:p>
    <w:p w14:paraId="216E1A1F" w14:textId="4E60272C" w:rsidR="00A45D39"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Reviewer #2: </w:t>
      </w:r>
      <w:r w:rsidRPr="00244C1E">
        <w:rPr>
          <w:rFonts w:ascii="Helvetica" w:hAnsi="Helvetica"/>
          <w:color w:val="000000"/>
          <w:sz w:val="20"/>
          <w:szCs w:val="20"/>
          <w:lang w:val="en-US"/>
        </w:rPr>
        <w:br/>
      </w:r>
      <w:r w:rsidRPr="00A45D39">
        <w:rPr>
          <w:rFonts w:ascii="Helvetica" w:hAnsi="Helvetica"/>
          <w:color w:val="000000"/>
          <w:sz w:val="20"/>
          <w:szCs w:val="20"/>
          <w:lang w:val="en-US"/>
        </w:rPr>
        <w:t>Manuscript Summary:</w:t>
      </w:r>
      <w:r w:rsidRPr="00A45D39">
        <w:rPr>
          <w:rFonts w:ascii="Helvetica" w:hAnsi="Helvetica"/>
          <w:color w:val="000000"/>
          <w:sz w:val="20"/>
          <w:szCs w:val="20"/>
          <w:lang w:val="en-US"/>
        </w:rPr>
        <w:br/>
      </w:r>
      <w:r w:rsidRPr="00244C1E">
        <w:rPr>
          <w:rFonts w:ascii="Helvetica" w:hAnsi="Helvetica"/>
          <w:color w:val="000000"/>
          <w:sz w:val="20"/>
          <w:szCs w:val="20"/>
          <w:lang w:val="en-US"/>
        </w:rPr>
        <w:t>The authors provide a brief reasoning for the application of high resolution ultrasound in patients with inflammatory neuropathies. The protocol established in Bochum is presented in a concise manner, some representative findings are provided as illustrative examples. The derivation of the "adjusted Bochum Ultrasound Score" is introduced.</w:t>
      </w:r>
      <w:r w:rsidRPr="00244C1E">
        <w:rPr>
          <w:rFonts w:ascii="Helvetica" w:hAnsi="Helvetica"/>
          <w:color w:val="000000"/>
          <w:sz w:val="20"/>
          <w:szCs w:val="20"/>
          <w:lang w:val="en-US"/>
        </w:rPr>
        <w:br/>
      </w:r>
      <w:r w:rsidRPr="00244C1E">
        <w:rPr>
          <w:rFonts w:ascii="Helvetica" w:hAnsi="Helvetica"/>
          <w:color w:val="000000"/>
          <w:sz w:val="20"/>
          <w:szCs w:val="20"/>
          <w:lang w:val="en-US"/>
        </w:rPr>
        <w:br/>
        <w:t>The manuscript will serve as a well-written and concise basic introduction to a proven workflow for teams without any previous experience in the field.</w:t>
      </w:r>
      <w:r w:rsidRPr="00244C1E">
        <w:rPr>
          <w:rFonts w:ascii="Helvetica" w:hAnsi="Helvetica"/>
          <w:color w:val="000000"/>
          <w:sz w:val="20"/>
          <w:szCs w:val="20"/>
          <w:lang w:val="en-US"/>
        </w:rPr>
        <w:br/>
      </w:r>
      <w:r w:rsidRPr="00244C1E">
        <w:rPr>
          <w:rFonts w:ascii="Helvetica" w:hAnsi="Helvetica"/>
          <w:color w:val="000000"/>
          <w:sz w:val="20"/>
          <w:szCs w:val="20"/>
          <w:lang w:val="en-US"/>
        </w:rPr>
        <w:br/>
        <w:t>I therefore recommend the acceptance of the article.</w:t>
      </w:r>
      <w:r w:rsidRPr="00244C1E">
        <w:rPr>
          <w:rFonts w:ascii="Helvetica" w:hAnsi="Helvetica"/>
          <w:color w:val="000000"/>
          <w:sz w:val="20"/>
          <w:szCs w:val="20"/>
          <w:lang w:val="en-US"/>
        </w:rPr>
        <w:br/>
      </w:r>
      <w:r w:rsidRPr="00244C1E">
        <w:rPr>
          <w:rFonts w:ascii="Helvetica" w:hAnsi="Helvetica"/>
          <w:color w:val="000000"/>
          <w:sz w:val="20"/>
          <w:szCs w:val="20"/>
          <w:lang w:val="en-US"/>
        </w:rPr>
        <w:br/>
        <w:t>Major Concerns:</w:t>
      </w:r>
      <w:r w:rsidRPr="00244C1E">
        <w:rPr>
          <w:rFonts w:ascii="Helvetica" w:hAnsi="Helvetica"/>
          <w:color w:val="000000"/>
          <w:sz w:val="20"/>
          <w:szCs w:val="20"/>
          <w:lang w:val="en-US"/>
        </w:rPr>
        <w:br/>
        <w:t>None</w:t>
      </w:r>
      <w:r w:rsidRPr="00244C1E">
        <w:rPr>
          <w:rFonts w:ascii="Helvetica" w:hAnsi="Helvetica"/>
          <w:color w:val="000000"/>
          <w:sz w:val="20"/>
          <w:szCs w:val="20"/>
          <w:lang w:val="en-US"/>
        </w:rPr>
        <w:br/>
      </w:r>
      <w:r w:rsidRPr="00244C1E">
        <w:rPr>
          <w:rFonts w:ascii="Helvetica" w:hAnsi="Helvetica"/>
          <w:color w:val="000000"/>
          <w:sz w:val="20"/>
          <w:szCs w:val="20"/>
          <w:lang w:val="en-US"/>
        </w:rPr>
        <w:br/>
        <w:t>Minor Concerns:</w:t>
      </w:r>
      <w:r w:rsidRPr="00244C1E">
        <w:rPr>
          <w:rFonts w:ascii="Helvetica" w:hAnsi="Helvetica"/>
          <w:color w:val="000000"/>
          <w:sz w:val="20"/>
          <w:szCs w:val="20"/>
          <w:lang w:val="en-US"/>
        </w:rPr>
        <w:br/>
        <w:t>None</w:t>
      </w:r>
      <w:r w:rsidRPr="00244C1E">
        <w:rPr>
          <w:rFonts w:ascii="Helvetica" w:hAnsi="Helvetica"/>
          <w:color w:val="000000"/>
          <w:sz w:val="20"/>
          <w:szCs w:val="20"/>
          <w:lang w:val="en-US"/>
        </w:rPr>
        <w:br/>
      </w:r>
      <w:r w:rsidRPr="00244C1E">
        <w:rPr>
          <w:rFonts w:ascii="Helvetica" w:hAnsi="Helvetica"/>
          <w:color w:val="000000"/>
          <w:sz w:val="18"/>
          <w:szCs w:val="18"/>
          <w:lang w:val="en-US"/>
        </w:rPr>
        <w:br/>
      </w:r>
    </w:p>
    <w:p w14:paraId="59CB9627" w14:textId="5063F277" w:rsidR="00474E76" w:rsidRPr="00474E76" w:rsidRDefault="00474E76" w:rsidP="002E5941">
      <w:pPr>
        <w:ind w:firstLine="708"/>
        <w:rPr>
          <w:rFonts w:ascii="Helvetica" w:hAnsi="Helvetica"/>
          <w:color w:val="2F5496" w:themeColor="accent1" w:themeShade="BF"/>
          <w:sz w:val="20"/>
          <w:szCs w:val="20"/>
          <w:lang w:val="en-US"/>
        </w:rPr>
      </w:pPr>
      <w:r w:rsidRPr="00474E76">
        <w:rPr>
          <w:rFonts w:ascii="Helvetica" w:hAnsi="Helvetica"/>
          <w:color w:val="2F5496" w:themeColor="accent1" w:themeShade="BF"/>
          <w:sz w:val="20"/>
          <w:szCs w:val="20"/>
          <w:lang w:val="en-US"/>
        </w:rPr>
        <w:t xml:space="preserve">Thank you for the review. No changes were made according to comments of reviewer #2. </w:t>
      </w:r>
    </w:p>
    <w:p w14:paraId="74582D3D" w14:textId="77777777" w:rsidR="00A45D39" w:rsidRDefault="00A45D39">
      <w:pPr>
        <w:rPr>
          <w:rFonts w:ascii="Helvetica" w:hAnsi="Helvetica"/>
          <w:color w:val="000000"/>
          <w:sz w:val="20"/>
          <w:szCs w:val="20"/>
          <w:lang w:val="en-US"/>
        </w:rPr>
      </w:pPr>
      <w:r>
        <w:rPr>
          <w:rFonts w:ascii="Helvetica" w:hAnsi="Helvetica"/>
          <w:color w:val="000000"/>
          <w:sz w:val="20"/>
          <w:szCs w:val="20"/>
          <w:lang w:val="en-US"/>
        </w:rPr>
        <w:br w:type="page"/>
      </w:r>
    </w:p>
    <w:p w14:paraId="289B5B15" w14:textId="68221E0B" w:rsidR="00B30E29"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Reviewer #3: </w:t>
      </w:r>
      <w:r w:rsidRPr="00244C1E">
        <w:rPr>
          <w:rFonts w:ascii="Helvetica" w:hAnsi="Helvetica"/>
          <w:color w:val="000000"/>
          <w:sz w:val="20"/>
          <w:szCs w:val="20"/>
          <w:lang w:val="en-US"/>
        </w:rPr>
        <w:br/>
        <w:t>Manuscript Summary:</w:t>
      </w:r>
      <w:r w:rsidRPr="00244C1E">
        <w:rPr>
          <w:rFonts w:ascii="Helvetica" w:hAnsi="Helvetica"/>
          <w:color w:val="000000"/>
          <w:sz w:val="20"/>
          <w:szCs w:val="20"/>
          <w:lang w:val="en-US"/>
        </w:rPr>
        <w:br/>
        <w:t>The use of nerve ultrasound has clinical relevance and utility in helping to diagnose and monitor certain peripheral neuropathies, particularly possible or probable CIDP.</w:t>
      </w:r>
      <w:r w:rsidRPr="00244C1E">
        <w:rPr>
          <w:rFonts w:ascii="Helvetica" w:hAnsi="Helvetica"/>
          <w:color w:val="000000"/>
          <w:sz w:val="20"/>
          <w:szCs w:val="20"/>
          <w:lang w:val="en-US"/>
        </w:rPr>
        <w:br/>
        <w:t>As such this article is an important contribution.</w:t>
      </w:r>
      <w:r w:rsidRPr="00244C1E">
        <w:rPr>
          <w:rFonts w:ascii="Helvetica" w:hAnsi="Helvetica"/>
          <w:color w:val="000000"/>
          <w:sz w:val="20"/>
          <w:szCs w:val="20"/>
          <w:lang w:val="en-US"/>
        </w:rPr>
        <w:br/>
        <w:t>They provide a clear protocol for systematically quantifying CSA in multiple nerves and also provide normal ranges.</w:t>
      </w:r>
      <w:r w:rsidRPr="00244C1E">
        <w:rPr>
          <w:rFonts w:ascii="Helvetica" w:hAnsi="Helvetica"/>
          <w:color w:val="000000"/>
          <w:sz w:val="20"/>
          <w:szCs w:val="20"/>
          <w:lang w:val="en-US"/>
        </w:rPr>
        <w:br/>
      </w:r>
      <w:r w:rsidRPr="00244C1E">
        <w:rPr>
          <w:rFonts w:ascii="Helvetica" w:hAnsi="Helvetica"/>
          <w:color w:val="000000"/>
          <w:sz w:val="20"/>
          <w:szCs w:val="20"/>
          <w:lang w:val="en-US"/>
        </w:rPr>
        <w:br/>
        <w:t>Major Concerns:</w:t>
      </w:r>
    </w:p>
    <w:p w14:paraId="7FE78933" w14:textId="77777777" w:rsidR="00B30E29" w:rsidRDefault="00B30E29" w:rsidP="000959C9">
      <w:pPr>
        <w:rPr>
          <w:rFonts w:ascii="Helvetica" w:hAnsi="Helvetica"/>
          <w:color w:val="000000"/>
          <w:sz w:val="20"/>
          <w:szCs w:val="20"/>
          <w:lang w:val="en-US"/>
        </w:rPr>
      </w:pPr>
    </w:p>
    <w:p w14:paraId="2FFE61BF" w14:textId="77777777" w:rsidR="00E32A05" w:rsidRDefault="000959C9" w:rsidP="00B30E29">
      <w:pPr>
        <w:pStyle w:val="ListParagraph"/>
        <w:numPr>
          <w:ilvl w:val="0"/>
          <w:numId w:val="6"/>
        </w:numPr>
        <w:rPr>
          <w:rFonts w:ascii="Helvetica" w:hAnsi="Helvetica"/>
          <w:color w:val="000000"/>
          <w:sz w:val="20"/>
          <w:szCs w:val="20"/>
          <w:lang w:val="en-US"/>
        </w:rPr>
      </w:pPr>
      <w:r w:rsidRPr="00B30E29">
        <w:rPr>
          <w:rFonts w:ascii="Helvetica" w:hAnsi="Helvetica"/>
          <w:color w:val="000000"/>
          <w:sz w:val="20"/>
          <w:szCs w:val="20"/>
          <w:lang w:val="en-US"/>
        </w:rPr>
        <w:t>What is the evidence to support the thesis that increased CSA is associated with demyelination/remyelination?</w:t>
      </w:r>
    </w:p>
    <w:p w14:paraId="78CA8AE6" w14:textId="77777777" w:rsidR="00E32A05" w:rsidRDefault="00E32A05" w:rsidP="00E32A05">
      <w:pPr>
        <w:pStyle w:val="ListParagraph"/>
        <w:rPr>
          <w:rFonts w:ascii="Helvetica" w:hAnsi="Helvetica"/>
          <w:color w:val="000000"/>
          <w:sz w:val="20"/>
          <w:szCs w:val="20"/>
          <w:lang w:val="en-US"/>
        </w:rPr>
      </w:pPr>
    </w:p>
    <w:p w14:paraId="5D3A4883" w14:textId="5C8D5DAF" w:rsidR="00B30E29" w:rsidRDefault="00E32A05" w:rsidP="00E32A05">
      <w:pPr>
        <w:ind w:left="708"/>
        <w:rPr>
          <w:rFonts w:ascii="Helvetica" w:hAnsi="Helvetica"/>
          <w:color w:val="2F5496" w:themeColor="accent1" w:themeShade="BF"/>
          <w:sz w:val="20"/>
          <w:szCs w:val="20"/>
          <w:lang w:val="en-US"/>
        </w:rPr>
      </w:pPr>
      <w:r w:rsidRPr="00E32A05">
        <w:rPr>
          <w:rFonts w:ascii="Helvetica" w:hAnsi="Helvetica"/>
          <w:color w:val="2F5496" w:themeColor="accent1" w:themeShade="BF"/>
          <w:sz w:val="20"/>
          <w:szCs w:val="20"/>
          <w:lang w:val="en-US"/>
        </w:rPr>
        <w:t xml:space="preserve">Increased CSA similar to CIDP </w:t>
      </w:r>
      <w:r>
        <w:rPr>
          <w:rFonts w:ascii="Helvetica" w:hAnsi="Helvetica"/>
          <w:color w:val="2F5496" w:themeColor="accent1" w:themeShade="BF"/>
          <w:sz w:val="20"/>
          <w:szCs w:val="20"/>
          <w:lang w:val="en-US"/>
        </w:rPr>
        <w:t xml:space="preserve">occurs </w:t>
      </w:r>
      <w:r w:rsidRPr="00E32A05">
        <w:rPr>
          <w:rFonts w:ascii="Helvetica" w:hAnsi="Helvetica"/>
          <w:color w:val="2F5496" w:themeColor="accent1" w:themeShade="BF"/>
          <w:sz w:val="20"/>
          <w:szCs w:val="20"/>
          <w:lang w:val="en-US"/>
        </w:rPr>
        <w:t xml:space="preserve">in hereditary neuropathies, most prominent in </w:t>
      </w:r>
      <w:r w:rsidR="00835F79">
        <w:rPr>
          <w:rFonts w:ascii="Helvetica" w:hAnsi="Helvetica"/>
          <w:color w:val="2F5496" w:themeColor="accent1" w:themeShade="BF"/>
          <w:sz w:val="20"/>
          <w:szCs w:val="20"/>
          <w:lang w:val="en-US"/>
        </w:rPr>
        <w:t>patients with</w:t>
      </w:r>
      <w:r w:rsidRPr="00E32A05">
        <w:rPr>
          <w:rFonts w:ascii="Helvetica" w:hAnsi="Helvetica"/>
          <w:color w:val="2F5496" w:themeColor="accent1" w:themeShade="BF"/>
          <w:sz w:val="20"/>
          <w:szCs w:val="20"/>
          <w:lang w:val="en-US"/>
        </w:rPr>
        <w:t xml:space="preserve"> Charcot Marie Tooth 1a</w:t>
      </w:r>
      <w:r w:rsidR="00835F79">
        <w:rPr>
          <w:rFonts w:ascii="Helvetica" w:hAnsi="Helvetica"/>
          <w:color w:val="2F5496" w:themeColor="accent1" w:themeShade="BF"/>
          <w:sz w:val="20"/>
          <w:szCs w:val="20"/>
          <w:lang w:val="en-US"/>
        </w:rPr>
        <w:t xml:space="preserve"> disease</w:t>
      </w:r>
      <w:r w:rsidRPr="00E32A05">
        <w:rPr>
          <w:rFonts w:ascii="Helvetica" w:hAnsi="Helvetica"/>
          <w:color w:val="2F5496" w:themeColor="accent1" w:themeShade="BF"/>
          <w:sz w:val="20"/>
          <w:szCs w:val="20"/>
          <w:lang w:val="en-US"/>
        </w:rPr>
        <w:t>. In CMT 1a, inflammation may occur but is no</w:t>
      </w:r>
      <w:r w:rsidR="00835F79">
        <w:rPr>
          <w:rFonts w:ascii="Helvetica" w:hAnsi="Helvetica"/>
          <w:color w:val="2F5496" w:themeColor="accent1" w:themeShade="BF"/>
          <w:sz w:val="20"/>
          <w:szCs w:val="20"/>
          <w:lang w:val="en-US"/>
        </w:rPr>
        <w:t>t</w:t>
      </w:r>
      <w:r w:rsidRPr="00E32A05">
        <w:rPr>
          <w:rFonts w:ascii="Helvetica" w:hAnsi="Helvetica"/>
          <w:color w:val="2F5496" w:themeColor="accent1" w:themeShade="BF"/>
          <w:sz w:val="20"/>
          <w:szCs w:val="20"/>
          <w:lang w:val="en-US"/>
        </w:rPr>
        <w:t xml:space="preserve"> key point in pathogenesis</w:t>
      </w:r>
      <w:r w:rsidR="00835F79">
        <w:rPr>
          <w:rFonts w:ascii="Helvetica" w:hAnsi="Helvetica"/>
          <w:color w:val="2F5496" w:themeColor="accent1" w:themeShade="BF"/>
          <w:sz w:val="20"/>
          <w:szCs w:val="20"/>
          <w:lang w:val="en-US"/>
        </w:rPr>
        <w:t>.</w:t>
      </w:r>
      <w:r w:rsidRPr="00E32A05">
        <w:rPr>
          <w:rFonts w:ascii="Helvetica" w:hAnsi="Helvetica"/>
          <w:color w:val="2F5496" w:themeColor="accent1" w:themeShade="BF"/>
          <w:sz w:val="20"/>
          <w:szCs w:val="20"/>
          <w:lang w:val="en-US"/>
        </w:rPr>
        <w:t xml:space="preserve"> </w:t>
      </w:r>
      <w:r w:rsidR="00835F79">
        <w:rPr>
          <w:rFonts w:ascii="Helvetica" w:hAnsi="Helvetica"/>
          <w:color w:val="2F5496" w:themeColor="accent1" w:themeShade="BF"/>
          <w:sz w:val="20"/>
          <w:szCs w:val="20"/>
          <w:lang w:val="en-US"/>
        </w:rPr>
        <w:t>T</w:t>
      </w:r>
      <w:r w:rsidRPr="00E32A05">
        <w:rPr>
          <w:rFonts w:ascii="Helvetica" w:hAnsi="Helvetica"/>
          <w:color w:val="2F5496" w:themeColor="accent1" w:themeShade="BF"/>
          <w:sz w:val="20"/>
          <w:szCs w:val="20"/>
          <w:lang w:val="en-US"/>
        </w:rPr>
        <w:t xml:space="preserve">he histopathological similarity to CIDP </w:t>
      </w:r>
      <w:r w:rsidR="00835F79">
        <w:rPr>
          <w:rFonts w:ascii="Helvetica" w:hAnsi="Helvetica"/>
          <w:color w:val="2F5496" w:themeColor="accent1" w:themeShade="BF"/>
          <w:sz w:val="20"/>
          <w:szCs w:val="20"/>
          <w:lang w:val="en-US"/>
        </w:rPr>
        <w:t xml:space="preserve">rather </w:t>
      </w:r>
      <w:r w:rsidRPr="00E32A05">
        <w:rPr>
          <w:rFonts w:ascii="Helvetica" w:hAnsi="Helvetica"/>
          <w:color w:val="2F5496" w:themeColor="accent1" w:themeShade="BF"/>
          <w:sz w:val="20"/>
          <w:szCs w:val="20"/>
          <w:lang w:val="en-US"/>
        </w:rPr>
        <w:t xml:space="preserve">is the </w:t>
      </w:r>
      <w:r w:rsidR="00835F79">
        <w:rPr>
          <w:rFonts w:ascii="Helvetica" w:hAnsi="Helvetica"/>
          <w:color w:val="2F5496" w:themeColor="accent1" w:themeShade="BF"/>
          <w:sz w:val="20"/>
          <w:szCs w:val="20"/>
          <w:lang w:val="en-US"/>
        </w:rPr>
        <w:t xml:space="preserve">repeated </w:t>
      </w:r>
      <w:r w:rsidRPr="00E32A05">
        <w:rPr>
          <w:rFonts w:ascii="Helvetica" w:hAnsi="Helvetica"/>
          <w:color w:val="2F5496" w:themeColor="accent1" w:themeShade="BF"/>
          <w:sz w:val="20"/>
          <w:szCs w:val="20"/>
          <w:lang w:val="en-US"/>
        </w:rPr>
        <w:t xml:space="preserve">de- and </w:t>
      </w:r>
      <w:r w:rsidR="00835F79" w:rsidRPr="00E32A05">
        <w:rPr>
          <w:rFonts w:ascii="Helvetica" w:hAnsi="Helvetica"/>
          <w:color w:val="2F5496" w:themeColor="accent1" w:themeShade="BF"/>
          <w:sz w:val="20"/>
          <w:szCs w:val="20"/>
          <w:lang w:val="en-US"/>
        </w:rPr>
        <w:t>remyelination</w:t>
      </w:r>
      <w:r w:rsidRPr="00E32A05">
        <w:rPr>
          <w:rFonts w:ascii="Helvetica" w:hAnsi="Helvetica"/>
          <w:color w:val="2F5496" w:themeColor="accent1" w:themeShade="BF"/>
          <w:sz w:val="20"/>
          <w:szCs w:val="20"/>
          <w:lang w:val="en-US"/>
        </w:rPr>
        <w:t>. This is why there is evidence that increased CSA can not only result from inflammation but also from de- and remyelination</w:t>
      </w:r>
      <w:r w:rsidR="00835F79">
        <w:rPr>
          <w:rFonts w:ascii="Helvetica" w:hAnsi="Helvetica"/>
          <w:color w:val="2F5496" w:themeColor="accent1" w:themeShade="BF"/>
          <w:sz w:val="20"/>
          <w:szCs w:val="20"/>
          <w:lang w:val="en-US"/>
        </w:rPr>
        <w:t xml:space="preserve"> alone</w:t>
      </w:r>
      <w:r w:rsidRPr="00E32A05">
        <w:rPr>
          <w:rFonts w:ascii="Helvetica" w:hAnsi="Helvetica"/>
          <w:color w:val="2F5496" w:themeColor="accent1" w:themeShade="BF"/>
          <w:sz w:val="20"/>
          <w:szCs w:val="20"/>
          <w:lang w:val="en-US"/>
        </w:rPr>
        <w:t xml:space="preserve">. </w:t>
      </w:r>
    </w:p>
    <w:p w14:paraId="364FE5A1" w14:textId="474073A3" w:rsidR="00B7350D" w:rsidRPr="00E32A05" w:rsidRDefault="00B7350D" w:rsidP="00E32A05">
      <w:pPr>
        <w:ind w:left="708"/>
        <w:rPr>
          <w:rFonts w:ascii="Helvetica" w:hAnsi="Helvetica"/>
          <w:color w:val="2F5496" w:themeColor="accent1" w:themeShade="BF"/>
          <w:sz w:val="20"/>
          <w:szCs w:val="20"/>
          <w:lang w:val="en-US"/>
        </w:rPr>
      </w:pPr>
      <w:r>
        <w:rPr>
          <w:rFonts w:ascii="Helvetica" w:hAnsi="Helvetica"/>
          <w:color w:val="2F5496" w:themeColor="accent1" w:themeShade="BF"/>
          <w:sz w:val="20"/>
          <w:szCs w:val="20"/>
          <w:lang w:val="en-US"/>
        </w:rPr>
        <w:t xml:space="preserve">To make this </w:t>
      </w:r>
      <w:r w:rsidRPr="00B7350D">
        <w:rPr>
          <w:rFonts w:ascii="Helvetica" w:hAnsi="Helvetica"/>
          <w:color w:val="2F5496" w:themeColor="accent1" w:themeShade="BF"/>
          <w:sz w:val="20"/>
          <w:szCs w:val="20"/>
          <w:lang w:val="en-US"/>
        </w:rPr>
        <w:t>train of thought more understandable</w:t>
      </w:r>
      <w:r>
        <w:rPr>
          <w:rFonts w:ascii="Helvetica" w:hAnsi="Helvetica"/>
          <w:color w:val="2F5496" w:themeColor="accent1" w:themeShade="BF"/>
          <w:sz w:val="20"/>
          <w:szCs w:val="20"/>
          <w:lang w:val="en-US"/>
        </w:rPr>
        <w:t>, we added the reference to hereditary polyneuropathies in this sentence: “</w:t>
      </w:r>
      <w:r w:rsidR="00F63322" w:rsidRPr="00F63322">
        <w:rPr>
          <w:rFonts w:ascii="Helvetica" w:hAnsi="Helvetica"/>
          <w:color w:val="2F5496" w:themeColor="accent1" w:themeShade="BF"/>
          <w:sz w:val="20"/>
          <w:szCs w:val="20"/>
          <w:lang w:val="en-US"/>
        </w:rPr>
        <w:t>Typical findings in demyelinating inflammatory neuropathies are multifocal nerve swellings with inhomogeneous fascicles, while nerve swellings in demyelinating hereditary neuropathies occur more generalized and homogenous 12, 18. Histologic correlate of increased CSA is assumed to be acute inflammation and repeated de- and remyelination, however this remains to be investigated 7</w:t>
      </w:r>
      <w:r w:rsidRPr="00B7350D">
        <w:rPr>
          <w:rFonts w:ascii="Helvetica" w:hAnsi="Helvetica"/>
          <w:color w:val="2F5496" w:themeColor="accent1" w:themeShade="BF"/>
          <w:sz w:val="20"/>
          <w:szCs w:val="20"/>
          <w:lang w:val="en-US"/>
        </w:rPr>
        <w:t>.</w:t>
      </w:r>
      <w:r>
        <w:rPr>
          <w:rFonts w:ascii="Helvetica" w:hAnsi="Helvetica"/>
          <w:color w:val="2F5496" w:themeColor="accent1" w:themeShade="BF"/>
          <w:sz w:val="20"/>
          <w:szCs w:val="20"/>
          <w:lang w:val="en-US"/>
        </w:rPr>
        <w:t xml:space="preserve">” (page </w:t>
      </w:r>
      <w:r w:rsidR="00F63322">
        <w:rPr>
          <w:rFonts w:ascii="Helvetica" w:hAnsi="Helvetica"/>
          <w:color w:val="2F5496" w:themeColor="accent1" w:themeShade="BF"/>
          <w:sz w:val="20"/>
          <w:szCs w:val="20"/>
          <w:lang w:val="en-US"/>
        </w:rPr>
        <w:t>6</w:t>
      </w:r>
      <w:r>
        <w:rPr>
          <w:rFonts w:ascii="Helvetica" w:hAnsi="Helvetica"/>
          <w:color w:val="2F5496" w:themeColor="accent1" w:themeShade="BF"/>
          <w:sz w:val="20"/>
          <w:szCs w:val="20"/>
          <w:lang w:val="en-US"/>
        </w:rPr>
        <w:t>)</w:t>
      </w:r>
    </w:p>
    <w:p w14:paraId="6C2307A0" w14:textId="77777777" w:rsidR="00E32A05" w:rsidRPr="00B30E29" w:rsidRDefault="00E32A05" w:rsidP="00E32A05">
      <w:pPr>
        <w:pStyle w:val="ListParagraph"/>
        <w:rPr>
          <w:rFonts w:ascii="Helvetica" w:hAnsi="Helvetica"/>
          <w:color w:val="000000"/>
          <w:sz w:val="20"/>
          <w:szCs w:val="20"/>
          <w:lang w:val="en-US"/>
        </w:rPr>
      </w:pPr>
    </w:p>
    <w:p w14:paraId="02870C51" w14:textId="77777777" w:rsidR="002C0AFC" w:rsidRDefault="000959C9" w:rsidP="00B30E29">
      <w:pPr>
        <w:pStyle w:val="ListParagraph"/>
        <w:numPr>
          <w:ilvl w:val="0"/>
          <w:numId w:val="6"/>
        </w:numPr>
        <w:rPr>
          <w:rFonts w:ascii="Helvetica" w:hAnsi="Helvetica"/>
          <w:color w:val="000000"/>
          <w:sz w:val="20"/>
          <w:szCs w:val="20"/>
          <w:lang w:val="en-US"/>
        </w:rPr>
      </w:pPr>
      <w:r w:rsidRPr="00B30E29">
        <w:rPr>
          <w:rFonts w:ascii="Helvetica" w:hAnsi="Helvetica"/>
          <w:color w:val="000000"/>
          <w:sz w:val="20"/>
          <w:szCs w:val="20"/>
          <w:lang w:val="en-US"/>
        </w:rPr>
        <w:t>The Bochum score relies on CSA. However, are there any scoring systems for the alterations in the fascicular structure and homogeneity?</w:t>
      </w:r>
    </w:p>
    <w:p w14:paraId="27E4B24C" w14:textId="0B98D8EA" w:rsidR="002C0AFC" w:rsidRDefault="002C0AFC" w:rsidP="002C0AFC">
      <w:pPr>
        <w:ind w:left="708"/>
        <w:rPr>
          <w:rFonts w:ascii="Helvetica" w:hAnsi="Helvetica"/>
          <w:color w:val="000000"/>
          <w:sz w:val="20"/>
          <w:szCs w:val="20"/>
          <w:lang w:val="en-US"/>
        </w:rPr>
      </w:pPr>
    </w:p>
    <w:p w14:paraId="357586A5" w14:textId="18702CD8" w:rsidR="00E04356" w:rsidRPr="00D10414" w:rsidRDefault="00E04356" w:rsidP="002C0AFC">
      <w:pPr>
        <w:ind w:left="708"/>
        <w:rPr>
          <w:rFonts w:ascii="Helvetica" w:hAnsi="Helvetica"/>
          <w:color w:val="2F5496" w:themeColor="accent1" w:themeShade="BF"/>
          <w:sz w:val="20"/>
          <w:szCs w:val="20"/>
          <w:lang w:val="en-US"/>
        </w:rPr>
      </w:pPr>
      <w:r w:rsidRPr="00D10414">
        <w:rPr>
          <w:rFonts w:ascii="Helvetica" w:hAnsi="Helvetica"/>
          <w:color w:val="2F5496" w:themeColor="accent1" w:themeShade="BF"/>
          <w:sz w:val="20"/>
          <w:szCs w:val="20"/>
          <w:lang w:val="en-US"/>
        </w:rPr>
        <w:t>There</w:t>
      </w:r>
      <w:r w:rsidR="002C0AFC" w:rsidRPr="00D10414">
        <w:rPr>
          <w:rFonts w:ascii="Helvetica" w:hAnsi="Helvetica"/>
          <w:color w:val="2F5496" w:themeColor="accent1" w:themeShade="BF"/>
          <w:sz w:val="20"/>
          <w:szCs w:val="20"/>
          <w:lang w:val="en-US"/>
        </w:rPr>
        <w:t xml:space="preserve"> is literature reporting on scoring systems for homogeneity and alterations of fascicular structure. First report on evaluation of homogeneity of nerve enlargement was by Padua et al</w:t>
      </w:r>
      <w:r w:rsidRPr="00D10414">
        <w:rPr>
          <w:rFonts w:ascii="Helvetica" w:hAnsi="Helvetica"/>
          <w:color w:val="2F5496" w:themeColor="accent1" w:themeShade="BF"/>
          <w:sz w:val="20"/>
          <w:szCs w:val="20"/>
          <w:lang w:val="en-US"/>
        </w:rPr>
        <w:t xml:space="preserve">. Further reports from Grimm et al. used the homogenity score and regional nerve enlargement index to stratify for inflammatory and hereditary polyneuropathies. </w:t>
      </w:r>
    </w:p>
    <w:p w14:paraId="01C6518B" w14:textId="74435FD3" w:rsidR="002C0AFC" w:rsidRPr="00D10414" w:rsidRDefault="00E04356" w:rsidP="002C0AFC">
      <w:pPr>
        <w:ind w:left="708"/>
        <w:rPr>
          <w:rFonts w:ascii="Helvetica" w:hAnsi="Helvetica"/>
          <w:color w:val="2F5496" w:themeColor="accent1" w:themeShade="BF"/>
          <w:sz w:val="20"/>
          <w:szCs w:val="20"/>
          <w:lang w:val="en-US"/>
        </w:rPr>
      </w:pPr>
      <w:r w:rsidRPr="00D10414">
        <w:rPr>
          <w:rFonts w:ascii="Helvetica" w:hAnsi="Helvetica"/>
          <w:color w:val="2F5496" w:themeColor="accent1" w:themeShade="BF"/>
          <w:sz w:val="20"/>
          <w:szCs w:val="20"/>
          <w:lang w:val="en-US"/>
        </w:rPr>
        <w:t xml:space="preserve">We added these </w:t>
      </w:r>
      <w:r w:rsidR="00D10414" w:rsidRPr="00D10414">
        <w:rPr>
          <w:rFonts w:ascii="Helvetica" w:hAnsi="Helvetica"/>
          <w:color w:val="2F5496" w:themeColor="accent1" w:themeShade="BF"/>
          <w:sz w:val="20"/>
          <w:szCs w:val="20"/>
          <w:lang w:val="en-US"/>
        </w:rPr>
        <w:t>aspects</w:t>
      </w:r>
      <w:r w:rsidRPr="00D10414">
        <w:rPr>
          <w:rFonts w:ascii="Helvetica" w:hAnsi="Helvetica"/>
          <w:color w:val="2F5496" w:themeColor="accent1" w:themeShade="BF"/>
          <w:sz w:val="20"/>
          <w:szCs w:val="20"/>
          <w:lang w:val="en-US"/>
        </w:rPr>
        <w:t xml:space="preserve"> </w:t>
      </w:r>
      <w:r w:rsidR="00D10414" w:rsidRPr="00D10414">
        <w:rPr>
          <w:rFonts w:ascii="Helvetica" w:hAnsi="Helvetica"/>
          <w:color w:val="2F5496" w:themeColor="accent1" w:themeShade="BF"/>
          <w:sz w:val="20"/>
          <w:szCs w:val="20"/>
          <w:lang w:val="en-US"/>
        </w:rPr>
        <w:t>to</w:t>
      </w:r>
      <w:r w:rsidRPr="00D10414">
        <w:rPr>
          <w:rFonts w:ascii="Helvetica" w:hAnsi="Helvetica"/>
          <w:color w:val="2F5496" w:themeColor="accent1" w:themeShade="BF"/>
          <w:sz w:val="20"/>
          <w:szCs w:val="20"/>
          <w:lang w:val="en-US"/>
        </w:rPr>
        <w:t xml:space="preserve"> the manuscript text, but did not describe these scores in detail, as the main focus of the manuscript should be the ultrasound</w:t>
      </w:r>
      <w:r w:rsidR="004164B2" w:rsidRPr="00D10414">
        <w:rPr>
          <w:rFonts w:ascii="Helvetica" w:hAnsi="Helvetica"/>
          <w:color w:val="2F5496" w:themeColor="accent1" w:themeShade="BF"/>
          <w:sz w:val="20"/>
          <w:szCs w:val="20"/>
          <w:lang w:val="en-US"/>
        </w:rPr>
        <w:t xml:space="preserve"> examination itself also shown in the videos being produced based on this manuscript, not the different scoring systems</w:t>
      </w:r>
      <w:r w:rsidR="004C033F" w:rsidRPr="00D10414">
        <w:rPr>
          <w:rFonts w:ascii="Helvetica" w:hAnsi="Helvetica"/>
          <w:color w:val="2F5496" w:themeColor="accent1" w:themeShade="BF"/>
          <w:sz w:val="20"/>
          <w:szCs w:val="20"/>
          <w:lang w:val="en-US"/>
        </w:rPr>
        <w:t xml:space="preserve"> in detail</w:t>
      </w:r>
      <w:r w:rsidR="004164B2" w:rsidRPr="00D10414">
        <w:rPr>
          <w:rFonts w:ascii="Helvetica" w:hAnsi="Helvetica"/>
          <w:color w:val="2F5496" w:themeColor="accent1" w:themeShade="BF"/>
          <w:sz w:val="20"/>
          <w:szCs w:val="20"/>
          <w:lang w:val="en-US"/>
        </w:rPr>
        <w:t xml:space="preserve">. </w:t>
      </w:r>
    </w:p>
    <w:p w14:paraId="57C00502" w14:textId="20ED9836" w:rsidR="00D10414" w:rsidRDefault="00D10414" w:rsidP="002C0AFC">
      <w:pPr>
        <w:ind w:left="708"/>
        <w:rPr>
          <w:rFonts w:ascii="Helvetica" w:hAnsi="Helvetica"/>
          <w:color w:val="2F5496" w:themeColor="accent1" w:themeShade="BF"/>
          <w:sz w:val="20"/>
          <w:szCs w:val="20"/>
          <w:lang w:val="en-US"/>
        </w:rPr>
      </w:pPr>
      <w:r w:rsidRPr="00D10414">
        <w:rPr>
          <w:rFonts w:ascii="Helvetica" w:hAnsi="Helvetica"/>
          <w:color w:val="2F5496" w:themeColor="accent1" w:themeShade="BF"/>
          <w:sz w:val="20"/>
          <w:szCs w:val="20"/>
          <w:lang w:val="en-US"/>
        </w:rPr>
        <w:t>“Scoring systems for homogeneity and alterations of fascicular structure were described before and may aid in evaluating homogeneity.”</w:t>
      </w:r>
    </w:p>
    <w:p w14:paraId="55F50784" w14:textId="342E30C4" w:rsidR="00D10414" w:rsidRDefault="00D10414" w:rsidP="002C0AFC">
      <w:pPr>
        <w:ind w:left="708"/>
        <w:rPr>
          <w:rFonts w:ascii="Helvetica" w:hAnsi="Helvetica"/>
          <w:color w:val="2F5496" w:themeColor="accent1" w:themeShade="BF"/>
          <w:sz w:val="20"/>
          <w:szCs w:val="20"/>
          <w:lang w:val="en-US"/>
        </w:rPr>
      </w:pPr>
    </w:p>
    <w:p w14:paraId="227E3BFC" w14:textId="5C24C9D9" w:rsidR="00D10414" w:rsidRPr="00D10414" w:rsidRDefault="00D10414" w:rsidP="00D10414">
      <w:pPr>
        <w:pStyle w:val="ListParagraph"/>
        <w:numPr>
          <w:ilvl w:val="0"/>
          <w:numId w:val="7"/>
        </w:numPr>
        <w:rPr>
          <w:rFonts w:ascii="Helvetica" w:hAnsi="Helvetica"/>
          <w:color w:val="2F5496" w:themeColor="accent1" w:themeShade="BF"/>
          <w:sz w:val="20"/>
          <w:szCs w:val="20"/>
          <w:lang w:val="en-US"/>
        </w:rPr>
      </w:pPr>
      <w:r w:rsidRPr="00D10414">
        <w:rPr>
          <w:rFonts w:ascii="Helvetica" w:hAnsi="Helvetica"/>
          <w:color w:val="2F5496" w:themeColor="accent1" w:themeShade="BF"/>
          <w:sz w:val="20"/>
          <w:szCs w:val="20"/>
          <w:lang w:val="en-US"/>
        </w:rPr>
        <w:t>Padua, L. et al. Intra‐ and internerve cross‐sectional area variability: New ultrasound measures. Muscle &amp; Nerve. 45 (5), 730–733 (2012).</w:t>
      </w:r>
    </w:p>
    <w:p w14:paraId="5FCFFCB9" w14:textId="56D978B0" w:rsidR="00D10414" w:rsidRPr="00D10414" w:rsidRDefault="00D10414" w:rsidP="00D10414">
      <w:pPr>
        <w:pStyle w:val="ListParagraph"/>
        <w:numPr>
          <w:ilvl w:val="0"/>
          <w:numId w:val="7"/>
        </w:numPr>
        <w:rPr>
          <w:rFonts w:ascii="Helvetica" w:hAnsi="Helvetica"/>
          <w:color w:val="2F5496" w:themeColor="accent1" w:themeShade="BF"/>
          <w:sz w:val="20"/>
          <w:szCs w:val="20"/>
          <w:lang w:val="en-US"/>
        </w:rPr>
      </w:pPr>
      <w:r w:rsidRPr="00D10414">
        <w:rPr>
          <w:rFonts w:ascii="Helvetica" w:hAnsi="Helvetica"/>
          <w:color w:val="2F5496" w:themeColor="accent1" w:themeShade="BF"/>
          <w:sz w:val="20"/>
          <w:szCs w:val="20"/>
          <w:lang w:val="en-US"/>
        </w:rPr>
        <w:t>Padua, L. et al. Heterogeneity of root and nerve ultrasound pattern in CIDP patients. Clinical Neurophysiology. 125 (1), 160–165 (2014).</w:t>
      </w:r>
    </w:p>
    <w:p w14:paraId="3B4736ED" w14:textId="32F28B71" w:rsidR="00B30E29" w:rsidRPr="00D10414" w:rsidRDefault="00D10414" w:rsidP="00D10414">
      <w:pPr>
        <w:pStyle w:val="ListParagraph"/>
        <w:numPr>
          <w:ilvl w:val="0"/>
          <w:numId w:val="7"/>
        </w:numPr>
        <w:rPr>
          <w:rFonts w:ascii="Helvetica" w:hAnsi="Helvetica"/>
          <w:color w:val="2F5496" w:themeColor="accent1" w:themeShade="BF"/>
          <w:sz w:val="20"/>
          <w:szCs w:val="20"/>
          <w:lang w:val="en-US"/>
        </w:rPr>
      </w:pPr>
      <w:r w:rsidRPr="00691C51">
        <w:rPr>
          <w:rFonts w:ascii="Helvetica" w:hAnsi="Helvetica"/>
          <w:color w:val="2F5496" w:themeColor="accent1" w:themeShade="BF"/>
          <w:sz w:val="20"/>
          <w:szCs w:val="20"/>
          <w:lang w:val="en-US"/>
        </w:rPr>
        <w:t xml:space="preserve">Grimm, A. et al. </w:t>
      </w:r>
      <w:r w:rsidRPr="00D10414">
        <w:rPr>
          <w:rFonts w:ascii="Helvetica" w:hAnsi="Helvetica"/>
          <w:color w:val="2F5496" w:themeColor="accent1" w:themeShade="BF"/>
          <w:sz w:val="20"/>
          <w:szCs w:val="20"/>
          <w:lang w:val="en-US"/>
        </w:rPr>
        <w:t>Ultrasound pattern sum score, homogeneity score and regional nerve enlargement index for differentiation of demyelinating inflammatory and hereditary neuropathies. Clinical Neurophysiology. 127 (7), 2618–2624 (2016).</w:t>
      </w:r>
      <w:r w:rsidR="000959C9" w:rsidRPr="00D10414">
        <w:rPr>
          <w:rFonts w:ascii="Helvetica" w:hAnsi="Helvetica"/>
          <w:color w:val="2F5496" w:themeColor="accent1" w:themeShade="BF"/>
          <w:sz w:val="20"/>
          <w:szCs w:val="20"/>
          <w:lang w:val="en-US"/>
        </w:rPr>
        <w:br/>
      </w:r>
    </w:p>
    <w:p w14:paraId="2A126380" w14:textId="08BBA56B" w:rsidR="00EB6B3B" w:rsidRDefault="000959C9" w:rsidP="00B30E29">
      <w:pPr>
        <w:pStyle w:val="ListParagraph"/>
        <w:numPr>
          <w:ilvl w:val="0"/>
          <w:numId w:val="6"/>
        </w:numPr>
        <w:rPr>
          <w:rFonts w:ascii="Helvetica" w:hAnsi="Helvetica"/>
          <w:color w:val="000000"/>
          <w:sz w:val="20"/>
          <w:szCs w:val="20"/>
          <w:lang w:val="en-US"/>
        </w:rPr>
      </w:pPr>
      <w:r w:rsidRPr="00B30E29">
        <w:rPr>
          <w:rFonts w:ascii="Helvetica" w:hAnsi="Helvetica"/>
          <w:color w:val="000000"/>
          <w:sz w:val="20"/>
          <w:szCs w:val="20"/>
          <w:lang w:val="en-US"/>
        </w:rPr>
        <w:t>The addition of an anatomical diagram identifying the different sites for ultrasound examination would be useful.</w:t>
      </w:r>
    </w:p>
    <w:p w14:paraId="21C59FDD" w14:textId="6C8C6CCB" w:rsidR="00EB6B3B" w:rsidRDefault="00EB6B3B" w:rsidP="00EB6B3B">
      <w:pPr>
        <w:pStyle w:val="ListParagraph"/>
        <w:rPr>
          <w:rFonts w:ascii="Helvetica" w:hAnsi="Helvetica"/>
          <w:color w:val="000000"/>
          <w:sz w:val="20"/>
          <w:szCs w:val="20"/>
          <w:lang w:val="en-US"/>
        </w:rPr>
      </w:pPr>
    </w:p>
    <w:p w14:paraId="6236A28D" w14:textId="0453064D" w:rsidR="00EB6B3B" w:rsidRPr="00691C51" w:rsidRDefault="00EB6B3B" w:rsidP="00D70C79">
      <w:pPr>
        <w:ind w:firstLine="708"/>
        <w:rPr>
          <w:rFonts w:ascii="Helvetica" w:hAnsi="Helvetica"/>
          <w:color w:val="2F5496" w:themeColor="accent1" w:themeShade="BF"/>
          <w:sz w:val="20"/>
          <w:szCs w:val="20"/>
          <w:lang w:val="en-US"/>
        </w:rPr>
      </w:pPr>
      <w:r w:rsidRPr="00691C51">
        <w:rPr>
          <w:rFonts w:ascii="Helvetica" w:hAnsi="Helvetica"/>
          <w:color w:val="2F5496" w:themeColor="accent1" w:themeShade="BF"/>
          <w:sz w:val="20"/>
          <w:szCs w:val="20"/>
          <w:lang w:val="en-US"/>
        </w:rPr>
        <w:t xml:space="preserve">We added figure 3 to give an overview of all described measuring sites for CSA. </w:t>
      </w:r>
    </w:p>
    <w:p w14:paraId="0F0D923F" w14:textId="79872E21" w:rsidR="00B30E29" w:rsidRPr="00EB6B3B" w:rsidRDefault="00B30E29" w:rsidP="00D70C79">
      <w:pPr>
        <w:pStyle w:val="ListParagraph"/>
        <w:ind w:left="1068"/>
        <w:rPr>
          <w:rFonts w:ascii="Helvetica" w:hAnsi="Helvetica"/>
          <w:color w:val="000000"/>
          <w:sz w:val="20"/>
          <w:szCs w:val="20"/>
          <w:lang w:val="en-US"/>
        </w:rPr>
      </w:pPr>
    </w:p>
    <w:p w14:paraId="3FA904C7" w14:textId="77777777" w:rsidR="00570A07" w:rsidRPr="00570A07" w:rsidRDefault="000959C9" w:rsidP="00B30E29">
      <w:pPr>
        <w:pStyle w:val="ListParagraph"/>
        <w:numPr>
          <w:ilvl w:val="0"/>
          <w:numId w:val="6"/>
        </w:numPr>
        <w:rPr>
          <w:rFonts w:ascii="Helvetica" w:hAnsi="Helvetica"/>
          <w:color w:val="000000"/>
          <w:sz w:val="18"/>
          <w:szCs w:val="18"/>
          <w:lang w:val="en-US"/>
        </w:rPr>
      </w:pPr>
      <w:r w:rsidRPr="00B30E29">
        <w:rPr>
          <w:rFonts w:ascii="Helvetica" w:hAnsi="Helvetica"/>
          <w:color w:val="000000"/>
          <w:sz w:val="20"/>
          <w:szCs w:val="20"/>
          <w:lang w:val="en-US"/>
        </w:rPr>
        <w:t>Are there any studies showing the effect of therapy on ultrasound outcomes?</w:t>
      </w:r>
    </w:p>
    <w:p w14:paraId="64F7B39E" w14:textId="77777777" w:rsidR="00570A07" w:rsidRDefault="00570A07" w:rsidP="00570A07">
      <w:pPr>
        <w:rPr>
          <w:rFonts w:ascii="Helvetica" w:hAnsi="Helvetica"/>
          <w:color w:val="000000"/>
          <w:sz w:val="20"/>
          <w:szCs w:val="20"/>
          <w:lang w:val="en-US"/>
        </w:rPr>
      </w:pPr>
    </w:p>
    <w:p w14:paraId="5AE2B10C" w14:textId="77777777" w:rsidR="00F271E2" w:rsidRPr="00691C51" w:rsidRDefault="00F271E2" w:rsidP="008B3C95">
      <w:pPr>
        <w:ind w:left="708"/>
        <w:rPr>
          <w:rFonts w:ascii="Helvetica" w:hAnsi="Helvetica"/>
          <w:color w:val="2F5496" w:themeColor="accent1" w:themeShade="BF"/>
          <w:sz w:val="20"/>
          <w:szCs w:val="20"/>
          <w:lang w:val="en-US"/>
        </w:rPr>
      </w:pPr>
      <w:r w:rsidRPr="00691C51">
        <w:rPr>
          <w:rFonts w:ascii="Helvetica" w:hAnsi="Helvetica"/>
          <w:color w:val="2F5496" w:themeColor="accent1" w:themeShade="BF"/>
          <w:sz w:val="20"/>
          <w:szCs w:val="20"/>
          <w:lang w:val="en-US"/>
        </w:rPr>
        <w:t xml:space="preserve">There are some longitudinal studies with CIDP patients which showed correlation of CSA course with clinical course and therapy response. We added the following sentence and the according references to the discussion part: </w:t>
      </w:r>
    </w:p>
    <w:p w14:paraId="3FF66F8F" w14:textId="77777777" w:rsidR="008B3C95" w:rsidRPr="008B3C95" w:rsidRDefault="00F271E2" w:rsidP="008B3C95">
      <w:pPr>
        <w:ind w:left="708"/>
        <w:rPr>
          <w:rFonts w:ascii="Helvetica" w:hAnsi="Helvetica"/>
          <w:color w:val="2F5496" w:themeColor="accent1" w:themeShade="BF"/>
          <w:sz w:val="20"/>
          <w:szCs w:val="20"/>
        </w:rPr>
      </w:pPr>
      <w:r w:rsidRPr="00691C51">
        <w:rPr>
          <w:rFonts w:ascii="Helvetica" w:hAnsi="Helvetica"/>
          <w:color w:val="2F5496" w:themeColor="accent1" w:themeShade="BF"/>
          <w:sz w:val="20"/>
          <w:szCs w:val="20"/>
          <w:lang w:val="en-US"/>
        </w:rPr>
        <w:t xml:space="preserve">“Moreover, CSA alterations in longitudinal disease course of patients with CIDP were described to correlate to clinical disease course and treatment response.” </w:t>
      </w:r>
      <w:r w:rsidRPr="008B3C95">
        <w:rPr>
          <w:rFonts w:ascii="Helvetica" w:hAnsi="Helvetica"/>
          <w:color w:val="2F5496" w:themeColor="accent1" w:themeShade="BF"/>
          <w:sz w:val="20"/>
          <w:szCs w:val="20"/>
        </w:rPr>
        <w:t>(page 8)</w:t>
      </w:r>
    </w:p>
    <w:p w14:paraId="4887CF90" w14:textId="77777777" w:rsidR="008B3C95" w:rsidRDefault="008B3C95" w:rsidP="008B3C95">
      <w:pPr>
        <w:rPr>
          <w:rFonts w:ascii="Helvetica" w:hAnsi="Helvetica"/>
          <w:color w:val="2F5496" w:themeColor="accent1" w:themeShade="BF"/>
          <w:sz w:val="20"/>
          <w:szCs w:val="20"/>
        </w:rPr>
      </w:pPr>
    </w:p>
    <w:p w14:paraId="5745BABD" w14:textId="50AAEE61" w:rsidR="008B3C95" w:rsidRPr="008B3C95" w:rsidRDefault="008B3C95" w:rsidP="008B3C95">
      <w:pPr>
        <w:pStyle w:val="ListParagraph"/>
        <w:numPr>
          <w:ilvl w:val="0"/>
          <w:numId w:val="10"/>
        </w:numPr>
        <w:rPr>
          <w:rFonts w:ascii="Helvetica" w:hAnsi="Helvetica"/>
          <w:color w:val="2F5496" w:themeColor="accent1" w:themeShade="BF"/>
          <w:sz w:val="20"/>
          <w:szCs w:val="20"/>
        </w:rPr>
      </w:pPr>
      <w:r w:rsidRPr="008B3C95">
        <w:rPr>
          <w:rFonts w:ascii="Helvetica" w:hAnsi="Helvetica"/>
          <w:color w:val="2F5496" w:themeColor="accent1" w:themeShade="BF"/>
          <w:sz w:val="20"/>
          <w:szCs w:val="20"/>
        </w:rPr>
        <w:t xml:space="preserve">Fisse, A.L. et al. </w:t>
      </w:r>
      <w:r w:rsidRPr="00691C51">
        <w:rPr>
          <w:rFonts w:ascii="Helvetica" w:hAnsi="Helvetica"/>
          <w:color w:val="2F5496" w:themeColor="accent1" w:themeShade="BF"/>
          <w:sz w:val="20"/>
          <w:szCs w:val="20"/>
          <w:lang w:val="en-US"/>
        </w:rPr>
        <w:t xml:space="preserve">Clinical, Sonographic, and Electrophysiologic Longitudinal Features of Chronic Inflammatory Demyelinating Polyneuropathy. </w:t>
      </w:r>
      <w:r w:rsidRPr="00BA7844">
        <w:rPr>
          <w:rFonts w:ascii="Helvetica" w:hAnsi="Helvetica"/>
          <w:color w:val="2F5496" w:themeColor="accent1" w:themeShade="BF"/>
          <w:sz w:val="20"/>
          <w:szCs w:val="20"/>
          <w:lang w:val="en-US"/>
        </w:rPr>
        <w:t xml:space="preserve">Journal of Neuroimaging. </w:t>
      </w:r>
      <w:r w:rsidRPr="008B3C95">
        <w:rPr>
          <w:rFonts w:ascii="Helvetica" w:hAnsi="Helvetica"/>
          <w:color w:val="2F5496" w:themeColor="accent1" w:themeShade="BF"/>
          <w:sz w:val="20"/>
          <w:szCs w:val="20"/>
        </w:rPr>
        <w:t>9, 402 (2018).</w:t>
      </w:r>
    </w:p>
    <w:p w14:paraId="2919D102" w14:textId="3502D4DB" w:rsidR="008B3C95" w:rsidRPr="008B3C95" w:rsidRDefault="008B3C95" w:rsidP="008B3C95">
      <w:pPr>
        <w:pStyle w:val="ListParagraph"/>
        <w:numPr>
          <w:ilvl w:val="0"/>
          <w:numId w:val="10"/>
        </w:numPr>
        <w:rPr>
          <w:rFonts w:ascii="Helvetica" w:hAnsi="Helvetica"/>
          <w:color w:val="2F5496" w:themeColor="accent1" w:themeShade="BF"/>
          <w:sz w:val="20"/>
          <w:szCs w:val="20"/>
        </w:rPr>
      </w:pPr>
      <w:r w:rsidRPr="00691C51">
        <w:rPr>
          <w:rFonts w:ascii="Helvetica" w:hAnsi="Helvetica"/>
          <w:color w:val="2F5496" w:themeColor="accent1" w:themeShade="BF"/>
          <w:sz w:val="20"/>
          <w:szCs w:val="20"/>
          <w:lang w:val="en-US"/>
        </w:rPr>
        <w:t xml:space="preserve">Fionda, L. et al. Changes of clinical, neurophysiological and nerve ultrasound characteristics in CIDP over time: a 3-year follow-up. </w:t>
      </w:r>
      <w:r w:rsidRPr="008B3C95">
        <w:rPr>
          <w:rFonts w:ascii="Helvetica" w:hAnsi="Helvetica"/>
          <w:color w:val="2F5496" w:themeColor="accent1" w:themeShade="BF"/>
          <w:sz w:val="20"/>
          <w:szCs w:val="20"/>
        </w:rPr>
        <w:t>Journal of Neurology. 1–9 (2021).</w:t>
      </w:r>
    </w:p>
    <w:p w14:paraId="5E74063A" w14:textId="7E7C75E5" w:rsidR="008B3C95" w:rsidRPr="008B3C95" w:rsidRDefault="008B3C95" w:rsidP="008B3C95">
      <w:pPr>
        <w:pStyle w:val="ListParagraph"/>
        <w:numPr>
          <w:ilvl w:val="0"/>
          <w:numId w:val="10"/>
        </w:numPr>
        <w:rPr>
          <w:rFonts w:ascii="Helvetica" w:hAnsi="Helvetica"/>
          <w:color w:val="2F5496" w:themeColor="accent1" w:themeShade="BF"/>
          <w:sz w:val="20"/>
          <w:szCs w:val="20"/>
        </w:rPr>
      </w:pPr>
      <w:r w:rsidRPr="00691C51">
        <w:rPr>
          <w:rFonts w:ascii="Helvetica" w:hAnsi="Helvetica"/>
          <w:color w:val="2F5496" w:themeColor="accent1" w:themeShade="BF"/>
          <w:sz w:val="20"/>
          <w:szCs w:val="20"/>
          <w:lang w:val="en-US"/>
        </w:rPr>
        <w:t xml:space="preserve">Härtig, F. et al. Nerve Ultrasound Predicts Treatment Response in Chronic Inflammatory Demyelinating Polyradiculoneuropathy-a Prospective Follow-Up. </w:t>
      </w:r>
      <w:r w:rsidRPr="008B3C95">
        <w:rPr>
          <w:rFonts w:ascii="Helvetica" w:hAnsi="Helvetica"/>
          <w:color w:val="2F5496" w:themeColor="accent1" w:themeShade="BF"/>
          <w:sz w:val="20"/>
          <w:szCs w:val="20"/>
        </w:rPr>
        <w:t>Neurotherapeutics. 15 (2), 439–451 (2018).</w:t>
      </w:r>
    </w:p>
    <w:p w14:paraId="7F5FBDEB" w14:textId="1717CE43" w:rsidR="00B30E29" w:rsidRPr="008B3C95" w:rsidRDefault="008B3C95" w:rsidP="008B3C95">
      <w:pPr>
        <w:pStyle w:val="ListParagraph"/>
        <w:numPr>
          <w:ilvl w:val="0"/>
          <w:numId w:val="10"/>
        </w:numPr>
        <w:rPr>
          <w:rFonts w:ascii="Helvetica" w:hAnsi="Helvetica"/>
          <w:color w:val="2F5496" w:themeColor="accent1" w:themeShade="BF"/>
          <w:sz w:val="20"/>
          <w:szCs w:val="20"/>
        </w:rPr>
      </w:pPr>
      <w:r w:rsidRPr="00691C51">
        <w:rPr>
          <w:rFonts w:ascii="Helvetica" w:hAnsi="Helvetica"/>
          <w:color w:val="2F5496" w:themeColor="accent1" w:themeShade="BF"/>
          <w:sz w:val="20"/>
          <w:szCs w:val="20"/>
          <w:lang w:val="en-US"/>
        </w:rPr>
        <w:t xml:space="preserve">Décard, B.F., Pham, M., Grimm, A. Ultrasound and MRI of nerves for monitoring disease activity and treatment effects in chronic dysimmune neuropathies - Current concepts and future directions. </w:t>
      </w:r>
      <w:r w:rsidRPr="008B3C95">
        <w:rPr>
          <w:rFonts w:ascii="Helvetica" w:hAnsi="Helvetica"/>
          <w:color w:val="2F5496" w:themeColor="accent1" w:themeShade="BF"/>
          <w:sz w:val="20"/>
          <w:szCs w:val="20"/>
        </w:rPr>
        <w:t>Clinical neurophysiology. 129 (1), 155–167 (2018).</w:t>
      </w:r>
      <w:r w:rsidR="000959C9" w:rsidRPr="008B3C95">
        <w:rPr>
          <w:rFonts w:ascii="Helvetica" w:hAnsi="Helvetica"/>
          <w:color w:val="2F5496" w:themeColor="accent1" w:themeShade="BF"/>
          <w:sz w:val="20"/>
          <w:szCs w:val="20"/>
        </w:rPr>
        <w:br/>
      </w:r>
    </w:p>
    <w:p w14:paraId="71145639" w14:textId="77777777" w:rsidR="00B30E29" w:rsidRDefault="00B30E29">
      <w:pPr>
        <w:rPr>
          <w:rFonts w:ascii="Helvetica" w:hAnsi="Helvetica"/>
          <w:color w:val="000000"/>
          <w:sz w:val="18"/>
          <w:szCs w:val="18"/>
          <w:lang w:val="en-US"/>
        </w:rPr>
      </w:pPr>
      <w:r>
        <w:rPr>
          <w:rFonts w:ascii="Helvetica" w:hAnsi="Helvetica"/>
          <w:color w:val="000000"/>
          <w:sz w:val="18"/>
          <w:szCs w:val="18"/>
          <w:lang w:val="en-US"/>
        </w:rPr>
        <w:br w:type="page"/>
      </w:r>
    </w:p>
    <w:p w14:paraId="45F02B8D" w14:textId="77777777" w:rsidR="00691C51"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Reviewer #4: </w:t>
      </w:r>
      <w:r w:rsidRPr="00244C1E">
        <w:rPr>
          <w:rFonts w:ascii="Helvetica" w:hAnsi="Helvetica"/>
          <w:color w:val="000000"/>
          <w:sz w:val="20"/>
          <w:szCs w:val="20"/>
          <w:lang w:val="en-US"/>
        </w:rPr>
        <w:br/>
        <w:t>Manuscript Summary:</w:t>
      </w:r>
      <w:r w:rsidRPr="00244C1E">
        <w:rPr>
          <w:rFonts w:ascii="Helvetica" w:hAnsi="Helvetica"/>
          <w:color w:val="000000"/>
          <w:sz w:val="20"/>
          <w:szCs w:val="20"/>
          <w:lang w:val="en-US"/>
        </w:rPr>
        <w:br/>
        <w:t>The manuscript describes several aspects of nerve ultrasound in diagnosis of dysimmue neuropathies, based on a protocol from single German center.</w:t>
      </w:r>
      <w:r w:rsidRPr="00244C1E">
        <w:rPr>
          <w:rFonts w:ascii="Helvetica" w:hAnsi="Helvetica"/>
          <w:color w:val="000000"/>
          <w:sz w:val="20"/>
          <w:szCs w:val="20"/>
          <w:lang w:val="en-US"/>
        </w:rPr>
        <w:br/>
      </w:r>
      <w:r w:rsidRPr="00244C1E">
        <w:rPr>
          <w:rFonts w:ascii="Helvetica" w:hAnsi="Helvetica"/>
          <w:color w:val="000000"/>
          <w:sz w:val="20"/>
          <w:szCs w:val="20"/>
          <w:lang w:val="en-US"/>
        </w:rPr>
        <w:br/>
        <w:t>Major Concerns:</w:t>
      </w:r>
      <w:r w:rsidRPr="00244C1E">
        <w:rPr>
          <w:rFonts w:ascii="Helvetica" w:hAnsi="Helvetica"/>
          <w:color w:val="000000"/>
          <w:sz w:val="20"/>
          <w:szCs w:val="20"/>
          <w:lang w:val="en-US"/>
        </w:rPr>
        <w:br/>
        <w:t xml:space="preserve">The manuscript appears to be mainly driven by authors own work, and unpublished data that should also receive validation in independent cohorts. </w:t>
      </w:r>
    </w:p>
    <w:p w14:paraId="4ECF36EF" w14:textId="77777777" w:rsidR="00691C51" w:rsidRDefault="00691C51" w:rsidP="000959C9">
      <w:pPr>
        <w:rPr>
          <w:rFonts w:ascii="Helvetica" w:hAnsi="Helvetica"/>
          <w:color w:val="000000"/>
          <w:sz w:val="20"/>
          <w:szCs w:val="20"/>
          <w:lang w:val="en-US"/>
        </w:rPr>
      </w:pPr>
    </w:p>
    <w:p w14:paraId="22F7712C" w14:textId="2C369C28" w:rsidR="00933342" w:rsidRPr="00933342" w:rsidRDefault="00933342" w:rsidP="002E5941">
      <w:pPr>
        <w:ind w:left="708"/>
        <w:rPr>
          <w:rFonts w:ascii="Helvetica" w:hAnsi="Helvetica"/>
          <w:color w:val="2F5496" w:themeColor="accent1" w:themeShade="BF"/>
          <w:sz w:val="20"/>
          <w:szCs w:val="20"/>
          <w:lang w:val="en-US"/>
        </w:rPr>
      </w:pPr>
      <w:r>
        <w:rPr>
          <w:rFonts w:ascii="Helvetica" w:hAnsi="Helvetica"/>
          <w:color w:val="2F5496" w:themeColor="accent1" w:themeShade="BF"/>
          <w:sz w:val="20"/>
          <w:szCs w:val="20"/>
          <w:lang w:val="en-US"/>
        </w:rPr>
        <w:t>We agree with the reviewer, that the focus of this manuscript is to describe the method of nerve ultrasound performed in our department</w:t>
      </w:r>
      <w:r w:rsidR="003D73D3">
        <w:rPr>
          <w:rFonts w:ascii="Helvetica" w:hAnsi="Helvetica"/>
          <w:color w:val="2F5496" w:themeColor="accent1" w:themeShade="BF"/>
          <w:sz w:val="20"/>
          <w:szCs w:val="20"/>
          <w:lang w:val="en-US"/>
        </w:rPr>
        <w:t xml:space="preserve"> and t</w:t>
      </w:r>
      <w:r w:rsidRPr="00933342">
        <w:rPr>
          <w:rFonts w:ascii="Helvetica" w:hAnsi="Helvetica"/>
          <w:color w:val="2F5496" w:themeColor="accent1" w:themeShade="BF"/>
          <w:sz w:val="20"/>
          <w:szCs w:val="20"/>
          <w:lang w:val="en-US"/>
        </w:rPr>
        <w:t xml:space="preserve">he aim of this work is to show </w:t>
      </w:r>
      <w:r>
        <w:rPr>
          <w:rFonts w:ascii="Helvetica" w:hAnsi="Helvetica"/>
          <w:color w:val="2F5496" w:themeColor="accent1" w:themeShade="BF"/>
          <w:sz w:val="20"/>
          <w:szCs w:val="20"/>
          <w:lang w:val="en-US"/>
        </w:rPr>
        <w:t>the</w:t>
      </w:r>
      <w:r w:rsidRPr="00933342">
        <w:rPr>
          <w:rFonts w:ascii="Helvetica" w:hAnsi="Helvetica"/>
          <w:color w:val="2F5496" w:themeColor="accent1" w:themeShade="BF"/>
          <w:sz w:val="20"/>
          <w:szCs w:val="20"/>
          <w:lang w:val="en-US"/>
        </w:rPr>
        <w:t xml:space="preserve"> </w:t>
      </w:r>
      <w:r>
        <w:rPr>
          <w:rFonts w:ascii="Helvetica" w:hAnsi="Helvetica"/>
          <w:color w:val="2F5496" w:themeColor="accent1" w:themeShade="BF"/>
          <w:sz w:val="20"/>
          <w:szCs w:val="20"/>
          <w:lang w:val="en-US"/>
        </w:rPr>
        <w:t>nerve ultrasound examination itself</w:t>
      </w:r>
      <w:r w:rsidRPr="00933342">
        <w:rPr>
          <w:rFonts w:ascii="Helvetica" w:hAnsi="Helvetica"/>
          <w:color w:val="2F5496" w:themeColor="accent1" w:themeShade="BF"/>
          <w:sz w:val="20"/>
          <w:szCs w:val="20"/>
          <w:lang w:val="en-US"/>
        </w:rPr>
        <w:t xml:space="preserve">. Of course, we can only show </w:t>
      </w:r>
      <w:r w:rsidR="003D73D3">
        <w:rPr>
          <w:rFonts w:ascii="Helvetica" w:hAnsi="Helvetica"/>
          <w:color w:val="2F5496" w:themeColor="accent1" w:themeShade="BF"/>
          <w:sz w:val="20"/>
          <w:szCs w:val="20"/>
          <w:lang w:val="en-US"/>
        </w:rPr>
        <w:t xml:space="preserve">how </w:t>
      </w:r>
      <w:r w:rsidRPr="00933342">
        <w:rPr>
          <w:rFonts w:ascii="Helvetica" w:hAnsi="Helvetica"/>
          <w:color w:val="2F5496" w:themeColor="accent1" w:themeShade="BF"/>
          <w:sz w:val="20"/>
          <w:szCs w:val="20"/>
          <w:lang w:val="en-US"/>
        </w:rPr>
        <w:t xml:space="preserve">we actually </w:t>
      </w:r>
      <w:r w:rsidR="003D73D3">
        <w:rPr>
          <w:rFonts w:ascii="Helvetica" w:hAnsi="Helvetica"/>
          <w:color w:val="2F5496" w:themeColor="accent1" w:themeShade="BF"/>
          <w:sz w:val="20"/>
          <w:szCs w:val="20"/>
          <w:lang w:val="en-US"/>
        </w:rPr>
        <w:t>perform</w:t>
      </w:r>
      <w:r w:rsidRPr="00933342">
        <w:rPr>
          <w:rFonts w:ascii="Helvetica" w:hAnsi="Helvetica"/>
          <w:color w:val="2F5496" w:themeColor="accent1" w:themeShade="BF"/>
          <w:sz w:val="20"/>
          <w:szCs w:val="20"/>
          <w:lang w:val="en-US"/>
        </w:rPr>
        <w:t xml:space="preserve"> it, but</w:t>
      </w:r>
      <w:r w:rsidR="003D73D3">
        <w:rPr>
          <w:rFonts w:ascii="Helvetica" w:hAnsi="Helvetica"/>
          <w:color w:val="2F5496" w:themeColor="accent1" w:themeShade="BF"/>
          <w:sz w:val="20"/>
          <w:szCs w:val="20"/>
          <w:lang w:val="en-US"/>
        </w:rPr>
        <w:t xml:space="preserve"> our examination protocol </w:t>
      </w:r>
      <w:r w:rsidRPr="00933342">
        <w:rPr>
          <w:rFonts w:ascii="Helvetica" w:hAnsi="Helvetica"/>
          <w:color w:val="2F5496" w:themeColor="accent1" w:themeShade="BF"/>
          <w:sz w:val="20"/>
          <w:szCs w:val="20"/>
          <w:lang w:val="en-US"/>
        </w:rPr>
        <w:t xml:space="preserve">corresponds to many previously published </w:t>
      </w:r>
      <w:r w:rsidR="003D73D3">
        <w:rPr>
          <w:rFonts w:ascii="Helvetica" w:hAnsi="Helvetica"/>
          <w:color w:val="2F5496" w:themeColor="accent1" w:themeShade="BF"/>
          <w:sz w:val="20"/>
          <w:szCs w:val="20"/>
          <w:lang w:val="en-US"/>
        </w:rPr>
        <w:t xml:space="preserve">protocols and includes nerve sites </w:t>
      </w:r>
      <w:r w:rsidR="003D73D3" w:rsidRPr="00933342">
        <w:rPr>
          <w:rFonts w:ascii="Helvetica" w:hAnsi="Helvetica"/>
          <w:color w:val="2F5496" w:themeColor="accent1" w:themeShade="BF"/>
          <w:sz w:val="20"/>
          <w:szCs w:val="20"/>
          <w:lang w:val="en-US"/>
        </w:rPr>
        <w:t>that have been repeatedly described internationally</w:t>
      </w:r>
      <w:r w:rsidR="003D73D3">
        <w:rPr>
          <w:rFonts w:ascii="Helvetica" w:hAnsi="Helvetica"/>
          <w:color w:val="2F5496" w:themeColor="accent1" w:themeShade="BF"/>
          <w:sz w:val="20"/>
          <w:szCs w:val="20"/>
          <w:lang w:val="en-US"/>
        </w:rPr>
        <w:t>.</w:t>
      </w:r>
    </w:p>
    <w:p w14:paraId="08395B0D" w14:textId="70A2AC91" w:rsidR="003D73D3" w:rsidRPr="00BA7844" w:rsidRDefault="003D73D3" w:rsidP="00933342">
      <w:pPr>
        <w:ind w:left="708"/>
        <w:rPr>
          <w:rFonts w:ascii="Helvetica" w:hAnsi="Helvetica"/>
          <w:color w:val="2F5496" w:themeColor="accent1" w:themeShade="BF"/>
          <w:sz w:val="20"/>
          <w:szCs w:val="20"/>
          <w:lang w:val="en-US"/>
        </w:rPr>
      </w:pPr>
    </w:p>
    <w:p w14:paraId="2BC31922" w14:textId="42102132" w:rsidR="003D73D3" w:rsidRDefault="003D73D3" w:rsidP="002E5941">
      <w:pPr>
        <w:ind w:left="708"/>
        <w:rPr>
          <w:rFonts w:ascii="Helvetica" w:hAnsi="Helvetica"/>
          <w:color w:val="2F5496" w:themeColor="accent1" w:themeShade="BF"/>
          <w:sz w:val="20"/>
          <w:szCs w:val="20"/>
          <w:lang w:val="en-US"/>
        </w:rPr>
      </w:pPr>
      <w:r w:rsidRPr="003D73D3">
        <w:rPr>
          <w:rFonts w:ascii="Helvetica" w:hAnsi="Helvetica"/>
          <w:color w:val="2F5496" w:themeColor="accent1" w:themeShade="BF"/>
          <w:sz w:val="20"/>
          <w:szCs w:val="20"/>
          <w:lang w:val="en-US"/>
        </w:rPr>
        <w:t>Also, this manuscript does not</w:t>
      </w:r>
      <w:r>
        <w:rPr>
          <w:rFonts w:ascii="Helvetica" w:hAnsi="Helvetica"/>
          <w:color w:val="2F5496" w:themeColor="accent1" w:themeShade="BF"/>
          <w:sz w:val="20"/>
          <w:szCs w:val="20"/>
          <w:lang w:val="en-US"/>
        </w:rPr>
        <w:t xml:space="preserve"> aim to review the suitability of nerve ultrasound for diagnosis of certain diseases, nor to review different nerve ultrasound scores for evaluation of polyneuropathies. F</w:t>
      </w:r>
      <w:r w:rsidRPr="003D73D3">
        <w:rPr>
          <w:rFonts w:ascii="Helvetica" w:hAnsi="Helvetica"/>
          <w:color w:val="2F5496" w:themeColor="accent1" w:themeShade="BF"/>
          <w:sz w:val="20"/>
          <w:szCs w:val="20"/>
          <w:lang w:val="en-US"/>
        </w:rPr>
        <w:t>or this we have to refer to other work</w:t>
      </w:r>
      <w:r>
        <w:rPr>
          <w:rFonts w:ascii="Helvetica" w:hAnsi="Helvetica"/>
          <w:color w:val="2F5496" w:themeColor="accent1" w:themeShade="BF"/>
          <w:sz w:val="20"/>
          <w:szCs w:val="20"/>
          <w:lang w:val="en-US"/>
        </w:rPr>
        <w:t>.</w:t>
      </w:r>
    </w:p>
    <w:p w14:paraId="09EA278D" w14:textId="77777777" w:rsidR="00691C51" w:rsidRPr="00933342" w:rsidRDefault="00691C51" w:rsidP="00933342">
      <w:pPr>
        <w:ind w:left="708"/>
        <w:rPr>
          <w:rFonts w:ascii="Helvetica" w:hAnsi="Helvetica"/>
          <w:color w:val="2F5496" w:themeColor="accent1" w:themeShade="BF"/>
          <w:sz w:val="20"/>
          <w:szCs w:val="20"/>
          <w:lang w:val="en-US"/>
        </w:rPr>
      </w:pPr>
    </w:p>
    <w:p w14:paraId="1D6B2251" w14:textId="77777777" w:rsidR="00691C51"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 xml:space="preserve">Several methodological items warrant extensive revision and further clarification. </w:t>
      </w:r>
    </w:p>
    <w:p w14:paraId="33AF2E64" w14:textId="2D29105E" w:rsidR="00691C51" w:rsidRDefault="00691C51" w:rsidP="000959C9">
      <w:pPr>
        <w:rPr>
          <w:rFonts w:ascii="Helvetica" w:hAnsi="Helvetica"/>
          <w:color w:val="000000"/>
          <w:sz w:val="20"/>
          <w:szCs w:val="20"/>
          <w:lang w:val="en-US"/>
        </w:rPr>
      </w:pPr>
    </w:p>
    <w:p w14:paraId="1B65A16B" w14:textId="5A1827AF" w:rsidR="00691C51" w:rsidRPr="00933342" w:rsidRDefault="003D73D3" w:rsidP="002E5941">
      <w:pPr>
        <w:ind w:firstLine="708"/>
        <w:rPr>
          <w:rFonts w:ascii="Helvetica" w:hAnsi="Helvetica"/>
          <w:color w:val="2F5496" w:themeColor="accent1" w:themeShade="BF"/>
          <w:sz w:val="20"/>
          <w:szCs w:val="20"/>
          <w:lang w:val="en-US"/>
        </w:rPr>
      </w:pPr>
      <w:r>
        <w:rPr>
          <w:rFonts w:ascii="Helvetica" w:hAnsi="Helvetica"/>
          <w:color w:val="2F5496" w:themeColor="accent1" w:themeShade="BF"/>
          <w:sz w:val="20"/>
          <w:szCs w:val="20"/>
          <w:lang w:val="en-US"/>
        </w:rPr>
        <w:t>We revised methods, protocol and discussion extensively</w:t>
      </w:r>
      <w:r w:rsidR="00691C51" w:rsidRPr="00933342">
        <w:rPr>
          <w:rFonts w:ascii="Helvetica" w:hAnsi="Helvetica"/>
          <w:color w:val="2F5496" w:themeColor="accent1" w:themeShade="BF"/>
          <w:sz w:val="20"/>
          <w:szCs w:val="20"/>
          <w:lang w:val="en-US"/>
        </w:rPr>
        <w:t xml:space="preserve">. </w:t>
      </w:r>
    </w:p>
    <w:p w14:paraId="4FBD5314" w14:textId="77777777" w:rsidR="00691C51" w:rsidRDefault="00691C51" w:rsidP="000959C9">
      <w:pPr>
        <w:rPr>
          <w:rFonts w:ascii="Helvetica" w:hAnsi="Helvetica"/>
          <w:color w:val="000000"/>
          <w:sz w:val="20"/>
          <w:szCs w:val="20"/>
          <w:lang w:val="en-US"/>
        </w:rPr>
      </w:pPr>
    </w:p>
    <w:p w14:paraId="49C994F6" w14:textId="77777777" w:rsidR="00FE7139"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Finally, limitations of nerve ultrasound and relevant imaging mimics warrant a more balanced discussion.</w:t>
      </w:r>
    </w:p>
    <w:p w14:paraId="492B873F" w14:textId="77777777" w:rsidR="001965B4" w:rsidRPr="00BA7844" w:rsidRDefault="001965B4" w:rsidP="00933342">
      <w:pPr>
        <w:ind w:left="708"/>
        <w:rPr>
          <w:rFonts w:ascii="Helvetica" w:hAnsi="Helvetica"/>
          <w:color w:val="2F5496" w:themeColor="accent1" w:themeShade="BF"/>
          <w:sz w:val="20"/>
          <w:szCs w:val="20"/>
          <w:lang w:val="en-US"/>
        </w:rPr>
      </w:pPr>
    </w:p>
    <w:p w14:paraId="5B2CF5EA" w14:textId="2DA0B16C" w:rsidR="001965B4" w:rsidRPr="00BA7844" w:rsidRDefault="001965B4" w:rsidP="002E5941">
      <w:pPr>
        <w:ind w:left="708"/>
        <w:rPr>
          <w:rFonts w:ascii="Helvetica" w:hAnsi="Helvetica"/>
          <w:color w:val="2F5496" w:themeColor="accent1" w:themeShade="BF"/>
          <w:sz w:val="20"/>
          <w:szCs w:val="20"/>
          <w:lang w:val="en-US"/>
        </w:rPr>
      </w:pPr>
      <w:r>
        <w:rPr>
          <w:rFonts w:ascii="Helvetica" w:hAnsi="Helvetica"/>
          <w:color w:val="2F5496" w:themeColor="accent1" w:themeShade="BF"/>
          <w:sz w:val="20"/>
          <w:szCs w:val="20"/>
          <w:lang w:val="en-US"/>
        </w:rPr>
        <w:t>We added a subheading to the discussion part “</w:t>
      </w:r>
      <w:r w:rsidRPr="00393C13">
        <w:rPr>
          <w:rFonts w:ascii="Helvetica" w:hAnsi="Helvetica"/>
          <w:color w:val="2F5496" w:themeColor="accent1" w:themeShade="BF"/>
          <w:sz w:val="20"/>
          <w:szCs w:val="20"/>
          <w:lang w:val="en-US"/>
        </w:rPr>
        <w:t>Limitations of the technique</w:t>
      </w:r>
      <w:r>
        <w:rPr>
          <w:rFonts w:ascii="Helvetica" w:hAnsi="Helvetica"/>
          <w:color w:val="2F5496" w:themeColor="accent1" w:themeShade="BF"/>
          <w:sz w:val="20"/>
          <w:szCs w:val="20"/>
          <w:lang w:val="en-US"/>
        </w:rPr>
        <w:t>” to be more specific. Also, the limitations were described more clearly: “</w:t>
      </w:r>
      <w:r w:rsidRPr="00393C13">
        <w:rPr>
          <w:rFonts w:ascii="Helvetica" w:hAnsi="Helvetica"/>
          <w:color w:val="2F5496" w:themeColor="accent1" w:themeShade="BF"/>
          <w:sz w:val="20"/>
          <w:szCs w:val="20"/>
          <w:lang w:val="en-US"/>
        </w:rPr>
        <w:t>There are anatomical limitations for nerve ultrasound i.e., examination of cervical nerve roots can be difficult to impossible in patients with obesity and short neck. Also, imaging of proximal nerve roots of the lower extremity nerves or the lumbosacral plexus is not possible due to limited penetration depth of the ultrasonic rays.</w:t>
      </w:r>
      <w:r>
        <w:rPr>
          <w:rFonts w:ascii="Helvetica" w:hAnsi="Helvetica"/>
          <w:color w:val="2F5496" w:themeColor="accent1" w:themeShade="BF"/>
          <w:sz w:val="20"/>
          <w:szCs w:val="20"/>
          <w:lang w:val="en-US"/>
        </w:rPr>
        <w:t xml:space="preserve">” </w:t>
      </w:r>
      <w:r w:rsidRPr="00BA7844">
        <w:rPr>
          <w:rFonts w:ascii="Helvetica" w:hAnsi="Helvetica"/>
          <w:color w:val="2F5496" w:themeColor="accent1" w:themeShade="BF"/>
          <w:sz w:val="20"/>
          <w:szCs w:val="20"/>
          <w:lang w:val="en-US"/>
        </w:rPr>
        <w:t xml:space="preserve">(page 8). </w:t>
      </w:r>
    </w:p>
    <w:p w14:paraId="08C356C0" w14:textId="3C4A276D" w:rsidR="001965B4" w:rsidRPr="001965B4" w:rsidRDefault="001965B4" w:rsidP="002E5941">
      <w:pPr>
        <w:ind w:left="708"/>
        <w:rPr>
          <w:rFonts w:ascii="Helvetica" w:hAnsi="Helvetica"/>
          <w:color w:val="000000"/>
          <w:sz w:val="20"/>
          <w:szCs w:val="20"/>
          <w:lang w:val="en-US"/>
        </w:rPr>
      </w:pPr>
      <w:r w:rsidRPr="001965B4">
        <w:rPr>
          <w:rFonts w:ascii="Helvetica" w:hAnsi="Helvetica"/>
          <w:color w:val="2F5496" w:themeColor="accent1" w:themeShade="BF"/>
          <w:sz w:val="20"/>
          <w:szCs w:val="20"/>
          <w:lang w:val="en-US"/>
        </w:rPr>
        <w:t>As this is a technical and methodological</w:t>
      </w:r>
      <w:r>
        <w:rPr>
          <w:rFonts w:ascii="Helvetica" w:hAnsi="Helvetica"/>
          <w:color w:val="2F5496" w:themeColor="accent1" w:themeShade="BF"/>
          <w:sz w:val="20"/>
          <w:szCs w:val="20"/>
          <w:lang w:val="en-US"/>
        </w:rPr>
        <w:t xml:space="preserve"> paper and not a paper about interpretation of nerve ultrasound alterations or different diseases, we focused on technical and methodological limitations, not on imaging mimics. </w:t>
      </w:r>
    </w:p>
    <w:p w14:paraId="60560549" w14:textId="77777777" w:rsidR="00D363C0" w:rsidRDefault="000959C9" w:rsidP="000959C9">
      <w:pPr>
        <w:rPr>
          <w:rFonts w:ascii="Helvetica" w:hAnsi="Helvetica"/>
          <w:color w:val="000000"/>
          <w:sz w:val="20"/>
          <w:szCs w:val="20"/>
          <w:lang w:val="en-US"/>
        </w:rPr>
      </w:pPr>
      <w:r w:rsidRPr="00BA7844">
        <w:rPr>
          <w:rFonts w:ascii="Helvetica" w:hAnsi="Helvetica"/>
          <w:color w:val="000000"/>
          <w:sz w:val="20"/>
          <w:szCs w:val="20"/>
          <w:lang w:val="en-US"/>
        </w:rPr>
        <w:br/>
      </w:r>
      <w:r w:rsidRPr="00244C1E">
        <w:rPr>
          <w:rFonts w:ascii="Helvetica" w:hAnsi="Helvetica"/>
          <w:color w:val="000000"/>
          <w:sz w:val="20"/>
          <w:szCs w:val="20"/>
          <w:lang w:val="en-US"/>
        </w:rPr>
        <w:t>Minor Concerns:</w:t>
      </w:r>
      <w:r w:rsidRPr="00244C1E">
        <w:rPr>
          <w:rFonts w:ascii="Helvetica" w:hAnsi="Helvetica"/>
          <w:color w:val="000000"/>
          <w:sz w:val="20"/>
          <w:szCs w:val="20"/>
          <w:lang w:val="en-US"/>
        </w:rPr>
        <w:br/>
        <w:t>Several items in introduction and technical description are lacking or need rewording.</w:t>
      </w:r>
      <w:r w:rsidRPr="00244C1E">
        <w:rPr>
          <w:rFonts w:ascii="Helvetica" w:hAnsi="Helvetica"/>
          <w:color w:val="000000"/>
          <w:sz w:val="20"/>
          <w:szCs w:val="20"/>
          <w:lang w:val="en-US"/>
        </w:rPr>
        <w:br/>
        <w:t>Title: I would change title to 'nerve ultrasound protocol to detect dysimmune neuropathies: a video instruction and review on its practical implementation'</w:t>
      </w:r>
    </w:p>
    <w:p w14:paraId="5B4F0615" w14:textId="77777777" w:rsidR="00D363C0" w:rsidRDefault="00D363C0" w:rsidP="000959C9">
      <w:pPr>
        <w:rPr>
          <w:rFonts w:ascii="Helvetica" w:hAnsi="Helvetica"/>
          <w:color w:val="000000"/>
          <w:sz w:val="20"/>
          <w:szCs w:val="20"/>
          <w:lang w:val="en-US"/>
        </w:rPr>
      </w:pPr>
    </w:p>
    <w:p w14:paraId="5AD6BA42" w14:textId="550FD162" w:rsidR="00201EBB" w:rsidRDefault="00D363C0" w:rsidP="00D363C0">
      <w:pPr>
        <w:ind w:left="708"/>
        <w:rPr>
          <w:rFonts w:ascii="Helvetica" w:hAnsi="Helvetica"/>
          <w:color w:val="000000"/>
          <w:sz w:val="20"/>
          <w:szCs w:val="20"/>
          <w:lang w:val="en-US"/>
        </w:rPr>
      </w:pPr>
      <w:r w:rsidRPr="00D363C0">
        <w:rPr>
          <w:rFonts w:ascii="Helvetica" w:hAnsi="Helvetica"/>
          <w:color w:val="2F5496" w:themeColor="accent1" w:themeShade="BF"/>
          <w:sz w:val="20"/>
          <w:szCs w:val="20"/>
          <w:lang w:val="en-US"/>
        </w:rPr>
        <w:t xml:space="preserve">As suggested, we changed the title to “Nerve ultrasound protocol to detect dysimmune neuropathies: a video instruction”. As this manuscript does not aim to be a review on nerve ultrasound, we did not implement this part. </w:t>
      </w:r>
      <w:r w:rsidR="000959C9" w:rsidRPr="00D363C0">
        <w:rPr>
          <w:rFonts w:ascii="Helvetica" w:hAnsi="Helvetica"/>
          <w:color w:val="2F5496" w:themeColor="accent1" w:themeShade="BF"/>
          <w:sz w:val="20"/>
          <w:szCs w:val="20"/>
          <w:lang w:val="en-US"/>
        </w:rPr>
        <w:br/>
      </w:r>
      <w:r w:rsidR="00201EBB">
        <w:rPr>
          <w:rFonts w:ascii="Helvetica" w:hAnsi="Helvetica"/>
          <w:color w:val="000000"/>
          <w:sz w:val="20"/>
          <w:szCs w:val="20"/>
          <w:lang w:val="en-US"/>
        </w:rPr>
        <w:tab/>
      </w:r>
    </w:p>
    <w:p w14:paraId="6E62A227" w14:textId="4193F28A" w:rsidR="00201EBB"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Abstract:</w:t>
      </w:r>
      <w:r w:rsidRPr="00244C1E">
        <w:rPr>
          <w:rFonts w:ascii="Helvetica" w:hAnsi="Helvetica"/>
          <w:color w:val="000000"/>
          <w:sz w:val="20"/>
          <w:szCs w:val="20"/>
          <w:lang w:val="en-US"/>
        </w:rPr>
        <w:br/>
        <w:t>The authors suggest that nerve ultrasound can reliably distinguish between hereditary demyelinating and dysimmune neuropathies, but overlap is far from uncommon.</w:t>
      </w:r>
      <w:r w:rsidRPr="00244C1E">
        <w:rPr>
          <w:rFonts w:ascii="Helvetica" w:hAnsi="Helvetica"/>
          <w:color w:val="000000"/>
          <w:sz w:val="20"/>
          <w:szCs w:val="20"/>
          <w:lang w:val="en-US"/>
        </w:rPr>
        <w:br/>
      </w:r>
    </w:p>
    <w:p w14:paraId="63CC6B14" w14:textId="5D35B5C5" w:rsidR="00201EBB" w:rsidRPr="00D363C0" w:rsidRDefault="00D363C0" w:rsidP="00D363C0">
      <w:pPr>
        <w:ind w:left="708"/>
        <w:rPr>
          <w:rFonts w:ascii="Helvetica" w:hAnsi="Helvetica"/>
          <w:color w:val="2F5496" w:themeColor="accent1" w:themeShade="BF"/>
          <w:sz w:val="20"/>
          <w:szCs w:val="20"/>
          <w:lang w:val="en-US"/>
        </w:rPr>
      </w:pPr>
      <w:r w:rsidRPr="00D363C0">
        <w:rPr>
          <w:rFonts w:ascii="Helvetica" w:hAnsi="Helvetica"/>
          <w:color w:val="2F5496" w:themeColor="accent1" w:themeShade="BF"/>
          <w:sz w:val="20"/>
          <w:szCs w:val="20"/>
          <w:lang w:val="en-US"/>
        </w:rPr>
        <w:t xml:space="preserve">We agree with the reviewer, there are patients with both hereditary and dysimmune neuropathies, therefore changed the formulation to </w:t>
      </w:r>
      <w:r>
        <w:rPr>
          <w:rFonts w:ascii="Helvetica" w:hAnsi="Helvetica"/>
          <w:color w:val="2F5496" w:themeColor="accent1" w:themeShade="BF"/>
          <w:sz w:val="20"/>
          <w:szCs w:val="20"/>
          <w:lang w:val="en-US"/>
        </w:rPr>
        <w:t>“</w:t>
      </w:r>
      <w:r w:rsidRPr="00D363C0">
        <w:rPr>
          <w:rFonts w:ascii="Helvetica" w:hAnsi="Helvetica"/>
          <w:color w:val="2F5496" w:themeColor="accent1" w:themeShade="BF"/>
          <w:sz w:val="20"/>
          <w:szCs w:val="20"/>
          <w:lang w:val="en-US"/>
        </w:rPr>
        <w:t>CIDP may be distinguished from hereditary and other polyneuropathies by measuring extent and pattern of nerve swellings (CSA increase).</w:t>
      </w:r>
      <w:r>
        <w:rPr>
          <w:rFonts w:ascii="Helvetica" w:hAnsi="Helvetica"/>
          <w:color w:val="2F5496" w:themeColor="accent1" w:themeShade="BF"/>
          <w:sz w:val="20"/>
          <w:szCs w:val="20"/>
          <w:lang w:val="en-US"/>
        </w:rPr>
        <w:t>”</w:t>
      </w:r>
      <w:r w:rsidRPr="00D363C0">
        <w:rPr>
          <w:rFonts w:ascii="Helvetica" w:hAnsi="Helvetica"/>
          <w:color w:val="2F5496" w:themeColor="accent1" w:themeShade="BF"/>
          <w:sz w:val="20"/>
          <w:szCs w:val="20"/>
          <w:lang w:val="en-US"/>
        </w:rPr>
        <w:t xml:space="preserve"> (page 1)</w:t>
      </w:r>
    </w:p>
    <w:p w14:paraId="13B92A2E" w14:textId="77777777" w:rsidR="00201EBB" w:rsidRDefault="00201EBB" w:rsidP="000959C9">
      <w:pPr>
        <w:rPr>
          <w:rFonts w:ascii="Helvetica" w:hAnsi="Helvetica"/>
          <w:color w:val="000000"/>
          <w:sz w:val="20"/>
          <w:szCs w:val="20"/>
          <w:lang w:val="en-US"/>
        </w:rPr>
      </w:pPr>
    </w:p>
    <w:p w14:paraId="28CAF4E3" w14:textId="77777777" w:rsidR="00D363C0"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Refrain from speculation on (validated) histologic correlation of sonomorphologic abnormalities.</w:t>
      </w:r>
    </w:p>
    <w:p w14:paraId="597F7CC8" w14:textId="77777777" w:rsidR="00D363C0" w:rsidRDefault="00D363C0" w:rsidP="000959C9">
      <w:pPr>
        <w:rPr>
          <w:rFonts w:ascii="Helvetica" w:hAnsi="Helvetica"/>
          <w:color w:val="000000"/>
          <w:sz w:val="20"/>
          <w:szCs w:val="20"/>
          <w:lang w:val="en-US"/>
        </w:rPr>
      </w:pPr>
    </w:p>
    <w:p w14:paraId="6F042ACE" w14:textId="6FEF0583" w:rsidR="00201EBB" w:rsidRDefault="00D363C0" w:rsidP="00D363C0">
      <w:pPr>
        <w:ind w:left="708"/>
        <w:rPr>
          <w:rFonts w:ascii="Helvetica" w:hAnsi="Helvetica"/>
          <w:color w:val="000000"/>
          <w:sz w:val="20"/>
          <w:szCs w:val="20"/>
          <w:lang w:val="en-US"/>
        </w:rPr>
      </w:pPr>
      <w:r w:rsidRPr="00D363C0">
        <w:rPr>
          <w:rFonts w:ascii="Helvetica" w:hAnsi="Helvetica"/>
          <w:color w:val="2F5496" w:themeColor="accent1" w:themeShade="BF"/>
          <w:sz w:val="20"/>
          <w:szCs w:val="20"/>
          <w:lang w:val="en-US"/>
        </w:rPr>
        <w:t>We omitted the corresponding sentence from the abstract</w:t>
      </w:r>
      <w:r>
        <w:rPr>
          <w:rFonts w:ascii="Helvetica" w:hAnsi="Helvetica"/>
          <w:color w:val="2F5496" w:themeColor="accent1" w:themeShade="BF"/>
          <w:sz w:val="20"/>
          <w:szCs w:val="20"/>
          <w:lang w:val="en-US"/>
        </w:rPr>
        <w:t xml:space="preserve"> as suggested. </w:t>
      </w:r>
      <w:r w:rsidR="000959C9" w:rsidRPr="00D363C0">
        <w:rPr>
          <w:rFonts w:ascii="Helvetica" w:hAnsi="Helvetica"/>
          <w:color w:val="2F5496" w:themeColor="accent1" w:themeShade="BF"/>
          <w:sz w:val="20"/>
          <w:szCs w:val="20"/>
          <w:lang w:val="en-US"/>
        </w:rPr>
        <w:br/>
      </w:r>
    </w:p>
    <w:p w14:paraId="10D24936" w14:textId="3A4344E6" w:rsidR="00201EBB" w:rsidRDefault="00201EBB" w:rsidP="000959C9">
      <w:pPr>
        <w:rPr>
          <w:rFonts w:ascii="Helvetica" w:hAnsi="Helvetica"/>
          <w:color w:val="000000"/>
          <w:sz w:val="20"/>
          <w:szCs w:val="20"/>
          <w:lang w:val="en-US"/>
        </w:rPr>
      </w:pPr>
      <w:r>
        <w:rPr>
          <w:rFonts w:ascii="Helvetica" w:hAnsi="Helvetica"/>
          <w:color w:val="000000"/>
          <w:sz w:val="20"/>
          <w:szCs w:val="20"/>
          <w:lang w:val="en-US"/>
        </w:rPr>
        <w:tab/>
      </w:r>
    </w:p>
    <w:p w14:paraId="7305A2CB" w14:textId="77777777" w:rsidR="00201EBB" w:rsidRDefault="00201EBB" w:rsidP="000959C9">
      <w:pPr>
        <w:rPr>
          <w:rFonts w:ascii="Helvetica" w:hAnsi="Helvetica"/>
          <w:color w:val="000000"/>
          <w:sz w:val="20"/>
          <w:szCs w:val="20"/>
          <w:lang w:val="en-US"/>
        </w:rPr>
      </w:pPr>
    </w:p>
    <w:p w14:paraId="0564029E" w14:textId="77777777" w:rsidR="00776B99"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Introduction:</w:t>
      </w:r>
      <w:r w:rsidRPr="00244C1E">
        <w:rPr>
          <w:rFonts w:ascii="Helvetica" w:hAnsi="Helvetica"/>
          <w:color w:val="000000"/>
          <w:sz w:val="20"/>
          <w:szCs w:val="20"/>
          <w:lang w:val="en-US"/>
        </w:rPr>
        <w:br/>
        <w:t>This section lacks a balanced introduction of relevant concepts and appropriate use of diagnostic tests in polyneuropathy. I would urge the authors to consider the following:</w:t>
      </w:r>
      <w:r w:rsidRPr="00244C1E">
        <w:rPr>
          <w:rFonts w:ascii="Helvetica" w:hAnsi="Helvetica"/>
          <w:color w:val="000000"/>
          <w:sz w:val="20"/>
          <w:szCs w:val="20"/>
          <w:lang w:val="en-US"/>
        </w:rPr>
        <w:br/>
        <w:t>- Diagnosis of polyneuropathy is primarily clinical, based on adequate identification of relevant signs and symptoms.</w:t>
      </w:r>
      <w:r w:rsidRPr="00244C1E">
        <w:rPr>
          <w:rFonts w:ascii="Helvetica" w:hAnsi="Helvetica"/>
          <w:color w:val="000000"/>
          <w:sz w:val="20"/>
          <w:szCs w:val="20"/>
          <w:lang w:val="en-US"/>
        </w:rPr>
        <w:br/>
        <w:t>- The main adjunctive tests in polyneuropathy include laboratory testing to identify possible causal mechanisms, and electrodiagnosis to confirm loss of sensory and motor axons. However, contribution of electrodiagnosis itself is usually small in diagnostic strategies on polyneuropathy [1, 2]. Only in a subset there is a true added value, particularly in cases where genetic groups (axonal vs demyelinating) and the rarer dysimmune neuropathies are considered. Genetic testing is needed in the former. Expanded electrodiagnostic (EDX) protocols are often deployed in patients suspected with potentially treatable neuropathies [3-6]. Other supportive tests are primarily used to obtain more certainty on diagnosis when EDX fails to provide required evidence (e.g. in suspected CIDP), and include imaging (MRI or ultrasound), cerebrospinal fluid testing and in selected cases nerve biopsy [7, 8].</w:t>
      </w:r>
      <w:r w:rsidRPr="00244C1E">
        <w:rPr>
          <w:rFonts w:ascii="Helvetica" w:hAnsi="Helvetica"/>
          <w:color w:val="000000"/>
          <w:sz w:val="20"/>
          <w:szCs w:val="20"/>
          <w:lang w:val="en-US"/>
        </w:rPr>
        <w:br/>
        <w:t>- There are several caveats to test characteristics of EDX in patients with suspected CIDP, as sensitivity and specificity are far from perfect. Several other neuropathy causes (e.g. demyelinating hereditary neuropathies, IgM neuropathy, POEMS syndrome, amyloid neuropathy, GBS, etc.) may lead to similar abnormalities on EDX, formally fulfilling electrodiagnostic consensus criteria for CIDP.</w:t>
      </w:r>
      <w:r w:rsidRPr="00244C1E">
        <w:rPr>
          <w:rFonts w:ascii="Helvetica" w:hAnsi="Helvetica"/>
          <w:color w:val="000000"/>
          <w:sz w:val="20"/>
          <w:szCs w:val="20"/>
          <w:lang w:val="en-US"/>
        </w:rPr>
        <w:br/>
        <w:t>- The terminology 'axonal' and 'demyelinating' are clinical concepts with several limitations. The fact that diverse set of disease processes can lead to similar electrodiagnostic abnormalities such as severe conduction slowing, also imply that the latter is not simply 'demyelination'. Previous histologic investigations have similarly shown us that overlap of abnormalities between these to clinical categories is common.</w:t>
      </w:r>
    </w:p>
    <w:p w14:paraId="6A1292A9" w14:textId="77777777" w:rsidR="00776B99" w:rsidRDefault="00776B99" w:rsidP="000959C9">
      <w:pPr>
        <w:rPr>
          <w:rFonts w:ascii="Helvetica" w:hAnsi="Helvetica"/>
          <w:color w:val="000000"/>
          <w:sz w:val="20"/>
          <w:szCs w:val="20"/>
          <w:lang w:val="en-US"/>
        </w:rPr>
      </w:pPr>
    </w:p>
    <w:p w14:paraId="1262038B" w14:textId="6D3B5D50" w:rsidR="00776B99" w:rsidRPr="00776B99" w:rsidRDefault="00776B99" w:rsidP="00776B99">
      <w:pPr>
        <w:ind w:left="708"/>
        <w:rPr>
          <w:rFonts w:ascii="Helvetica" w:hAnsi="Helvetica"/>
          <w:color w:val="2F5496" w:themeColor="accent1" w:themeShade="BF"/>
          <w:sz w:val="20"/>
          <w:szCs w:val="20"/>
          <w:lang w:val="en-US"/>
        </w:rPr>
      </w:pPr>
      <w:r w:rsidRPr="00776B99">
        <w:rPr>
          <w:rFonts w:ascii="Helvetica" w:hAnsi="Helvetica"/>
          <w:color w:val="2F5496" w:themeColor="accent1" w:themeShade="BF"/>
          <w:sz w:val="20"/>
          <w:szCs w:val="20"/>
          <w:lang w:val="en-US"/>
        </w:rPr>
        <w:t xml:space="preserve">We agree with what the reviewer wrote on diagnostics in polyneuropathies. </w:t>
      </w:r>
      <w:r>
        <w:rPr>
          <w:rFonts w:ascii="Helvetica" w:hAnsi="Helvetica"/>
          <w:color w:val="2F5496" w:themeColor="accent1" w:themeShade="BF"/>
          <w:sz w:val="20"/>
          <w:szCs w:val="20"/>
          <w:lang w:val="en-US"/>
        </w:rPr>
        <w:t xml:space="preserve">However, we want to remind, that this manuscript is not a review on diagnostics of </w:t>
      </w:r>
      <w:r w:rsidR="00D759CF">
        <w:rPr>
          <w:rFonts w:ascii="Helvetica" w:hAnsi="Helvetica"/>
          <w:color w:val="2F5496" w:themeColor="accent1" w:themeShade="BF"/>
          <w:sz w:val="20"/>
          <w:szCs w:val="20"/>
          <w:lang w:val="en-US"/>
        </w:rPr>
        <w:t>polyneuropathies but</w:t>
      </w:r>
      <w:r>
        <w:rPr>
          <w:rFonts w:ascii="Helvetica" w:hAnsi="Helvetica"/>
          <w:color w:val="2F5496" w:themeColor="accent1" w:themeShade="BF"/>
          <w:sz w:val="20"/>
          <w:szCs w:val="20"/>
          <w:lang w:val="en-US"/>
        </w:rPr>
        <w:t xml:space="preserve"> aims to describe methodology of nerve ultrasound supported by video instructions. </w:t>
      </w:r>
      <w:r w:rsidR="00D759CF">
        <w:rPr>
          <w:rFonts w:ascii="Helvetica" w:hAnsi="Helvetica"/>
          <w:color w:val="2F5496" w:themeColor="accent1" w:themeShade="BF"/>
          <w:sz w:val="20"/>
          <w:szCs w:val="20"/>
          <w:lang w:val="en-US"/>
        </w:rPr>
        <w:t>Therefore,</w:t>
      </w:r>
      <w:r>
        <w:rPr>
          <w:rFonts w:ascii="Helvetica" w:hAnsi="Helvetica"/>
          <w:color w:val="2F5496" w:themeColor="accent1" w:themeShade="BF"/>
          <w:sz w:val="20"/>
          <w:szCs w:val="20"/>
          <w:lang w:val="en-US"/>
        </w:rPr>
        <w:t xml:space="preserve"> we did not implement a comprehensive recommendation on all aspects of diagnostics. </w:t>
      </w:r>
    </w:p>
    <w:p w14:paraId="4B20C8E7" w14:textId="77777777" w:rsidR="001C3C06"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 The recently revised EAN/PNS criteria on CIDP have already embraced the use of nerve ultrasound and pointed out several caveats such as lower specificity and caution on interpretation in light of relevant imaging mimics [7].</w:t>
      </w:r>
    </w:p>
    <w:p w14:paraId="6DC7FA8B" w14:textId="77777777" w:rsidR="001C3C06" w:rsidRDefault="001C3C06" w:rsidP="000959C9">
      <w:pPr>
        <w:rPr>
          <w:rFonts w:ascii="Helvetica" w:hAnsi="Helvetica"/>
          <w:color w:val="000000"/>
          <w:sz w:val="20"/>
          <w:szCs w:val="20"/>
          <w:lang w:val="en-US"/>
        </w:rPr>
      </w:pPr>
    </w:p>
    <w:p w14:paraId="58146C0C" w14:textId="1F06400B" w:rsidR="001C3C06" w:rsidRDefault="001C3C06" w:rsidP="001C3C06">
      <w:pPr>
        <w:ind w:left="708"/>
        <w:rPr>
          <w:rFonts w:ascii="Helvetica" w:hAnsi="Helvetica"/>
          <w:color w:val="2F5496" w:themeColor="accent1" w:themeShade="BF"/>
          <w:sz w:val="20"/>
          <w:szCs w:val="20"/>
          <w:lang w:val="en-US"/>
        </w:rPr>
      </w:pPr>
      <w:r>
        <w:rPr>
          <w:rFonts w:ascii="Helvetica" w:hAnsi="Helvetica"/>
          <w:color w:val="2F5496" w:themeColor="accent1" w:themeShade="BF"/>
          <w:sz w:val="20"/>
          <w:szCs w:val="20"/>
          <w:lang w:val="en-US"/>
        </w:rPr>
        <w:t>T</w:t>
      </w:r>
      <w:r w:rsidRPr="001C3C06">
        <w:rPr>
          <w:rFonts w:ascii="Helvetica" w:hAnsi="Helvetica"/>
          <w:color w:val="2F5496" w:themeColor="accent1" w:themeShade="BF"/>
          <w:sz w:val="20"/>
          <w:szCs w:val="20"/>
          <w:lang w:val="en-US"/>
        </w:rPr>
        <w:t>he revised EFNS / PNS criteria were published</w:t>
      </w:r>
      <w:r>
        <w:rPr>
          <w:rFonts w:ascii="Helvetica" w:hAnsi="Helvetica"/>
          <w:color w:val="2F5496" w:themeColor="accent1" w:themeShade="BF"/>
          <w:sz w:val="20"/>
          <w:szCs w:val="20"/>
          <w:lang w:val="en-US"/>
        </w:rPr>
        <w:t xml:space="preserve"> in the meantime</w:t>
      </w:r>
      <w:r w:rsidRPr="001C3C06">
        <w:rPr>
          <w:rFonts w:ascii="Helvetica" w:hAnsi="Helvetica"/>
          <w:color w:val="2F5496" w:themeColor="accent1" w:themeShade="BF"/>
          <w:sz w:val="20"/>
          <w:szCs w:val="20"/>
          <w:lang w:val="en-US"/>
        </w:rPr>
        <w:t>. We have therefore revised the manuscript in this regard and cited the new criteria</w:t>
      </w:r>
      <w:r w:rsidR="00546AAD">
        <w:rPr>
          <w:rFonts w:ascii="Helvetica" w:hAnsi="Helvetica"/>
          <w:color w:val="2F5496" w:themeColor="accent1" w:themeShade="BF"/>
          <w:sz w:val="20"/>
          <w:szCs w:val="20"/>
          <w:lang w:val="en-US"/>
        </w:rPr>
        <w:t>.</w:t>
      </w:r>
    </w:p>
    <w:p w14:paraId="4DD399C5" w14:textId="59032AEA" w:rsidR="00546AAD" w:rsidRPr="001C3C06" w:rsidRDefault="00546AAD" w:rsidP="001C3C06">
      <w:pPr>
        <w:ind w:left="708"/>
        <w:rPr>
          <w:rFonts w:ascii="Helvetica" w:hAnsi="Helvetica"/>
          <w:color w:val="2F5496" w:themeColor="accent1" w:themeShade="BF"/>
          <w:sz w:val="20"/>
          <w:szCs w:val="20"/>
          <w:lang w:val="en-US"/>
        </w:rPr>
      </w:pPr>
      <w:r>
        <w:rPr>
          <w:rFonts w:ascii="Helvetica" w:hAnsi="Helvetica"/>
          <w:color w:val="2F5496" w:themeColor="accent1" w:themeShade="BF"/>
          <w:sz w:val="20"/>
          <w:szCs w:val="20"/>
          <w:lang w:val="en-US"/>
        </w:rPr>
        <w:t>“</w:t>
      </w:r>
      <w:r w:rsidRPr="00546AAD">
        <w:rPr>
          <w:rFonts w:ascii="Helvetica" w:hAnsi="Helvetica"/>
          <w:color w:val="2F5496" w:themeColor="accent1" w:themeShade="BF"/>
          <w:sz w:val="20"/>
          <w:szCs w:val="20"/>
          <w:lang w:val="en-US"/>
        </w:rPr>
        <w:t>As this was proven in several studies, the 2021 revised EFNS/PNS criteria, implemented the use of nerve ultrasound as additional tool in diagnosis of CIDP5.</w:t>
      </w:r>
      <w:r>
        <w:rPr>
          <w:rFonts w:ascii="Helvetica" w:hAnsi="Helvetica"/>
          <w:color w:val="2F5496" w:themeColor="accent1" w:themeShade="BF"/>
          <w:sz w:val="20"/>
          <w:szCs w:val="20"/>
          <w:lang w:val="en-US"/>
        </w:rPr>
        <w:t>” (page 1/2)</w:t>
      </w:r>
    </w:p>
    <w:p w14:paraId="099FE63C" w14:textId="77777777" w:rsidR="00405F2E"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 Prognostic potential of nerve ultrasound in CIDP and other dysimmune neuropathies remains debatable, with mixed results from previous studies [9-12]. Given the diagnostic perspective of nerve ultrasound as main aim of this manuscript, I would ask the authors to omit this.</w:t>
      </w:r>
    </w:p>
    <w:p w14:paraId="346A3DF4" w14:textId="77777777" w:rsidR="00405F2E" w:rsidRDefault="00405F2E" w:rsidP="000959C9">
      <w:pPr>
        <w:rPr>
          <w:rFonts w:ascii="Helvetica" w:hAnsi="Helvetica"/>
          <w:color w:val="000000"/>
          <w:sz w:val="20"/>
          <w:szCs w:val="20"/>
          <w:lang w:val="en-US"/>
        </w:rPr>
      </w:pPr>
      <w:r>
        <w:rPr>
          <w:rFonts w:ascii="Helvetica" w:hAnsi="Helvetica"/>
          <w:color w:val="000000"/>
          <w:sz w:val="20"/>
          <w:szCs w:val="20"/>
          <w:lang w:val="en-US"/>
        </w:rPr>
        <w:tab/>
      </w:r>
    </w:p>
    <w:p w14:paraId="5EA99CD6" w14:textId="5603B5F8" w:rsidR="00405F2E" w:rsidRPr="00405F2E" w:rsidRDefault="00405F2E" w:rsidP="00405F2E">
      <w:pPr>
        <w:ind w:left="708"/>
        <w:rPr>
          <w:rFonts w:ascii="Helvetica" w:hAnsi="Helvetica"/>
          <w:color w:val="2F5496" w:themeColor="accent1" w:themeShade="BF"/>
          <w:sz w:val="20"/>
          <w:szCs w:val="20"/>
          <w:lang w:val="en-US"/>
        </w:rPr>
      </w:pPr>
      <w:r w:rsidRPr="00405F2E">
        <w:rPr>
          <w:rFonts w:ascii="Helvetica" w:hAnsi="Helvetica"/>
          <w:color w:val="2F5496" w:themeColor="accent1" w:themeShade="BF"/>
          <w:sz w:val="20"/>
          <w:szCs w:val="20"/>
          <w:lang w:val="en-US"/>
        </w:rPr>
        <w:t>We removed the statement that nerve ultrasound can be used for disease monitoring on page 2</w:t>
      </w:r>
      <w:r>
        <w:rPr>
          <w:rFonts w:ascii="Helvetica" w:hAnsi="Helvetica"/>
          <w:color w:val="2F5496" w:themeColor="accent1" w:themeShade="BF"/>
          <w:sz w:val="20"/>
          <w:szCs w:val="20"/>
          <w:lang w:val="en-US"/>
        </w:rPr>
        <w:t>, as it is not the main aim to discuss this in the manuscript</w:t>
      </w:r>
      <w:r w:rsidRPr="00405F2E">
        <w:rPr>
          <w:rFonts w:ascii="Helvetica" w:hAnsi="Helvetica"/>
          <w:color w:val="2F5496" w:themeColor="accent1" w:themeShade="BF"/>
          <w:sz w:val="20"/>
          <w:szCs w:val="20"/>
          <w:lang w:val="en-US"/>
        </w:rPr>
        <w:t xml:space="preserve">. </w:t>
      </w:r>
    </w:p>
    <w:p w14:paraId="3982F48F" w14:textId="77777777" w:rsidR="00405F2E"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 xml:space="preserve">- The authors should use more nuanced wording on nerve ultrasound features. Nerve size appears to be most robust parameter, consistently reported in wide range of different neuropathies [13]. At present, other sonographic parameters that have been proposed have received less attention in published literature. Evaluation of fascicle size has been used previously by several groups [14-17], but larger validation studies are still lacking and the added value over nerve size alone is likely limited. </w:t>
      </w:r>
    </w:p>
    <w:p w14:paraId="6B897F4F" w14:textId="77777777" w:rsidR="00405F2E" w:rsidRDefault="00405F2E" w:rsidP="000959C9">
      <w:pPr>
        <w:rPr>
          <w:rFonts w:ascii="Helvetica" w:hAnsi="Helvetica"/>
          <w:color w:val="000000"/>
          <w:sz w:val="20"/>
          <w:szCs w:val="20"/>
          <w:lang w:val="en-US"/>
        </w:rPr>
      </w:pPr>
    </w:p>
    <w:p w14:paraId="516C95CF" w14:textId="3443EDDD" w:rsidR="00405F2E" w:rsidRPr="00405F2E" w:rsidRDefault="00405F2E" w:rsidP="00405F2E">
      <w:pPr>
        <w:ind w:left="708"/>
        <w:rPr>
          <w:rFonts w:ascii="Helvetica" w:hAnsi="Helvetica"/>
          <w:color w:val="2F5496" w:themeColor="accent1" w:themeShade="BF"/>
          <w:sz w:val="20"/>
          <w:szCs w:val="20"/>
          <w:lang w:val="en-US"/>
        </w:rPr>
      </w:pPr>
      <w:r w:rsidRPr="00405F2E">
        <w:rPr>
          <w:rFonts w:ascii="Helvetica" w:hAnsi="Helvetica"/>
          <w:color w:val="2F5496" w:themeColor="accent1" w:themeShade="BF"/>
          <w:sz w:val="20"/>
          <w:szCs w:val="20"/>
          <w:lang w:val="en-US"/>
        </w:rPr>
        <w:t>As most data exist on measuring nerve size by CSA, we focused on this in the manuscript. Regarding echogenicity and fascicle size, we agree with the reviewer, that there are not enough data to report on this method here. Still, we believe that referring to these other sonographic parameters than CSA is still necessary. Concluded we omitted the part from the introduction but left it in the</w:t>
      </w:r>
      <w:r>
        <w:rPr>
          <w:rFonts w:ascii="Helvetica" w:hAnsi="Helvetica"/>
          <w:color w:val="2F5496" w:themeColor="accent1" w:themeShade="BF"/>
          <w:sz w:val="20"/>
          <w:szCs w:val="20"/>
          <w:lang w:val="en-US"/>
        </w:rPr>
        <w:t xml:space="preserve"> results and</w:t>
      </w:r>
      <w:r w:rsidRPr="00405F2E">
        <w:rPr>
          <w:rFonts w:ascii="Helvetica" w:hAnsi="Helvetica"/>
          <w:color w:val="2F5496" w:themeColor="accent1" w:themeShade="BF"/>
          <w:sz w:val="20"/>
          <w:szCs w:val="20"/>
          <w:lang w:val="en-US"/>
        </w:rPr>
        <w:t xml:space="preserve"> discussion part. </w:t>
      </w:r>
    </w:p>
    <w:p w14:paraId="404BF1F4" w14:textId="77777777" w:rsidR="00405F2E" w:rsidRDefault="00405F2E" w:rsidP="000959C9">
      <w:pPr>
        <w:rPr>
          <w:rFonts w:ascii="Helvetica" w:hAnsi="Helvetica"/>
          <w:color w:val="000000"/>
          <w:sz w:val="20"/>
          <w:szCs w:val="20"/>
          <w:lang w:val="en-US"/>
        </w:rPr>
      </w:pPr>
    </w:p>
    <w:p w14:paraId="73B8475A" w14:textId="77777777" w:rsidR="00F63322"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Speculation on histologic correlates should be removed, as this was never formally investigated (few had indirect comparison with distal sensory leg nerve segment vs mixed and arm nerves), and also warrants validation when appropriate testing confirms this.</w:t>
      </w:r>
    </w:p>
    <w:p w14:paraId="418AE8BC" w14:textId="77777777" w:rsidR="00F63322" w:rsidRDefault="00F63322" w:rsidP="000959C9">
      <w:pPr>
        <w:rPr>
          <w:rFonts w:ascii="Helvetica" w:hAnsi="Helvetica"/>
          <w:color w:val="000000"/>
          <w:sz w:val="20"/>
          <w:szCs w:val="20"/>
          <w:lang w:val="en-US"/>
        </w:rPr>
      </w:pPr>
    </w:p>
    <w:p w14:paraId="2C0A1CD1" w14:textId="6576E89B" w:rsidR="00F63322" w:rsidRPr="00F63322" w:rsidRDefault="00F63322" w:rsidP="00F63322">
      <w:pPr>
        <w:ind w:left="708"/>
        <w:rPr>
          <w:rFonts w:ascii="Helvetica" w:hAnsi="Helvetica"/>
          <w:color w:val="2F5496" w:themeColor="accent1" w:themeShade="BF"/>
          <w:sz w:val="20"/>
          <w:szCs w:val="20"/>
          <w:lang w:val="en-US"/>
        </w:rPr>
      </w:pPr>
      <w:r w:rsidRPr="00F63322">
        <w:rPr>
          <w:rFonts w:ascii="Helvetica" w:hAnsi="Helvetica"/>
          <w:color w:val="2F5496" w:themeColor="accent1" w:themeShade="BF"/>
          <w:sz w:val="20"/>
          <w:szCs w:val="20"/>
          <w:lang w:val="en-US"/>
        </w:rPr>
        <w:t>We removed details on histologic correlates of CSA increase in the introduction. Nevertheless, we find it important to have at least an idea of what the correlate of morphology is, so we left a sentence in the discussion with the limitation that it still needs to be examined:</w:t>
      </w:r>
    </w:p>
    <w:p w14:paraId="1DC6770D" w14:textId="65047EA9" w:rsidR="00F63322" w:rsidRPr="00F63322" w:rsidRDefault="00F63322" w:rsidP="00F63322">
      <w:pPr>
        <w:ind w:left="708"/>
        <w:rPr>
          <w:rFonts w:ascii="Helvetica" w:hAnsi="Helvetica"/>
          <w:color w:val="2F5496" w:themeColor="accent1" w:themeShade="BF"/>
          <w:sz w:val="20"/>
          <w:szCs w:val="20"/>
          <w:lang w:val="en-US"/>
        </w:rPr>
      </w:pPr>
      <w:r w:rsidRPr="00F63322">
        <w:rPr>
          <w:rFonts w:ascii="Helvetica" w:hAnsi="Helvetica"/>
          <w:color w:val="2F5496" w:themeColor="accent1" w:themeShade="BF"/>
          <w:sz w:val="20"/>
          <w:szCs w:val="20"/>
          <w:lang w:val="en-US"/>
        </w:rPr>
        <w:t>“Histologic correlate of increased CSA is assumed to be acute inflammation and repeated de- and remyelination, however this remains to be investigated”</w:t>
      </w:r>
      <w:r>
        <w:rPr>
          <w:rFonts w:ascii="Helvetica" w:hAnsi="Helvetica"/>
          <w:color w:val="2F5496" w:themeColor="accent1" w:themeShade="BF"/>
          <w:sz w:val="20"/>
          <w:szCs w:val="20"/>
          <w:lang w:val="en-US"/>
        </w:rPr>
        <w:t>. (page 6)</w:t>
      </w:r>
    </w:p>
    <w:p w14:paraId="09AD8259" w14:textId="77777777" w:rsidR="00C254E8"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 A recent neuromuscular expert panel reviewed the available protocols, ranging from practical to more elaborate protocols with more complex scoring systems [18].</w:t>
      </w:r>
    </w:p>
    <w:p w14:paraId="02FAF90E" w14:textId="77777777" w:rsidR="00C254E8" w:rsidRDefault="00C254E8" w:rsidP="000959C9">
      <w:pPr>
        <w:rPr>
          <w:rFonts w:ascii="Helvetica" w:hAnsi="Helvetica"/>
          <w:color w:val="000000"/>
          <w:sz w:val="20"/>
          <w:szCs w:val="20"/>
          <w:lang w:val="en-US"/>
        </w:rPr>
      </w:pPr>
    </w:p>
    <w:p w14:paraId="07E9B74B" w14:textId="46711229" w:rsidR="00C254E8" w:rsidRPr="00C254E8" w:rsidRDefault="00C254E8" w:rsidP="00C254E8">
      <w:pPr>
        <w:ind w:left="708"/>
        <w:rPr>
          <w:rFonts w:ascii="Helvetica" w:hAnsi="Helvetica"/>
          <w:color w:val="2F5496" w:themeColor="accent1" w:themeShade="BF"/>
          <w:sz w:val="20"/>
          <w:szCs w:val="20"/>
          <w:lang w:val="en-US"/>
        </w:rPr>
      </w:pPr>
      <w:r w:rsidRPr="00C254E8">
        <w:rPr>
          <w:rFonts w:ascii="Helvetica" w:hAnsi="Helvetica"/>
          <w:color w:val="2F5496" w:themeColor="accent1" w:themeShade="BF"/>
          <w:sz w:val="20"/>
          <w:szCs w:val="20"/>
          <w:lang w:val="en-US"/>
        </w:rPr>
        <w:t>We do not aim to compare the published scoring systems</w:t>
      </w:r>
      <w:r>
        <w:rPr>
          <w:rFonts w:ascii="Helvetica" w:hAnsi="Helvetica"/>
          <w:color w:val="2F5496" w:themeColor="accent1" w:themeShade="BF"/>
          <w:sz w:val="20"/>
          <w:szCs w:val="20"/>
          <w:lang w:val="en-US"/>
        </w:rPr>
        <w:t xml:space="preserve">. </w:t>
      </w:r>
      <w:r w:rsidR="00770FB2">
        <w:rPr>
          <w:rFonts w:ascii="Helvetica" w:hAnsi="Helvetica"/>
          <w:color w:val="2F5496" w:themeColor="accent1" w:themeShade="BF"/>
          <w:sz w:val="20"/>
          <w:szCs w:val="20"/>
          <w:lang w:val="en-US"/>
        </w:rPr>
        <w:t>T</w:t>
      </w:r>
      <w:r w:rsidR="00770FB2" w:rsidRPr="00C254E8">
        <w:rPr>
          <w:rFonts w:ascii="Helvetica" w:hAnsi="Helvetica"/>
          <w:color w:val="2F5496" w:themeColor="accent1" w:themeShade="BF"/>
          <w:sz w:val="20"/>
          <w:szCs w:val="20"/>
          <w:lang w:val="en-US"/>
        </w:rPr>
        <w:t>herefore,</w:t>
      </w:r>
      <w:r w:rsidRPr="00C254E8">
        <w:rPr>
          <w:rFonts w:ascii="Helvetica" w:hAnsi="Helvetica"/>
          <w:color w:val="2F5496" w:themeColor="accent1" w:themeShade="BF"/>
          <w:sz w:val="20"/>
          <w:szCs w:val="20"/>
          <w:lang w:val="en-US"/>
        </w:rPr>
        <w:t xml:space="preserve"> we did not extensively discuss this point. However, we added the suggested literature</w:t>
      </w:r>
      <w:r>
        <w:rPr>
          <w:rFonts w:ascii="Helvetica" w:hAnsi="Helvetica"/>
          <w:color w:val="2F5496" w:themeColor="accent1" w:themeShade="BF"/>
          <w:sz w:val="20"/>
          <w:szCs w:val="20"/>
          <w:lang w:val="en-US"/>
        </w:rPr>
        <w:t xml:space="preserve"> to the manuscript</w:t>
      </w:r>
      <w:r w:rsidRPr="00C254E8">
        <w:rPr>
          <w:rFonts w:ascii="Helvetica" w:hAnsi="Helvetica"/>
          <w:color w:val="2F5496" w:themeColor="accent1" w:themeShade="BF"/>
          <w:sz w:val="20"/>
          <w:szCs w:val="20"/>
          <w:lang w:val="en-US"/>
        </w:rPr>
        <w:t xml:space="preserve">. </w:t>
      </w:r>
    </w:p>
    <w:p w14:paraId="3EA1A4BB" w14:textId="77777777" w:rsidR="00C254E8"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 The present technical section is rather superficial, either expand to appropriate details (e.g. include basic physics on nerve ultrasound, describe basic rules of ultrasound (instrumentation considerations, probe and device handling, scanning rules including image optimization, measurements (including why perpendicular and within hyperechoic rim), appropriate annotation and reporting) or simply reduce it to single sentence and refer to more dedicated papers [19, 20].</w:t>
      </w:r>
    </w:p>
    <w:p w14:paraId="680D10C2" w14:textId="77777777" w:rsidR="00C254E8" w:rsidRDefault="00C254E8" w:rsidP="000959C9">
      <w:pPr>
        <w:rPr>
          <w:rFonts w:ascii="Helvetica" w:hAnsi="Helvetica"/>
          <w:color w:val="000000"/>
          <w:sz w:val="20"/>
          <w:szCs w:val="20"/>
          <w:lang w:val="en-US"/>
        </w:rPr>
      </w:pPr>
    </w:p>
    <w:p w14:paraId="40D51C42" w14:textId="5C2FF723" w:rsidR="00770FB2" w:rsidRPr="00770FB2" w:rsidRDefault="00770FB2" w:rsidP="00770FB2">
      <w:pPr>
        <w:ind w:left="708"/>
        <w:rPr>
          <w:rFonts w:ascii="Helvetica" w:hAnsi="Helvetica"/>
          <w:color w:val="2F5496" w:themeColor="accent1" w:themeShade="BF"/>
          <w:sz w:val="20"/>
          <w:szCs w:val="20"/>
          <w:lang w:val="en-US"/>
        </w:rPr>
      </w:pPr>
      <w:r w:rsidRPr="00770FB2">
        <w:rPr>
          <w:rFonts w:ascii="Helvetica" w:hAnsi="Helvetica"/>
          <w:color w:val="2F5496" w:themeColor="accent1" w:themeShade="BF"/>
          <w:sz w:val="20"/>
          <w:szCs w:val="20"/>
          <w:lang w:val="en-US"/>
        </w:rPr>
        <w:t>W</w:t>
      </w:r>
      <w:r w:rsidR="00C254E8" w:rsidRPr="00770FB2">
        <w:rPr>
          <w:rFonts w:ascii="Helvetica" w:hAnsi="Helvetica"/>
          <w:color w:val="2F5496" w:themeColor="accent1" w:themeShade="BF"/>
          <w:sz w:val="20"/>
          <w:szCs w:val="20"/>
          <w:lang w:val="en-US"/>
        </w:rPr>
        <w:t>e believe that our technical section is helpfu</w:t>
      </w:r>
      <w:r w:rsidRPr="00770FB2">
        <w:rPr>
          <w:rFonts w:ascii="Helvetica" w:hAnsi="Helvetica"/>
          <w:color w:val="2F5496" w:themeColor="accent1" w:themeShade="BF"/>
          <w:sz w:val="20"/>
          <w:szCs w:val="20"/>
          <w:lang w:val="en-US"/>
        </w:rPr>
        <w:t>l as an overview</w:t>
      </w:r>
      <w:r>
        <w:rPr>
          <w:rFonts w:ascii="Helvetica" w:hAnsi="Helvetica"/>
          <w:color w:val="2F5496" w:themeColor="accent1" w:themeShade="BF"/>
          <w:sz w:val="20"/>
          <w:szCs w:val="20"/>
          <w:lang w:val="en-US"/>
        </w:rPr>
        <w:t xml:space="preserve"> </w:t>
      </w:r>
      <w:r w:rsidR="00D45703">
        <w:rPr>
          <w:rFonts w:ascii="Helvetica" w:hAnsi="Helvetica"/>
          <w:color w:val="2F5496" w:themeColor="accent1" w:themeShade="BF"/>
          <w:sz w:val="20"/>
          <w:szCs w:val="20"/>
          <w:lang w:val="en-US"/>
        </w:rPr>
        <w:t>of technique in</w:t>
      </w:r>
      <w:r w:rsidRPr="00770FB2">
        <w:rPr>
          <w:rFonts w:ascii="Helvetica" w:hAnsi="Helvetica"/>
          <w:color w:val="2F5496" w:themeColor="accent1" w:themeShade="BF"/>
          <w:sz w:val="20"/>
          <w:szCs w:val="20"/>
          <w:lang w:val="en-US"/>
        </w:rPr>
        <w:t xml:space="preserve"> neuromuscular ultrasound. However, we referred to more detailed articles as addition: “More details on technical ultrasound can be found elsewhere.” (page 3). </w:t>
      </w:r>
    </w:p>
    <w:p w14:paraId="79EBBB67" w14:textId="51B8FD2A" w:rsidR="00C254E8" w:rsidRPr="00770FB2" w:rsidRDefault="00770FB2" w:rsidP="00770FB2">
      <w:pPr>
        <w:ind w:left="708"/>
        <w:rPr>
          <w:rFonts w:ascii="Helvetica" w:hAnsi="Helvetica"/>
          <w:color w:val="2F5496" w:themeColor="accent1" w:themeShade="BF"/>
          <w:sz w:val="20"/>
          <w:szCs w:val="20"/>
          <w:lang w:val="en-US"/>
        </w:rPr>
      </w:pPr>
      <w:r w:rsidRPr="00770FB2">
        <w:rPr>
          <w:rFonts w:ascii="Helvetica" w:hAnsi="Helvetica"/>
          <w:color w:val="2F5496" w:themeColor="accent1" w:themeShade="BF"/>
          <w:sz w:val="20"/>
          <w:szCs w:val="20"/>
          <w:lang w:val="en-US"/>
        </w:rPr>
        <w:t xml:space="preserve">In this manuscript, we do not aim to include technical basic physics and rules of ultrasound. </w:t>
      </w:r>
    </w:p>
    <w:p w14:paraId="7B0234C1" w14:textId="5148FF6C" w:rsidR="00441B77"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Protocol:</w:t>
      </w:r>
      <w:r w:rsidRPr="00244C1E">
        <w:rPr>
          <w:rFonts w:ascii="Helvetica" w:hAnsi="Helvetica"/>
          <w:color w:val="000000"/>
          <w:sz w:val="20"/>
          <w:szCs w:val="20"/>
          <w:lang w:val="en-US"/>
        </w:rPr>
        <w:br/>
        <w:t>Omit selection of patient, probe and preset setting in this section, and also omit 'bilateral' and 'save' items.</w:t>
      </w:r>
    </w:p>
    <w:p w14:paraId="322D142D" w14:textId="77777777" w:rsidR="00441B77" w:rsidRDefault="00441B77" w:rsidP="000959C9">
      <w:pPr>
        <w:rPr>
          <w:rFonts w:ascii="Helvetica" w:hAnsi="Helvetica"/>
          <w:color w:val="000000"/>
          <w:sz w:val="20"/>
          <w:szCs w:val="20"/>
          <w:lang w:val="en-US"/>
        </w:rPr>
      </w:pPr>
    </w:p>
    <w:p w14:paraId="70CBA78D" w14:textId="42D3C568" w:rsidR="00441B77" w:rsidRPr="00441B77" w:rsidRDefault="00441B77" w:rsidP="00441B77">
      <w:pPr>
        <w:ind w:left="708"/>
        <w:rPr>
          <w:rFonts w:ascii="Helvetica" w:hAnsi="Helvetica"/>
          <w:color w:val="2F5496" w:themeColor="accent1" w:themeShade="BF"/>
          <w:sz w:val="20"/>
          <w:szCs w:val="20"/>
          <w:lang w:val="en-US"/>
        </w:rPr>
      </w:pPr>
      <w:r w:rsidRPr="00441B77">
        <w:rPr>
          <w:rFonts w:ascii="Helvetica" w:hAnsi="Helvetica"/>
          <w:color w:val="2F5496" w:themeColor="accent1" w:themeShade="BF"/>
          <w:sz w:val="20"/>
          <w:szCs w:val="20"/>
          <w:lang w:val="en-US"/>
        </w:rPr>
        <w:t xml:space="preserve">There are quite specific author guidelines, which as for this detailed description, therefore we did not change these parts. </w:t>
      </w:r>
    </w:p>
    <w:p w14:paraId="3AD5CE77" w14:textId="77777777" w:rsidR="00441B77"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I would urge the authors to use video and images rather than text here, given the highly visual operation of the ultrasound devices this would appeal potential readers more than plain text.</w:t>
      </w:r>
    </w:p>
    <w:p w14:paraId="3D833379" w14:textId="77777777" w:rsidR="00441B77" w:rsidRDefault="00441B77" w:rsidP="000959C9">
      <w:pPr>
        <w:rPr>
          <w:rFonts w:ascii="Helvetica" w:hAnsi="Helvetica"/>
          <w:color w:val="000000"/>
          <w:sz w:val="20"/>
          <w:szCs w:val="20"/>
          <w:lang w:val="en-US"/>
        </w:rPr>
      </w:pPr>
    </w:p>
    <w:p w14:paraId="45109581" w14:textId="1A5B9CAB" w:rsidR="00441B77" w:rsidRPr="00441B77" w:rsidRDefault="00441B77" w:rsidP="00441B77">
      <w:pPr>
        <w:ind w:left="708"/>
        <w:rPr>
          <w:rFonts w:ascii="Helvetica" w:hAnsi="Helvetica"/>
          <w:color w:val="2F5496" w:themeColor="accent1" w:themeShade="BF"/>
          <w:sz w:val="20"/>
          <w:szCs w:val="20"/>
          <w:lang w:val="en-US"/>
        </w:rPr>
      </w:pPr>
      <w:r w:rsidRPr="00441B77">
        <w:rPr>
          <w:rFonts w:ascii="Helvetica" w:hAnsi="Helvetica"/>
          <w:color w:val="2F5496" w:themeColor="accent1" w:themeShade="BF"/>
          <w:sz w:val="20"/>
          <w:szCs w:val="20"/>
          <w:lang w:val="en-US"/>
        </w:rPr>
        <w:t xml:space="preserve">This work includes creation of video files with help of the journal on the methods after completion of review and acceptance of the manuscript. </w:t>
      </w:r>
    </w:p>
    <w:p w14:paraId="12497D38" w14:textId="77777777" w:rsidR="00293A64"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The ultrasound protocol proposed by the authors appear to be mainly driven by German data sets, from the same few centers.</w:t>
      </w:r>
    </w:p>
    <w:p w14:paraId="722D961D" w14:textId="77777777" w:rsidR="00293A64" w:rsidRDefault="00293A64" w:rsidP="000959C9">
      <w:pPr>
        <w:rPr>
          <w:rFonts w:ascii="Helvetica" w:hAnsi="Helvetica"/>
          <w:color w:val="000000"/>
          <w:sz w:val="20"/>
          <w:szCs w:val="20"/>
          <w:lang w:val="en-US"/>
        </w:rPr>
      </w:pPr>
    </w:p>
    <w:p w14:paraId="23627D55" w14:textId="209FC6A2" w:rsidR="00DA09DD" w:rsidRDefault="00DA09DD" w:rsidP="00DA09DD">
      <w:pPr>
        <w:ind w:left="708"/>
        <w:rPr>
          <w:rFonts w:ascii="Helvetica" w:hAnsi="Helvetica"/>
          <w:color w:val="000000"/>
          <w:sz w:val="20"/>
          <w:szCs w:val="20"/>
          <w:lang w:val="en-US"/>
        </w:rPr>
      </w:pPr>
      <w:r w:rsidRPr="00DA09DD">
        <w:rPr>
          <w:rFonts w:ascii="Helvetica" w:hAnsi="Helvetica"/>
          <w:color w:val="2F5496" w:themeColor="accent1" w:themeShade="BF"/>
          <w:sz w:val="20"/>
          <w:szCs w:val="20"/>
          <w:lang w:val="en-US"/>
        </w:rPr>
        <w:t>Please see answer to you first comment.</w:t>
      </w:r>
      <w:r>
        <w:rPr>
          <w:rFonts w:ascii="Helvetica" w:hAnsi="Helvetica"/>
          <w:color w:val="000000"/>
          <w:sz w:val="20"/>
          <w:szCs w:val="20"/>
          <w:lang w:val="en-US"/>
        </w:rPr>
        <w:t xml:space="preserve"> </w:t>
      </w:r>
    </w:p>
    <w:p w14:paraId="7D8C5318" w14:textId="77777777" w:rsidR="00DA09DD" w:rsidRDefault="00DA09DD" w:rsidP="000959C9">
      <w:pPr>
        <w:rPr>
          <w:rFonts w:ascii="Helvetica" w:hAnsi="Helvetica"/>
          <w:color w:val="000000"/>
          <w:sz w:val="20"/>
          <w:szCs w:val="20"/>
          <w:lang w:val="en-US"/>
        </w:rPr>
      </w:pPr>
    </w:p>
    <w:p w14:paraId="327C672F" w14:textId="77777777" w:rsidR="00086BA3"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Representative results:</w:t>
      </w:r>
      <w:r w:rsidRPr="00244C1E">
        <w:rPr>
          <w:rFonts w:ascii="Helvetica" w:hAnsi="Helvetica"/>
          <w:color w:val="000000"/>
          <w:sz w:val="20"/>
          <w:szCs w:val="20"/>
          <w:lang w:val="en-US"/>
        </w:rPr>
        <w:br/>
        <w:t>- The authors appear to push their own scoring system, that has not been published or validated yet, whereas some of the other scoring systems have been validated (including original Bochum scoring system that achieved considerably lower diagnostic performance than original publications) [21, 22].</w:t>
      </w:r>
    </w:p>
    <w:p w14:paraId="36929CDE" w14:textId="77777777" w:rsidR="00086BA3" w:rsidRDefault="00086BA3" w:rsidP="000959C9">
      <w:pPr>
        <w:rPr>
          <w:rFonts w:ascii="Helvetica" w:hAnsi="Helvetica"/>
          <w:color w:val="000000"/>
          <w:sz w:val="20"/>
          <w:szCs w:val="20"/>
          <w:lang w:val="en-US"/>
        </w:rPr>
      </w:pPr>
    </w:p>
    <w:p w14:paraId="4AF3ADBB" w14:textId="2E3DB7A4" w:rsidR="00086BA3" w:rsidRPr="00086BA3" w:rsidRDefault="00086BA3" w:rsidP="00086BA3">
      <w:pPr>
        <w:ind w:left="708"/>
        <w:rPr>
          <w:rFonts w:ascii="Helvetica" w:hAnsi="Helvetica"/>
          <w:color w:val="2F5496" w:themeColor="accent1" w:themeShade="BF"/>
          <w:sz w:val="20"/>
          <w:szCs w:val="20"/>
          <w:lang w:val="en-US"/>
        </w:rPr>
      </w:pPr>
      <w:r w:rsidRPr="00086BA3">
        <w:rPr>
          <w:rFonts w:ascii="Helvetica" w:hAnsi="Helvetica"/>
          <w:color w:val="2F5496" w:themeColor="accent1" w:themeShade="BF"/>
          <w:sz w:val="20"/>
          <w:szCs w:val="20"/>
          <w:lang w:val="en-US"/>
        </w:rPr>
        <w:t>We explained the scoring system developed Bochum as example and as this is part of our evaluation of nerve ultrasound</w:t>
      </w:r>
      <w:r w:rsidR="004F22F0">
        <w:rPr>
          <w:rFonts w:ascii="Helvetica" w:hAnsi="Helvetica"/>
          <w:color w:val="2F5496" w:themeColor="accent1" w:themeShade="BF"/>
          <w:sz w:val="20"/>
          <w:szCs w:val="20"/>
          <w:lang w:val="en-US"/>
        </w:rPr>
        <w:t xml:space="preserve"> in our center</w:t>
      </w:r>
      <w:r w:rsidRPr="00086BA3">
        <w:rPr>
          <w:rFonts w:ascii="Helvetica" w:hAnsi="Helvetica"/>
          <w:color w:val="2F5496" w:themeColor="accent1" w:themeShade="BF"/>
          <w:sz w:val="20"/>
          <w:szCs w:val="20"/>
          <w:lang w:val="en-US"/>
        </w:rPr>
        <w:t xml:space="preserve">. As this </w:t>
      </w:r>
      <w:r w:rsidR="004F22F0" w:rsidRPr="00086BA3">
        <w:rPr>
          <w:rFonts w:ascii="Helvetica" w:hAnsi="Helvetica"/>
          <w:color w:val="2F5496" w:themeColor="accent1" w:themeShade="BF"/>
          <w:sz w:val="20"/>
          <w:szCs w:val="20"/>
          <w:lang w:val="en-US"/>
        </w:rPr>
        <w:t>manuscript</w:t>
      </w:r>
      <w:r w:rsidRPr="00086BA3">
        <w:rPr>
          <w:rFonts w:ascii="Helvetica" w:hAnsi="Helvetica"/>
          <w:color w:val="2F5496" w:themeColor="accent1" w:themeShade="BF"/>
          <w:sz w:val="20"/>
          <w:szCs w:val="20"/>
          <w:lang w:val="en-US"/>
        </w:rPr>
        <w:t xml:space="preserve"> does not aim to review different scoring systems, this section was kept short and we did not discuss other scoring systems in </w:t>
      </w:r>
      <w:r w:rsidR="002D4F67" w:rsidRPr="00086BA3">
        <w:rPr>
          <w:rFonts w:ascii="Helvetica" w:hAnsi="Helvetica"/>
          <w:color w:val="2F5496" w:themeColor="accent1" w:themeShade="BF"/>
          <w:sz w:val="20"/>
          <w:szCs w:val="20"/>
          <w:lang w:val="en-US"/>
        </w:rPr>
        <w:t>detail but</w:t>
      </w:r>
      <w:r w:rsidRPr="00086BA3">
        <w:rPr>
          <w:rFonts w:ascii="Helvetica" w:hAnsi="Helvetica"/>
          <w:color w:val="2F5496" w:themeColor="accent1" w:themeShade="BF"/>
          <w:sz w:val="20"/>
          <w:szCs w:val="20"/>
          <w:lang w:val="en-US"/>
        </w:rPr>
        <w:t xml:space="preserve"> referred to other sources. </w:t>
      </w:r>
    </w:p>
    <w:p w14:paraId="5FBB97FC" w14:textId="273E0EC7" w:rsidR="00086BA3"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 The reference values from their own meta-analysis also includes important bias (e.g. mix data from Asian and Western populations, young and older age categories (including children up to 10 14 years), different probe frequencies) all leading to smaller nerve sizes [23-25]. The fact that normal nerve sizes are quite different from disease specific cut-offs further compound the complexity here for potential readers.</w:t>
      </w:r>
    </w:p>
    <w:p w14:paraId="12C99EFE" w14:textId="5BE540AD" w:rsidR="004F22F0" w:rsidRDefault="004F22F0" w:rsidP="000959C9">
      <w:pPr>
        <w:rPr>
          <w:rFonts w:ascii="Helvetica" w:hAnsi="Helvetica"/>
          <w:color w:val="000000"/>
          <w:sz w:val="20"/>
          <w:szCs w:val="20"/>
          <w:lang w:val="en-US"/>
        </w:rPr>
      </w:pPr>
    </w:p>
    <w:p w14:paraId="04EF14DA" w14:textId="6A1EB228" w:rsidR="004F22F0" w:rsidRPr="00B313CB" w:rsidRDefault="004F22F0" w:rsidP="00B313CB">
      <w:pPr>
        <w:ind w:left="708"/>
        <w:rPr>
          <w:rFonts w:ascii="Helvetica" w:hAnsi="Helvetica"/>
          <w:color w:val="2F5496" w:themeColor="accent1" w:themeShade="BF"/>
          <w:sz w:val="20"/>
          <w:szCs w:val="20"/>
          <w:lang w:val="en-US"/>
        </w:rPr>
      </w:pPr>
      <w:r w:rsidRPr="00B313CB">
        <w:rPr>
          <w:rFonts w:ascii="Helvetica" w:hAnsi="Helvetica"/>
          <w:color w:val="2F5496" w:themeColor="accent1" w:themeShade="BF"/>
          <w:sz w:val="20"/>
          <w:szCs w:val="20"/>
          <w:lang w:val="en-US"/>
        </w:rPr>
        <w:t xml:space="preserve">Our meta-analysis to which we refer in the article has not included CSA data of </w:t>
      </w:r>
      <w:r w:rsidR="002D4F67" w:rsidRPr="00B313CB">
        <w:rPr>
          <w:rFonts w:ascii="Helvetica" w:hAnsi="Helvetica"/>
          <w:color w:val="2F5496" w:themeColor="accent1" w:themeShade="BF"/>
          <w:sz w:val="20"/>
          <w:szCs w:val="20"/>
          <w:lang w:val="en-US"/>
        </w:rPr>
        <w:t>children</w:t>
      </w:r>
      <w:r w:rsidRPr="00B313CB">
        <w:rPr>
          <w:rFonts w:ascii="Helvetica" w:hAnsi="Helvetica"/>
          <w:color w:val="2F5496" w:themeColor="accent1" w:themeShade="BF"/>
          <w:sz w:val="20"/>
          <w:szCs w:val="20"/>
          <w:lang w:val="en-US"/>
        </w:rPr>
        <w:t xml:space="preserve"> &lt; 18 years and </w:t>
      </w:r>
      <w:r w:rsidR="002D4F67" w:rsidRPr="00B313CB">
        <w:rPr>
          <w:rFonts w:ascii="Helvetica" w:hAnsi="Helvetica"/>
          <w:color w:val="2F5496" w:themeColor="accent1" w:themeShade="BF"/>
          <w:sz w:val="20"/>
          <w:szCs w:val="20"/>
          <w:lang w:val="en-US"/>
        </w:rPr>
        <w:t xml:space="preserve">also </w:t>
      </w:r>
      <w:r w:rsidRPr="00B313CB">
        <w:rPr>
          <w:rFonts w:ascii="Helvetica" w:hAnsi="Helvetica"/>
          <w:color w:val="2F5496" w:themeColor="accent1" w:themeShade="BF"/>
          <w:sz w:val="20"/>
          <w:szCs w:val="20"/>
          <w:lang w:val="en-US"/>
        </w:rPr>
        <w:t>different origin and age were taken into account, which can be read in the original publication.</w:t>
      </w:r>
      <w:r w:rsidR="002D4F67" w:rsidRPr="00B313CB">
        <w:rPr>
          <w:rFonts w:ascii="Helvetica" w:hAnsi="Helvetica"/>
          <w:color w:val="2F5496" w:themeColor="accent1" w:themeShade="BF"/>
          <w:sz w:val="20"/>
          <w:szCs w:val="20"/>
          <w:lang w:val="en-US"/>
        </w:rPr>
        <w:t xml:space="preserve"> </w:t>
      </w:r>
    </w:p>
    <w:p w14:paraId="7D6EF5FA" w14:textId="1A3727B0" w:rsidR="002D4F67" w:rsidRPr="00B313CB" w:rsidRDefault="002D4F67" w:rsidP="00B313CB">
      <w:pPr>
        <w:ind w:left="708"/>
        <w:rPr>
          <w:rFonts w:ascii="Helvetica" w:hAnsi="Helvetica"/>
          <w:color w:val="2F5496" w:themeColor="accent1" w:themeShade="BF"/>
          <w:sz w:val="20"/>
          <w:szCs w:val="20"/>
          <w:lang w:val="en-US"/>
        </w:rPr>
      </w:pPr>
      <w:r w:rsidRPr="00B313CB">
        <w:rPr>
          <w:rFonts w:ascii="Helvetica" w:hAnsi="Helvetica"/>
          <w:color w:val="2F5496" w:themeColor="accent1" w:themeShade="BF"/>
          <w:sz w:val="20"/>
          <w:szCs w:val="20"/>
          <w:lang w:val="en-US"/>
        </w:rPr>
        <w:t xml:space="preserve">However, we agree with the reviewer, that establishing cut-offs for CSA is complex, which is why we do not suggest </w:t>
      </w:r>
      <w:r w:rsidR="00A979B5">
        <w:rPr>
          <w:rFonts w:ascii="Helvetica" w:hAnsi="Helvetica"/>
          <w:color w:val="2F5496" w:themeColor="accent1" w:themeShade="BF"/>
          <w:sz w:val="20"/>
          <w:szCs w:val="20"/>
          <w:lang w:val="en-US"/>
        </w:rPr>
        <w:t xml:space="preserve">simply </w:t>
      </w:r>
      <w:r w:rsidR="00A979B5" w:rsidRPr="00B313CB">
        <w:rPr>
          <w:rFonts w:ascii="Helvetica" w:hAnsi="Helvetica"/>
          <w:color w:val="2F5496" w:themeColor="accent1" w:themeShade="BF"/>
          <w:sz w:val="20"/>
          <w:szCs w:val="20"/>
          <w:lang w:val="en-US"/>
        </w:rPr>
        <w:t>using</w:t>
      </w:r>
      <w:r w:rsidRPr="00B313CB">
        <w:rPr>
          <w:rFonts w:ascii="Helvetica" w:hAnsi="Helvetica"/>
          <w:color w:val="2F5496" w:themeColor="accent1" w:themeShade="BF"/>
          <w:sz w:val="20"/>
          <w:szCs w:val="20"/>
          <w:lang w:val="en-US"/>
        </w:rPr>
        <w:t xml:space="preserve"> </w:t>
      </w:r>
      <w:r w:rsidR="00B313CB" w:rsidRPr="00B313CB">
        <w:rPr>
          <w:rFonts w:ascii="Helvetica" w:hAnsi="Helvetica"/>
          <w:color w:val="2F5496" w:themeColor="accent1" w:themeShade="BF"/>
          <w:sz w:val="20"/>
          <w:szCs w:val="20"/>
          <w:lang w:val="en-US"/>
        </w:rPr>
        <w:t xml:space="preserve">the cited cut off values, but confirmation and adjustment for each ultrasound laboratory on its own. </w:t>
      </w:r>
    </w:p>
    <w:p w14:paraId="376B8C42" w14:textId="77777777" w:rsidR="00401CCE"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 What are the criteria for significantly enlarged nerves? How does this compare to previous studies on disease specific cut-offs?</w:t>
      </w:r>
    </w:p>
    <w:p w14:paraId="2F19064F" w14:textId="51ABCC5D" w:rsidR="00401CCE" w:rsidRDefault="00401CCE" w:rsidP="000959C9">
      <w:pPr>
        <w:rPr>
          <w:rFonts w:ascii="Helvetica" w:hAnsi="Helvetica"/>
          <w:color w:val="000000"/>
          <w:sz w:val="20"/>
          <w:szCs w:val="20"/>
          <w:lang w:val="en-US"/>
        </w:rPr>
      </w:pPr>
    </w:p>
    <w:p w14:paraId="46CBE327" w14:textId="4BA76B95" w:rsidR="00401CCE" w:rsidRPr="00401CCE" w:rsidRDefault="00401CCE" w:rsidP="00401CCE">
      <w:pPr>
        <w:ind w:left="708"/>
        <w:rPr>
          <w:rFonts w:ascii="Helvetica" w:hAnsi="Helvetica"/>
          <w:color w:val="2F5496" w:themeColor="accent1" w:themeShade="BF"/>
          <w:sz w:val="20"/>
          <w:szCs w:val="20"/>
          <w:lang w:val="en-US"/>
        </w:rPr>
      </w:pPr>
      <w:r w:rsidRPr="00401CCE">
        <w:rPr>
          <w:rFonts w:ascii="Helvetica" w:hAnsi="Helvetica"/>
          <w:color w:val="2F5496" w:themeColor="accent1" w:themeShade="BF"/>
          <w:sz w:val="20"/>
          <w:szCs w:val="20"/>
          <w:lang w:val="en-US"/>
        </w:rPr>
        <w:t xml:space="preserve">To give an example of cut-off values for normal respective enlarged nerves, we refer to reference values in table 1, which need to be adapted by each center. Disease specific cut-offs for inflammatory neuropathies are not yet validated enough to recommend clinical use. </w:t>
      </w:r>
    </w:p>
    <w:p w14:paraId="07B54F31" w14:textId="77777777" w:rsidR="00401CCE" w:rsidRPr="00401CCE" w:rsidRDefault="00401CCE" w:rsidP="00401CCE">
      <w:pPr>
        <w:ind w:left="708"/>
        <w:rPr>
          <w:rFonts w:ascii="Helvetica" w:hAnsi="Helvetica"/>
          <w:color w:val="2F5496" w:themeColor="accent1" w:themeShade="BF"/>
          <w:sz w:val="20"/>
          <w:szCs w:val="20"/>
          <w:lang w:val="en-US"/>
        </w:rPr>
      </w:pPr>
    </w:p>
    <w:p w14:paraId="5FAB9B49" w14:textId="77777777" w:rsidR="0093607A"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 Several scoring systems have been proposed (short and elaborate protocols on nerve size only at specific sites, distribution of abnormal nerve size along length of nerves, distribution of abnormal nerve and fascicle sizes, echogenicity, all using different cut-offs) that warrant more balanced description here [13, 26].</w:t>
      </w:r>
    </w:p>
    <w:p w14:paraId="6F17A4E5" w14:textId="0A88EA5B" w:rsidR="0093607A" w:rsidRDefault="0093607A" w:rsidP="000959C9">
      <w:pPr>
        <w:rPr>
          <w:rFonts w:ascii="Helvetica" w:hAnsi="Helvetica"/>
          <w:color w:val="000000"/>
          <w:sz w:val="20"/>
          <w:szCs w:val="20"/>
          <w:lang w:val="en-US"/>
        </w:rPr>
      </w:pPr>
    </w:p>
    <w:p w14:paraId="41936246" w14:textId="56986E73" w:rsidR="0093607A" w:rsidRDefault="0093607A" w:rsidP="0093607A">
      <w:pPr>
        <w:ind w:left="708"/>
        <w:rPr>
          <w:rFonts w:ascii="Helvetica" w:hAnsi="Helvetica"/>
          <w:color w:val="000000"/>
          <w:sz w:val="20"/>
          <w:szCs w:val="20"/>
          <w:lang w:val="en-US"/>
        </w:rPr>
      </w:pPr>
      <w:r>
        <w:rPr>
          <w:rFonts w:ascii="Helvetica" w:hAnsi="Helvetica"/>
          <w:color w:val="2F5496" w:themeColor="accent1" w:themeShade="BF"/>
          <w:sz w:val="20"/>
          <w:szCs w:val="20"/>
          <w:lang w:val="en-US"/>
        </w:rPr>
        <w:t xml:space="preserve">We do not aim to discuss and review different scoring systems in this manuscript. Therefore, we refer to other work for this topic. </w:t>
      </w:r>
    </w:p>
    <w:p w14:paraId="040F3AFD" w14:textId="30D213B6" w:rsidR="00086BA3"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 What is the difference between modified ultrasound pattern sumscore (UPSS) and modified Bochem ultrasound score? The similarity is more striking than previous versions. Again, just dropping sensitivity/specificity data here from unpublished work cannot be justified.</w:t>
      </w:r>
    </w:p>
    <w:p w14:paraId="064AF01B" w14:textId="03E9FE20" w:rsidR="0093607A" w:rsidRDefault="0093607A" w:rsidP="000959C9">
      <w:pPr>
        <w:rPr>
          <w:rFonts w:ascii="Helvetica" w:hAnsi="Helvetica"/>
          <w:color w:val="000000"/>
          <w:sz w:val="20"/>
          <w:szCs w:val="20"/>
          <w:lang w:val="en-US"/>
        </w:rPr>
      </w:pPr>
    </w:p>
    <w:p w14:paraId="42C6BB96" w14:textId="47C58D9D" w:rsidR="0093607A" w:rsidRDefault="0093607A" w:rsidP="0093607A">
      <w:pPr>
        <w:ind w:left="708"/>
        <w:rPr>
          <w:rFonts w:ascii="Helvetica" w:hAnsi="Helvetica"/>
          <w:color w:val="000000"/>
          <w:sz w:val="20"/>
          <w:szCs w:val="20"/>
          <w:lang w:val="en-US"/>
        </w:rPr>
      </w:pPr>
      <w:r w:rsidRPr="0093607A">
        <w:rPr>
          <w:rFonts w:ascii="Helvetica" w:hAnsi="Helvetica"/>
          <w:color w:val="2F5496" w:themeColor="accent1" w:themeShade="BF"/>
          <w:sz w:val="20"/>
          <w:szCs w:val="20"/>
          <w:lang w:val="en-US"/>
        </w:rPr>
        <w:t xml:space="preserve">Differences from </w:t>
      </w:r>
      <w:r>
        <w:rPr>
          <w:rFonts w:ascii="Helvetica" w:hAnsi="Helvetica"/>
          <w:color w:val="2F5496" w:themeColor="accent1" w:themeShade="BF"/>
          <w:sz w:val="20"/>
          <w:szCs w:val="20"/>
          <w:lang w:val="en-US"/>
        </w:rPr>
        <w:t>aBUS</w:t>
      </w:r>
      <w:r w:rsidRPr="0093607A">
        <w:rPr>
          <w:rFonts w:ascii="Helvetica" w:hAnsi="Helvetica"/>
          <w:color w:val="2F5496" w:themeColor="accent1" w:themeShade="BF"/>
          <w:sz w:val="20"/>
          <w:szCs w:val="20"/>
          <w:lang w:val="en-US"/>
        </w:rPr>
        <w:t xml:space="preserve"> and UPSS are </w:t>
      </w:r>
      <w:r w:rsidR="000E5B14">
        <w:rPr>
          <w:rFonts w:ascii="Helvetica" w:hAnsi="Helvetica"/>
          <w:color w:val="2F5496" w:themeColor="accent1" w:themeShade="BF"/>
          <w:sz w:val="20"/>
          <w:szCs w:val="20"/>
          <w:lang w:val="en-US"/>
        </w:rPr>
        <w:t xml:space="preserve">included </w:t>
      </w:r>
      <w:r w:rsidRPr="0093607A">
        <w:rPr>
          <w:rFonts w:ascii="Helvetica" w:hAnsi="Helvetica"/>
          <w:color w:val="2F5496" w:themeColor="accent1" w:themeShade="BF"/>
          <w:sz w:val="20"/>
          <w:szCs w:val="20"/>
          <w:lang w:val="en-US"/>
        </w:rPr>
        <w:t xml:space="preserve">nerve sites (aBUS: 6 sites, UPSS: 12 sites), </w:t>
      </w:r>
      <w:r w:rsidR="000E5B14">
        <w:rPr>
          <w:rFonts w:ascii="Helvetica" w:hAnsi="Helvetica"/>
          <w:color w:val="2F5496" w:themeColor="accent1" w:themeShade="BF"/>
          <w:sz w:val="20"/>
          <w:szCs w:val="20"/>
          <w:lang w:val="en-US"/>
        </w:rPr>
        <w:t>and</w:t>
      </w:r>
      <w:r w:rsidRPr="0093607A">
        <w:rPr>
          <w:rFonts w:ascii="Helvetica" w:hAnsi="Helvetica"/>
          <w:color w:val="2F5496" w:themeColor="accent1" w:themeShade="BF"/>
          <w:sz w:val="20"/>
          <w:szCs w:val="20"/>
          <w:lang w:val="en-US"/>
        </w:rPr>
        <w:t xml:space="preserve"> scoring (aBUS: 0 or 1 point per site, UPSS 0-2 points per site)</w:t>
      </w:r>
      <w:r w:rsidR="000E5B14">
        <w:rPr>
          <w:rFonts w:ascii="Helvetica" w:hAnsi="Helvetica"/>
          <w:color w:val="2F5496" w:themeColor="accent1" w:themeShade="BF"/>
          <w:sz w:val="20"/>
          <w:szCs w:val="20"/>
          <w:lang w:val="en-US"/>
        </w:rPr>
        <w:t>, as well as evaluated patient groups (aBUS was validated for patients with possible CIDP according to EFNS/PNS criteria and with secondary axonal damage)</w:t>
      </w:r>
      <w:r w:rsidRPr="0093607A">
        <w:rPr>
          <w:rFonts w:ascii="Helvetica" w:hAnsi="Helvetica"/>
          <w:color w:val="2F5496" w:themeColor="accent1" w:themeShade="BF"/>
          <w:sz w:val="20"/>
          <w:szCs w:val="20"/>
          <w:lang w:val="en-US"/>
        </w:rPr>
        <w:t xml:space="preserve">. Again, discussing these differences is beyond the aim of this article, therefore we did not </w:t>
      </w:r>
      <w:r w:rsidR="009C3C76" w:rsidRPr="0093607A">
        <w:rPr>
          <w:rFonts w:ascii="Helvetica" w:hAnsi="Helvetica"/>
          <w:color w:val="2F5496" w:themeColor="accent1" w:themeShade="BF"/>
          <w:sz w:val="20"/>
          <w:szCs w:val="20"/>
          <w:lang w:val="en-US"/>
        </w:rPr>
        <w:t>further</w:t>
      </w:r>
      <w:r w:rsidRPr="0093607A">
        <w:rPr>
          <w:rFonts w:ascii="Helvetica" w:hAnsi="Helvetica"/>
          <w:color w:val="2F5496" w:themeColor="accent1" w:themeShade="BF"/>
          <w:sz w:val="20"/>
          <w:szCs w:val="20"/>
          <w:lang w:val="en-US"/>
        </w:rPr>
        <w:t xml:space="preserve"> elucidate this.</w:t>
      </w:r>
      <w:r>
        <w:rPr>
          <w:rFonts w:ascii="Helvetica" w:hAnsi="Helvetica"/>
          <w:color w:val="000000"/>
          <w:sz w:val="20"/>
          <w:szCs w:val="20"/>
          <w:lang w:val="en-US"/>
        </w:rPr>
        <w:t xml:space="preserve"> </w:t>
      </w:r>
    </w:p>
    <w:p w14:paraId="46411C5F" w14:textId="77777777" w:rsidR="009C3C76"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Discussion:</w:t>
      </w:r>
      <w:r w:rsidRPr="00244C1E">
        <w:rPr>
          <w:rFonts w:ascii="Helvetica" w:hAnsi="Helvetica"/>
          <w:color w:val="000000"/>
          <w:sz w:val="20"/>
          <w:szCs w:val="20"/>
          <w:lang w:val="en-US"/>
        </w:rPr>
        <w:br/>
        <w:t>This section is mainly driven by unpublished results by own work of authors, implying considerable bias.</w:t>
      </w:r>
    </w:p>
    <w:p w14:paraId="7DB56989" w14:textId="77777777" w:rsidR="009C3C76" w:rsidRDefault="009C3C76" w:rsidP="000959C9">
      <w:pPr>
        <w:rPr>
          <w:rFonts w:ascii="Helvetica" w:hAnsi="Helvetica"/>
          <w:color w:val="000000"/>
          <w:sz w:val="20"/>
          <w:szCs w:val="20"/>
          <w:lang w:val="en-US"/>
        </w:rPr>
      </w:pPr>
    </w:p>
    <w:p w14:paraId="042ADC57" w14:textId="5CEA4B17" w:rsidR="009C3C76" w:rsidRPr="009C3C76" w:rsidRDefault="009C3C76" w:rsidP="009C3C76">
      <w:pPr>
        <w:ind w:left="708"/>
        <w:rPr>
          <w:rFonts w:ascii="Helvetica" w:hAnsi="Helvetica"/>
          <w:color w:val="2F5496" w:themeColor="accent1" w:themeShade="BF"/>
          <w:sz w:val="20"/>
          <w:szCs w:val="20"/>
          <w:lang w:val="en-US"/>
        </w:rPr>
      </w:pPr>
      <w:r w:rsidRPr="009C3C76">
        <w:rPr>
          <w:rFonts w:ascii="Helvetica" w:hAnsi="Helvetica"/>
          <w:color w:val="2F5496" w:themeColor="accent1" w:themeShade="BF"/>
          <w:sz w:val="20"/>
          <w:szCs w:val="20"/>
          <w:lang w:val="en-US"/>
        </w:rPr>
        <w:t xml:space="preserve">Discussion section was re-structured according to the requirements of the journal and does not include discussion of any unpublished results. </w:t>
      </w:r>
    </w:p>
    <w:p w14:paraId="50FDD9A8" w14:textId="77777777" w:rsidR="009C3C76" w:rsidRDefault="009C3C76" w:rsidP="000959C9">
      <w:pPr>
        <w:rPr>
          <w:rFonts w:ascii="Helvetica" w:hAnsi="Helvetica"/>
          <w:color w:val="000000"/>
          <w:sz w:val="20"/>
          <w:szCs w:val="20"/>
          <w:lang w:val="en-US"/>
        </w:rPr>
      </w:pPr>
    </w:p>
    <w:p w14:paraId="3D59B1D0" w14:textId="77777777" w:rsidR="009C3C76"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t>In contrast to statement of the authors, reproducibility of nerve ultrasound has been studied, and demonstrated confidence of consistent measurements between raters and different (machine) setups [27-35]. Formal consensus on required training and criteria for certain levels of expertise have been published recently [19, 36].</w:t>
      </w:r>
    </w:p>
    <w:p w14:paraId="71D4CEE9" w14:textId="77777777" w:rsidR="009C3C76" w:rsidRDefault="009C3C76" w:rsidP="000959C9">
      <w:pPr>
        <w:rPr>
          <w:rFonts w:ascii="Helvetica" w:hAnsi="Helvetica"/>
          <w:color w:val="000000"/>
          <w:sz w:val="20"/>
          <w:szCs w:val="20"/>
          <w:lang w:val="en-US"/>
        </w:rPr>
      </w:pPr>
    </w:p>
    <w:p w14:paraId="45048772" w14:textId="27ACE42A" w:rsidR="009C3C76" w:rsidRPr="009C3C76" w:rsidRDefault="009C3C76" w:rsidP="009C3C76">
      <w:pPr>
        <w:ind w:left="708"/>
        <w:rPr>
          <w:rFonts w:ascii="Helvetica" w:hAnsi="Helvetica"/>
          <w:color w:val="2F5496" w:themeColor="accent1" w:themeShade="BF"/>
          <w:sz w:val="20"/>
          <w:szCs w:val="20"/>
          <w:lang w:val="en-US"/>
        </w:rPr>
      </w:pPr>
      <w:r w:rsidRPr="009C3C76">
        <w:rPr>
          <w:rFonts w:ascii="Helvetica" w:hAnsi="Helvetica"/>
          <w:color w:val="2F5496" w:themeColor="accent1" w:themeShade="BF"/>
          <w:sz w:val="20"/>
          <w:szCs w:val="20"/>
          <w:lang w:val="en-US"/>
        </w:rPr>
        <w:t xml:space="preserve">We agree with the reviewer in this point and this is also what we state in our manuscript. If used by a trained examiner and with adequate protocols, nerve ultrasound is a reliable method. Therefore we do not see a contradiction here. </w:t>
      </w:r>
    </w:p>
    <w:p w14:paraId="2D03C35F" w14:textId="77777777" w:rsidR="009C3C76"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Again, refrain from speculation on ultrasound correlates with (distant) histologic findings.</w:t>
      </w:r>
    </w:p>
    <w:p w14:paraId="12C1E2A8" w14:textId="434C526D" w:rsidR="009C3C76" w:rsidRDefault="009C3C76" w:rsidP="000959C9">
      <w:pPr>
        <w:rPr>
          <w:rFonts w:ascii="Helvetica" w:hAnsi="Helvetica"/>
          <w:color w:val="000000"/>
          <w:sz w:val="20"/>
          <w:szCs w:val="20"/>
          <w:lang w:val="en-US"/>
        </w:rPr>
      </w:pPr>
    </w:p>
    <w:p w14:paraId="6202F53D" w14:textId="075CC367" w:rsidR="009C3C76" w:rsidRDefault="009C3C76" w:rsidP="009C3C76">
      <w:pPr>
        <w:ind w:left="708"/>
        <w:rPr>
          <w:rFonts w:ascii="Helvetica" w:hAnsi="Helvetica"/>
          <w:color w:val="000000"/>
          <w:sz w:val="20"/>
          <w:szCs w:val="20"/>
          <w:lang w:val="en-US"/>
        </w:rPr>
      </w:pPr>
      <w:r w:rsidRPr="009C3C76">
        <w:rPr>
          <w:rFonts w:ascii="Helvetica" w:hAnsi="Helvetica"/>
          <w:color w:val="2F5496" w:themeColor="accent1" w:themeShade="BF"/>
          <w:sz w:val="20"/>
          <w:szCs w:val="20"/>
          <w:lang w:val="en-US"/>
        </w:rPr>
        <w:t xml:space="preserve">Please see comment above on the same </w:t>
      </w:r>
      <w:r>
        <w:rPr>
          <w:rFonts w:ascii="Helvetica" w:hAnsi="Helvetica"/>
          <w:color w:val="2F5496" w:themeColor="accent1" w:themeShade="BF"/>
          <w:sz w:val="20"/>
          <w:szCs w:val="20"/>
          <w:lang w:val="en-US"/>
        </w:rPr>
        <w:t>issue</w:t>
      </w:r>
      <w:r w:rsidRPr="009C3C76">
        <w:rPr>
          <w:rFonts w:ascii="Helvetica" w:hAnsi="Helvetica"/>
          <w:color w:val="2F5496" w:themeColor="accent1" w:themeShade="BF"/>
          <w:sz w:val="20"/>
          <w:szCs w:val="20"/>
          <w:lang w:val="en-US"/>
        </w:rPr>
        <w:t>.</w:t>
      </w:r>
      <w:r>
        <w:rPr>
          <w:rFonts w:ascii="Helvetica" w:hAnsi="Helvetica"/>
          <w:color w:val="000000"/>
          <w:sz w:val="20"/>
          <w:szCs w:val="20"/>
          <w:lang w:val="en-US"/>
        </w:rPr>
        <w:t xml:space="preserve"> </w:t>
      </w:r>
    </w:p>
    <w:p w14:paraId="16FA1394" w14:textId="77777777" w:rsidR="009C3C76"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The recently revised EAN/PNS guideline has already implemented nerve ultrasound along with previous option of plexus MRI [7].</w:t>
      </w:r>
    </w:p>
    <w:p w14:paraId="7B8AA410" w14:textId="28E3B096" w:rsidR="009C3C76" w:rsidRDefault="009C3C76" w:rsidP="000959C9">
      <w:pPr>
        <w:rPr>
          <w:rFonts w:ascii="Helvetica" w:hAnsi="Helvetica"/>
          <w:color w:val="000000"/>
          <w:sz w:val="20"/>
          <w:szCs w:val="20"/>
          <w:lang w:val="en-US"/>
        </w:rPr>
      </w:pPr>
    </w:p>
    <w:p w14:paraId="393061A5" w14:textId="77777777" w:rsidR="009C3C76" w:rsidRDefault="009C3C76" w:rsidP="009C3C76">
      <w:pPr>
        <w:ind w:left="708"/>
        <w:rPr>
          <w:rFonts w:ascii="Helvetica" w:hAnsi="Helvetica"/>
          <w:color w:val="000000"/>
          <w:sz w:val="20"/>
          <w:szCs w:val="20"/>
          <w:lang w:val="en-US"/>
        </w:rPr>
      </w:pPr>
      <w:r w:rsidRPr="009C3C76">
        <w:rPr>
          <w:rFonts w:ascii="Helvetica" w:hAnsi="Helvetica"/>
          <w:color w:val="2F5496" w:themeColor="accent1" w:themeShade="BF"/>
          <w:sz w:val="20"/>
          <w:szCs w:val="20"/>
          <w:lang w:val="en-US"/>
        </w:rPr>
        <w:t xml:space="preserve">Please see comment above on the same </w:t>
      </w:r>
      <w:r>
        <w:rPr>
          <w:rFonts w:ascii="Helvetica" w:hAnsi="Helvetica"/>
          <w:color w:val="2F5496" w:themeColor="accent1" w:themeShade="BF"/>
          <w:sz w:val="20"/>
          <w:szCs w:val="20"/>
          <w:lang w:val="en-US"/>
        </w:rPr>
        <w:t>issue</w:t>
      </w:r>
      <w:r w:rsidRPr="009C3C76">
        <w:rPr>
          <w:rFonts w:ascii="Helvetica" w:hAnsi="Helvetica"/>
          <w:color w:val="2F5496" w:themeColor="accent1" w:themeShade="BF"/>
          <w:sz w:val="20"/>
          <w:szCs w:val="20"/>
          <w:lang w:val="en-US"/>
        </w:rPr>
        <w:t>.</w:t>
      </w:r>
      <w:r>
        <w:rPr>
          <w:rFonts w:ascii="Helvetica" w:hAnsi="Helvetica"/>
          <w:color w:val="000000"/>
          <w:sz w:val="20"/>
          <w:szCs w:val="20"/>
          <w:lang w:val="en-US"/>
        </w:rPr>
        <w:t xml:space="preserve"> </w:t>
      </w:r>
    </w:p>
    <w:p w14:paraId="6F08E529" w14:textId="77777777" w:rsidR="009C3C76" w:rsidRDefault="009C3C76" w:rsidP="000959C9">
      <w:pPr>
        <w:rPr>
          <w:rFonts w:ascii="Helvetica" w:hAnsi="Helvetica"/>
          <w:color w:val="000000"/>
          <w:sz w:val="20"/>
          <w:szCs w:val="20"/>
          <w:lang w:val="en-US"/>
        </w:rPr>
      </w:pPr>
    </w:p>
    <w:p w14:paraId="0A982AAF" w14:textId="77777777" w:rsidR="009C3C76"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t>Finally, I would urge the author to provide balanced discussion here on imaging mimics that should be considered when performing nerve ultrasound and caution warranted on interpretation of heterogenous results.</w:t>
      </w:r>
    </w:p>
    <w:p w14:paraId="3DCD780B" w14:textId="77777777" w:rsidR="009C3C76" w:rsidRDefault="009C3C76" w:rsidP="000959C9">
      <w:pPr>
        <w:rPr>
          <w:rFonts w:ascii="Helvetica" w:hAnsi="Helvetica"/>
          <w:color w:val="000000"/>
          <w:sz w:val="20"/>
          <w:szCs w:val="20"/>
          <w:lang w:val="en-US"/>
        </w:rPr>
      </w:pPr>
    </w:p>
    <w:p w14:paraId="0E8305A2" w14:textId="77777777" w:rsidR="009C3C76" w:rsidRDefault="009C3C76" w:rsidP="009C3C76">
      <w:pPr>
        <w:ind w:left="708"/>
        <w:rPr>
          <w:rFonts w:ascii="Helvetica" w:hAnsi="Helvetica"/>
          <w:color w:val="000000"/>
          <w:sz w:val="20"/>
          <w:szCs w:val="20"/>
          <w:lang w:val="en-US"/>
        </w:rPr>
      </w:pPr>
      <w:r w:rsidRPr="009C3C76">
        <w:rPr>
          <w:rFonts w:ascii="Helvetica" w:hAnsi="Helvetica"/>
          <w:color w:val="2F5496" w:themeColor="accent1" w:themeShade="BF"/>
          <w:sz w:val="20"/>
          <w:szCs w:val="20"/>
          <w:lang w:val="en-US"/>
        </w:rPr>
        <w:t xml:space="preserve">Please see comment above on the same </w:t>
      </w:r>
      <w:r>
        <w:rPr>
          <w:rFonts w:ascii="Helvetica" w:hAnsi="Helvetica"/>
          <w:color w:val="2F5496" w:themeColor="accent1" w:themeShade="BF"/>
          <w:sz w:val="20"/>
          <w:szCs w:val="20"/>
          <w:lang w:val="en-US"/>
        </w:rPr>
        <w:t>issue</w:t>
      </w:r>
      <w:r w:rsidRPr="009C3C76">
        <w:rPr>
          <w:rFonts w:ascii="Helvetica" w:hAnsi="Helvetica"/>
          <w:color w:val="2F5496" w:themeColor="accent1" w:themeShade="BF"/>
          <w:sz w:val="20"/>
          <w:szCs w:val="20"/>
          <w:lang w:val="en-US"/>
        </w:rPr>
        <w:t>.</w:t>
      </w:r>
      <w:r>
        <w:rPr>
          <w:rFonts w:ascii="Helvetica" w:hAnsi="Helvetica"/>
          <w:color w:val="000000"/>
          <w:sz w:val="20"/>
          <w:szCs w:val="20"/>
          <w:lang w:val="en-US"/>
        </w:rPr>
        <w:t xml:space="preserve"> </w:t>
      </w:r>
    </w:p>
    <w:p w14:paraId="2D654588" w14:textId="0AAA2EAE" w:rsidR="000959C9" w:rsidRPr="00244C1E" w:rsidRDefault="000959C9" w:rsidP="000959C9">
      <w:pPr>
        <w:rPr>
          <w:rFonts w:ascii="Helvetica" w:hAnsi="Helvetica"/>
          <w:color w:val="000000"/>
          <w:sz w:val="20"/>
          <w:szCs w:val="20"/>
          <w:lang w:val="en-US"/>
        </w:rPr>
      </w:pPr>
      <w:r w:rsidRPr="00244C1E">
        <w:rPr>
          <w:rFonts w:ascii="Helvetica" w:hAnsi="Helvetica"/>
          <w:color w:val="000000"/>
          <w:sz w:val="20"/>
          <w:szCs w:val="20"/>
          <w:lang w:val="en-US"/>
        </w:rPr>
        <w:br/>
      </w:r>
      <w:r w:rsidRPr="00244C1E">
        <w:rPr>
          <w:rFonts w:ascii="Helvetica" w:hAnsi="Helvetica"/>
          <w:color w:val="000000"/>
          <w:sz w:val="20"/>
          <w:szCs w:val="20"/>
          <w:lang w:val="en-US"/>
        </w:rPr>
        <w:br/>
        <w:t>References</w:t>
      </w:r>
      <w:r w:rsidRPr="00244C1E">
        <w:rPr>
          <w:rFonts w:ascii="Helvetica" w:hAnsi="Helvetica"/>
          <w:color w:val="000000"/>
          <w:sz w:val="20"/>
          <w:szCs w:val="20"/>
          <w:lang w:val="en-US"/>
        </w:rPr>
        <w:br/>
        <w:t>1. Callaghan, B.C., et al., Role of neurologists and diagnostic tests on the management of distal symmetric polyneuropathy. JAMA Neurol, 2014. 71(9): p. 1143-9.</w:t>
      </w:r>
      <w:r w:rsidRPr="00244C1E">
        <w:rPr>
          <w:rFonts w:ascii="Helvetica" w:hAnsi="Helvetica"/>
          <w:color w:val="000000"/>
          <w:sz w:val="20"/>
          <w:szCs w:val="20"/>
          <w:lang w:val="en-US"/>
        </w:rPr>
        <w:br/>
        <w:t>2. Dupuis, J.E., et al., Bilateral nerve conduction studies in the evaluation of distal symmetric polyneuropathy. Muscle Nerve, 2019. 60(3): p. 305-307.</w:t>
      </w:r>
      <w:r w:rsidRPr="00244C1E">
        <w:rPr>
          <w:rFonts w:ascii="Helvetica" w:hAnsi="Helvetica"/>
          <w:color w:val="000000"/>
          <w:sz w:val="20"/>
          <w:szCs w:val="20"/>
          <w:lang w:val="en-US"/>
        </w:rPr>
        <w:br/>
        <w:t>3. Vo, M.L., et al., Comparison of 2-limb versus 3-limb electrodiagnostic studies in the evaluation of chronic inflammatory demyelinating polyneuropathy. Muscle Nerve, 2015. 51(4): p. 549-53.</w:t>
      </w:r>
      <w:r w:rsidRPr="00244C1E">
        <w:rPr>
          <w:rFonts w:ascii="Helvetica" w:hAnsi="Helvetica"/>
          <w:color w:val="000000"/>
          <w:sz w:val="20"/>
          <w:szCs w:val="20"/>
          <w:lang w:val="en-US"/>
        </w:rPr>
        <w:br/>
        <w:t>4. Rajabally, Y.A., S. Jacob, and M. Hbahbih, Optimizing the use of electrophysiology in the diagnosis of chronic inflammatory demyelinating polyneuropathy: a study of 20 cases. J Peripher Nerv Syst, 2005. 10(3): p. 282-92.</w:t>
      </w:r>
      <w:r w:rsidRPr="00244C1E">
        <w:rPr>
          <w:rFonts w:ascii="Helvetica" w:hAnsi="Helvetica"/>
          <w:color w:val="000000"/>
          <w:sz w:val="20"/>
          <w:szCs w:val="20"/>
          <w:lang w:val="en-US"/>
        </w:rPr>
        <w:br/>
        <w:t>5. Rajabally, Y.A. and S. Jacob, Proximal nerve conduction studies in chronic inflammatory demyelinating polyneuropathy. Clin Neurophysiol, 2006. 117(9): p. 2079-84.</w:t>
      </w:r>
      <w:r w:rsidRPr="00244C1E">
        <w:rPr>
          <w:rFonts w:ascii="Helvetica" w:hAnsi="Helvetica"/>
          <w:color w:val="000000"/>
          <w:sz w:val="20"/>
          <w:szCs w:val="20"/>
          <w:lang w:val="en-US"/>
        </w:rPr>
        <w:br/>
        <w:t>6. Cats, E.A., et al., Correlates of outcome and response to IVIg in 88 patients with multifocal motor neuropathy. Neurology, 2010. 75(9): p. 818-25.</w:t>
      </w:r>
      <w:r w:rsidRPr="00244C1E">
        <w:rPr>
          <w:rFonts w:ascii="Helvetica" w:hAnsi="Helvetica"/>
          <w:color w:val="000000"/>
          <w:sz w:val="20"/>
          <w:szCs w:val="20"/>
          <w:lang w:val="en-US"/>
        </w:rPr>
        <w:br/>
        <w:t>7. Van den Bergh, P.Y.K., et al., European Academy of Neurology/Peripheral Nerve Society Guideline on diagnosis and treatment of chronic inflammatory demyelinating polyradiculoneuropathy: Report of a joint Task Force - Second Revision. J Peripher Nerv Syst, 2021.</w:t>
      </w:r>
      <w:r w:rsidRPr="00244C1E">
        <w:rPr>
          <w:rFonts w:ascii="Helvetica" w:hAnsi="Helvetica"/>
          <w:color w:val="000000"/>
          <w:sz w:val="20"/>
          <w:szCs w:val="20"/>
          <w:lang w:val="en-US"/>
        </w:rPr>
        <w:br/>
        <w:t>8. Joint Task Force of the, E. and P.N.S. the, European Federation of Neurological Societies/Peripheral Nerve Society guideline on management of multifocal motor neuropathy. Report of a joint task force of the European Federation of Neurological Societies and the Peripheral Nerve Society--first revision. J Peripher Nerv Syst, 2010. 15(4): p. 295-301.</w:t>
      </w:r>
      <w:r w:rsidRPr="00244C1E">
        <w:rPr>
          <w:rFonts w:ascii="Helvetica" w:hAnsi="Helvetica"/>
          <w:color w:val="000000"/>
          <w:sz w:val="20"/>
          <w:szCs w:val="20"/>
          <w:lang w:val="en-US"/>
        </w:rPr>
        <w:br/>
        <w:t>9. Zaidman, C.M. and A. Pestronk, Nerve size in chronic inflammatory demyelinating neuropathy varies with disease activity and therapy response over time: a retrospective ultrasound study. Muscle Nerve, 2014. 50(5): p. 733-8.</w:t>
      </w:r>
      <w:r w:rsidRPr="00244C1E">
        <w:rPr>
          <w:rFonts w:ascii="Helvetica" w:hAnsi="Helvetica"/>
          <w:color w:val="000000"/>
          <w:sz w:val="20"/>
          <w:szCs w:val="20"/>
          <w:lang w:val="en-US"/>
        </w:rPr>
        <w:br/>
        <w:t>10. Hartig, F., et al., Nerve Ultrasound Predicts Treatment Response in Chronic Inflammatory Demyelinating Polyradiculoneuropathy-a Prospective Follow-Up. Neurotherapeutics, 2018. 15(2): p. 439-451.</w:t>
      </w:r>
      <w:r w:rsidRPr="00244C1E">
        <w:rPr>
          <w:rFonts w:ascii="Helvetica" w:hAnsi="Helvetica"/>
          <w:color w:val="000000"/>
          <w:sz w:val="20"/>
          <w:szCs w:val="20"/>
          <w:lang w:val="en-US"/>
        </w:rPr>
        <w:br/>
        <w:t>11. Grimm, A., et al., Differentiation Between Guillain-Barre Syndrome and Acute-Onset Chronic Inflammatory Demyelinating Polyradiculoneuritis-a Prospective Follow-up Study Using Ultrasound and Neurophysiological Measurements. Neurotherapeutics, 2019. 16(3): p. 838-847.</w:t>
      </w:r>
      <w:r w:rsidRPr="00244C1E">
        <w:rPr>
          <w:rFonts w:ascii="Helvetica" w:hAnsi="Helvetica"/>
          <w:color w:val="000000"/>
          <w:sz w:val="20"/>
          <w:szCs w:val="20"/>
          <w:lang w:val="en-US"/>
        </w:rPr>
        <w:br/>
        <w:t>12. Telleman, J.A., et al., Prognostic value of nerve ultrasonography: A prospective multicenter study on the natural history of chronic inflammatory neuropathies. Eur J Neurol, 2021. 28(7): p. 2327-2338.</w:t>
      </w:r>
      <w:r w:rsidRPr="00244C1E">
        <w:rPr>
          <w:rFonts w:ascii="Helvetica" w:hAnsi="Helvetica"/>
          <w:color w:val="000000"/>
          <w:sz w:val="20"/>
          <w:szCs w:val="20"/>
          <w:lang w:val="en-US"/>
        </w:rPr>
        <w:br/>
        <w:t>13. Telleman, J.A., et al., Nerve ultrasound in polyneuropathies. Muscle Nerve, 2018. 57(5): p. 716-728.</w:t>
      </w:r>
      <w:r w:rsidRPr="00244C1E">
        <w:rPr>
          <w:rFonts w:ascii="Helvetica" w:hAnsi="Helvetica"/>
          <w:color w:val="000000"/>
          <w:sz w:val="20"/>
          <w:szCs w:val="20"/>
          <w:lang w:val="en-US"/>
        </w:rPr>
        <w:br/>
        <w:t>14. Grimm, A., et al., Nerve ultrasound normal values - Readjustment of the ultrasound pattern sum score UPSS. Clin Neurophysiol, 2018. 129(7): p. 1403-1409.</w:t>
      </w:r>
      <w:r w:rsidRPr="00244C1E">
        <w:rPr>
          <w:rFonts w:ascii="Helvetica" w:hAnsi="Helvetica"/>
          <w:color w:val="000000"/>
          <w:sz w:val="20"/>
          <w:szCs w:val="20"/>
          <w:lang w:val="en-US"/>
        </w:rPr>
        <w:br/>
        <w:t>15. Goedee, H.S., et al., Diagnostic value of sonography in treatment-naive chronic inflammatory neuropathies. Neurology, 2017. 88(2): p. 143-151.</w:t>
      </w:r>
      <w:r w:rsidRPr="00244C1E">
        <w:rPr>
          <w:rFonts w:ascii="Helvetica" w:hAnsi="Helvetica"/>
          <w:color w:val="000000"/>
          <w:sz w:val="20"/>
          <w:szCs w:val="20"/>
          <w:lang w:val="en-US"/>
        </w:rPr>
        <w:br/>
        <w:t>16. Padua, L., et al., Heterogeneity of root and nerve ultrasound pattern in CIDP patients. Clin Neurophysiol, 2014. 125(1): p. 160-5.</w:t>
      </w:r>
      <w:r w:rsidRPr="00244C1E">
        <w:rPr>
          <w:rFonts w:ascii="Helvetica" w:hAnsi="Helvetica"/>
          <w:color w:val="000000"/>
          <w:sz w:val="20"/>
          <w:szCs w:val="20"/>
          <w:lang w:val="en-US"/>
        </w:rPr>
        <w:br/>
        <w:t>17. Gamber, D., et al., High-Resolution Nerve Ultrasound to Assess Nerve Echogenicity, Fascicular Count, and Cross-Sectional Area Using Semiautomated Analysis. J Neuroimaging, 2020. 30(4): p. 493-502.</w:t>
      </w:r>
      <w:r w:rsidRPr="00244C1E">
        <w:rPr>
          <w:rFonts w:ascii="Helvetica" w:hAnsi="Helvetica"/>
          <w:color w:val="000000"/>
          <w:sz w:val="20"/>
          <w:szCs w:val="20"/>
          <w:lang w:val="en-US"/>
        </w:rPr>
        <w:br/>
        <w:t>18. Walker, F.O., et al., Indications for neuromuscular ultrasound: Expert opinion and review of the literature. Clin Neurophysiol, 2018. 129(12): p. 2658-2679.</w:t>
      </w:r>
      <w:r w:rsidRPr="00244C1E">
        <w:rPr>
          <w:rFonts w:ascii="Helvetica" w:hAnsi="Helvetica"/>
          <w:color w:val="000000"/>
          <w:sz w:val="20"/>
          <w:szCs w:val="20"/>
          <w:lang w:val="en-US"/>
        </w:rPr>
        <w:br/>
        <w:t>19. Tawfik, E.A., et al., Guidelines for neuromuscular ultrasound training. Muscle Nerve, 2019. 60(4): p. 361-366.</w:t>
      </w:r>
      <w:r w:rsidRPr="00244C1E">
        <w:rPr>
          <w:rFonts w:ascii="Helvetica" w:hAnsi="Helvetica"/>
          <w:color w:val="000000"/>
          <w:sz w:val="20"/>
          <w:szCs w:val="20"/>
          <w:lang w:val="en-US"/>
        </w:rPr>
        <w:br/>
        <w:t>20. Mah, J.K. and N. van Alfen, Neuromuscular Ultrasound: Clinical Applications and Diagnostic Values. Can J Neurol Sci, 2018. 45(6): p. 605-619.</w:t>
      </w:r>
      <w:r w:rsidRPr="00244C1E">
        <w:rPr>
          <w:rFonts w:ascii="Helvetica" w:hAnsi="Helvetica"/>
          <w:color w:val="000000"/>
          <w:sz w:val="20"/>
          <w:szCs w:val="20"/>
          <w:lang w:val="en-US"/>
        </w:rPr>
        <w:br/>
        <w:t>21. Grimm, A., et al., Peripheral nerve ultrasound scoring systems: benchmarking and comparative analysis. J Neurol, 2017. 264(2): p. 243-253.</w:t>
      </w:r>
      <w:r w:rsidRPr="00244C1E">
        <w:rPr>
          <w:rFonts w:ascii="Helvetica" w:hAnsi="Helvetica"/>
          <w:color w:val="000000"/>
          <w:sz w:val="20"/>
          <w:szCs w:val="20"/>
          <w:lang w:val="en-US"/>
        </w:rPr>
        <w:br/>
        <w:t>22. Herraets, I.J.T., et al., Nerve ultrasound for diagnosing chronic inflammatory neuropathy: a multicenter validation study. Neurology, 2020.</w:t>
      </w:r>
      <w:r w:rsidRPr="00244C1E">
        <w:rPr>
          <w:rFonts w:ascii="Helvetica" w:hAnsi="Helvetica"/>
          <w:color w:val="000000"/>
          <w:sz w:val="20"/>
          <w:szCs w:val="20"/>
          <w:lang w:val="en-US"/>
        </w:rPr>
        <w:br/>
        <w:t>23. Bathala, L., et al., Normal values of median nerve cross-sectional area obtained by ultrasound along its course in the arm with electrophysiological correlations, in 100 Asian subjects. Muscle Nerve, 2014. 49(2): p. 284-6.</w:t>
      </w:r>
      <w:r w:rsidRPr="00244C1E">
        <w:rPr>
          <w:rFonts w:ascii="Helvetica" w:hAnsi="Helvetica"/>
          <w:color w:val="000000"/>
          <w:sz w:val="20"/>
          <w:szCs w:val="20"/>
          <w:lang w:val="en-US"/>
        </w:rPr>
        <w:br/>
        <w:t>24. Cartwright, M.S., et al., Nerve cross-sectional area in extremes of age. Muscle Nerve, 2013. 47(6): p. 890-3.</w:t>
      </w:r>
      <w:r w:rsidRPr="00244C1E">
        <w:rPr>
          <w:rFonts w:ascii="Helvetica" w:hAnsi="Helvetica"/>
          <w:color w:val="000000"/>
          <w:sz w:val="20"/>
          <w:szCs w:val="20"/>
          <w:lang w:val="en-US"/>
        </w:rPr>
        <w:br/>
        <w:t>25. Druzhinin, D., C. Naumova capital Ie, and S. Nikitin, Nerve ultrasound normal values in children and young adults. Muscle Nerve, 2019. 60(6): p. 757-761.</w:t>
      </w:r>
      <w:r w:rsidRPr="00244C1E">
        <w:rPr>
          <w:rFonts w:ascii="Helvetica" w:hAnsi="Helvetica"/>
          <w:color w:val="000000"/>
          <w:sz w:val="20"/>
          <w:szCs w:val="20"/>
          <w:lang w:val="en-US"/>
        </w:rPr>
        <w:br/>
        <w:t>26. Telleman, J.A., et al., Ultrasound scanning in the diagnosis of peripheral neuropathies. Pract Neurol, 2021. 21(3): p. 186-195.</w:t>
      </w:r>
      <w:r w:rsidRPr="00244C1E">
        <w:rPr>
          <w:rFonts w:ascii="Helvetica" w:hAnsi="Helvetica"/>
          <w:color w:val="000000"/>
          <w:sz w:val="20"/>
          <w:szCs w:val="20"/>
          <w:lang w:val="en-US"/>
        </w:rPr>
        <w:br/>
        <w:t>27. Alshami, A.M., et al., Reliability and size of the measurement error when determining the cross-sectional area of the tibial nerve at the tarsal tunnel with ultrasonography. Ultrasound Med Biol, 2009. 35(7): p. 1098-102.</w:t>
      </w:r>
      <w:r w:rsidRPr="00244C1E">
        <w:rPr>
          <w:rFonts w:ascii="Helvetica" w:hAnsi="Helvetica"/>
          <w:color w:val="000000"/>
          <w:sz w:val="20"/>
          <w:szCs w:val="20"/>
          <w:lang w:val="en-US"/>
        </w:rPr>
        <w:br/>
        <w:t>28. Kluge, S., et al., Inter- and intraobserver reliability of predefined diagnostic levels in high-resolution sonography of the carpal tunnel syndrome - a validation study on healthy volunteers. Ultraschall Med, 2010. 31(1): p. 43-7.</w:t>
      </w:r>
      <w:r w:rsidRPr="00244C1E">
        <w:rPr>
          <w:rFonts w:ascii="Helvetica" w:hAnsi="Helvetica"/>
          <w:color w:val="000000"/>
          <w:sz w:val="20"/>
          <w:szCs w:val="20"/>
          <w:lang w:val="en-US"/>
        </w:rPr>
        <w:br/>
        <w:t>29. Haun, D.W., J.C. Cho, and N.W. Kettner, Normative cross-sectional area of the C5-C8 nerve roots using ultrasonography. Ultrasound Med Biol, 2010. 36(9): p. 1422-30.</w:t>
      </w:r>
      <w:r w:rsidRPr="00244C1E">
        <w:rPr>
          <w:rFonts w:ascii="Helvetica" w:hAnsi="Helvetica"/>
          <w:color w:val="000000"/>
          <w:sz w:val="20"/>
          <w:szCs w:val="20"/>
          <w:lang w:val="en-US"/>
        </w:rPr>
        <w:br/>
        <w:t>30. Impink, B.G., et al., Repeatability of ultrasonographic median nerve measures. Muscle Nerve, 2010. 41(6): p. 767-73.</w:t>
      </w:r>
      <w:r w:rsidRPr="00244C1E">
        <w:rPr>
          <w:rFonts w:ascii="Helvetica" w:hAnsi="Helvetica"/>
          <w:color w:val="000000"/>
          <w:sz w:val="20"/>
          <w:szCs w:val="20"/>
          <w:lang w:val="en-US"/>
        </w:rPr>
        <w:br/>
        <w:t>31. Tagliafico, A., et al., Reliability of side-to-side ultrasound cross-sectional area measurements of lower extremity nerves in healthy subjects. Muscle Nerve, 2012. 46(5): p. 717-22.</w:t>
      </w:r>
      <w:r w:rsidRPr="00244C1E">
        <w:rPr>
          <w:rFonts w:ascii="Helvetica" w:hAnsi="Helvetica"/>
          <w:color w:val="000000"/>
          <w:sz w:val="20"/>
          <w:szCs w:val="20"/>
          <w:lang w:val="en-US"/>
        </w:rPr>
        <w:br/>
        <w:t>32. Sugimoto, T., et al., Ultrasonographic reference sizes of the median and ulnar nerves and the cervical nerve roots in healthy Japanese adults. Ultrasound Med Biol, 2013. 39(9): p. 1560-70.</w:t>
      </w:r>
      <w:r w:rsidRPr="00244C1E">
        <w:rPr>
          <w:rFonts w:ascii="Helvetica" w:hAnsi="Helvetica"/>
          <w:color w:val="000000"/>
          <w:sz w:val="20"/>
          <w:szCs w:val="20"/>
          <w:lang w:val="en-US"/>
        </w:rPr>
        <w:br/>
        <w:t>33. Cartwright, M.S., et al., Validity and reliability of nerve and muscle ultrasound. Muscle Nerve, 2013. 47(4): p. 515-21.</w:t>
      </w:r>
      <w:r w:rsidRPr="00244C1E">
        <w:rPr>
          <w:rFonts w:ascii="Helvetica" w:hAnsi="Helvetica"/>
          <w:color w:val="000000"/>
          <w:sz w:val="20"/>
          <w:szCs w:val="20"/>
          <w:lang w:val="en-US"/>
        </w:rPr>
        <w:br/>
        <w:t>34. Garcia-Santibanez, R., et al., Nerve ultrasound reliability of upper limbs: Effects of examiner training. Muscle Nerve, 2018. 57(2): p. 189-192.</w:t>
      </w:r>
      <w:r w:rsidRPr="00244C1E">
        <w:rPr>
          <w:rFonts w:ascii="Helvetica" w:hAnsi="Helvetica"/>
          <w:color w:val="000000"/>
          <w:sz w:val="20"/>
          <w:szCs w:val="20"/>
          <w:lang w:val="en-US"/>
        </w:rPr>
        <w:br/>
        <w:t>35. Telleman, J.A., et al., Nerve ultrasound: A reproducible diagnostic tool in peripheral neuropathy. Neurology, 2018.</w:t>
      </w:r>
      <w:r w:rsidRPr="00244C1E">
        <w:rPr>
          <w:rFonts w:ascii="Helvetica" w:hAnsi="Helvetica"/>
          <w:color w:val="000000"/>
          <w:sz w:val="20"/>
          <w:szCs w:val="20"/>
          <w:lang w:val="en-US"/>
        </w:rPr>
        <w:br/>
        <w:t>36. Tawfik, E.A., et al., Neuromuscular ultrasound competency assessment: Consensus-based survey. Muscle Nerve, 2021. 63(5): p. 651-656.</w:t>
      </w:r>
    </w:p>
    <w:p w14:paraId="01741344" w14:textId="3DA114ED" w:rsidR="000875AA" w:rsidRPr="00283347" w:rsidRDefault="000875AA" w:rsidP="005A0CCF">
      <w:pPr>
        <w:rPr>
          <w:rFonts w:ascii="Helvetica" w:hAnsi="Helvetica"/>
          <w:color w:val="000000"/>
          <w:sz w:val="20"/>
          <w:szCs w:val="20"/>
          <w:lang w:val="en-US"/>
        </w:rPr>
      </w:pPr>
    </w:p>
    <w:sectPr w:rsidR="000875AA" w:rsidRPr="00283347" w:rsidSect="00A05DD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2FD2"/>
    <w:multiLevelType w:val="hybridMultilevel"/>
    <w:tmpl w:val="8B76AC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503CC3"/>
    <w:multiLevelType w:val="hybridMultilevel"/>
    <w:tmpl w:val="B0D6A5E0"/>
    <w:lvl w:ilvl="0" w:tplc="0AF259F2">
      <w:start w:val="4"/>
      <w:numFmt w:val="bullet"/>
      <w:lvlText w:val="-"/>
      <w:lvlJc w:val="left"/>
      <w:pPr>
        <w:ind w:left="1788" w:hanging="360"/>
      </w:pPr>
      <w:rPr>
        <w:rFonts w:ascii="Helvetica" w:eastAsia="Times New Roman" w:hAnsi="Helvetica" w:cs="Times New Roman"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2" w15:restartNumberingAfterBreak="0">
    <w:nsid w:val="0A603157"/>
    <w:multiLevelType w:val="hybridMultilevel"/>
    <w:tmpl w:val="E026CA9A"/>
    <w:lvl w:ilvl="0" w:tplc="0AF259F2">
      <w:start w:val="4"/>
      <w:numFmt w:val="bullet"/>
      <w:lvlText w:val="-"/>
      <w:lvlJc w:val="left"/>
      <w:pPr>
        <w:ind w:left="1068" w:hanging="360"/>
      </w:pPr>
      <w:rPr>
        <w:rFonts w:ascii="Helvetica" w:eastAsia="Times New Roman" w:hAnsi="Helvetica"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1021078F"/>
    <w:multiLevelType w:val="hybridMultilevel"/>
    <w:tmpl w:val="2D0C8236"/>
    <w:lvl w:ilvl="0" w:tplc="0AF259F2">
      <w:start w:val="4"/>
      <w:numFmt w:val="bullet"/>
      <w:lvlText w:val="-"/>
      <w:lvlJc w:val="left"/>
      <w:pPr>
        <w:ind w:left="1776" w:hanging="360"/>
      </w:pPr>
      <w:rPr>
        <w:rFonts w:ascii="Helvetica" w:eastAsia="Times New Roman" w:hAnsi="Helvetica" w:cs="Times New Roman"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7055995"/>
    <w:multiLevelType w:val="hybridMultilevel"/>
    <w:tmpl w:val="DF1256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3238BE"/>
    <w:multiLevelType w:val="hybridMultilevel"/>
    <w:tmpl w:val="12103316"/>
    <w:lvl w:ilvl="0" w:tplc="0AF259F2">
      <w:start w:val="4"/>
      <w:numFmt w:val="bullet"/>
      <w:lvlText w:val="-"/>
      <w:lvlJc w:val="left"/>
      <w:pPr>
        <w:ind w:left="720" w:hanging="360"/>
      </w:pPr>
      <w:rPr>
        <w:rFonts w:ascii="Helvetica" w:eastAsia="Times New Roman" w:hAnsi="Helvetic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B90E84"/>
    <w:multiLevelType w:val="hybridMultilevel"/>
    <w:tmpl w:val="44D059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BD1C64"/>
    <w:multiLevelType w:val="hybridMultilevel"/>
    <w:tmpl w:val="CAF46D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590D89"/>
    <w:multiLevelType w:val="hybridMultilevel"/>
    <w:tmpl w:val="1DCC9F66"/>
    <w:lvl w:ilvl="0" w:tplc="7A68620E">
      <w:numFmt w:val="bullet"/>
      <w:lvlText w:val="-"/>
      <w:lvlJc w:val="left"/>
      <w:pPr>
        <w:ind w:left="1068" w:hanging="360"/>
      </w:pPr>
      <w:rPr>
        <w:rFonts w:ascii="Helvetica" w:eastAsia="Times New Roman" w:hAnsi="Helvetica" w:cs="Times New Roman" w:hint="default"/>
      </w:rPr>
    </w:lvl>
    <w:lvl w:ilvl="1" w:tplc="04070003">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5D317BE4"/>
    <w:multiLevelType w:val="hybridMultilevel"/>
    <w:tmpl w:val="15222876"/>
    <w:lvl w:ilvl="0" w:tplc="0AF259F2">
      <w:start w:val="4"/>
      <w:numFmt w:val="bullet"/>
      <w:lvlText w:val="-"/>
      <w:lvlJc w:val="left"/>
      <w:pPr>
        <w:ind w:left="1068" w:hanging="360"/>
      </w:pPr>
      <w:rPr>
        <w:rFonts w:ascii="Helvetica" w:eastAsia="Times New Roman" w:hAnsi="Helvetica"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72E467FD"/>
    <w:multiLevelType w:val="hybridMultilevel"/>
    <w:tmpl w:val="9EEEAFBA"/>
    <w:lvl w:ilvl="0" w:tplc="389E718C">
      <w:start w:val="1"/>
      <w:numFmt w:val="decimal"/>
      <w:lvlText w:val="%1)"/>
      <w:lvlJc w:val="left"/>
      <w:pPr>
        <w:ind w:left="700" w:hanging="70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F95512F"/>
    <w:multiLevelType w:val="hybridMultilevel"/>
    <w:tmpl w:val="8A08EDF8"/>
    <w:lvl w:ilvl="0" w:tplc="0AF259F2">
      <w:start w:val="4"/>
      <w:numFmt w:val="bullet"/>
      <w:lvlText w:val="-"/>
      <w:lvlJc w:val="left"/>
      <w:pPr>
        <w:ind w:left="1428" w:hanging="360"/>
      </w:pPr>
      <w:rPr>
        <w:rFonts w:ascii="Helvetica" w:eastAsia="Times New Roman" w:hAnsi="Helvetica" w:cs="Times New Roman"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8"/>
  </w:num>
  <w:num w:numId="2">
    <w:abstractNumId w:val="10"/>
  </w:num>
  <w:num w:numId="3">
    <w:abstractNumId w:val="7"/>
  </w:num>
  <w:num w:numId="4">
    <w:abstractNumId w:val="6"/>
  </w:num>
  <w:num w:numId="5">
    <w:abstractNumId w:val="4"/>
  </w:num>
  <w:num w:numId="6">
    <w:abstractNumId w:val="0"/>
  </w:num>
  <w:num w:numId="7">
    <w:abstractNumId w:val="2"/>
  </w:num>
  <w:num w:numId="8">
    <w:abstractNumId w:val="3"/>
  </w:num>
  <w:num w:numId="9">
    <w:abstractNumId w:val="1"/>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1NLa0MDEyNrK0sDRS0lEKTi0uzszPAykwrAUABiZusiwAAAA="/>
  </w:docVars>
  <w:rsids>
    <w:rsidRoot w:val="0037384C"/>
    <w:rsid w:val="0000357B"/>
    <w:rsid w:val="00006336"/>
    <w:rsid w:val="000277CC"/>
    <w:rsid w:val="00035213"/>
    <w:rsid w:val="0003583E"/>
    <w:rsid w:val="00057D6D"/>
    <w:rsid w:val="00073481"/>
    <w:rsid w:val="00077A76"/>
    <w:rsid w:val="00086BA3"/>
    <w:rsid w:val="000875AA"/>
    <w:rsid w:val="0009167C"/>
    <w:rsid w:val="000959C9"/>
    <w:rsid w:val="000D52CB"/>
    <w:rsid w:val="000E5B14"/>
    <w:rsid w:val="00113272"/>
    <w:rsid w:val="00177A1C"/>
    <w:rsid w:val="001843EA"/>
    <w:rsid w:val="001934E1"/>
    <w:rsid w:val="001965B4"/>
    <w:rsid w:val="001C3C06"/>
    <w:rsid w:val="001C6038"/>
    <w:rsid w:val="001E60CF"/>
    <w:rsid w:val="00201EBB"/>
    <w:rsid w:val="00212DE3"/>
    <w:rsid w:val="00224A5B"/>
    <w:rsid w:val="00240E7E"/>
    <w:rsid w:val="00244C1E"/>
    <w:rsid w:val="00254241"/>
    <w:rsid w:val="00283347"/>
    <w:rsid w:val="00293A64"/>
    <w:rsid w:val="002B19FE"/>
    <w:rsid w:val="002C0AFC"/>
    <w:rsid w:val="002D4F67"/>
    <w:rsid w:val="002D57CC"/>
    <w:rsid w:val="002E5941"/>
    <w:rsid w:val="002F527E"/>
    <w:rsid w:val="0031652D"/>
    <w:rsid w:val="00336C44"/>
    <w:rsid w:val="00342415"/>
    <w:rsid w:val="00372C1F"/>
    <w:rsid w:val="0037384C"/>
    <w:rsid w:val="00393C13"/>
    <w:rsid w:val="003B543C"/>
    <w:rsid w:val="003C598C"/>
    <w:rsid w:val="003D73D3"/>
    <w:rsid w:val="003E0F89"/>
    <w:rsid w:val="003F1172"/>
    <w:rsid w:val="003F22D0"/>
    <w:rsid w:val="003F4125"/>
    <w:rsid w:val="00401CCE"/>
    <w:rsid w:val="00405F2E"/>
    <w:rsid w:val="004163AB"/>
    <w:rsid w:val="004164B2"/>
    <w:rsid w:val="00434F96"/>
    <w:rsid w:val="00441B77"/>
    <w:rsid w:val="00464ED4"/>
    <w:rsid w:val="00474E76"/>
    <w:rsid w:val="00484818"/>
    <w:rsid w:val="004934C5"/>
    <w:rsid w:val="0049372D"/>
    <w:rsid w:val="00493BD5"/>
    <w:rsid w:val="004B7721"/>
    <w:rsid w:val="004C033F"/>
    <w:rsid w:val="004C0CC6"/>
    <w:rsid w:val="004C5847"/>
    <w:rsid w:val="004C7618"/>
    <w:rsid w:val="004D6DB9"/>
    <w:rsid w:val="004F22F0"/>
    <w:rsid w:val="004F6E92"/>
    <w:rsid w:val="005049B9"/>
    <w:rsid w:val="00516DCF"/>
    <w:rsid w:val="00520324"/>
    <w:rsid w:val="005252A3"/>
    <w:rsid w:val="00534DA1"/>
    <w:rsid w:val="005353F9"/>
    <w:rsid w:val="00535C24"/>
    <w:rsid w:val="00540757"/>
    <w:rsid w:val="00546AAD"/>
    <w:rsid w:val="00554852"/>
    <w:rsid w:val="0055546B"/>
    <w:rsid w:val="00570A07"/>
    <w:rsid w:val="00572A0C"/>
    <w:rsid w:val="005900C6"/>
    <w:rsid w:val="005A0CCF"/>
    <w:rsid w:val="005A7E7D"/>
    <w:rsid w:val="005E6D1A"/>
    <w:rsid w:val="00621ADE"/>
    <w:rsid w:val="00633A1B"/>
    <w:rsid w:val="0066535C"/>
    <w:rsid w:val="00671785"/>
    <w:rsid w:val="00691C51"/>
    <w:rsid w:val="006943FB"/>
    <w:rsid w:val="006A1520"/>
    <w:rsid w:val="006B459B"/>
    <w:rsid w:val="006C1F22"/>
    <w:rsid w:val="006E25ED"/>
    <w:rsid w:val="0070224D"/>
    <w:rsid w:val="007315FC"/>
    <w:rsid w:val="0073745A"/>
    <w:rsid w:val="00745011"/>
    <w:rsid w:val="0075554E"/>
    <w:rsid w:val="00770FB2"/>
    <w:rsid w:val="00775C1C"/>
    <w:rsid w:val="00776B99"/>
    <w:rsid w:val="007F3065"/>
    <w:rsid w:val="00800AE1"/>
    <w:rsid w:val="0081279E"/>
    <w:rsid w:val="00813ABF"/>
    <w:rsid w:val="008226D7"/>
    <w:rsid w:val="0082606C"/>
    <w:rsid w:val="008353C7"/>
    <w:rsid w:val="00835F79"/>
    <w:rsid w:val="00857408"/>
    <w:rsid w:val="008A296F"/>
    <w:rsid w:val="008B2271"/>
    <w:rsid w:val="008B3C95"/>
    <w:rsid w:val="008C766C"/>
    <w:rsid w:val="008D2939"/>
    <w:rsid w:val="008D7E04"/>
    <w:rsid w:val="00905B81"/>
    <w:rsid w:val="00905F68"/>
    <w:rsid w:val="009068C5"/>
    <w:rsid w:val="00923A0C"/>
    <w:rsid w:val="00933342"/>
    <w:rsid w:val="009339FC"/>
    <w:rsid w:val="0093607A"/>
    <w:rsid w:val="009369CD"/>
    <w:rsid w:val="00943E3E"/>
    <w:rsid w:val="00952AAF"/>
    <w:rsid w:val="00955948"/>
    <w:rsid w:val="00982772"/>
    <w:rsid w:val="00985449"/>
    <w:rsid w:val="00995522"/>
    <w:rsid w:val="009A235E"/>
    <w:rsid w:val="009B56FF"/>
    <w:rsid w:val="009C3C76"/>
    <w:rsid w:val="009E3BEC"/>
    <w:rsid w:val="00A05DDE"/>
    <w:rsid w:val="00A25882"/>
    <w:rsid w:val="00A310CB"/>
    <w:rsid w:val="00A321AF"/>
    <w:rsid w:val="00A33E4D"/>
    <w:rsid w:val="00A45D39"/>
    <w:rsid w:val="00A47193"/>
    <w:rsid w:val="00A510FD"/>
    <w:rsid w:val="00A979B5"/>
    <w:rsid w:val="00AA6D43"/>
    <w:rsid w:val="00AC420C"/>
    <w:rsid w:val="00AC5241"/>
    <w:rsid w:val="00AD58FC"/>
    <w:rsid w:val="00AE2405"/>
    <w:rsid w:val="00B00EED"/>
    <w:rsid w:val="00B040D9"/>
    <w:rsid w:val="00B160C0"/>
    <w:rsid w:val="00B1662A"/>
    <w:rsid w:val="00B30E29"/>
    <w:rsid w:val="00B313CB"/>
    <w:rsid w:val="00B42B09"/>
    <w:rsid w:val="00B656FF"/>
    <w:rsid w:val="00B67E04"/>
    <w:rsid w:val="00B7350D"/>
    <w:rsid w:val="00B906E7"/>
    <w:rsid w:val="00BA7844"/>
    <w:rsid w:val="00BC24EE"/>
    <w:rsid w:val="00BD7F4B"/>
    <w:rsid w:val="00BE588D"/>
    <w:rsid w:val="00BE7153"/>
    <w:rsid w:val="00BE7B73"/>
    <w:rsid w:val="00C00DC5"/>
    <w:rsid w:val="00C022FD"/>
    <w:rsid w:val="00C254E8"/>
    <w:rsid w:val="00C2588F"/>
    <w:rsid w:val="00C367EF"/>
    <w:rsid w:val="00C50843"/>
    <w:rsid w:val="00C56708"/>
    <w:rsid w:val="00C6080B"/>
    <w:rsid w:val="00C766A1"/>
    <w:rsid w:val="00C85BA8"/>
    <w:rsid w:val="00C976FB"/>
    <w:rsid w:val="00C97D14"/>
    <w:rsid w:val="00CA24AC"/>
    <w:rsid w:val="00CA6BAB"/>
    <w:rsid w:val="00CB25B0"/>
    <w:rsid w:val="00CC0DFD"/>
    <w:rsid w:val="00CE161B"/>
    <w:rsid w:val="00D07331"/>
    <w:rsid w:val="00D10414"/>
    <w:rsid w:val="00D10829"/>
    <w:rsid w:val="00D16685"/>
    <w:rsid w:val="00D17EEF"/>
    <w:rsid w:val="00D33244"/>
    <w:rsid w:val="00D363C0"/>
    <w:rsid w:val="00D45703"/>
    <w:rsid w:val="00D467E5"/>
    <w:rsid w:val="00D70C79"/>
    <w:rsid w:val="00D759CF"/>
    <w:rsid w:val="00D75ECE"/>
    <w:rsid w:val="00D8219F"/>
    <w:rsid w:val="00D85C03"/>
    <w:rsid w:val="00D9348A"/>
    <w:rsid w:val="00D96362"/>
    <w:rsid w:val="00DA09DD"/>
    <w:rsid w:val="00DD3B04"/>
    <w:rsid w:val="00E04005"/>
    <w:rsid w:val="00E04356"/>
    <w:rsid w:val="00E27F4A"/>
    <w:rsid w:val="00E32A05"/>
    <w:rsid w:val="00E85BB1"/>
    <w:rsid w:val="00E868BD"/>
    <w:rsid w:val="00EB6B3B"/>
    <w:rsid w:val="00EE2BA8"/>
    <w:rsid w:val="00F13FE0"/>
    <w:rsid w:val="00F20EE2"/>
    <w:rsid w:val="00F271E2"/>
    <w:rsid w:val="00F552B1"/>
    <w:rsid w:val="00F63322"/>
    <w:rsid w:val="00F63C49"/>
    <w:rsid w:val="00F736B1"/>
    <w:rsid w:val="00F8020D"/>
    <w:rsid w:val="00FA6BBC"/>
    <w:rsid w:val="00FD2A8D"/>
    <w:rsid w:val="00FD5F81"/>
    <w:rsid w:val="00FE26A9"/>
    <w:rsid w:val="00FE7139"/>
    <w:rsid w:val="00FE71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EC11"/>
  <w15:docId w15:val="{9CD51FBB-4582-3F49-8159-FA8FF5F3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CCF"/>
    <w:rPr>
      <w:rFonts w:ascii="Times New Roman" w:eastAsia="Times New Roman" w:hAnsi="Times New Roman" w:cs="Times New Roman"/>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7384C"/>
  </w:style>
  <w:style w:type="character" w:styleId="CommentReference">
    <w:name w:val="annotation reference"/>
    <w:basedOn w:val="DefaultParagraphFont"/>
    <w:uiPriority w:val="99"/>
    <w:semiHidden/>
    <w:unhideWhenUsed/>
    <w:rsid w:val="00A25882"/>
    <w:rPr>
      <w:sz w:val="16"/>
      <w:szCs w:val="16"/>
    </w:rPr>
  </w:style>
  <w:style w:type="paragraph" w:styleId="CommentText">
    <w:name w:val="annotation text"/>
    <w:basedOn w:val="Normal"/>
    <w:link w:val="CommentTextChar"/>
    <w:uiPriority w:val="99"/>
    <w:semiHidden/>
    <w:unhideWhenUsed/>
    <w:rsid w:val="00A25882"/>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A25882"/>
    <w:rPr>
      <w:sz w:val="20"/>
      <w:szCs w:val="20"/>
    </w:rPr>
  </w:style>
  <w:style w:type="paragraph" w:styleId="CommentSubject">
    <w:name w:val="annotation subject"/>
    <w:basedOn w:val="CommentText"/>
    <w:next w:val="CommentText"/>
    <w:link w:val="CommentSubjectChar"/>
    <w:uiPriority w:val="99"/>
    <w:semiHidden/>
    <w:unhideWhenUsed/>
    <w:rsid w:val="00A25882"/>
    <w:rPr>
      <w:b/>
      <w:bCs/>
    </w:rPr>
  </w:style>
  <w:style w:type="character" w:customStyle="1" w:styleId="CommentSubjectChar">
    <w:name w:val="Comment Subject Char"/>
    <w:basedOn w:val="CommentTextChar"/>
    <w:link w:val="CommentSubject"/>
    <w:uiPriority w:val="99"/>
    <w:semiHidden/>
    <w:rsid w:val="00A25882"/>
    <w:rPr>
      <w:b/>
      <w:bCs/>
      <w:sz w:val="20"/>
      <w:szCs w:val="20"/>
    </w:rPr>
  </w:style>
  <w:style w:type="paragraph" w:styleId="BalloonText">
    <w:name w:val="Balloon Text"/>
    <w:basedOn w:val="Normal"/>
    <w:link w:val="BalloonTextChar"/>
    <w:uiPriority w:val="99"/>
    <w:semiHidden/>
    <w:unhideWhenUsed/>
    <w:rsid w:val="00A25882"/>
    <w:rPr>
      <w:sz w:val="18"/>
      <w:szCs w:val="18"/>
    </w:rPr>
  </w:style>
  <w:style w:type="character" w:customStyle="1" w:styleId="BalloonTextChar">
    <w:name w:val="Balloon Text Char"/>
    <w:basedOn w:val="DefaultParagraphFont"/>
    <w:link w:val="BalloonText"/>
    <w:uiPriority w:val="99"/>
    <w:semiHidden/>
    <w:rsid w:val="00A25882"/>
    <w:rPr>
      <w:rFonts w:ascii="Times New Roman" w:hAnsi="Times New Roman" w:cs="Times New Roman"/>
      <w:sz w:val="18"/>
      <w:szCs w:val="18"/>
    </w:rPr>
  </w:style>
  <w:style w:type="paragraph" w:styleId="ListParagraph">
    <w:name w:val="List Paragraph"/>
    <w:basedOn w:val="Normal"/>
    <w:uiPriority w:val="34"/>
    <w:qFormat/>
    <w:rsid w:val="001843EA"/>
    <w:pPr>
      <w:ind w:left="720"/>
      <w:contextualSpacing/>
    </w:pPr>
    <w:rPr>
      <w:rFonts w:asciiTheme="minorHAnsi" w:eastAsiaTheme="minorHAnsi" w:hAnsiTheme="minorHAnsi" w:cstheme="minorBidi"/>
      <w:lang w:eastAsia="en-US"/>
    </w:rPr>
  </w:style>
  <w:style w:type="character" w:styleId="Strong">
    <w:name w:val="Strong"/>
    <w:basedOn w:val="DefaultParagraphFont"/>
    <w:uiPriority w:val="22"/>
    <w:qFormat/>
    <w:rsid w:val="000959C9"/>
    <w:rPr>
      <w:b/>
      <w:bCs/>
    </w:rPr>
  </w:style>
  <w:style w:type="character" w:styleId="PlaceholderText">
    <w:name w:val="Placeholder Text"/>
    <w:basedOn w:val="DefaultParagraphFont"/>
    <w:uiPriority w:val="99"/>
    <w:semiHidden/>
    <w:rsid w:val="00D10414"/>
    <w:rPr>
      <w:color w:val="808080"/>
    </w:rPr>
  </w:style>
  <w:style w:type="paragraph" w:customStyle="1" w:styleId="csl-entry">
    <w:name w:val="csl-entry"/>
    <w:basedOn w:val="Normal"/>
    <w:rsid w:val="00D10414"/>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4963">
      <w:bodyDiv w:val="1"/>
      <w:marLeft w:val="0"/>
      <w:marRight w:val="0"/>
      <w:marTop w:val="0"/>
      <w:marBottom w:val="0"/>
      <w:divBdr>
        <w:top w:val="none" w:sz="0" w:space="0" w:color="auto"/>
        <w:left w:val="none" w:sz="0" w:space="0" w:color="auto"/>
        <w:bottom w:val="none" w:sz="0" w:space="0" w:color="auto"/>
        <w:right w:val="none" w:sz="0" w:space="0" w:color="auto"/>
      </w:divBdr>
    </w:div>
    <w:div w:id="82726332">
      <w:bodyDiv w:val="1"/>
      <w:marLeft w:val="0"/>
      <w:marRight w:val="0"/>
      <w:marTop w:val="0"/>
      <w:marBottom w:val="0"/>
      <w:divBdr>
        <w:top w:val="none" w:sz="0" w:space="0" w:color="auto"/>
        <w:left w:val="none" w:sz="0" w:space="0" w:color="auto"/>
        <w:bottom w:val="none" w:sz="0" w:space="0" w:color="auto"/>
        <w:right w:val="none" w:sz="0" w:space="0" w:color="auto"/>
      </w:divBdr>
    </w:div>
    <w:div w:id="337273984">
      <w:bodyDiv w:val="1"/>
      <w:marLeft w:val="0"/>
      <w:marRight w:val="0"/>
      <w:marTop w:val="0"/>
      <w:marBottom w:val="0"/>
      <w:divBdr>
        <w:top w:val="none" w:sz="0" w:space="0" w:color="auto"/>
        <w:left w:val="none" w:sz="0" w:space="0" w:color="auto"/>
        <w:bottom w:val="none" w:sz="0" w:space="0" w:color="auto"/>
        <w:right w:val="none" w:sz="0" w:space="0" w:color="auto"/>
      </w:divBdr>
    </w:div>
    <w:div w:id="354045332">
      <w:bodyDiv w:val="1"/>
      <w:marLeft w:val="0"/>
      <w:marRight w:val="0"/>
      <w:marTop w:val="0"/>
      <w:marBottom w:val="0"/>
      <w:divBdr>
        <w:top w:val="none" w:sz="0" w:space="0" w:color="auto"/>
        <w:left w:val="none" w:sz="0" w:space="0" w:color="auto"/>
        <w:bottom w:val="none" w:sz="0" w:space="0" w:color="auto"/>
        <w:right w:val="none" w:sz="0" w:space="0" w:color="auto"/>
      </w:divBdr>
    </w:div>
    <w:div w:id="366174818">
      <w:bodyDiv w:val="1"/>
      <w:marLeft w:val="0"/>
      <w:marRight w:val="0"/>
      <w:marTop w:val="0"/>
      <w:marBottom w:val="0"/>
      <w:divBdr>
        <w:top w:val="none" w:sz="0" w:space="0" w:color="auto"/>
        <w:left w:val="none" w:sz="0" w:space="0" w:color="auto"/>
        <w:bottom w:val="none" w:sz="0" w:space="0" w:color="auto"/>
        <w:right w:val="none" w:sz="0" w:space="0" w:color="auto"/>
      </w:divBdr>
    </w:div>
    <w:div w:id="499734172">
      <w:bodyDiv w:val="1"/>
      <w:marLeft w:val="0"/>
      <w:marRight w:val="0"/>
      <w:marTop w:val="0"/>
      <w:marBottom w:val="0"/>
      <w:divBdr>
        <w:top w:val="none" w:sz="0" w:space="0" w:color="auto"/>
        <w:left w:val="none" w:sz="0" w:space="0" w:color="auto"/>
        <w:bottom w:val="none" w:sz="0" w:space="0" w:color="auto"/>
        <w:right w:val="none" w:sz="0" w:space="0" w:color="auto"/>
      </w:divBdr>
    </w:div>
    <w:div w:id="568733001">
      <w:bodyDiv w:val="1"/>
      <w:marLeft w:val="0"/>
      <w:marRight w:val="0"/>
      <w:marTop w:val="0"/>
      <w:marBottom w:val="0"/>
      <w:divBdr>
        <w:top w:val="none" w:sz="0" w:space="0" w:color="auto"/>
        <w:left w:val="none" w:sz="0" w:space="0" w:color="auto"/>
        <w:bottom w:val="none" w:sz="0" w:space="0" w:color="auto"/>
        <w:right w:val="none" w:sz="0" w:space="0" w:color="auto"/>
      </w:divBdr>
    </w:div>
    <w:div w:id="766968240">
      <w:bodyDiv w:val="1"/>
      <w:marLeft w:val="0"/>
      <w:marRight w:val="0"/>
      <w:marTop w:val="0"/>
      <w:marBottom w:val="0"/>
      <w:divBdr>
        <w:top w:val="none" w:sz="0" w:space="0" w:color="auto"/>
        <w:left w:val="none" w:sz="0" w:space="0" w:color="auto"/>
        <w:bottom w:val="none" w:sz="0" w:space="0" w:color="auto"/>
        <w:right w:val="none" w:sz="0" w:space="0" w:color="auto"/>
      </w:divBdr>
    </w:div>
    <w:div w:id="843209244">
      <w:bodyDiv w:val="1"/>
      <w:marLeft w:val="0"/>
      <w:marRight w:val="0"/>
      <w:marTop w:val="0"/>
      <w:marBottom w:val="0"/>
      <w:divBdr>
        <w:top w:val="none" w:sz="0" w:space="0" w:color="auto"/>
        <w:left w:val="none" w:sz="0" w:space="0" w:color="auto"/>
        <w:bottom w:val="none" w:sz="0" w:space="0" w:color="auto"/>
        <w:right w:val="none" w:sz="0" w:space="0" w:color="auto"/>
      </w:divBdr>
    </w:div>
    <w:div w:id="916010980">
      <w:bodyDiv w:val="1"/>
      <w:marLeft w:val="0"/>
      <w:marRight w:val="0"/>
      <w:marTop w:val="0"/>
      <w:marBottom w:val="0"/>
      <w:divBdr>
        <w:top w:val="none" w:sz="0" w:space="0" w:color="auto"/>
        <w:left w:val="none" w:sz="0" w:space="0" w:color="auto"/>
        <w:bottom w:val="none" w:sz="0" w:space="0" w:color="auto"/>
        <w:right w:val="none" w:sz="0" w:space="0" w:color="auto"/>
      </w:divBdr>
    </w:div>
    <w:div w:id="1009213740">
      <w:bodyDiv w:val="1"/>
      <w:marLeft w:val="0"/>
      <w:marRight w:val="0"/>
      <w:marTop w:val="0"/>
      <w:marBottom w:val="0"/>
      <w:divBdr>
        <w:top w:val="none" w:sz="0" w:space="0" w:color="auto"/>
        <w:left w:val="none" w:sz="0" w:space="0" w:color="auto"/>
        <w:bottom w:val="none" w:sz="0" w:space="0" w:color="auto"/>
        <w:right w:val="none" w:sz="0" w:space="0" w:color="auto"/>
      </w:divBdr>
    </w:div>
    <w:div w:id="1026323606">
      <w:bodyDiv w:val="1"/>
      <w:marLeft w:val="0"/>
      <w:marRight w:val="0"/>
      <w:marTop w:val="0"/>
      <w:marBottom w:val="0"/>
      <w:divBdr>
        <w:top w:val="none" w:sz="0" w:space="0" w:color="auto"/>
        <w:left w:val="none" w:sz="0" w:space="0" w:color="auto"/>
        <w:bottom w:val="none" w:sz="0" w:space="0" w:color="auto"/>
        <w:right w:val="none" w:sz="0" w:space="0" w:color="auto"/>
      </w:divBdr>
    </w:div>
    <w:div w:id="1512989159">
      <w:bodyDiv w:val="1"/>
      <w:marLeft w:val="0"/>
      <w:marRight w:val="0"/>
      <w:marTop w:val="0"/>
      <w:marBottom w:val="0"/>
      <w:divBdr>
        <w:top w:val="none" w:sz="0" w:space="0" w:color="auto"/>
        <w:left w:val="none" w:sz="0" w:space="0" w:color="auto"/>
        <w:bottom w:val="none" w:sz="0" w:space="0" w:color="auto"/>
        <w:right w:val="none" w:sz="0" w:space="0" w:color="auto"/>
      </w:divBdr>
    </w:div>
    <w:div w:id="1525752292">
      <w:bodyDiv w:val="1"/>
      <w:marLeft w:val="0"/>
      <w:marRight w:val="0"/>
      <w:marTop w:val="0"/>
      <w:marBottom w:val="0"/>
      <w:divBdr>
        <w:top w:val="none" w:sz="0" w:space="0" w:color="auto"/>
        <w:left w:val="none" w:sz="0" w:space="0" w:color="auto"/>
        <w:bottom w:val="none" w:sz="0" w:space="0" w:color="auto"/>
        <w:right w:val="none" w:sz="0" w:space="0" w:color="auto"/>
      </w:divBdr>
    </w:div>
    <w:div w:id="1593128320">
      <w:bodyDiv w:val="1"/>
      <w:marLeft w:val="0"/>
      <w:marRight w:val="0"/>
      <w:marTop w:val="0"/>
      <w:marBottom w:val="0"/>
      <w:divBdr>
        <w:top w:val="none" w:sz="0" w:space="0" w:color="auto"/>
        <w:left w:val="none" w:sz="0" w:space="0" w:color="auto"/>
        <w:bottom w:val="none" w:sz="0" w:space="0" w:color="auto"/>
        <w:right w:val="none" w:sz="0" w:space="0" w:color="auto"/>
      </w:divBdr>
    </w:div>
    <w:div w:id="1816677204">
      <w:bodyDiv w:val="1"/>
      <w:marLeft w:val="0"/>
      <w:marRight w:val="0"/>
      <w:marTop w:val="0"/>
      <w:marBottom w:val="0"/>
      <w:divBdr>
        <w:top w:val="none" w:sz="0" w:space="0" w:color="auto"/>
        <w:left w:val="none" w:sz="0" w:space="0" w:color="auto"/>
        <w:bottom w:val="none" w:sz="0" w:space="0" w:color="auto"/>
        <w:right w:val="none" w:sz="0" w:space="0" w:color="auto"/>
      </w:divBdr>
    </w:div>
    <w:div w:id="205835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7D477F-3F75-EE40-B275-0639ADE80A26}">
  <we:reference id="wa104380917" version="1.0.1.0" store="de-DE"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sche Referenz" Version="1987"/>
</file>

<file path=customXml/itemProps1.xml><?xml version="1.0" encoding="utf-8"?>
<ds:datastoreItem xmlns:ds="http://schemas.openxmlformats.org/officeDocument/2006/customXml" ds:itemID="{BEBCDFA8-B187-D649-96A5-F170BEAA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4801</Words>
  <Characters>27367</Characters>
  <Application>Microsoft Office Word</Application>
  <DocSecurity>0</DocSecurity>
  <Lines>228</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Lena Fisse</dc:creator>
  <cp:lastModifiedBy>Nilanjana Das</cp:lastModifiedBy>
  <cp:revision>2</cp:revision>
  <dcterms:created xsi:type="dcterms:W3CDTF">2021-09-07T18:46:00Z</dcterms:created>
  <dcterms:modified xsi:type="dcterms:W3CDTF">2021-09-07T18:46:00Z</dcterms:modified>
</cp:coreProperties>
</file>