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Synthesis and Characterization of mRNA-Loaded Poly(Beta Aminoesters) Nanoparticles for Vaccination Purposes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D&amp;#237;az-Caballero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Coral Garc&amp;#237;a-Fernandez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Olmo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Stampa-L&amp;#243;pez Pinto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Naval&amp;#243;n-L&amp;#243;pez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Marta Guerra-Rebollo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Salvador Borr&amp;#243;s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Grup d’Enginyeria de Materials (Gemat), Institut Qu&amp;#237;mic de Sarrià (IQS), Universitat Ramon Llull (URL)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tab/>
        <w:tab/>
        <w:t xml:space="preserve">(Cristina.fornaguera@iqs.url.edu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D&amp;#237;az-Caballero</w:t>
        <w:tab/>
        <w:tab/>
        <w:t xml:space="preserve">(marta.diazc@iqs.url.edu)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Coral Garc&amp;#237;a-Fernandez</w:t>
        <w:tab/>
        <w:t xml:space="preserve">(coralgarciaf@iqs.url.edu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Olmo</w:t>
        <w:tab/>
        <w:tab/>
        <w:tab/>
        <w:t xml:space="preserve">(laura.olmo@iqs.url.edu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Stampa-L&amp;#243;pez Pinto</w:t>
        <w:tab/>
        <w:t xml:space="preserve">(mariastampal@iqs.url.edu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Naval&amp;#243;n-L&amp;#243;pez</w:t>
        <w:tab/>
        <w:tab/>
        <w:t xml:space="preserve">(marianavalonl@iqs.url.edu)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Guerra-Rebollo</w:t>
        <w:tab/>
        <w:tab/>
        <w:t xml:space="preserve">(marta.guerra@iqs.url.edu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Salvador Borr&amp;#243;s</w:t>
        <w:tab/>
        <w:tab/>
        <w:t xml:space="preserve">(Salvador.borros@iqs.url.edu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Fornaguera</w:t>
        <w:tab/>
        <w:tab/>
        <w:t xml:space="preserve">(Cristina.fornaguera@iqs.url.edu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Salvador Borr&amp;#243;s</w:t>
        <w:tab/>
        <w:tab/>
        <w:t xml:space="preserve">(Salvador.borros@iqs.url.edu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mRNA loading; poly(beta aminoester) polymers; polymeric nanoparticles; freeze-drying; vaccination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simple protocol is presented for producing mRNA nanoparticles based on poly(beta aminoester) polymers, easy to be tailored by changing the encapsulated mRNA. The workflow for synthesizing the polymers, the nanoparticles, and their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essential characterization are also described. A proof-of-concept regarding immunization is also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Vaccination has been one of the major successes of modern society and is </w:t>
      </w:r>
      <w:r>
        <w:rPr>
          <w:rFonts w:ascii="Calibri" w:hAnsi="Calibri" w:cs="Calibri" w:eastAsia="Calibri"/>
          <w:color w:val="000000"/>
          <w:spacing w:val="0"/>
          <w:position w:val="0"/>
          <w:sz w:val="24"/>
          <w:shd w:fill="FFFFFF" w:val="clear"/>
        </w:rPr>
        <w:t xml:space="preserve">indispensable in controlling and preventing disease</w:t>
      </w:r>
      <w:r>
        <w:rPr>
          <w:rFonts w:ascii="Calibri" w:hAnsi="Calibri" w:cs="Calibri" w:eastAsia="Calibri"/>
          <w:color w:val="auto"/>
          <w:spacing w:val="0"/>
          <w:position w:val="0"/>
          <w:sz w:val="24"/>
          <w:shd w:fill="FFFFFF" w:val="clear"/>
        </w:rPr>
        <w:t xml:space="preserve">. Traditional vaccines were composed of entire or fractions of the infectious agent. However, </w:t>
      </w:r>
      <w:r>
        <w:rPr>
          <w:rFonts w:ascii="Calibri" w:hAnsi="Calibri" w:cs="Calibri" w:eastAsia="Calibri"/>
          <w:color w:val="000000"/>
          <w:spacing w:val="0"/>
          <w:position w:val="0"/>
          <w:sz w:val="24"/>
          <w:shd w:fill="FFFFFF" w:val="clear"/>
        </w:rPr>
        <w:t xml:space="preserve">challenges remain, and new vaccine technologies are mandatory</w:t>
      </w:r>
      <w:r>
        <w:rPr>
          <w:rFonts w:ascii="Calibri" w:hAnsi="Calibri" w:cs="Calibri" w:eastAsia="Calibri"/>
          <w:color w:val="auto"/>
          <w:spacing w:val="0"/>
          <w:position w:val="0"/>
          <w:sz w:val="24"/>
          <w:shd w:fill="FFFFFF" w:val="clear"/>
        </w:rPr>
        <w:t xml:space="preserve">. In this context, the use of mRNA for immunizing purposes has shown an enhanced performance, as demonstrated by the speedy approval of two mRNA vaccines preventing SARS-CoV-2 infection. Beyond success in preventing viral infections, mRNA vaccines can also be used for therapeutic cancer applications.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Nevertheless, the instability of mRNA and its fast clearance from the body due to the presence of nucleases makes its naked delivery not possible. In this context, nanomedicines, and specifically polymeric nanoparticles, are critical mRNA delivery systems. Thus, the aim is to describe the protocol for the formulation and test of an mRNA vaccine candidate based on the proprietary polymeric nanoparticles. The synthesis and chemical characterization of the poly(beta aminoesters) polymers used, their complexation with mRNA to form nanoparticles, and their lyophilization methodology will be discussed here. This is a crucial step for decreasing storage and distribution costs. Finally, the required tests to demonstrate their capacity to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transfect and mature model dendritic cells will be indicated. This protocol will benefit the scientific community working on vaccination because of its high versatility that enables these vaccines to prevent or cure a wide variety of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Infectious diseases have represented a severe threat to millions of human beings around the globe and are still one of the leading causes of death in some developing countries. Prophylactic vaccination has been one of the most effective interventions of modern society to prevent and control infectious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critical milestones of science in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-century relevance have been remarked by the recent worldwide Covid-19 pandemic caused by the SARS-CoV-2 virus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Recognizing the importance of having efficient vaccines to curtail the dissemination of the disease, cooperative efforts from all biomedical communities have successfully resulted in many prophylactic vaccines in the market in less than a year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vaccines were composed of attenuate (live, reduced virulence) or inactivated (death particles) viruses. However, for some diseases with no margin for safety errors, viral particles are not possible, and protein subunits are used instead. Nevertheless, subunits usually do not enable the combination of more than one epitope/antigen, and adjuvants are required to enhance vaccination potency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the need for novel vaccine types stands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during the current pandemic, novel vaccine candidates based on oligonucleotides can be advantageous in terms of avoiding long development processes and providing high versatility while producing, at the same time, a vital patient immunization. This is the case of mRNA vaccines, which were initially designed as experimental cancer vaccines. Thanks to their natural capacity to produce antigen-specific T-cell responses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Being mRNA the molecule that encodes the antigenic protein, only changing the same, the vaccine can be rapidly tailored to immunize other variants of the same microorganism, different strains, other infectious microorganisms, or even become a cancer immunotherapeutic treatment. In addition, they are advantageous in terms of large-scale production costs. However, mRNA has a significant hurdle that hampers their naked administration: its stability and integrity are compromised in physiological media, full of nucleases. For this reason, the use of a nanometric carrier that protects it and vectorizes mRNA to the antigen-presenting cells is required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poly(beta aminoesters) (pBAE) are a class of biocompatible and biodegradable polymers that demonstrated a remarkable ability to complex mRNA in nanometric particles, thanks to their cationic charges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polymers are composed of ester bonds, which makes their degradation easy by esterases in physiological conditions. Among the pBAE library candidates, those functionalized with end cationic oligopeptides showed a higher capacity to form small nanoparticles to efficiently penetrate cells through endocytosis and transfect the encapsulated gene material. Furthermore, thanks to their buffering capacity, the acidification of the endosome compartment allows endosomal escape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Namely, a specific kind of pBAE, including hydrophobic moieties on their backbone (the so-named C6 pBAE) to enhance their stability and end-oligopeptide combination (60% of polymer modified with a tri-lysine and 40% of the polymer with a tri-histidine) that selectively transfects antigen-presenting cells after parenteral administration and produce the mRNA encoded antigen presentation followed by mice immunization has been recently published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it has also been demonstrated that these formulations could circumvent one of the main bottleneck steps of nanomedicine formulations: the possibility to freeze-dry them without losing their functionality, which enables long-term stability in soft dry environments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the objective of the current protocol is to make the procedure for the formation of the mRNA nanoparticles available to the scientific community by giving a description of the critical steps in the protocol and enabling the production of efficient vaccines for infectious diseases prevention and tumor treatment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the complete workout to synthesize oligopeptide end-modified poly(beta aminoesters) - OM-pBAE polymers that will further be used for nanoparticle synthesis. In the protocol, nanoparticles formulation is also included. In addition, critical steps for the success of the procedure and representative results are also provided to ensure that the resulting formulations accomplish the required quality control characterization features to define a positive or negative result. This protocol is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Synthesis of pBAE polymer with end oligopeptides (OM-pBAE)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Polymerization of C6-pBAE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Add 5-amino-1-pentanol (38 mmol; MW = 103.16 Da) 1-hexylamine (38 mmol; MW = 101.19 Da) into a round-bottom glass flask (100 mL). Then, add 1,4-butanediol diacrylate (82 mmol; MW = 198.22 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Pre-heat the silicone oil bath at 90 &amp;#176;C, place the round-bottom flask into the oil bath and stir the mixture with the aid of a magnetic stir bar overnight (~18 h). Then, take the product from the round-bottom flask and place it in the freezer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product is in the form of a sticky powder and is taken out from the flask with the help of a spatula. It is essential to validate the structure of the obtained polymer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NMR spectra were recorded in a 400 MHz instrument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chloroform-d and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as solvents. Around 10 mg of each poly(&amp;#946;-amino ester) were taken and dissolved in 1 mL of the deuterated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Reaction with peptides to obtain OM-pBAE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Add 25 mL of 0.1 M HCl to selected peptides, e.g., peptide Cys-His-His-His with Trifluoroacetic acid (TFA, 200 mg), into a previously weighed 50 mL centrifuge tube that can stand freeze-drying and manually stir overnight to obtain a clear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Freeze the solution at -80 &amp;#176;C for 1 h and freeze-dry the resulting peptide hydrochloride.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whether the final weight corresponds to the theoretical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Make a solution of C6-pBAE (0.031 mmol) in dimethyl sulfoxide. Also, make a solution of the peptide hydrochloride (0.078 mmol) in dimethyl sulfoxide.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Mix the two solutions in a screw cap tube and screw on the cap. Stir the mixture solution in a water bath with a controlled temperature of 25 &amp;#176;C for 20 h with a magnetic stir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Add the mixture to 7:3 (v/v) diethyl ether/acetone. Centrifuge the resulting suspension at 25,000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at 4 &amp;#176;C to remove the solvent. Next, wash the solid with 7:3 (v/v) diethyl ether/acetone twice. Then, dry the product under a vacuum (&amp;lt;0.2 atm).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Make a solution of 100 mg/mL of the product in dimethyl sulfoxide. The resulting product is named C6-peptide-pBAE. It is essential to validate the structure of the obtained polymer through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to confirm the disappearance of the olefin signals associated with terminal acrylates. If not used, the polymer can be frozen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Polyplexes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should be performed inside a conditioned room to maintain a constant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Thaw the polymers C6-peptide-pBAE and vortex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Pipette the polymer mix up and down and prepare a solution of 12.5 mM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in sodium acetate (NaAc). Then, vortex the mixture and wait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Prepare the mRNA at 0.5 mg/mL and mix by pipetting (V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avoid vortexing the mRNA.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Vortex the polymer mixture at the final concentration to achieve a homogeneous solution between the polymer stock in DMSO and the acetate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polymer concentration depends on the N/P (nitrogen to phosphate groups) ratio selected. The N/P ratio depends on each specific mRNA to be used. For eGFP encapsulation, for example, a 25:1 ratio was used, as previously reported</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Mix the genetic material solution and C6-peptidepBAE solution (25x of the mRNA concentration) in a ratio of 1:1 (V</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 V</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 V</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C6-peptide-pBAE is loaded in a microcentrifuge tube where the mRNA is added by pipetting up and down for mixing. Once prepared, the polyplex, the nucleic acid, and C6-peptide-pBAE concentrations are half diluted.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Incubate at 25 &amp;#176;C for 30 min in a thermoblock. Precipitate with 1:2 RNase free water by adding the sample to a pre-loaded microcentrifuge tube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Include the excipients. Add the same volume as the mixture of mRNA and pBAE (V</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in HEPES 20 mM and sucrose 4% by pipetting up and down.</w:t>
      </w:r>
      <w:r>
        <w:rPr>
          <w:rFonts w:ascii="Calibri" w:hAnsi="Calibri" w:cs="Calibri" w:eastAsia="Calibri"/>
          <w:color w:val="auto"/>
          <w:spacing w:val="0"/>
          <w:position w:val="0"/>
          <w:sz w:val="24"/>
          <w:shd w:fill="auto" w:val="clear"/>
        </w:rPr>
        <w:t xml:space="preserve"> At this point, the sample has been diluted 3x.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Polyplexes lyophilization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Instantaneously, freeze at -80 &amp;#176;C freezer of the previous polyplex solution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the primary drying by following the steps: (1) 1 h at -60 &amp;#176;C and 0.001 hPa; (2) 1 h at -40 &amp;#176;C and 0.0001 hPa; (3) 4 h at -20 &amp;#176;C and 0.0001 hPa; (4) 12 h at 5 &amp;#176;C and 0.0001 hPa.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Store at -20</w:t>
      </w:r>
      <w:r>
        <w:rPr>
          <w:rFonts w:ascii="Calibri" w:hAnsi="Calibri" w:cs="Calibri" w:eastAsia="Calibri"/>
          <w:color w:val="auto"/>
          <w:spacing w:val="0"/>
          <w:position w:val="0"/>
          <w:sz w:val="24"/>
          <w:shd w:fill="auto" w:val="clear"/>
        </w:rPr>
        <w:t xml:space="preserve"> &amp;#176;</w:t>
      </w:r>
      <w:r>
        <w:rPr>
          <w:rFonts w:ascii="Calibri" w:hAnsi="Calibri" w:cs="Calibri" w:eastAsia="Calibri"/>
          <w:color w:val="auto"/>
          <w:spacing w:val="0"/>
          <w:position w:val="0"/>
          <w:sz w:val="24"/>
          <w:shd w:fill="FFFF00" w:val="clear"/>
        </w:rPr>
        <w:t xml:space="preserve">C immediately to avoid rehydration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Polyplex resuspension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describes the process used to reconstruct the lyophilized C6-peptide-pBAE nanoparticles for their further use either for characterization,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Take the lyophilized nanoparticles from -20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just at the moment of use and rapidly add the corresponding amount of depyrogenated (DEPC) water to redisperse the solid to achieve the desired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will be the same as the initial volume of the nanoparticles if the same concentration is envisaged, but it will be indicated for each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Pipette gently until total resuspension, accompanying the liquid with the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Assure that no material remains on the wall of the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Once dissolved, pipette up and down vigorously, avoiding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should have a transparent to translucent aspect, which is more evident at higher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Store the samples on ice or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a maximum period of 24 h once reconstituted. Avoid freezing.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Polyplex characterization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Dynamic light scattering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Hydrodynamic diameter (nm), polydispersity index (PDI), and surface charge of nanoparticles were measured at 25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633 nm laser wavelength, and 173</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 signal detector, using a Zeta potential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Hydrodynamic diameter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5.1.1.1.</w:t>
        <w:tab/>
        <w:t xml:space="preserve">Prepare the nanoparticles mixing mRNA and pBAE thoroughly by pipetting the gene material to the polymer fraction to a final concentration of mRNA of 0.25 mg/mL as previously described above (step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Pre-rinse a microcuvette with filtered dilution media to completely clean it from impurities. Then, fill the cuvette with at least 50 &amp;#181;L of the sample solution and cap it. Next, introduce the sample inside the DLS instrument, ensure that the cell is correctly inserted.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dilution media is filtered using a 0.22 &amp;#181;m syringe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5.1.1.3.</w:t>
        <w:tab/>
        <w:t xml:space="preserve">Open the </w:t>
      </w:r>
      <w:r>
        <w:rPr>
          <w:rFonts w:ascii="Calibri" w:hAnsi="Calibri" w:cs="Calibri" w:eastAsia="Calibri"/>
          <w:b/>
          <w:color w:val="000000"/>
          <w:spacing w:val="0"/>
          <w:position w:val="0"/>
          <w:sz w:val="24"/>
          <w:shd w:fill="auto" w:val="clear"/>
        </w:rPr>
        <w:t xml:space="preserve">Standard Operation Procedure</w:t>
      </w:r>
      <w:r>
        <w:rPr>
          <w:rFonts w:ascii="Calibri" w:hAnsi="Calibri" w:cs="Calibri" w:eastAsia="Calibri"/>
          <w:color w:val="000000"/>
          <w:spacing w:val="0"/>
          <w:position w:val="0"/>
          <w:sz w:val="24"/>
          <w:shd w:fill="auto" w:val="clear"/>
        </w:rPr>
        <w:t xml:space="preserve"> (SOP) file created and introduce the desired </w:t>
      </w:r>
      <w:r>
        <w:rPr>
          <w:rFonts w:ascii="Calibri" w:hAnsi="Calibri" w:cs="Calibri" w:eastAsia="Calibri"/>
          <w:b/>
          <w:color w:val="000000"/>
          <w:spacing w:val="0"/>
          <w:position w:val="0"/>
          <w:sz w:val="24"/>
          <w:shd w:fill="auto" w:val="clear"/>
        </w:rPr>
        <w:t xml:space="preserve">Sample Name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Size Measurement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parameters to create an SOP for size measurements are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5.1.1.4.</w:t>
        <w:tab/>
        <w:t xml:space="preserve">Run the particle size measurement using DLS by clicking on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triple beep sounds, the analysis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5.1.1.5.</w:t>
        <w:tab/>
        <w:t xml:space="preserve">Select the results corresponding to the sample on the measurement sheet to obtain the average particle size, average PDI, standard deviation, and graphics. Once done, remove the cell from DLS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5.1.1.6.</w:t>
        <w:tab/>
        <w:t xml:space="preserve">Remove the sample, keep it for zeta-potential analysis, and clean and rinse the cell with deionized water. Finally, dry the cleaned cuvette under a compressed air gas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ab/>
        <w:t xml:space="preserve">Surface charge (mV)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w:t>
        <w:tab/>
        <w:t xml:space="preserve">Prepare the nanoparticles mixing mRNA and pBAE thoroughly by pipetting the gene material to the polymer fraction to a final concentration of mRNA of 0.25 mg/mL as previously described above (step 2, Polyplex formation). Next, freeze and dry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for the measurement of surface charge, the freeze-drying of the sample is strongly recommended before performing the measures to redisperse the sample in the appropriate buffer, simulating body conditions of pH and electrolyte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5.1.2.2.</w:t>
        <w:tab/>
        <w:t xml:space="preserve">Resuspend the lyophilized sample using water. Dilute the sample 1/10 in water (final concentration 0.025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5.1.2.3.</w:t>
        <w:tab/>
        <w:t xml:space="preserve">Pre-rinse a disposable folded capillary cell (zeta potential cuvette) with filtered dilution media to completely clean it from impurities. Then, fill the cuvette with diluted nanoparticles, using a 1 mL syringe, and cap both sides of the fillers.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nanoparticle dispersion has to fill the volume available in the cuvette (~1 mL), taking special attention to the bubble’s formation, which could perturb measures.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5.1.2.4.</w:t>
        <w:tab/>
        <w:t xml:space="preserve">Introduce the sample inside DLS; ensure that the cell is correctly inserted.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5.1.2.5.</w:t>
        <w:tab/>
        <w:t xml:space="preserve">Open the SOP file created for zeta potential analysis and introduce the desired </w:t>
      </w:r>
      <w:r>
        <w:rPr>
          <w:rFonts w:ascii="Calibri" w:hAnsi="Calibri" w:cs="Calibri" w:eastAsia="Calibri"/>
          <w:b/>
          <w:color w:val="000000"/>
          <w:spacing w:val="0"/>
          <w:position w:val="0"/>
          <w:sz w:val="24"/>
          <w:shd w:fill="auto" w:val="clear"/>
        </w:rPr>
        <w:t xml:space="preserve">Sample Name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Zeta-Potential Measurement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Parameters to create an SOP for zeta potential measurements are given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5.1.2.6.</w:t>
        <w:tab/>
        <w:t xml:space="preserve">Run zeta-potential measurement using DLS by clicking on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triple beep sound, the analysis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5.1.2.7.</w:t>
        <w:tab/>
        <w:t xml:space="preserve">Select the results corresponding to the sample on the measurement sheet to obtain the average zeta-potential, standard deviation, and graphics. Once done, remove the cell from the DLS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5.1.2.8.</w:t>
        <w:tab/>
        <w:t xml:space="preserve">Remove the sample and keep it if it is necessary. Next, clean and rinse the cuvette cell with deionized water, followed by ethanol and water again. Finally, dry the cleaned cuvette under a compressed air gas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analyze the data, use the recommended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Nanoparticle Tracking Analysis (NTA)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Hydrodynamic diameter (nm) and concentration of nanoparticles were measured at 25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488 nm laser wavelength using a Nanoparticle Tracking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NTA and sample preparation</w:t>
      </w: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5.2.1.1</w:t>
        <w:tab/>
        <w:t xml:space="preserve">Switch on the computer and the equipment. First, check whether all the components are plugged in correctly. Next, open the recommended software. The software will check whether all the accessories are correctly connected.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w:t>
        <w:tab/>
        <w:t xml:space="preserve">Connect the Top plate, here, the O-ring cell, into the laser module.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overscrew this part.</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5.2.1.3</w:t>
        <w:tab/>
        <w:t xml:space="preserve">First load the chamber with buffer and/or deionized water with a 1 mL syringe. Repeat the procedure at least two times. Avoid introducing bubbles in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5.2.1.4</w:t>
        <w:tab/>
        <w:t xml:space="preserve">Prepare the sample by diluting 1/1000 in deionized water from the concentration used in DLS size measurement. Prepare at least 1 mL and load it into a 1 mL syringe, avoiding introducing bubbles.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5.2.1.5</w:t>
        <w:tab/>
        <w:t xml:space="preserve">Load the samples into the chamber using a syringe. Then, plug the laser module into the NTA big chamber.</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Big chamber denotes the space where the chamber is placed for the measurement.</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Image optimization</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5.2.2.1</w:t>
        <w:tab/>
        <w:t xml:space="preserve">First, in the </w:t>
      </w:r>
      <w:r>
        <w:rPr>
          <w:rFonts w:ascii="Calibri" w:hAnsi="Calibri" w:cs="Calibri" w:eastAsia="Calibri"/>
          <w:b/>
          <w:color w:val="auto"/>
          <w:spacing w:val="0"/>
          <w:position w:val="0"/>
          <w:sz w:val="24"/>
          <w:shd w:fill="auto" w:val="clear"/>
        </w:rPr>
        <w:t xml:space="preserve">Hardware</w:t>
      </w:r>
      <w:r>
        <w:rPr>
          <w:rFonts w:ascii="Calibri" w:hAnsi="Calibri" w:cs="Calibri" w:eastAsia="Calibri"/>
          <w:color w:val="auto"/>
          <w:spacing w:val="0"/>
          <w:position w:val="0"/>
          <w:sz w:val="24"/>
          <w:shd w:fill="auto" w:val="clear"/>
        </w:rPr>
        <w:t xml:space="preserve">, check whether the </w:t>
      </w:r>
      <w:r>
        <w:rPr>
          <w:rFonts w:ascii="Calibri" w:hAnsi="Calibri" w:cs="Calibri" w:eastAsia="Calibri"/>
          <w:b/>
          <w:color w:val="auto"/>
          <w:spacing w:val="0"/>
          <w:position w:val="0"/>
          <w:sz w:val="24"/>
          <w:shd w:fill="auto" w:val="clear"/>
        </w:rPr>
        <w:t xml:space="preserve">Camera</w:t>
      </w:r>
      <w:r>
        <w:rPr>
          <w:rFonts w:ascii="Calibri" w:hAnsi="Calibri" w:cs="Calibri" w:eastAsia="Calibri"/>
          <w:color w:val="auto"/>
          <w:spacing w:val="0"/>
          <w:position w:val="0"/>
          <w:sz w:val="24"/>
          <w:shd w:fill="auto" w:val="clear"/>
        </w:rPr>
        <w:t xml:space="preserve"> and the proper laser are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there is only one camera and the Blue Laser 488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 Start with the camera level at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Start Camera</w:t>
      </w:r>
      <w:r>
        <w:rPr>
          <w:rFonts w:ascii="Calibri" w:hAnsi="Calibri" w:cs="Calibri" w:eastAsia="Calibri"/>
          <w:color w:val="auto"/>
          <w:spacing w:val="0"/>
          <w:position w:val="0"/>
          <w:sz w:val="24"/>
          <w:shd w:fill="auto" w:val="clear"/>
        </w:rPr>
        <w:t xml:space="preserve"> on the Capture window.</w:t>
      </w: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0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adjust the following parameters. </w:t>
      </w:r>
      <w:r>
        <w:rPr>
          <w:rFonts w:ascii="Calibri" w:hAnsi="Calibri" w:cs="Calibri" w:eastAsia="Calibri"/>
          <w:b/>
          <w:color w:val="auto"/>
          <w:spacing w:val="0"/>
          <w:position w:val="0"/>
          <w:sz w:val="24"/>
          <w:shd w:fill="auto" w:val="clear"/>
        </w:rPr>
        <w:t xml:space="preserve">Beam position</w:t>
      </w:r>
      <w:r>
        <w:rPr>
          <w:rFonts w:ascii="Calibri" w:hAnsi="Calibri" w:cs="Calibri" w:eastAsia="Calibri"/>
          <w:color w:val="auto"/>
          <w:spacing w:val="0"/>
          <w:position w:val="0"/>
          <w:sz w:val="24"/>
          <w:shd w:fill="auto" w:val="clear"/>
        </w:rPr>
        <w:t xml:space="preserve"> (it can be moved up and down on the screen). </w:t>
      </w:r>
      <w:r>
        <w:rPr>
          <w:rFonts w:ascii="Calibri" w:hAnsi="Calibri" w:cs="Calibri" w:eastAsia="Calibri"/>
          <w:b/>
          <w:color w:val="auto"/>
          <w:spacing w:val="0"/>
          <w:position w:val="0"/>
          <w:sz w:val="24"/>
          <w:shd w:fill="auto" w:val="clear"/>
        </w:rPr>
        <w:t xml:space="preserve">Camera Level</w:t>
      </w:r>
      <w:r>
        <w:rPr>
          <w:rFonts w:ascii="Calibri" w:hAnsi="Calibri" w:cs="Calibri" w:eastAsia="Calibri"/>
          <w:color w:val="auto"/>
          <w:spacing w:val="0"/>
          <w:position w:val="0"/>
          <w:sz w:val="24"/>
          <w:shd w:fill="auto" w:val="clear"/>
        </w:rPr>
        <w:t xml:space="preserve">: avoid oversaturated pixels. </w:t>
      </w:r>
      <w:r>
        <w:rPr>
          <w:rFonts w:ascii="Calibri" w:hAnsi="Calibri" w:cs="Calibri" w:eastAsia="Calibri"/>
          <w:b/>
          <w:color w:val="auto"/>
          <w:spacing w:val="0"/>
          <w:position w:val="0"/>
          <w:sz w:val="24"/>
          <w:shd w:fill="auto" w:val="clear"/>
        </w:rPr>
        <w:t xml:space="preserve">Focus (lateral wheel)</w:t>
      </w:r>
      <w:r>
        <w:rPr>
          <w:rFonts w:ascii="Calibri" w:hAnsi="Calibri" w:cs="Calibri" w:eastAsia="Calibri"/>
          <w:color w:val="auto"/>
          <w:spacing w:val="0"/>
          <w:position w:val="0"/>
          <w:sz w:val="24"/>
          <w:shd w:fill="auto" w:val="clear"/>
        </w:rPr>
        <w:t xml:space="preserve">: try to focus as better as possible. It is better to have particles with a halo instead of unfocused particles. Concentration: Adjust the concentration to have between 10 to 100 particles per field.</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567"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Video recording</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5.2.3.1</w:t>
        <w:tab/>
        <w:t xml:space="preserve">In the software, go to the </w:t>
      </w:r>
      <w:r>
        <w:rPr>
          <w:rFonts w:ascii="Calibri" w:hAnsi="Calibri" w:cs="Calibri" w:eastAsia="Calibri"/>
          <w:b/>
          <w:color w:val="auto"/>
          <w:spacing w:val="0"/>
          <w:position w:val="0"/>
          <w:sz w:val="24"/>
          <w:shd w:fill="auto" w:val="clear"/>
        </w:rPr>
        <w:t xml:space="preserve">Measurement Selection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SOP window (down left) and select </w:t>
      </w:r>
      <w:r>
        <w:rPr>
          <w:rFonts w:ascii="Calibri" w:hAnsi="Calibri" w:cs="Calibri" w:eastAsia="Calibri"/>
          <w:b/>
          <w:color w:val="auto"/>
          <w:spacing w:val="0"/>
          <w:position w:val="0"/>
          <w:sz w:val="24"/>
          <w:shd w:fill="auto" w:val="clear"/>
        </w:rPr>
        <w:t xml:space="preserve">Standard Measurement</w:t>
      </w:r>
      <w:r>
        <w:rPr>
          <w:rFonts w:ascii="Calibri" w:hAnsi="Calibri" w:cs="Calibri" w:eastAsia="Calibri"/>
          <w:color w:val="auto"/>
          <w:spacing w:val="0"/>
          <w:position w:val="0"/>
          <w:sz w:val="24"/>
          <w:shd w:fill="auto" w:val="clear"/>
        </w:rPr>
        <w:t xml:space="preserve">.</w:t>
      </w:r>
    </w:p>
    <w:p>
      <w:pPr>
        <w:tabs>
          <w:tab w:val="left" w:pos="1701"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01"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Program to perform three measures of 30 s each (to enable the software to perform mean and standard deviation calculations). Provide a name and a folder path (on Base filename) to save the records of the sample. When the SOP parameters are correctly set up, press </w:t>
      </w:r>
      <w:r>
        <w:rPr>
          <w:rFonts w:ascii="Calibri" w:hAnsi="Calibri" w:cs="Calibri" w:eastAsia="Calibri"/>
          <w:b/>
          <w:color w:val="auto"/>
          <w:spacing w:val="0"/>
          <w:position w:val="0"/>
          <w:sz w:val="24"/>
          <w:shd w:fill="auto" w:val="clear"/>
        </w:rPr>
        <w:t xml:space="preserve">Create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Run Script</w:t>
      </w:r>
      <w:r>
        <w:rPr>
          <w:rFonts w:ascii="Calibri" w:hAnsi="Calibri" w:cs="Calibri" w:eastAsia="Calibri"/>
          <w:color w:val="auto"/>
          <w:spacing w:val="0"/>
          <w:position w:val="0"/>
          <w:sz w:val="24"/>
          <w:shd w:fill="auto" w:val="clear"/>
        </w:rPr>
        <w:t xml:space="preserve">. Once the first replicate is measured, the program will ask to add a new sample. Then, another fraction of the sample must be introduced in the chamber by pushing the syringe's plunger. Finally, repeat a third time to analyze the third replicate.</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Video processing</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5.2.4.1</w:t>
        <w:tab/>
        <w:t xml:space="preserve">Readjust the </w:t>
      </w:r>
      <w:r>
        <w:rPr>
          <w:rFonts w:ascii="Calibri" w:hAnsi="Calibri" w:cs="Calibri" w:eastAsia="Calibri"/>
          <w:b/>
          <w:color w:val="auto"/>
          <w:spacing w:val="0"/>
          <w:position w:val="0"/>
          <w:sz w:val="24"/>
          <w:shd w:fill="auto" w:val="clear"/>
        </w:rPr>
        <w:t xml:space="preserve">Screen Gain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Detection Threshold</w:t>
      </w:r>
      <w:r>
        <w:rPr>
          <w:rFonts w:ascii="Calibri" w:hAnsi="Calibri" w:cs="Calibri" w:eastAsia="Calibri"/>
          <w:color w:val="auto"/>
          <w:spacing w:val="0"/>
          <w:position w:val="0"/>
          <w:sz w:val="24"/>
          <w:shd w:fill="auto" w:val="clear"/>
        </w:rPr>
        <w:t xml:space="preserve"> once the three measures are finished to analyze the measured particles. At this moment, around 100 particles should appear in each frame to perform the analysis (high red crosses and low blue crosses are expected).</w:t>
      </w: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5.2.4.2</w:t>
        <w:tab/>
        <w:t xml:space="preserve">Export the results in a pdf file after the analysis is completed. In addition, it is possible to export as videos and excel files.</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0" w:leader="none"/>
        </w:tabs>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Cleaning the NTA</w:t>
      </w:r>
    </w:p>
    <w:p>
      <w:pPr>
        <w:tabs>
          <w:tab w:val="left" w:pos="56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Close all the opened measurements before studying the following sample; since the generated files are enormous and depending on the computer, it isn't easy to maintain more than one open.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5.2.5.1</w:t>
        <w:tab/>
        <w:t xml:space="preserve">Clean the NTA chamber by repeatedly flushing water before performing the subsequent measurement until no particles are observed; subsequently, flush the buffer used (PBS) to continue with the measures.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5.2.5.2</w:t>
        <w:tab/>
        <w:t xml:space="preserve">Flush air inside the chamber and dry it with microscopic grade paper once the last measurement of the day is completed.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5.2.5.3</w:t>
        <w:tab/>
        <w:t xml:space="preserve">Characterize the size and shape by Transmission Electronic Microscopy (TEM). Prepare the samples. 30 &amp;#181;L of the final volume is enough for TEM characterization.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fresh and lyophilized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resuspension- nanoparticles can be measured.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5.2.5.4</w:t>
        <w:tab/>
        <w:t xml:space="preserve">Drop 10 &amp;#181;L of sample on a carbon-coated copper grid. Let it dry for 10 min. Remove the excess liquid, if necessary, by softly tapping on filter paper.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5.2.5.5</w:t>
        <w:tab/>
        <w:t xml:space="preserve">Drop 10 &amp;#181;L of uranyl acetate (2% w/v) solution for negative staining. Let it dry for 1 min. Remove the liquid excess, if necessary, by softly tapping on filter paper.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5.2.5.6</w:t>
        <w:tab/>
        <w:t xml:space="preserve">Introduce the sample in the microscope and scan (voltage operation 80 kV).</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Appropriate software can be used for further analysis of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Encapsulation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Prepare the nanoparticles at the desired concentration and freeze and dry them. Then, resuspend the nanoparticles and dilute them at a final concentration of 6 &amp;#181;g/mL.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5.3.1.2</w:t>
        <w:tab/>
        <w:t xml:space="preserve">Prepare 1x TE buffer from the 20x stock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Vt (Total volume) = (number of samples x 100 &amp;#181;L x 4) (number of samples x 290 &amp;#181;L) + 2 mL.</w:t>
      </w:r>
    </w:p>
    <w:p>
      <w:pPr>
        <w:tabs>
          <w:tab w:val="left" w:pos="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5.3.1.3</w:t>
        <w:tab/>
        <w:t xml:space="preserve">Prepare TE buffer with 3 &amp;#181;g/&amp;#181;L of Heparin from the stock of 100 &amp;#181;g/&amp;#181;L.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Vt = Number of samples x 50 &amp;#181;L x 2.</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5.3.1.4</w:t>
        <w:tab/>
        <w:t xml:space="preserve">Prepare the standards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5.3.1.5</w:t>
        <w:tab/>
        <w:t xml:space="preserve">Prepare an RNA standard ranging from 0.2 &amp;#181;g/mL to 0.025 &amp;#181;g/mL in 1x Tris-EDTA (TE) buffer (</w:t>
      </w:r>
      <w:r>
        <w:rPr>
          <w:rFonts w:ascii="Calibri" w:hAnsi="Calibri" w:cs="Calibri" w:eastAsia="Calibri"/>
          <w:b/>
          <w:color w:val="auto"/>
          <w:spacing w:val="0"/>
          <w:position w:val="0"/>
          <w:sz w:val="24"/>
          <w:shd w:fill="auto" w:val="clear"/>
        </w:rPr>
        <w:t xml:space="preserve">Table S1A</w:t>
      </w:r>
      <w:r>
        <w:rPr>
          <w:rFonts w:ascii="Calibri" w:hAnsi="Calibri" w:cs="Calibri" w:eastAsia="Calibri"/>
          <w:color w:val="auto"/>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mRNA in the RNA standard in case that differs from the Ribosomal RNA.</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5.3.1.6</w:t>
        <w:tab/>
        <w:t xml:space="preserve">Prepare RNA:pBAE standard with Heparin (</w:t>
      </w:r>
      <w:r>
        <w:rPr>
          <w:rFonts w:ascii="Calibri" w:hAnsi="Calibri" w:cs="Calibri" w:eastAsia="Calibri"/>
          <w:b/>
          <w:color w:val="auto"/>
          <w:spacing w:val="0"/>
          <w:position w:val="0"/>
          <w:sz w:val="24"/>
          <w:shd w:fill="auto" w:val="clear"/>
        </w:rPr>
        <w:t xml:space="preserve">Table S1B</w:t>
      </w:r>
      <w:r>
        <w:rPr>
          <w:rFonts w:ascii="Calibri" w:hAnsi="Calibri" w:cs="Calibri" w:eastAsia="Calibri"/>
          <w:color w:val="auto"/>
          <w:spacing w:val="0"/>
          <w:position w:val="0"/>
          <w:sz w:val="24"/>
          <w:shd w:fill="auto" w:val="clear"/>
        </w:rPr>
        <w:t xml:space="preserve">). Prepare Heparin standard (</w:t>
      </w:r>
      <w:r>
        <w:rPr>
          <w:rFonts w:ascii="Calibri" w:hAnsi="Calibri" w:cs="Calibri" w:eastAsia="Calibri"/>
          <w:b/>
          <w:color w:val="auto"/>
          <w:spacing w:val="0"/>
          <w:position w:val="0"/>
          <w:sz w:val="24"/>
          <w:shd w:fill="auto" w:val="clear"/>
        </w:rPr>
        <w:t xml:space="preserve">Table S1C</w:t>
      </w:r>
      <w:r>
        <w:rPr>
          <w:rFonts w:ascii="Calibri" w:hAnsi="Calibri" w:cs="Calibri" w:eastAsia="Calibri"/>
          <w:color w:val="auto"/>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w:t>
        <w:tab/>
        <w:t xml:space="preserve">Prepare a 96-well plate as follows.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5.3.1.7.1</w:t>
        <w:tab/>
        <w:t xml:space="preserve">Load 295 &amp;#181;L of TE buffer in the first lane of a 96-well plate (as many wells as samples to analyze). Then, load 50 &amp;#181;L of 1x TE buffer into lanes B and C (duplicates for each sample).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5.3.1.7.2</w:t>
        <w:tab/>
        <w:t xml:space="preserve">Load 50 &amp;#181;L of 1x TBE buffer with 3 &amp;#181;g/&amp;#181;L of Heparin into lanes D and E (duplicates for each sample). Next, load 100 &amp;#181;L of each standard in lanes F, G, and H (duplicates for each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5.3.1.7.3</w:t>
        <w:tab/>
        <w:t xml:space="preserve">Load 5 &amp;#181;L of each sample in lane A (concentration in each well is 0.1 &amp;#181;g/mL). Mix properly by pipetting and load 50 &amp;#181;L of each sample on the four wells below (two of them containing 50 &amp;#181;L of buffer 1x TE and two more containing 1x TE buffer with 3 &amp;#181;g/&amp;#181;L of Heparin).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5.3.1.8</w:t>
        <w:tab/>
        <w:t xml:space="preserve">Incubate the sample for 30 min at 37 &amp;#176;C. Prepare RiboGreen reagent as per the manufacturer’s protocol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1x TE buffer.</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Dilute 1:200 and vortex. Protect from light. Vt = Number of full wells x 100 &amp;#181;L.</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5.3.1.9</w:t>
        <w:tab/>
        <w:t xml:space="preserve">Load 100 &amp;#181;L of RiboGreen solution into each well. Detect fluorescence using the microplate reader with an excitation wavelength of 500 nm and an emission wavelength of 525 nm.</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Results analysis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5.3.1.1.</w:t>
        <w:tab/>
        <w:t xml:space="preserve">Prepare the three calibration curves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Ribosomal RNA standard. Interpolate in this calibration curve the samples that do not contain Heparin. Second, mRNA:pBAE with Heparin. Interpolate in this calibration curve the sample that has Heparin. Third, Heparin. Used to assure the working concentration is in the linear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w:t>
        <w:tab/>
        <w:t xml:space="preserve">Calculate encapsulation efficiency (EE%)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Fluorescence microscopy for qualitative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Place the 96-well plate onto the microscope after 24 h of transfection. Start visualizing cells with the 10x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HeLa cells are used in this case. Cells are localized using the transmission mode (bright field), and the focus must be adjusted at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6.1.1.1 First, apply a white balance to reference the software about the background of the samples. Then, acquire an image to overlay it with the fluorescence image during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Change the microscope mode to reflection mode (fluorescence) and move the filter wheel to the blue laser (488 nm) to visualize eGFP.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the Exposure time and Gain must be adjusted. Gain must be adjusted in values between 3 and 5 to avoid artifacts and excess on background signal. The adjustment of the exposure time depends on the transfection efficiency (from ms to 1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Acquire images for all the conditions or wells employing the same exposure time to compare all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Flow cytometry (FC) for quantitative assessment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Use a multichannel pipette to prepare the 96-well plate for the flow cytometry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working with semi-adherent cells, such as in the JAWSII cell line, recover all the media volume and store it into another 96-well plate. Do not aspire to this media since it might contain a significant number of transfected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Clean the cells (HeLa cells are used here) with 100 &amp;#181;L/well of 1x PBS and aspire it. Next, add 25 &amp;#181;L/well of trypsin and incubate it at 37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Once the cells are detached, add previously recovered media to stop the trypsin action and fix the cells, adding 31.25 &amp;#181;L/well</w:t>
      </w:r>
      <w:r>
        <w:rPr>
          <w:rFonts w:ascii="Calibri" w:hAnsi="Calibri" w:cs="Calibri" w:eastAsia="Calibri"/>
          <w:color w:val="000000"/>
          <w:spacing w:val="0"/>
          <w:position w:val="0"/>
          <w:sz w:val="24"/>
          <w:shd w:fill="FFFF00" w:val="clear"/>
        </w:rPr>
        <w:t xml:space="preserve"> of formalin 10% for 20 min (final concentration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At this point, </w:t>
      </w:r>
      <w:r>
        <w:rPr>
          <w:rFonts w:ascii="Calibri" w:hAnsi="Calibri" w:cs="Calibri" w:eastAsia="Calibri"/>
          <w:color w:val="auto"/>
          <w:spacing w:val="0"/>
          <w:position w:val="0"/>
          <w:sz w:val="24"/>
          <w:shd w:fill="auto" w:val="clear"/>
        </w:rPr>
        <w:t xml:space="preserve">it is crucial to visualize the state of the cells by microscopy to ensure the detachment of the cells. It is highly recommended to pipette up and down several times to help the cells detach and avoid their agglomeration. This will produce a reliable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Turn on the flow cytometer and the software. In the software, set up the proper conditions for the experiment (type of plate, sample volume, and other parameters such as shaking, rinsing between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For step 6.2.5, the flow rate should be 120 &amp;#181;L/min. Mix one cycle every 1 min and rinse one cycle every one well. Mixing is essential to maintain the cells dispersed in the media and permit a better analysis of individual cells. In addition, rinsing is necessary to clean the microfluidics of the cytometer between samples. Finally, check whether there are enough buffers and whether all components are correctly connected.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Set up the appropriate parameters to quantify the percentage of positively transfected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6.2.5.1</w:t>
        <w:tab/>
        <w:t xml:space="preserve">First, view the flow data on (Forward scattered light) FSC versus SCC (Side scattered light) scatter plot to distinguish the cells from the debris. Then, another scatter plot comparing the amplitude (FSC-A) versus height (FSC-H) is plotted to gate and discriminate individual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untreated population allows to gate the populations corresponding to positively transfected cells. Then, quantification of the positively transfected cells is performed on the proper channel on a histogram plot. Therefore, the positively transfected cells must be represented as a continuum of events on the histogram.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functionality tests: capacity to activate model immune cells by using ovalbumin (OVA) as antigenic model mRNA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Plate 10,000 cells/well (JAWSII cells are used here) in a 96-well plate the day before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 as many wells as required to have triplicates for each condition. Let the cells attach to the plate at least for 12 h (an overnight incubation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Prepare pBAEs NPs as described in the NOTE below to transfect 0.6 &amp;#181;g mRNA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 positive control, transfect the cells using a transfection reagent. Here, we used 0.1 &amp;#181;g mRNA per well and 0.25 &amp;#181;L of the transfection reagent per well. mRNA codifying for OVA was purchased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It is polyadenylated, </w:t>
      </w:r>
      <w:r>
        <w:rPr>
          <w:rFonts w:ascii="Calibri" w:hAnsi="Calibri" w:cs="Calibri" w:eastAsia="Calibri"/>
          <w:color w:val="020202"/>
          <w:spacing w:val="0"/>
          <w:position w:val="0"/>
          <w:sz w:val="24"/>
          <w:shd w:fill="FFFFFF" w:val="clear"/>
        </w:rPr>
        <w:t xml:space="preserve">modified with 5-methoxyuridine, and optimized for mammalian systems, </w:t>
      </w:r>
      <w:r>
        <w:rPr>
          <w:rFonts w:ascii="Calibri" w:hAnsi="Calibri" w:cs="Calibri" w:eastAsia="Calibri"/>
          <w:color w:val="000000"/>
          <w:spacing w:val="0"/>
          <w:position w:val="0"/>
          <w:sz w:val="24"/>
          <w:shd w:fill="auto" w:val="clear"/>
        </w:rPr>
        <w:t xml:space="preserve">and is protected through an end-capping with Cap1 structure, a proprietary method from the supplier.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r>
      <w:r>
        <w:rPr>
          <w:rFonts w:ascii="Calibri" w:hAnsi="Calibri" w:cs="Calibri" w:eastAsia="Calibri"/>
          <w:color w:val="000000"/>
          <w:spacing w:val="0"/>
          <w:position w:val="0"/>
          <w:sz w:val="24"/>
          <w:shd w:fill="FFFF00" w:val="clear"/>
        </w:rPr>
        <w:t xml:space="preserve">Incubate the 96-well plate for 24 h in a dry air incubator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time, do not aspire the media since it might contain a certain number of cells. Recover the cells and save them in another well or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Wash the cells remaining on the well with 25 &amp;#181;L of 1x PBS. Next, aspire it and add 25 &amp;#181;L of trypsin and incubate the plate for 5 min at 37 &amp;#176;C to detach the cells. Stop the trypsin reaction by adding the previously recovered media onto the correspondent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Centrifuge the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Aspire the media. Add 50 &amp;#181;L/well of a 1x PBS and 2.5% of formalin. Incubate it at 4 &amp;#176;C for 20 min to fix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Repeat steps 7.5 and 7.5.1. Then, add 50 &amp;#181;L/well of 1x PBS and 3% BSA (Blocking buffer) and incubate for 30 min at 4 &amp;#176;C. Again, repeat steps 7.5 and 7.5.1, and then add 50 &amp;#181;L/well of the primary antibody (mouse &amp;#945;-OVA) in 1x PBS and 3% BSA and incubate for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Repeat steps 7.5 and 7.5.1, and then wash the cells with 50 &amp;#181;L/well of 1x PBS. Aspire media, and then add secondary antibodies solution (&amp;#945;-mouse-AlexaFluor488/PerCP and Cy5.5-CD11b/APC-CD86) in 1x PBS and 3% BSA. Incubate it for 1 h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w:t>
        <w:tab/>
        <w:t xml:space="preserve">Centrifuge the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Then, wash the cells with 50 &amp;#181;L/well of 1x PBS. Next, centrifuge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aspire, and then resuspend the cells in 100 &amp;#181;L/well of 1x PBS and 2.5% Formalin.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tab/>
        <w:t xml:space="preserve">Analyze it by flow cytometry, as described above (step 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Polymer synthesis and characterization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OM-pBAE synthesis procedure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given in</w:t>
      </w:r>
      <w:r>
        <w:rPr>
          <w:rFonts w:ascii="Calibri" w:hAnsi="Calibri" w:cs="Calibri" w:eastAsia="Calibri"/>
          <w:b/>
          <w:color w:val="000000"/>
          <w:spacing w:val="0"/>
          <w:position w:val="0"/>
          <w:sz w:val="24"/>
          <w:shd w:fill="auto" w:val="clear"/>
        </w:rPr>
        <w:t xml:space="preserve"> Figure 2</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first step to obtain the OM-pBAE is to synthesize the C6-pBAE by adding the amines (</w:t>
      </w:r>
      <w:r>
        <w:rPr>
          <w:rFonts w:ascii="Calibri" w:hAnsi="Calibri" w:cs="Calibri" w:eastAsia="Calibri"/>
          <w:color w:val="auto"/>
          <w:spacing w:val="0"/>
          <w:position w:val="0"/>
          <w:sz w:val="24"/>
          <w:shd w:fill="auto" w:val="clear"/>
        </w:rPr>
        <w:t xml:space="preserve">1-hexylamine and 5-amino-1-pentanol, ratio 1:1</w:t>
      </w:r>
      <w:r>
        <w:rPr>
          <w:rFonts w:ascii="Calibri" w:hAnsi="Calibri" w:cs="Calibri" w:eastAsia="Calibri"/>
          <w:color w:val="000000"/>
          <w:spacing w:val="0"/>
          <w:position w:val="0"/>
          <w:sz w:val="24"/>
          <w:shd w:fill="auto" w:val="clear"/>
        </w:rPr>
        <w:t xml:space="preserve">) to the diacrylate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1,4-butanediol diacrylate</w:t>
      </w:r>
      <w:r>
        <w:rPr>
          <w:rFonts w:ascii="Calibri" w:hAnsi="Calibri" w:cs="Calibri" w:eastAsia="Calibri"/>
          <w:color w:val="auto"/>
          <w:spacing w:val="0"/>
          <w:position w:val="0"/>
          <w:sz w:val="24"/>
          <w:shd w:fill="auto" w:val="clear"/>
        </w:rPr>
        <w:t xml:space="preserve">). This reaction is carried out at 90 &amp;#176;C for 20 h and with constant stirring. </w:t>
      </w:r>
      <w:r>
        <w:rPr>
          <w:rFonts w:ascii="Calibri" w:hAnsi="Calibri" w:cs="Calibri" w:eastAsia="Calibri"/>
          <w:color w:val="000000"/>
          <w:spacing w:val="0"/>
          <w:position w:val="0"/>
          <w:sz w:val="24"/>
          <w:shd w:fill="auto" w:val="clear"/>
        </w:rPr>
        <w:t xml:space="preserve">Afterward, a solution of oligopeptides is added to a solution of C6 polymer obtained from the previous reaction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Finally, the synthesis is carried out using DMSO as a solvent at 25 &amp;#176;C with continuous stirring for 20 h.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shows the structure of the OM-pBAE, which is the resulting product of polymerization. The resulting polymers are characterized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(see </w:t>
      </w:r>
      <w:r>
        <w:rPr>
          <w:rFonts w:ascii="Calibri" w:hAnsi="Calibri" w:cs="Calibri" w:eastAsia="Calibri"/>
          <w:b/>
          <w:color w:val="000000"/>
          <w:spacing w:val="0"/>
          <w:position w:val="0"/>
          <w:sz w:val="24"/>
          <w:shd w:fill="auto" w:val="clear"/>
        </w:rPr>
        <w:t xml:space="preserve">Supplementary Figure S2</w:t>
      </w:r>
      <w:r>
        <w:rPr>
          <w:rFonts w:ascii="Calibri" w:hAnsi="Calibri" w:cs="Calibri" w:eastAsia="Calibri"/>
          <w:color w:val="000000"/>
          <w:spacing w:val="0"/>
          <w:position w:val="0"/>
          <w:sz w:val="24"/>
          <w:shd w:fill="auto" w:val="clear"/>
        </w:rPr>
        <w:t xml:space="preserve">). In the characterization, a positive result is the one with several monomer units (n + m in the figures) comprised between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distributed half one unit type and half the other; while any other number outside this range is a negative result.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Nanoparticle synthesis and physicochemical characterization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the results of the physicochemical characterization of the GFP mRNA encapsulating nanoparticles as a proof of concept. It was previously demonstrated that size and surface charge do not show significant differences regardless of the mRNA type encapsulated</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Characterization has been performed both in freshly prepared and lyophilized nanoparticles to prove the stability of their physicochemical properties and to demonstrate that, as previously published, the freeze-drying process was adjusted to these formulations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hydrodynamic radius of the polyplexes is considered correct when it ranges around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nm. Besides, the PDI must be constant, approximately 0.2, but it is accepted up to 0.3. Therefore, neither size nor PDI showed significant differences before and after lyophilization, as shown here using representative results. Also, nanoparticle sizing was performed with NTA, to confirm the previously obtained results. Any value outside the ranges specified above is considered a negative result, and particles should be discarded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physicochemical characterization of this type of sample, it is convenient to compare the results obtained by DLS with the results obtained by NTA. Both techniques determine the hydrodynamic radius of the particles by measuring the diffusion coefficient. The number of nanoparticles counted per frame in NTA is between 80 and 100 to accurately track the particles. Surface charge was also characterized to ensure the positive charge of the nanoparticles, facilitating electrostatic interaction with the cell membrane. Finally, the morphology of the polyplexes was characterized by Transmission Electronic Microscopy (TEM).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confirms the formation of spherical and monodisperse nanoparticles of an approximate size of 50 nm diameter. Smaller diameters were obtained by analyzing TEM images as both NTA and DLS measure the hydrodynamic diameters. Although a smaller size is always expected when performing electron microscopy measurements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compared to scattering measurements, it is essential to highlight here that the difference is almost 100 nm, which is usually not expected. This is attributed to the high hygroscopic character of these nanoparticles, given by both the encapsulated mRNA and the end terminal oligopeptides composing the polymer.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mRNA encapsulation efficiency determination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parameter to measure is the ability of the nanoparticles to encapsulate the mRNA, which is the active principle and needs to be encapsulated to achieve its protection from nucelases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protocol has been developed to analyze the encapsulation efficiency (EE; in %) of nucleic acid entrapment following the supplier’s instructions. The obtained value gives an idea about the nucleic acid percentage that is successfully entrapped into the nanoparticles. </w:t>
      </w:r>
      <w:r>
        <w:rPr>
          <w:rFonts w:ascii="Calibri" w:hAnsi="Calibri" w:cs="Calibri" w:eastAsia="Calibri"/>
          <w:color w:val="auto"/>
          <w:spacing w:val="0"/>
          <w:position w:val="0"/>
          <w:sz w:val="24"/>
          <w:shd w:fill="auto" w:val="clear"/>
        </w:rPr>
        <w:t xml:space="preserve">RiboGreen dye, a fluorescent nucleic acid stain, is used for this purpose. The protocol consists of quantifying any RNA that remains accessible to the fluorescent dye. To quantify the total RNA, the nanoparticles need to be disassembled, and Heparin is used for this purpose.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shows the encapsulation efficiency (EE%) of the OM-pBAE polyplexes encapsulating both GFP and OVA mRNA, as proof of concept. RiboGreen fluorescence assay allows calculating the amount of mRNA entrapped in the nanoparticles after disassembly by heparin addition to release their content. The efficiency values obtained must be higher than 80% and, as demonstrated here, do not show significant differences depending on the type of mRNA. Lower encapsulation efficiency values represent a negative result and constitute a signal for discarding these formulations. These results confirm the high encapsulation capacity of the mRNA of OM-pBAE, its versatility, and its promising application in gene delivery.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repXative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essential to determine the capacity of pBAEs polyplexes. First, to transfect and, second, to activate immune cells</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Transfection efficiency is assessed by two different techniques, using eGFP as the reporter mRNA: fluorescence microscopy to visually determine the reporter protein and flow cytometry expression to quantify the transfection efficiency. </w:t>
      </w:r>
      <w:r>
        <w:rPr>
          <w:rFonts w:ascii="Calibri" w:hAnsi="Calibri" w:cs="Calibri" w:eastAsia="Calibri"/>
          <w:color w:val="000000"/>
          <w:spacing w:val="0"/>
          <w:position w:val="0"/>
          <w:sz w:val="24"/>
          <w:shd w:fill="auto" w:val="clear"/>
        </w:rPr>
        <w:t xml:space="preserve">A fluorescent microscope equipped with a CCD camera, 5x, 10x, 20x, and 40x objectives and UV, blue and green filter lasers were employed to qualitatively determine the expression of eGFP protein in JAWSII cell line, a murine dendritic cell line. eGFP protein has an excitation maximum at 488 nm, corresponding to blue laser, and an emission maximum around 510 nm, corresponding to green color. </w:t>
      </w:r>
      <w:r>
        <w:rPr>
          <w:rFonts w:ascii="Calibri" w:hAnsi="Calibri" w:cs="Calibri" w:eastAsia="Calibri"/>
          <w:color w:val="auto"/>
          <w:spacing w:val="0"/>
          <w:position w:val="0"/>
          <w:sz w:val="24"/>
          <w:shd w:fill="auto" w:val="clear"/>
        </w:rPr>
        <w:t xml:space="preserve">To quantify the transfection efficiency expression of the target protein, flow cytometry analysis of the transfected cells is performed after 24 h of the transfection with pBAEs polyplexes with eGFP mRNA. A fixation step is helpful when cells have been transfected with fluorescent reporters such as GFP or RFP.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shows the qualitative analysis of the eGFP expression after 24 h of transfection in JAWSII cell line. Again, compared to the negative control, the eGFP reporter signal is significatively higher. Also, </w:t>
      </w:r>
      <w:r>
        <w:rPr>
          <w:rFonts w:ascii="Calibri" w:hAnsi="Calibri" w:cs="Calibri" w:eastAsia="Calibri"/>
          <w:b/>
          <w:color w:val="000000"/>
          <w:spacing w:val="0"/>
          <w:position w:val="0"/>
          <w:sz w:val="24"/>
          <w:shd w:fill="FFFFFF" w:val="clear"/>
        </w:rPr>
        <w:t xml:space="preserve">Table 5</w:t>
      </w:r>
      <w:r>
        <w:rPr>
          <w:rFonts w:ascii="Calibri" w:hAnsi="Calibri" w:cs="Calibri" w:eastAsia="Calibri"/>
          <w:color w:val="000000"/>
          <w:spacing w:val="0"/>
          <w:position w:val="0"/>
          <w:sz w:val="24"/>
          <w:shd w:fill="FFFFFF" w:val="clear"/>
        </w:rPr>
        <w:t xml:space="preserve"> shows the transfection efficiency displayed by OM-pBAE nanoparticles in JAWSII cell line. Again, the efficiency values are comparable to positive control performed with a classical transfection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capacity of pBAEs NPs loaded with OVA mRNA to activate model immune cells has been assessed transfecting JAWSII cell line, a murine immature dendritic cell line. To determine the activation of the immune cells, two different markers: CD11b and CD86 were employed. First, select the proper fluorophores for the flow cytometer configuration. Here, PerCP-Cy5.5 (CD11b) and PE (CD86) are used. Immature and non-activated cell lines must show a CD11b-/CD86- profile, whereas activated cells must present a CD11b+/CD86+ profile. The blue laser at 488 nm is used to determine the target protein expression, and an anti-OVA antibody plus a secondary anti-mouse-Alexa488 antibody was employed.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shows the final panel employed in this experiment. </w:t>
      </w:r>
      <w:r>
        <w:rPr>
          <w:rFonts w:ascii="Calibri" w:hAnsi="Calibri" w:cs="Calibri" w:eastAsia="Calibri"/>
          <w:b/>
          <w:color w:val="000000"/>
          <w:spacing w:val="0"/>
          <w:position w:val="0"/>
          <w:sz w:val="24"/>
          <w:shd w:fill="FFFFFF" w:val="clear"/>
        </w:rPr>
        <w:t xml:space="preserve">Figure 5</w:t>
      </w:r>
      <w:r>
        <w:rPr>
          <w:rFonts w:ascii="Calibri" w:hAnsi="Calibri" w:cs="Calibri" w:eastAsia="Calibri"/>
          <w:color w:val="000000"/>
          <w:spacing w:val="0"/>
          <w:position w:val="0"/>
          <w:sz w:val="24"/>
          <w:shd w:fill="FFFFFF" w:val="clear"/>
        </w:rPr>
        <w:t xml:space="preserve"> shows the capacity of OVA mRNA-loaded OM-pBAE nanoparticles to activate DCs, which is indicative of the activation of the cellular immune response. Non-transfected cells show a low number of cells expressing </w:t>
      </w:r>
      <w:r>
        <w:rPr>
          <w:rFonts w:ascii="Calibri" w:hAnsi="Calibri" w:cs="Calibri" w:eastAsia="Calibri"/>
          <w:color w:val="000000"/>
          <w:spacing w:val="0"/>
          <w:position w:val="0"/>
          <w:sz w:val="24"/>
          <w:shd w:fill="auto" w:val="clear"/>
        </w:rPr>
        <w:t xml:space="preserve">the CD11b and CD86 membrane markers, whereas the mRNA OVA OM-pBAEs treated cells show a significatively increased expression of the CD11b and CD86 markers. This result suggests that OM-pBAE nanoparticles promote maturation. </w:t>
      </w:r>
      <w:r>
        <w:rPr>
          <w:rFonts w:ascii="Calibri" w:hAnsi="Calibri" w:cs="Calibri" w:eastAsia="Calibri"/>
          <w:color w:val="000000"/>
          <w:spacing w:val="0"/>
          <w:position w:val="0"/>
          <w:sz w:val="24"/>
          <w:shd w:fill="FFFFFF" w:val="clear"/>
        </w:rPr>
        <w:t xml:space="preserve">Altogether, these results confirm the capacity of OM-pBAEs nanoparticles to efficiently transfect dendritic cells and mediate the activation of the immune response promoting the maturation of immature DCs.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whole synthetic protocol. </w:t>
      </w:r>
      <w:r>
        <w:rPr>
          <w:rFonts w:ascii="Calibri" w:hAnsi="Calibri" w:cs="Calibri" w:eastAsia="Calibri"/>
          <w:color w:val="auto"/>
          <w:spacing w:val="0"/>
          <w:position w:val="0"/>
          <w:sz w:val="24"/>
          <w:shd w:fill="auto" w:val="clear"/>
        </w:rPr>
        <w:t xml:space="preserve">In this figure, the mRNA vaccine synthesis steps are detailed, including the critical characterization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Synthesis of C6-pBAE oligopeptide end-modified (OM-pBAE).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chemicals to perform the Michael addition.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pBAE + oligopeptide.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OM-pBAE. R can be Histidine (H) or Lysine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 images of fresh GFP mRNA encapsulating OM-pBAE nanoparticles. </w:t>
      </w:r>
      <w:r>
        <w:rPr>
          <w:rFonts w:ascii="Calibri" w:hAnsi="Calibri" w:cs="Calibri" w:eastAsia="Calibri"/>
          <w:color w:val="auto"/>
          <w:spacing w:val="0"/>
          <w:position w:val="0"/>
          <w:sz w:val="24"/>
          <w:shd w:fill="auto" w:val="clear"/>
        </w:rPr>
        <w:t xml:space="preserve">Polyplexes were negatively stained for electronic microscopy characterization. Monodisperse particles of approximately 60 nm diameter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represent two different microscopies of the same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Fluorescence microscopy imaging of JAWSII transfected cells with OM-pBAE/eGFP mRNA nanoparticles.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field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GFP fluorescence (in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Composite of the previous two images. Scale bars =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Activation of JAWSII after transfection with OM-pBAE/OVA mRNA nanoparticles. </w:t>
      </w:r>
      <w:r>
        <w:rPr>
          <w:rFonts w:ascii="Calibri" w:hAnsi="Calibri" w:cs="Calibri" w:eastAsia="Calibri"/>
          <w:color w:val="auto"/>
          <w:spacing w:val="0"/>
          <w:position w:val="0"/>
          <w:sz w:val="24"/>
          <w:shd w:fill="auto" w:val="clear"/>
        </w:rPr>
        <w:t xml:space="preserve">Negative control (CN) values correspond to the black label. Transfected cells correspond to the gray label. Bars correspond to the standard deviation (SD) of three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Parameters to create an SOP for size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Parameters to create an SOP for zeta potential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Physicochemical characterization of mRNA encapsulating OM-pBAE nanoparticles. </w:t>
      </w:r>
      <w:r>
        <w:rPr>
          <w:rFonts w:ascii="Calibri" w:hAnsi="Calibri" w:cs="Calibri" w:eastAsia="Calibri"/>
          <w:color w:val="auto"/>
          <w:spacing w:val="0"/>
          <w:position w:val="0"/>
          <w:sz w:val="24"/>
          <w:shd w:fill="auto" w:val="clear"/>
        </w:rPr>
        <w:t xml:space="preserve">GFP mRNA encapsulating OM-pBAE polyplexes were characterized immediately after preparation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fresh- and after lyophilization process to ensure the stability of the particles. DLS and NTA sizing, and surface charge data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Encapsulation efficiency (EE%) data of mRNA encapsulating OM-pBAE nanoparticles. </w:t>
      </w:r>
      <w:r>
        <w:rPr>
          <w:rFonts w:ascii="Calibri" w:hAnsi="Calibri" w:cs="Calibri" w:eastAsia="Calibri"/>
          <w:color w:val="auto"/>
          <w:spacing w:val="0"/>
          <w:position w:val="0"/>
          <w:sz w:val="24"/>
          <w:shd w:fill="auto" w:val="clear"/>
        </w:rPr>
        <w:t xml:space="preserve">Encapsulation efficiency percentages of GFP and OVA mRNA encapsulating OM-pBAE nanoparticles. RiboGreen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fluorescence assay was performed on lyophilized samples to assess the amount of mRNA entrapped in the polyplexes.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Transfection efficiency of OM-pBAE/eGFP mRNA nanoparticles in JAWSII cell line. </w:t>
      </w:r>
      <w:r>
        <w:rPr>
          <w:rFonts w:ascii="Calibri" w:hAnsi="Calibri" w:cs="Calibri" w:eastAsia="Calibri"/>
          <w:color w:val="auto"/>
          <w:spacing w:val="0"/>
          <w:position w:val="0"/>
          <w:sz w:val="24"/>
          <w:shd w:fill="auto" w:val="clear"/>
        </w:rPr>
        <w:t xml:space="preserve">Transfection efficiency was tracked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Flow cytometry panel. </w:t>
      </w:r>
      <w:r>
        <w:rPr>
          <w:rFonts w:ascii="Calibri" w:hAnsi="Calibri" w:cs="Calibri" w:eastAsia="Calibri"/>
          <w:color w:val="auto"/>
          <w:spacing w:val="0"/>
          <w:position w:val="0"/>
          <w:sz w:val="24"/>
          <w:shd w:fill="auto" w:val="clear"/>
        </w:rPr>
        <w:t xml:space="preserve">This panel was used for flow cytometry studies to determine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functionality of the mRNA vaccine.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S1A</w:t>
      </w:r>
      <w:r>
        <w:rPr>
          <w:rFonts w:ascii="Calibri" w:hAnsi="Calibri" w:cs="Calibri" w:eastAsia="Calibri"/>
          <w:color w:val="auto"/>
          <w:spacing w:val="0"/>
          <w:position w:val="0"/>
          <w:sz w:val="24"/>
          <w:shd w:fill="auto" w:val="clear"/>
        </w:rPr>
        <w:t xml:space="preserve">: Ribosomal RNA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S1B</w:t>
      </w:r>
      <w:r>
        <w:rPr>
          <w:rFonts w:ascii="Calibri" w:hAnsi="Calibri" w:cs="Calibri" w:eastAsia="Calibri"/>
          <w:color w:val="auto"/>
          <w:spacing w:val="0"/>
          <w:position w:val="0"/>
          <w:sz w:val="24"/>
          <w:shd w:fill="auto" w:val="clear"/>
        </w:rPr>
        <w:t xml:space="preserve">: RNA:pBAE with heparin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S1C:</w:t>
      </w:r>
      <w:r>
        <w:rPr>
          <w:rFonts w:ascii="Calibri" w:hAnsi="Calibri" w:cs="Calibri" w:eastAsia="Calibri"/>
          <w:color w:val="auto"/>
          <w:spacing w:val="0"/>
          <w:position w:val="0"/>
          <w:sz w:val="24"/>
          <w:shd w:fill="auto" w:val="clear"/>
        </w:rPr>
        <w:t xml:space="preserve"> Heparin standard.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H-NMR proton spectra of C6-pBAE and OM-pBAE.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1H-NMR from the C6-pBAE. Chloroform-d was used as solvent (</w:t>
      </w:r>
      <w:r>
        <w:rPr>
          <w:rFonts w:ascii="Symbol" w:hAnsi="Symbol" w:cs="Symbol" w:eastAsia="Symbol"/>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 7.25 ppm).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1H-NMR from the C6CH3. D2O was used as solvent (</w:t>
      </w:r>
      <w:r>
        <w:rPr>
          <w:rFonts w:ascii="Symbol" w:hAnsi="Symbol" w:cs="Symbol" w:eastAsia="Symbol"/>
          <w:color w:val="auto"/>
          <w:spacing w:val="0"/>
          <w:position w:val="0"/>
          <w:sz w:val="24"/>
          <w:shd w:fill="auto" w:val="clear"/>
        </w:rPr>
        <w:t xml:space="preserve">&amp;#948;</w:t>
      </w:r>
      <w:r>
        <w:rPr>
          <w:rFonts w:ascii="Calibri" w:hAnsi="Calibri" w:cs="Calibri" w:eastAsia="Calibri"/>
          <w:color w:val="auto"/>
          <w:spacing w:val="0"/>
          <w:position w:val="0"/>
          <w:sz w:val="24"/>
          <w:shd w:fill="auto" w:val="clear"/>
        </w:rPr>
        <w:t xml:space="preserve"> = 4.64 ppm).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information: </w:t>
      </w:r>
      <w:r>
        <w:rPr>
          <w:rFonts w:ascii="Calibri" w:hAnsi="Calibri" w:cs="Calibri" w:eastAsia="Calibri"/>
          <w:color w:val="auto"/>
          <w:spacing w:val="0"/>
          <w:position w:val="0"/>
          <w:sz w:val="24"/>
          <w:shd w:fill="auto" w:val="clear"/>
        </w:rPr>
        <w:t xml:space="preserve">See the Supplemental File with all Supplementary information included.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outbreak of the Covid-19 pandemic last year, the importance of vaccines in terms of infectious disease control has manifested as a critical component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Efforts from scientists worldwide have enabled the release to the market of many vaccines, and, for the first time in history, mRNA vaccines have demonstrated their previously hypothesized success. Thanks to their rapid design because of their capacity to adapt to any novel antigen within some months</w:t>
      </w:r>
      <w:r>
        <w:rPr>
          <w:rFonts w:ascii="Calibri" w:hAnsi="Calibri" w:cs="Calibri" w:eastAsia="Calibri"/>
          <w:color w:val="auto"/>
          <w:spacing w:val="0"/>
          <w:position w:val="0"/>
          <w:sz w:val="24"/>
          <w:shd w:fill="auto" w:val="clear"/>
          <w:vertAlign w:val="superscript"/>
        </w:rPr>
        <w:t xml:space="preserve">5,6,21</w:t>
      </w:r>
      <w:r>
        <w:rPr>
          <w:rFonts w:ascii="Calibri" w:hAnsi="Calibri" w:cs="Calibri" w:eastAsia="Calibri"/>
          <w:color w:val="auto"/>
          <w:spacing w:val="0"/>
          <w:position w:val="0"/>
          <w:sz w:val="24"/>
          <w:shd w:fill="auto" w:val="clear"/>
        </w:rPr>
        <w:t xml:space="preserve">. mRNA, or messenger ribonucleic acid, refers to the nucleic acids that drive protein synthesis from encoded information in the DNA. In here, for vaccination purposes, the mRNA codifies for an antigenic protein belonging to the infectious microorganism (or to a tumor antigen in case of therapeutic tumor vaccination)</w:t>
      </w:r>
      <w:r>
        <w:rPr>
          <w:rFonts w:ascii="Calibri" w:hAnsi="Calibri" w:cs="Calibri" w:eastAsia="Calibri"/>
          <w:color w:val="auto"/>
          <w:spacing w:val="0"/>
          <w:position w:val="0"/>
          <w:sz w:val="24"/>
          <w:shd w:fill="auto" w:val="clear"/>
          <w:vertAlign w:val="superscript"/>
        </w:rPr>
        <w:t xml:space="preserve">8,22</w:t>
      </w:r>
      <w:r>
        <w:rPr>
          <w:rFonts w:ascii="Calibri" w:hAnsi="Calibri" w:cs="Calibri" w:eastAsia="Calibri"/>
          <w:color w:val="auto"/>
          <w:spacing w:val="0"/>
          <w:position w:val="0"/>
          <w:sz w:val="24"/>
          <w:shd w:fill="auto" w:val="clear"/>
        </w:rPr>
        <w:t xml:space="preserve">. In this context, it is critical for the scientific community to have clear protocols for synthesizing mRNA vaccines.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idea in mind, a straightforward procedure for synthesizing mRNA vaccines based on the proprietary polymeric nanoparticles was aimed to be described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described in the protocol section, first, the polymers are synthesized using a two-step procedure based on a Michael addition of primary amines to acrylate groups to synthesize polymer backbones, followed by the addition of terminal oligopeptides to give the enhanced cationic character and capacity to escape from endosomes to the resulting polymers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auto"/>
          <w:spacing w:val="0"/>
          <w:position w:val="0"/>
          <w:sz w:val="24"/>
          <w:shd w:fill="auto" w:val="clear"/>
        </w:rPr>
        <w:t xml:space="preserve">. Then, in a further step, nanoparticles are prepared by mixing the polymers with the mRNA to achieve their electrostatic interaction to form small nanometric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synthesis of the polymers is a straightforward protocol, the same cannot be said for the nanoparticle formulation. Many collaborators worldwide have used these polymers and have found common critical steps when referring to the preparation and use of the particles. Taking into account that the synthesis is by manual mixing, the user abilities play a crucial role. The trickiest step is mixing the polymer and the mRNA, which must take place in a controlled way, as it must be done for the further precipitation step of the mixture to the water and the buffer addition. Any modification on the mechanics of mixing the two components will result in microparticles (instead of nanoparticles), which cannot be used for humans. Therefore, mixing is one of the troubleshooting steps that needs some practice to be achieved 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striking point is freeze-drying. As it is widely known, it represents one of the bottleneck steps of nanoformulations. In this specific case, it took some years to adjust all the parameters and describe a protocol that succeeded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Even having that adjusted, another critical step of the protocol is the redispersion of the formulations, which, if not performed correctly, bring nanoparticles’ aggregation and they lose their functionality. In this case, it is a must to rapidly place the formulations in a dry, slightly cold environment to avoid their uncontrolled rehydration. Due to their high hygroscopic nature, special attention must be put to rehydrate them in a controlled way by carefully pipetting up and down all the sticky powder formed by lyophilization. If the samples rehydrate in a non-controlled way, they will immediately aggregate forming a translucid to opaque dispersion.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critical steps are mentioned here, the protocol for synthesizing pBAE polyplexes is easy and rapid, which is advantageous among other synthesis methods of the gene delivery systems. Here, the specific application of mRNA vaccination has been provided in detail. However, it represents a versatile methodology that can also be applied to encapsulate other types of nucleic acids and non-vaccine use, such as in oncology and cardiovascular fields, as published previously</w:t>
      </w:r>
      <w:r>
        <w:rPr>
          <w:rFonts w:ascii="Calibri" w:hAnsi="Calibri" w:cs="Calibri" w:eastAsia="Calibri"/>
          <w:color w:val="auto"/>
          <w:spacing w:val="0"/>
          <w:position w:val="0"/>
          <w:sz w:val="24"/>
          <w:shd w:fill="auto" w:val="clear"/>
          <w:vertAlign w:val="superscript"/>
        </w:rPr>
        <w:t xml:space="preserve">13,23,24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will enable these proprietary polymers to be available to the scientific community to design novel mRNA vaccines while avoiding all this troubleshooting. These polymers are advantageous compared to other mRNA lipid formulations regarding the possibility of freeze-drying, long-term stability, and decrease of storage and distribution costs by not requiring ultra-cold temperatures. Therefore, it is expected that OM-pBAE vaccines play a vital role in the vaccination field for prophylactic and therapeutic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nothing to disclose nor any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Financial support from MINECO/FEDER (grants SAF2015-64927-C2-2-R, RTI2018-094734-B-C22, and COV20/01100) is acknowledged. CGF acknowledged her IQS PhD Fellowship.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Chumakov, K., Benn, C. S., Aaby, P., Kottilil, S., Gallo, R. Can existing live vaccines prevent COVID-19?.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368</w:t>
      </w:r>
      <w:r>
        <w:rPr>
          <w:rFonts w:ascii="Calibri" w:hAnsi="Calibri" w:cs="Calibri" w:eastAsia="Calibri"/>
          <w:color w:val="000000"/>
          <w:spacing w:val="0"/>
          <w:position w:val="0"/>
          <w:sz w:val="24"/>
          <w:shd w:fill="auto" w:val="clear"/>
        </w:rPr>
        <w:t xml:space="preserve"> (6496), 1187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Zhang, C., Maruggi, G., Shan, H., Li. J. Advances in mRNA vaccines for infectious diseases.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(MAR),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Wherry, E. J., Jaffee, E. M., Warren, N., D’Souza, G., Ribas, A,. How did we get a COVID-19 vaccine in less than 1 year?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2136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Folegatti, P.M. et al. Safety and immunogenicity of the ChAdOx1 nCoV-19 vaccine against SARS-CoV-2: a preliminary report of a phase 1/2, single-blind, randomised controlled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396</w:t>
      </w:r>
      <w:r>
        <w:rPr>
          <w:rFonts w:ascii="Calibri" w:hAnsi="Calibri" w:cs="Calibri" w:eastAsia="Calibri"/>
          <w:color w:val="000000"/>
          <w:spacing w:val="0"/>
          <w:position w:val="0"/>
          <w:sz w:val="24"/>
          <w:shd w:fill="auto" w:val="clear"/>
        </w:rPr>
        <w:t xml:space="preserve"> (10249),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Geall, A. J., Mandl, C. W., Ulmer, J. B. RNA: The new revolution in nucleic acid vaccines. </w:t>
      </w:r>
      <w:r>
        <w:rPr>
          <w:rFonts w:ascii="Calibri" w:hAnsi="Calibri" w:cs="Calibri" w:eastAsia="Calibri"/>
          <w:i/>
          <w:color w:val="000000"/>
          <w:spacing w:val="0"/>
          <w:position w:val="0"/>
          <w:sz w:val="24"/>
          <w:shd w:fill="auto" w:val="clear"/>
        </w:rPr>
        <w:t xml:space="preserve">Seminars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Ulmer, J. B., Geall, A. J. Recent innovations in mRNA vaccines. </w:t>
      </w:r>
      <w:r>
        <w:rPr>
          <w:rFonts w:ascii="Calibri" w:hAnsi="Calibri" w:cs="Calibri" w:eastAsia="Calibri"/>
          <w:i/>
          <w:color w:val="000000"/>
          <w:spacing w:val="0"/>
          <w:position w:val="0"/>
          <w:sz w:val="24"/>
          <w:shd w:fill="auto" w:val="clear"/>
        </w:rPr>
        <w:t xml:space="preserve">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Kranz, L. M. et al. Systemic RNA delivery to dendritic cells exploits antiviral defence for cancer immunotherapy.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534</w:t>
      </w:r>
      <w:r>
        <w:rPr>
          <w:rFonts w:ascii="Calibri" w:hAnsi="Calibri" w:cs="Calibri" w:eastAsia="Calibri"/>
          <w:color w:val="000000"/>
          <w:spacing w:val="0"/>
          <w:position w:val="0"/>
          <w:sz w:val="24"/>
          <w:shd w:fill="auto" w:val="clear"/>
        </w:rPr>
        <w:t xml:space="preserve"> (7607),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Milane, L., Amiji, M. Clinical approval of nanotechnology-based SARS-CoV-2 mRNA vaccines: impact on translational nanomedicine. </w:t>
      </w:r>
      <w:r>
        <w:rPr>
          <w:rFonts w:ascii="Calibri" w:hAnsi="Calibri" w:cs="Calibri" w:eastAsia="Calibri"/>
          <w:i/>
          <w:color w:val="000000"/>
          <w:spacing w:val="0"/>
          <w:position w:val="0"/>
          <w:sz w:val="24"/>
          <w:shd w:fill="auto" w:val="clear"/>
        </w:rPr>
        <w:t xml:space="preserve">Drug Delivery and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(4), 3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Green, J. J., Langer, R., Anderson, D. G. A combinatorial polymer library approach yields insight into nonviral gene delivery.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 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Guerrero-C&amp;#225;zares, H. et al. Biodegradable polymeric nanoparticles show high efficacy and specificity at DNA delivery to human glioblastoma in vitro and in vivo.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5141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Kozielski, K. L., Tzeng, S. Y., Hurtado De Mendoza, B. A., Green, J. J. Bioreducible cationic polymer-based nanoparticles for efficient and environmentally triggered cytoplasmic siRNA delivery to primary human brain cancer cells.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Segovia, N., Dosta, P., Cascante, A., Ramos, V., Borr&amp;#243;s, S. Oligopeptide-terminated poly(&amp;#946;-amino ester)s for highly efficient gene delivery and intracellular localization.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2147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Dosta, P., Segovia, N., Cascante, A., Ramos, V., Borr&amp;#243;s, S. Surface charge tunability as a powerful strategy to control electrostatic interaction for high efficiency silencing, using tailored oligopeptide- modified poly (beta-amino ester)s ( PBAEs).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Fornaguera, C. et al. mRNA delivery system for targeting antigen-presenting cells in vivo.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(17), 180033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Fornaguera, C., Castells-Sala, C., L&amp;#225;zaro, M. Á., Cascante, A., Borr&amp;#243;s S. Development of an optimized freeze-drying protocol for OM-PBAE nucleic acid polyplexes. </w:t>
      </w:r>
      <w:r>
        <w:rPr>
          <w:rFonts w:ascii="Calibri" w:hAnsi="Calibri" w:cs="Calibri" w:eastAsia="Calibri"/>
          <w:i/>
          <w:color w:val="000000"/>
          <w:spacing w:val="0"/>
          <w:position w:val="0"/>
          <w:sz w:val="24"/>
          <w:shd w:fill="auto" w:val="clear"/>
        </w:rPr>
        <w:t xml:space="preserve">International Journal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569</w:t>
      </w:r>
      <w:r>
        <w:rPr>
          <w:rFonts w:ascii="Calibri" w:hAnsi="Calibri" w:cs="Calibri" w:eastAsia="Calibri"/>
          <w:color w:val="000000"/>
          <w:spacing w:val="0"/>
          <w:position w:val="0"/>
          <w:sz w:val="24"/>
          <w:shd w:fill="auto" w:val="clear"/>
        </w:rPr>
        <w:t xml:space="preserve">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Fornaguera, C., Solans, C. Analytical methods to characterize and purify polymeric nanoparticles. </w:t>
      </w:r>
      <w:r>
        <w:rPr>
          <w:rFonts w:ascii="Calibri" w:hAnsi="Calibri" w:cs="Calibri" w:eastAsia="Calibri"/>
          <w:i/>
          <w:color w:val="auto"/>
          <w:spacing w:val="0"/>
          <w:position w:val="0"/>
          <w:sz w:val="24"/>
          <w:shd w:fill="auto" w:val="clear"/>
        </w:rPr>
        <w:t xml:space="preserve">International Journal of Polymer Science</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Fornaguera, C., Solans, C. Characterization of polymeric nanoparticle dispersions for biomedical applications: size, surface charge and s</w:t>
      </w:r>
      <w:r>
        <w:rPr>
          <w:rFonts w:ascii="Calibri" w:hAnsi="Calibri" w:cs="Calibri" w:eastAsia="Calibri"/>
          <w:i/>
          <w:color w:val="auto"/>
          <w:spacing w:val="0"/>
          <w:position w:val="0"/>
          <w:sz w:val="24"/>
          <w:shd w:fill="auto" w:val="clear"/>
        </w:rPr>
        <w:t xml:space="preserve">tability. Pharmaceutical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Sahin, U., Karik&amp;#243;, K., T&amp;#252;reci, Ö. MRNA-based therapeutics-developing a new class of drugs.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Fan, Y. N. et al. Cationic lipid-assisted nanoparticles for delivery of mRNA cancer vaccine.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3009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Le Moignic, A. et al. Preclinical evaluation of mRNA trimannosylated lipopolyplexes as therapeutic cancer vaccines targeting dendritic cells.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Banerji, A. et al. mRNA vaccines to prevent COVID-19 disease and reported allergic reactions: Current evidence and approach. </w:t>
      </w:r>
      <w:r>
        <w:rPr>
          <w:rFonts w:ascii="Calibri" w:hAnsi="Calibri" w:cs="Calibri" w:eastAsia="Calibri"/>
          <w:i/>
          <w:color w:val="auto"/>
          <w:spacing w:val="0"/>
          <w:position w:val="0"/>
          <w:sz w:val="24"/>
          <w:shd w:fill="auto" w:val="clear"/>
        </w:rPr>
        <w:t xml:space="preserve">Journal of Allergy and Clinical Immunology: In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1423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auto"/>
          <w:spacing w:val="0"/>
          <w:position w:val="0"/>
          <w:sz w:val="24"/>
          <w:shd w:fill="auto" w:val="clear"/>
        </w:rPr>
        <w:tab/>
        <w:t xml:space="preserve">Kaczmarek, J. C., Kowalski, P. S., Anderson, D. G. Advances in the delivery of RNA therapeutics: from concept to clinical reality.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Dosta, P. et al. Delivery of anti-microRNA-712 to inflamed endothelial cells using poly(&amp;#946;-amino ester) nanoparticles conjugated with VCAM-1 targeting peptide.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Segovia, N. et al. Hydrogel doped with nanoparticles for local sustained release of siRNA in breast cancer. </w:t>
      </w:r>
      <w:r>
        <w:rPr>
          <w:rFonts w:ascii="Calibri" w:hAnsi="Calibri" w:cs="Calibri" w:eastAsia="Calibri"/>
          <w:i/>
          <w:color w:val="auto"/>
          <w:spacing w:val="0"/>
          <w:position w:val="0"/>
          <w:sz w:val="24"/>
          <w:shd w:fill="auto" w:val="clear"/>
        </w:rPr>
        <w:t xml:space="preserve">Advanced Healthcare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