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Fluorescence-Activated Cell Sorting-Radioligand Treated Tissue (FACS-RTT) to Determine the Cellular Origin of Radioactive Signal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Quentin Amoss&amp;#233;</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Kelly Ceyz&amp;#233;riat</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Stergios Tsartsalis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Benjamin B Tournier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Philippe Millet</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Adult Psychiatry, Department of Psychiatry, University Hospitals of Geneva, Avenue de la Roseraie, 64, 1206 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Psychiatry, University of Geneva, 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Division of Nuclear medicine and Molecular Imaging, University Hospitals of Geneva, Avenue de la Roseraie, 64, 1206 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Division of Radiation Oncology, Department of Oncology, University Hospitals of Geneva, 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Brain Sciences, Faculty of Medicine, Imperial College London, London,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Quentin Amoss&amp;#233;</w:t>
        <w:tab/>
        <w:t xml:space="preserve">(quentin.amosse@unige.ch)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Kelly Ceyz&amp;#233;riat</w:t>
        <w:tab/>
        <w:tab/>
        <w:t xml:space="preserve">(kelly.ceyzeriat@unige.ch)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Stergios Tsartsalis</w:t>
        <w:tab/>
        <w:t xml:space="preserve">(stergios.tsartsalis@hcuge.ch)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B Tournier</w:t>
        <w:tab/>
        <w:t xml:space="preserve">(benjamin.tournier@hcuge.ch)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Millet</w:t>
        <w:tab/>
        <w:tab/>
        <w:t xml:space="preserve">(philippe.millet@hcuge.ch)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B Tournier</w:t>
        <w:tab/>
        <w:t xml:space="preserve">(benjamin.tournier@hcuge.ch)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Alzheimer’s disease, Fluorescence-Activated Cell Sorting to Radioligand Treaded Tissues, TgF344-AD, Positron Emission Tomography/Single Photon Emission Computed Tomography, TSPO,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Fluorescence-Activated Cell Sorting-Radioligand Treated Tissue (FACS-RTT) is a powerful tool to study the role of the 18 kDa translocator protein or Serotonin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-receptor expression in Alzheimer’s Disease at a cellular scale. This protocol describes the </w:t>
      </w:r>
      <w:r>
        <w:rPr>
          <w:rFonts w:ascii="Calibri" w:hAnsi="Calibri" w:cs="Calibri" w:eastAsia="Calibri"/>
          <w:i/>
          <w:color w:val="000000"/>
          <w:spacing w:val="0"/>
          <w:position w:val="0"/>
          <w:sz w:val="24"/>
          <w:shd w:fill="auto" w:val="clear"/>
        </w:rPr>
        <w:t xml:space="preserve">ex-vivo</w:t>
      </w:r>
      <w:r>
        <w:rPr>
          <w:rFonts w:ascii="Calibri" w:hAnsi="Calibri" w:cs="Calibri" w:eastAsia="Calibri"/>
          <w:color w:val="000000"/>
          <w:spacing w:val="0"/>
          <w:position w:val="0"/>
          <w:sz w:val="24"/>
          <w:shd w:fill="auto" w:val="clear"/>
        </w:rPr>
        <w:t xml:space="preserve"> application of FACS-RTT in the TgF344-AD rat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Glial cells probably have a considerable implication in the pathophysiology of neurodegenerative disorders, such as Alzheimer’s disease (AD). Their alterations are perhaps associated with a pro-inflammatory state. The TgF344-AD rat strain has been designed to express human APP and human PS1</w:t>
      </w:r>
      <w:r>
        <w:rPr>
          <w:rFonts w:ascii="Calibri" w:hAnsi="Calibri" w:cs="Calibri" w:eastAsia="Calibri"/>
          <w:color w:val="000000"/>
          <w:spacing w:val="0"/>
          <w:position w:val="0"/>
          <w:sz w:val="24"/>
          <w:shd w:fill="auto" w:val="clear"/>
          <w:vertAlign w:val="subscript"/>
        </w:rPr>
        <w:t xml:space="preserve">ΔE9 </w:t>
      </w:r>
      <w:r>
        <w:rPr>
          <w:rFonts w:ascii="Calibri" w:hAnsi="Calibri" w:cs="Calibri" w:eastAsia="Calibri"/>
          <w:color w:val="000000"/>
          <w:spacing w:val="0"/>
          <w:position w:val="0"/>
          <w:sz w:val="24"/>
          <w:shd w:fill="auto" w:val="clear"/>
        </w:rPr>
        <w:t xml:space="preserve">genes, encoding for amyloid proteins A&amp;#946;-40 and A&amp;#946;-42 and displays amyloid pathology and cognitive deficits with aging. The TgF344-AD rat model is used in this study to evaluate the cellular origin of the 18 kDa translocator protein (TSPO, a marker of glial cell activation) binding, and the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-receptor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serotonin receptor levels that are possibly disrupted in AD. The technique presented here is Fluorescence-Activated Cell Sorting to Radioligand Treated Tissue (FACS-RTT), a quantitative cell-type-specific technique complementary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PET or SPECT or </w:t>
      </w:r>
      <w:r>
        <w:rPr>
          <w:rFonts w:ascii="Calibri" w:hAnsi="Calibri" w:cs="Calibri" w:eastAsia="Calibri"/>
          <w:i/>
          <w:color w:val="000000"/>
          <w:spacing w:val="0"/>
          <w:position w:val="0"/>
          <w:sz w:val="24"/>
          <w:shd w:fill="auto" w:val="clear"/>
        </w:rPr>
        <w:t xml:space="preserve">ex vivo/in vitro </w:t>
      </w:r>
      <w:r>
        <w:rPr>
          <w:rFonts w:ascii="Calibri" w:hAnsi="Calibri" w:cs="Calibri" w:eastAsia="Calibri"/>
          <w:color w:val="000000"/>
          <w:spacing w:val="0"/>
          <w:position w:val="0"/>
          <w:sz w:val="24"/>
          <w:shd w:fill="auto" w:val="clear"/>
        </w:rPr>
        <w:t xml:space="preserve">autoradiography techniques. It quantifies the same radiolabeled tracer used prior for imaging, using a &amp;#947; counter after cytometry cell sorting. This allows determining the cellular origin of the radiolabeled protein with high cellular specificity and sensitivity. For example, studies with FACS-RTT showed that (i) the increase in TSPO binding was associated with microglia in a rat model of lipopolysaccharide (LPS)-induced neuroinflammation, (ii) an increase in TSPO binding at 12- and 18-months was associated with astrocytes first, and then microglia in the TgF344-AD rats compared to wild type (WT) rats, and (iii) the striatal density of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decreases in astrocytes at 18 months in the same rat AD model. Interestingly, this technique can be extended to virtually all radiotracers.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Neurodegenerative diseases, such as Alzheimer’s Disease (AD), are characterized by a neuronal loss associated with increased symptoms. AD, the most common cause of dementia, accounting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of cases, affects around 50 million people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 a neuropathological level, the two major characteristics of AD are the accumulation of extracellular amyloid-&amp;#946; (A&amp;#946;) plaques and intracellular Tau neurofibrillary tangles. Glial cell alterations have also been associated with AD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possible disruption of several neurotransmitter systems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TgF344-AD rat line has been modified to model AD by expressing human APP and PS1</w:t>
      </w:r>
      <w:r>
        <w:rPr>
          <w:rFonts w:ascii="Calibri" w:hAnsi="Calibri" w:cs="Calibri" w:eastAsia="Calibri"/>
          <w:color w:val="000000"/>
          <w:spacing w:val="0"/>
          <w:position w:val="0"/>
          <w:sz w:val="24"/>
          <w:shd w:fill="auto" w:val="clear"/>
          <w:vertAlign w:val="subscript"/>
        </w:rPr>
        <w:t xml:space="preserve">ΔE9 </w:t>
      </w:r>
      <w:r>
        <w:rPr>
          <w:rFonts w:ascii="Calibri" w:hAnsi="Calibri" w:cs="Calibri" w:eastAsia="Calibri"/>
          <w:color w:val="000000"/>
          <w:spacing w:val="0"/>
          <w:position w:val="0"/>
          <w:sz w:val="24"/>
          <w:shd w:fill="auto" w:val="clear"/>
        </w:rPr>
        <w:t xml:space="preserve">transgenes, leading to soluble and insoluble A&amp;#946;-40 and A&amp;#946;-42 expression and amyloid plaque formation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also presents the accumulation of hyperphosphorylated forms of the Tau protein leading to tauopathy. From the age of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months, the rats progressively develop the pathological hallmarks of AD and a cognitive impairment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Positron Emission Tomography (PET), Single-Photon Emission computed Tomography (SPECT), and autoradiography are techniques based on the emission and quantification of &amp;#947; rays. Radiotracers are quantified either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(PET and SPECT) or </w:t>
      </w:r>
      <w:r>
        <w:rPr>
          <w:rFonts w:ascii="Calibri" w:hAnsi="Calibri" w:cs="Calibri" w:eastAsia="Calibri"/>
          <w:i/>
          <w:color w:val="000000"/>
          <w:spacing w:val="0"/>
          <w:position w:val="0"/>
          <w:sz w:val="24"/>
          <w:shd w:fill="auto" w:val="clear"/>
        </w:rPr>
        <w:t xml:space="preserve">ex vivo/in vitro </w:t>
      </w:r>
      <w:r>
        <w:rPr>
          <w:rFonts w:ascii="Calibri" w:hAnsi="Calibri" w:cs="Calibri" w:eastAsia="Calibri"/>
          <w:color w:val="000000"/>
          <w:spacing w:val="0"/>
          <w:position w:val="0"/>
          <w:sz w:val="24"/>
          <w:shd w:fill="auto" w:val="clear"/>
        </w:rPr>
        <w:t xml:space="preserve">(autoradiography). Those sensitive techniques have contributed to the understanding of mechanisms of several brain diseases, such as AD. Indeed, in terms of neuroinflammation, there are a lot of studies assessing 18 kDa Translocator Protein (TSPO),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neuroinflammation marker, with radiolabeled tracers such as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C]-(R)-PK11195 or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C]PBR28 (for review see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addition, alterations of neurotransmitter systems have been studied using radiotracers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those techniques do not determine the cellular origin of the radioactive signal. This could hamper the interpretation of the biological underpinnings of the alteration in the binding of a radioligand in PET/SPECT. For instance, in the case of TSPO studies of neuroinflammation, understanding whether the increase or decrease of TSPO is due to astrocytic or microglial changes is of paramount importance. The Fluorescence-Activated Cell Sorting to Radioligand Treated Tissue (FACS-RTT) technique was developed to get around these problems, allowing the assessment of radioligand binding in every cell type separately and the quantification of the target-protein density per cell. This innovative technique is consequently complementary and highly compatible with PET and SPECT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this technique was applied along two axes: the study of neuroinflammation using TSPO-specific radioligands and assessing the serotonergic system. On the first axis, the aim was to understand the cellular origin of the TSPO signal in response to an acute inflammatory reaction. Therefore, FACS-RTT was used on the brain tissues of rats after the induction of neuroinflammation via a lipopolysaccharide (LPS) injection and following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SPECT imaging study. Further, the same imaging and FACS-RTT protocol were applied on 12- and 24-month-old TgF344-AD rats and matching wild-type (WT) rats. The second axis aimed to determine the origin of serotoninergic system alterations in this rat model via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density assessment by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were conducted in agreement with the Ethics Committee for Human and Animal Experimentation of the Canton of Geneva, the Cantonal Commission for Research Ethics (CCER), and the General Direction Of The Health Of The Canton Of Geneva (Switzerland), respectively. Data are reported following Animal Research: Reporting </w:t>
      </w:r>
      <w:r>
        <w:rPr>
          <w:rFonts w:ascii="Calibri" w:hAnsi="Calibri" w:cs="Calibri" w:eastAsia="Calibri"/>
          <w:i/>
          <w:color w:val="000000"/>
          <w:spacing w:val="0"/>
          <w:position w:val="0"/>
          <w:sz w:val="24"/>
          <w:shd w:fill="auto" w:val="clear"/>
        </w:rPr>
        <w:t xml:space="preserve">In-vivo</w:t>
      </w:r>
      <w:r>
        <w:rPr>
          <w:rFonts w:ascii="Calibri" w:hAnsi="Calibri" w:cs="Calibri" w:eastAsia="Calibri"/>
          <w:color w:val="000000"/>
          <w:spacing w:val="0"/>
          <w:position w:val="0"/>
          <w:sz w:val="24"/>
          <w:shd w:fill="auto" w:val="clear"/>
        </w:rPr>
        <w:t xml:space="preserve"> Experiments (ARRIVE) guidelines.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
        </w:numPr>
        <w:spacing w:before="0" w:after="0" w:line="240"/>
        <w:ind w:right="0" w:left="79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SPECT camera preparation and calibration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Turn on the camera, load the operating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Home XYZ Stage</w:t>
      </w:r>
      <w:r>
        <w:rPr>
          <w:rFonts w:ascii="Calibri" w:hAnsi="Calibri" w:cs="Calibri" w:eastAsia="Calibri"/>
          <w:color w:val="000000"/>
          <w:spacing w:val="0"/>
          <w:position w:val="0"/>
          <w:sz w:val="24"/>
          <w:shd w:fill="FFFF00" w:val="clear"/>
        </w:rPr>
        <w:t xml:space="preserve"> button to perform homing.</w:t>
      </w: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Set up the experiment composed of one 10 min scan acquisition. Set the </w:t>
      </w:r>
      <w:r>
        <w:rPr>
          <w:rFonts w:ascii="Calibri" w:hAnsi="Calibri" w:cs="Calibri" w:eastAsia="Calibri"/>
          <w:b/>
          <w:color w:val="000000"/>
          <w:spacing w:val="0"/>
          <w:position w:val="0"/>
          <w:sz w:val="24"/>
          <w:shd w:fill="FFFF00" w:val="clear"/>
        </w:rPr>
        <w:t xml:space="preserve">Step</w:t>
      </w:r>
      <w:r>
        <w:rPr>
          <w:rFonts w:ascii="Calibri" w:hAnsi="Calibri" w:cs="Calibri" w:eastAsia="Calibri"/>
          <w:color w:val="000000"/>
          <w:spacing w:val="0"/>
          <w:position w:val="0"/>
          <w:sz w:val="24"/>
          <w:shd w:fill="FFFF00" w:val="clear"/>
        </w:rPr>
        <w:t xml:space="preserve"> mode to </w:t>
      </w:r>
      <w:r>
        <w:rPr>
          <w:rFonts w:ascii="Calibri" w:hAnsi="Calibri" w:cs="Calibri" w:eastAsia="Calibri"/>
          <w:b/>
          <w:color w:val="000000"/>
          <w:spacing w:val="0"/>
          <w:position w:val="0"/>
          <w:sz w:val="24"/>
          <w:shd w:fill="FFFF00" w:val="clear"/>
        </w:rPr>
        <w:t xml:space="preserve">Fine</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mode to the </w:t>
      </w:r>
      <w:r>
        <w:rPr>
          <w:rFonts w:ascii="Calibri" w:hAnsi="Calibri" w:cs="Calibri" w:eastAsia="Calibri"/>
          <w:b/>
          <w:color w:val="000000"/>
          <w:spacing w:val="0"/>
          <w:position w:val="0"/>
          <w:sz w:val="24"/>
          <w:shd w:fill="FFFF00" w:val="clear"/>
        </w:rPr>
        <w:t xml:space="preserve">Listmode</w:t>
      </w:r>
      <w:r>
        <w:rPr>
          <w:rFonts w:ascii="Calibri" w:hAnsi="Calibri" w:cs="Calibri" w:eastAsia="Calibri"/>
          <w:color w:val="000000"/>
          <w:spacing w:val="0"/>
          <w:position w:val="0"/>
          <w:sz w:val="24"/>
          <w:shd w:fill="FFFF00" w:val="clear"/>
        </w:rPr>
        <w:t xml:space="preserve"> (to record the entire emission spectrum).</w:t>
      </w: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Set up the bed and ensure that the warming system, breathing sensor, and anesthesia are functional and secure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Then, place a phantom (i.e., 2 mL of a known concentration of </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 in a 2 mL microfuge tube) where the animal’s head will be positioned (centered on the area,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Set the scan area by sliding the cursors for the three dimensions with the help of the three images in the bottom part of the screen. Ensure that the scan volume of the phantom and the animal is the same.</w:t>
      </w: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Start the phantom scan for subsequent calibration with the parameters established in steps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w:t>
      </w:r>
    </w:p>
    <w:p>
      <w:pPr>
        <w:numPr>
          <w:ilvl w:val="0"/>
          <w:numId w:val="4"/>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Workspace setup for SPECT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Clean the workspace with disinfectant virucide and place soft papers on all the surfaces.</w:t>
      </w: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Ensure that there is enough isoflurane and oxygen in their respective tanks.</w:t>
      </w: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Prepare a 24 G catheter by cutting off the fins of the butterfly catheter to have a clearer view of the rat tail vein.</w:t>
      </w: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7"/>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Coat the catheter by filling it completely with heparin solution (25000 U/mL) after removing the needle. Then, place the needle back in it to avoid blood clot formation following catheter insertion.</w:t>
      </w:r>
    </w:p>
    <w:p>
      <w:pPr>
        <w:numPr>
          <w:ilvl w:val="0"/>
          <w:numId w:val="7"/>
        </w:numPr>
        <w:spacing w:before="0" w:after="0" w:line="240"/>
        <w:ind w:right="0" w:left="936" w:hanging="576"/>
        <w:jc w:val="both"/>
        <w:rPr>
          <w:rFonts w:ascii="Calibri" w:hAnsi="Calibri" w:cs="Calibri" w:eastAsia="Calibri"/>
          <w:b/>
          <w:color w:val="000000"/>
          <w:spacing w:val="0"/>
          <w:position w:val="0"/>
          <w:sz w:val="24"/>
          <w:shd w:fill="FFFF00" w:val="clear"/>
        </w:rPr>
      </w:pPr>
    </w:p>
    <w:p>
      <w:pPr>
        <w:numPr>
          <w:ilvl w:val="0"/>
          <w:numId w:val="7"/>
        </w:numPr>
        <w:spacing w:before="0" w:after="0" w:line="240"/>
        <w:ind w:right="0" w:left="79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w:t>
      </w:r>
      <w:r>
        <w:rPr>
          <w:rFonts w:ascii="Calibri" w:hAnsi="Calibri" w:cs="Calibri" w:eastAsia="Calibri"/>
          <w:b/>
          <w:color w:val="000000"/>
          <w:spacing w:val="0"/>
          <w:position w:val="0"/>
          <w:sz w:val="24"/>
          <w:shd w:fill="FFFF00" w:val="clear"/>
          <w:vertAlign w:val="superscript"/>
        </w:rPr>
        <w:t xml:space="preserve">125</w:t>
      </w:r>
      <w:r>
        <w:rPr>
          <w:rFonts w:ascii="Calibri" w:hAnsi="Calibri" w:cs="Calibri" w:eastAsia="Calibri"/>
          <w:b/>
          <w:color w:val="000000"/>
          <w:spacing w:val="0"/>
          <w:position w:val="0"/>
          <w:sz w:val="24"/>
          <w:shd w:fill="FFFF00" w:val="clear"/>
        </w:rPr>
        <w:t xml:space="preserve">I]CLINDE radiotracer synthesis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Radioactivity can have sufficient ionizing energy to affect the atoms of the living cells and damage their genetic material (DNA).</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Ensure to work in an appropriate environment, authorized for experiments involving radioactivity.</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Wear the appropriate personal protective equipment (PPE), for radioactivity handling, including finger and body dosimeters. Try to stay at a safe distance from any source of radioactivity.</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Incubate 100 &amp;#181;g of tributylin precursor in 100 &amp;#181;L of acetic acid with sodium iodide (Na</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5 &amp;#181;L of 37% peracetic acid at 70 &amp;#176;C for 20 min in a thermocycler positioned in a glove box.</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Dilute the reaction using 50% acetonitrile (ACN) in water to reach a volume of 500 &amp;#181;L. Inject the 500 &amp;#181;L of the diluted reaction onto a reverse-phase column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Isolate the [</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I]CLINDE with a linear gradient HPLC run from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95% ACN in 7 mM 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for 10 min. Dilute the isolate in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attain a final volume of 10 mL, and then inject the diluted reaction onto a concentration column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Elute the [</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I]CLINDE from the column with 300 &amp;#181;L of absolute ethanol, and then evaporate the ethanol by incubating it in a vacuum centrifuge at RT for 40 min.</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Dilute the residue containing the [</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I]CLINDE in 300 &amp;#181;L of saline to create a stock solution.</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After measuring its radioactivity, dilute the stock solution in saline to obtain a solution of 0.037 MBq in 500 &amp;#181;L.</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1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Purify the tracer by HPLC (High-performance liquid chromatography). Determine the elution time using a standard calibration at 450 nm, and isolate the single radioactive peak. Perform the standard calibration curve using seven standard concentrations of cold (non-radioactive) CLINDE (0.1 &amp;#181;g, 0.5 &amp;#181;g, 0.75 &amp;#181;g, 1 &amp;#181;g, 1.5 &amp;#181;g, 2 &amp;#181;g, and 5 &amp;#181;g in 400 &amp;#181;L of a solution of 50% ACN. Establish the radiochemical purity by measuring a single peak in radio TLC (Thin layer chromatography). Ensure that the purity of the radiochemical is above 60%.</w:t>
      </w:r>
    </w:p>
    <w:p>
      <w:pPr>
        <w:numPr>
          <w:ilvl w:val="0"/>
          <w:numId w:val="1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Check the specific activity of the radioligand measuring ultraviolet absorbance at 450 nm and the calibration curves established with cold reference compounds. Ensure that the specific activity is greater than 1000 GBq/&amp;#181;mol.</w:t>
      </w:r>
    </w:p>
    <w:p>
      <w:pPr>
        <w:numPr>
          <w:ilvl w:val="0"/>
          <w:numId w:val="11"/>
        </w:numPr>
        <w:spacing w:before="0" w:after="0" w:line="240"/>
        <w:ind w:right="0" w:left="792" w:hanging="432"/>
        <w:jc w:val="both"/>
        <w:rPr>
          <w:rFonts w:ascii="Calibri" w:hAnsi="Calibri" w:cs="Calibri" w:eastAsia="Calibri"/>
          <w:b/>
          <w:color w:val="000000"/>
          <w:spacing w:val="0"/>
          <w:position w:val="0"/>
          <w:sz w:val="24"/>
          <w:shd w:fill="FFFF00" w:val="clear"/>
        </w:rPr>
      </w:pPr>
    </w:p>
    <w:p>
      <w:pPr>
        <w:numPr>
          <w:ilvl w:val="0"/>
          <w:numId w:val="11"/>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w:t>
      </w:r>
      <w:r>
        <w:rPr>
          <w:rFonts w:ascii="Calibri" w:hAnsi="Calibri" w:cs="Calibri" w:eastAsia="Calibri"/>
          <w:b/>
          <w:color w:val="000000"/>
          <w:spacing w:val="0"/>
          <w:position w:val="0"/>
          <w:sz w:val="24"/>
          <w:shd w:fill="auto" w:val="clear"/>
          <w:vertAlign w:val="superscript"/>
        </w:rPr>
        <w:t xml:space="preserve">125</w:t>
      </w:r>
      <w:r>
        <w:rPr>
          <w:rFonts w:ascii="Calibri" w:hAnsi="Calibri" w:cs="Calibri" w:eastAsia="Calibri"/>
          <w:b/>
          <w:color w:val="000000"/>
          <w:spacing w:val="0"/>
          <w:position w:val="0"/>
          <w:sz w:val="24"/>
          <w:shd w:fill="auto" w:val="clear"/>
        </w:rPr>
        <w:t xml:space="preserve">I]R91150 radiotracer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to follow the same security rules as mentioned in the CLINDE synthesis section.</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Mix 300 &amp;#181;g of R91150 precursor in a solution of 3 &amp;#181;L of absolute ethanol, 3 &amp;#181;L of glacial acetic acid, 15 &amp;#181;L of carrier-free Na</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(10 mCi) in 0.05 M NaOH and 3 &amp;#181;L of 30%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Incubate for 30 min in a glove box.</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Inject the entire reaction into a reverse-phase column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Isolate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by isocratic HPLC run (ACN/water 50/50, 10 mM acetic acid buffer) with a flow rate of 3 mL/min.</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Dilute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a final volume of 10 mL.</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Inject 10 mL of the diluted reaction onto a concentration column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Elute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from the column with 300 &amp;#181;L of absolute ethanol.</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Evaporate the ethanol by incubating it in a vacuum centrifuge at RT for 40 min.</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Dilute the residue containing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in 300 &amp;#181;L of saline.</w:t>
      </w: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5"/>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Purify the tracer by HPLC. Determine the elution time using a standard calibration at 450 nm and isolate the single radioactive peak. Establish the radiochemical purity by measuring a single peak in radio TLC. Ensure that the purity of the radiochemical is above 98%.</w:t>
      </w:r>
    </w:p>
    <w:p>
      <w:pPr>
        <w:numPr>
          <w:ilvl w:val="0"/>
          <w:numId w:val="15"/>
        </w:numPr>
        <w:spacing w:before="0" w:after="0" w:line="240"/>
        <w:ind w:right="0" w:left="936" w:hanging="576"/>
        <w:jc w:val="both"/>
        <w:rPr>
          <w:rFonts w:ascii="Calibri" w:hAnsi="Calibri" w:cs="Calibri" w:eastAsia="Calibri"/>
          <w:b/>
          <w:color w:val="000000"/>
          <w:spacing w:val="0"/>
          <w:position w:val="0"/>
          <w:sz w:val="24"/>
          <w:shd w:fill="auto" w:val="clear"/>
        </w:rPr>
      </w:pPr>
    </w:p>
    <w:p>
      <w:pPr>
        <w:numPr>
          <w:ilvl w:val="0"/>
          <w:numId w:val="15"/>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Animal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Weigh and anesthetize the TgF344-AD rat (male or female, from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months old) in an induction chamber with 3% isoflurane. Once deeply anesthetized, lower the isoflurane flow to 2% (0.4 L/min, 100% O2) in the chamber.</w:t>
      </w: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Position the animal on a pre-warmed bed equipped with an anesthesia nosecone. Maintain isoflurane at 2% (0.4 L/min, 100%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Apply eye gel lubricant in the animal’s eyes and confirm the depth of anesthesia via respiratory monitoring; adjust anesthesia if necessary.</w:t>
      </w: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19"/>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Perform the 24 G catheter insertion in the tail vein.</w:t>
      </w:r>
    </w:p>
    <w:p>
      <w:pPr>
        <w:numPr>
          <w:ilvl w:val="0"/>
          <w:numId w:val="19"/>
        </w:numPr>
        <w:spacing w:before="0" w:after="0" w:line="240"/>
        <w:ind w:right="0" w:left="936" w:hanging="576"/>
        <w:jc w:val="both"/>
        <w:rPr>
          <w:rFonts w:ascii="Calibri" w:hAnsi="Calibri" w:cs="Calibri" w:eastAsia="Calibri"/>
          <w:b/>
          <w:color w:val="000000"/>
          <w:spacing w:val="0"/>
          <w:position w:val="0"/>
          <w:sz w:val="24"/>
          <w:shd w:fill="auto" w:val="clear"/>
        </w:rPr>
      </w:pPr>
    </w:p>
    <w:p>
      <w:pPr>
        <w:numPr>
          <w:ilvl w:val="0"/>
          <w:numId w:val="19"/>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SPECT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Transfer the animal to the camera bed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Secure the head of the animal onto the bite bar and fix the head supports.</w:t>
      </w: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Set up the experiment on a 60 min scan constituting 60 frames of 1 min. Reuse all other parameters set up in step 1. Click on the </w:t>
      </w:r>
      <w:r>
        <w:rPr>
          <w:rFonts w:ascii="Calibri" w:hAnsi="Calibri" w:cs="Calibri" w:eastAsia="Calibri"/>
          <w:b/>
          <w:color w:val="000000"/>
          <w:spacing w:val="0"/>
          <w:position w:val="0"/>
          <w:sz w:val="24"/>
          <w:shd w:fill="FFFF00" w:val="clear"/>
        </w:rPr>
        <w:t xml:space="preserve">Update Image</w:t>
      </w:r>
      <w:r>
        <w:rPr>
          <w:rFonts w:ascii="Calibri" w:hAnsi="Calibri" w:cs="Calibri" w:eastAsia="Calibri"/>
          <w:color w:val="000000"/>
          <w:spacing w:val="0"/>
          <w:position w:val="0"/>
          <w:sz w:val="24"/>
          <w:shd w:fill="FFFF00" w:val="clear"/>
        </w:rPr>
        <w:t xml:space="preserve"> button to update the animal position.</w:t>
      </w:r>
    </w:p>
    <w:p>
      <w:pPr>
        <w:numPr>
          <w:ilvl w:val="0"/>
          <w:numId w:val="23"/>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Set the scan area by sliding the cursors with the help of the three images in the bottom part of the screen for the three dimensions.</w:t>
      </w:r>
    </w:p>
    <w:p>
      <w:pPr>
        <w:numPr>
          <w:ilvl w:val="0"/>
          <w:numId w:val="23"/>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Inject 500 &amp;#181;L of the radioactive radiotracer ([</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I]CLINDE or [</w:t>
      </w:r>
      <w:r>
        <w:rPr>
          <w:rFonts w:ascii="Calibri" w:hAnsi="Calibri" w:cs="Calibri" w:eastAsia="Calibri"/>
          <w:color w:val="000000"/>
          <w:spacing w:val="0"/>
          <w:position w:val="0"/>
          <w:sz w:val="24"/>
          <w:shd w:fill="FFFF00" w:val="clear"/>
          <w:vertAlign w:val="superscript"/>
        </w:rPr>
        <w:t xml:space="preserve">125</w:t>
      </w:r>
      <w:r>
        <w:rPr>
          <w:rFonts w:ascii="Calibri" w:hAnsi="Calibri" w:cs="Calibri" w:eastAsia="Calibri"/>
          <w:color w:val="000000"/>
          <w:spacing w:val="0"/>
          <w:position w:val="0"/>
          <w:sz w:val="24"/>
          <w:shd w:fill="FFFF00" w:val="clear"/>
        </w:rPr>
        <w:t xml:space="preserve">I]R91150), and then flush the tube with 300 &amp;#181;L of sterile 0.9% NaCl. Simultaneously click on </w:t>
      </w:r>
      <w:r>
        <w:rPr>
          <w:rFonts w:ascii="Calibri" w:hAnsi="Calibri" w:cs="Calibri" w:eastAsia="Calibri"/>
          <w:b/>
          <w:color w:val="000000"/>
          <w:spacing w:val="0"/>
          <w:position w:val="0"/>
          <w:sz w:val="24"/>
          <w:shd w:fill="FFFF00" w:val="clear"/>
        </w:rPr>
        <w:t xml:space="preserve">Start Acquisition</w:t>
      </w:r>
      <w:r>
        <w:rPr>
          <w:rFonts w:ascii="Calibri" w:hAnsi="Calibri" w:cs="Calibri" w:eastAsia="Calibri"/>
          <w:color w:val="000000"/>
          <w:spacing w:val="0"/>
          <w:position w:val="0"/>
          <w:sz w:val="24"/>
          <w:shd w:fill="FFFF00" w:val="clear"/>
        </w:rPr>
        <w:t xml:space="preserve"> to start the scan.</w:t>
      </w: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During the scan time, ensure to maintain the animal under constant anesthesia with respiration rate monitoring. Adjust the flow of isoflurane if needed.</w:t>
      </w:r>
    </w:p>
    <w:p>
      <w:pPr>
        <w:numPr>
          <w:ilvl w:val="0"/>
          <w:numId w:val="23"/>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23"/>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Once the scan is over, quickly euthanize the anesthetized animal by decapitation.</w:t>
      </w:r>
    </w:p>
    <w:p>
      <w:pPr>
        <w:numPr>
          <w:ilvl w:val="0"/>
          <w:numId w:val="23"/>
        </w:numPr>
        <w:spacing w:before="0" w:after="0" w:line="240"/>
        <w:ind w:right="0" w:left="936" w:hanging="576"/>
        <w:jc w:val="both"/>
        <w:rPr>
          <w:rFonts w:ascii="Calibri" w:hAnsi="Calibri" w:cs="Calibri" w:eastAsia="Calibri"/>
          <w:b/>
          <w:color w:val="000000"/>
          <w:spacing w:val="0"/>
          <w:position w:val="0"/>
          <w:sz w:val="24"/>
          <w:shd w:fill="auto" w:val="clear"/>
        </w:rPr>
      </w:pPr>
    </w:p>
    <w:p>
      <w:pPr>
        <w:numPr>
          <w:ilvl w:val="0"/>
          <w:numId w:val="23"/>
        </w:numPr>
        <w:spacing w:before="0" w:after="0" w:line="240"/>
        <w:ind w:right="0" w:left="79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Scan reconstruction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7"/>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Open the scan reconstruction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then open the data set, looking for the [filename].parameters file, created in the folder of the scan.</w:t>
      </w:r>
    </w:p>
    <w:p>
      <w:pPr>
        <w:numPr>
          <w:ilvl w:val="0"/>
          <w:numId w:val="27"/>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27"/>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Select the isotope of interest. Note that the </w:t>
      </w:r>
      <w:r>
        <w:rPr>
          <w:rFonts w:ascii="Calibri" w:hAnsi="Calibri" w:cs="Calibri" w:eastAsia="Calibri"/>
          <w:b/>
          <w:color w:val="000000"/>
          <w:spacing w:val="0"/>
          <w:position w:val="0"/>
          <w:sz w:val="24"/>
          <w:shd w:fill="FFFF00" w:val="clear"/>
        </w:rPr>
        <w:t xml:space="preserve">Listmode</w:t>
      </w:r>
      <w:r>
        <w:rPr>
          <w:rFonts w:ascii="Calibri" w:hAnsi="Calibri" w:cs="Calibri" w:eastAsia="Calibri"/>
          <w:color w:val="000000"/>
          <w:spacing w:val="0"/>
          <w:position w:val="0"/>
          <w:sz w:val="24"/>
          <w:shd w:fill="FFFF00" w:val="clear"/>
        </w:rPr>
        <w:t xml:space="preserve"> parameter allows multiple isotope selection at this step.</w:t>
      </w:r>
    </w:p>
    <w:p>
      <w:pPr>
        <w:numPr>
          <w:ilvl w:val="0"/>
          <w:numId w:val="27"/>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27"/>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Select the following parameters: 0.4 mm Voxel size, 4 (POS-EM) subsets, 6 iterations (24ME-EM equivalent), no post-filter, and the isotope corresponding Decay Correction. Select the output format to NIfTI, and then select </w:t>
      </w:r>
      <w:r>
        <w:rPr>
          <w:rFonts w:ascii="Calibri" w:hAnsi="Calibri" w:cs="Calibri" w:eastAsia="Calibri"/>
          <w:b/>
          <w:color w:val="000000"/>
          <w:spacing w:val="0"/>
          <w:position w:val="0"/>
          <w:sz w:val="24"/>
          <w:shd w:fill="FFFF00" w:val="clear"/>
        </w:rPr>
        <w:t xml:space="preserve">Start SPECT</w:t>
      </w:r>
      <w:r>
        <w:rPr>
          <w:rFonts w:ascii="Calibri" w:hAnsi="Calibri" w:cs="Calibri" w:eastAsia="Calibri"/>
          <w:color w:val="000000"/>
          <w:spacing w:val="0"/>
          <w:position w:val="0"/>
          <w:sz w:val="24"/>
          <w:shd w:fill="FFFF00" w:val="clear"/>
        </w:rPr>
        <w:t xml:space="preserve"> reconstruction.</w:t>
      </w:r>
    </w:p>
    <w:p>
      <w:pPr>
        <w:numPr>
          <w:ilvl w:val="0"/>
          <w:numId w:val="27"/>
        </w:numPr>
        <w:spacing w:before="0" w:after="0" w:line="240"/>
        <w:ind w:right="0" w:left="936" w:hanging="576"/>
        <w:jc w:val="both"/>
        <w:rPr>
          <w:rFonts w:ascii="Calibri" w:hAnsi="Calibri" w:cs="Calibri" w:eastAsia="Calibri"/>
          <w:b/>
          <w:color w:val="000000"/>
          <w:spacing w:val="0"/>
          <w:position w:val="0"/>
          <w:sz w:val="24"/>
          <w:shd w:fill="FFFF00" w:val="clear"/>
        </w:rPr>
      </w:pPr>
    </w:p>
    <w:p>
      <w:pPr>
        <w:numPr>
          <w:ilvl w:val="0"/>
          <w:numId w:val="27"/>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Rat brain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After decapitation, quickly transfer the head of the animal to the dissection bench.</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With scissors, carefully cut the skin on top of the head from the back to the front till the middle of the eyes.</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Cut off the excess muscles around the base of the skull and the cervical vertebras.</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Next, carefully place one blade of the scissors in the hole at the back of the skull, the foramen magnum, and remove the back part of the skull with surgical pliers.</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Then, with surgical pliers, carefully remove the top part of the skull. The skull of old male rats can be thick, remove as small pieces to avoid damage to the brain.</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Carefully cut the meninges with scissors. Meninges can damage the brain during the extraction process; remove it as a precaution.</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After removing the top part of the skull, turn the head of the animal around, and with a small flat spatula, carefully pull the brain out by cutting the optic and trigeminal nerves.</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Carefully transfer the brain onto a flat, clean glass surface for dissection on ice.</w:t>
      </w:r>
    </w:p>
    <w:p>
      <w:pPr>
        <w:numPr>
          <w:ilvl w:val="0"/>
          <w:numId w:val="31"/>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31"/>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8.9</w:t>
        <w:tab/>
        <w:t xml:space="preserve">Use a flat metal spatula and a razor blade to dissect the regions of interest of the brain. Place the tissues in a 2 mL centrifuge tube and weigh the tissue obtained. Use the brain section directly for cell isolation or quickly freeze it in liquid nitrogen for later use.</w:t>
      </w:r>
    </w:p>
    <w:p>
      <w:pPr>
        <w:numPr>
          <w:ilvl w:val="0"/>
          <w:numId w:val="31"/>
        </w:numPr>
        <w:spacing w:before="0" w:after="0" w:line="240"/>
        <w:ind w:right="0" w:left="936" w:hanging="576"/>
        <w:jc w:val="both"/>
        <w:rPr>
          <w:rFonts w:ascii="Calibri" w:hAnsi="Calibri" w:cs="Calibri" w:eastAsia="Calibri"/>
          <w:b/>
          <w:color w:val="000000"/>
          <w:spacing w:val="0"/>
          <w:position w:val="0"/>
          <w:sz w:val="24"/>
          <w:shd w:fill="FFFF00" w:val="clear"/>
        </w:rPr>
      </w:pPr>
    </w:p>
    <w:p>
      <w:pPr>
        <w:numPr>
          <w:ilvl w:val="0"/>
          <w:numId w:val="31"/>
        </w:numPr>
        <w:spacing w:before="0" w:after="0" w:line="240"/>
        <w:ind w:right="0" w:left="79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Cell isolation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Make sure to work in a clean and sterile environment. Working under a class-II biosafety cabinet (BSC) is advised. Ensure that the gloves and every piece of equipment introduced into the BSC are sterile.</w:t>
      </w:r>
    </w:p>
    <w:p>
      <w:pPr>
        <w:numPr>
          <w:ilvl w:val="0"/>
          <w:numId w:val="37"/>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t xml:space="preserve">To prepare the cells for cell sorting, follow the protocol from Jaclyn M. Schwarz</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this experiment, a commercially available Neural dissociation kit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was used for cell preparation.</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w:t>
        <w:tab/>
        <w:t xml:space="preserve">Put the samples into a 2 mL centrifuge tube with 1 mL of HBSS (Ca- and Mg-free), and then centrifuge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 min, room temperature = RT) and remove the supernatant without disturbing the pellet.</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9.2.2</w:t>
        <w:tab/>
        <w:t xml:space="preserve">Add 1900 &amp;#181;L of enzyme mix-1 and incubate it for 15 min at 37 &amp;#176;C while agitating the tubes by inversion every 5 min.</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9.2.3</w:t>
        <w:tab/>
        <w:t xml:space="preserve">Add 30 &amp;#181;L of enzyme mix-2, agitate gently with pipette 1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back and forth 30 times. Then, incubate for 15 min at 37 &amp;#176;C while agitating the tubes by inversion every 5 min.</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9.2.4</w:t>
        <w:tab/>
        <w:t xml:space="preserve">Mix gently back and forth with pipette 2, and then pipette 3 before incubating for 10 min at 37 &amp;#176;C to dissociate the tissues.</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9.2.5</w:t>
        <w:tab/>
        <w:t xml:space="preserve">Filter the cells with an 80 &amp;#181;m cell strainer, add 10 mL of HBSS (Ca- and Mg-free). Centrifuge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RT) and remove the supernatant without disturbing the pellet.</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9.2.6</w:t>
        <w:tab/>
        <w:t xml:space="preserve">For myelin depletion, resuspend the pellet with 400 &amp;#181;L of myelin removal buffer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then add 100 &amp;#181;L of myelin removal beads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before incubating for 15 min at 4 &amp;#176;C.</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9.2.7</w:t>
        <w:tab/>
        <w:t xml:space="preserve">Add 5 mL of myelin removal buffer, centrifuge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10 min, RT), and remove the supernatant without disturbing the pellet.</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w:t>
        <w:tab/>
        <w:t xml:space="preserve">Add 500 &amp;#181;L of myelin removal buffer and place the tube into the magnetic field column. Wash the column with 1 mL of myelin removal buffer four times.</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9.2.9</w:t>
        <w:tab/>
        <w:t xml:space="preserve">Centrifuge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2 min, RT) and remove the supernatant without disturbing the pellet. Vortex briefly (2 s) to dissociate the cells and add 5 &amp;#181;L of Fc block CD32. Vortex again and incubate for 5 min at 4 &amp;#176;C.</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9.2.10</w:t>
        <w:tab/>
        <w:t xml:space="preserve">Add 100 &amp;#181;L of the mix of primary antibodies of interest; incubate for 20 min at 4 &amp;#176;C.</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9.2.11</w:t>
        <w:tab/>
        <w:t xml:space="preserve">Centrifuge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5 min, 4 &amp;#176;C) and remove the supernatant without disturbing the pellet. Blot the tubes upside-down on soft paper.</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9.2.12</w:t>
        <w:tab/>
        <w:t xml:space="preserve">After a brief vortex (2 s), add 100 &amp;#181;L of the secondary antibody mix and incubate for 15 min at 4 &amp;#176;C.</w:t>
      </w: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p>
    <w:p>
      <w:pPr>
        <w:numPr>
          <w:ilvl w:val="0"/>
          <w:numId w:val="40"/>
        </w:numPr>
        <w:spacing w:before="0" w:after="120" w:line="240"/>
        <w:ind w:right="0" w:left="93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9.2.13</w:t>
        <w:tab/>
        <w:t xml:space="preserve">Add 2 mL of myelin removal buffer, centrifuge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5 min, 4 &amp;#176;C) and remove the supernatant without disturbing the pellet. Blot the tubes upside-down on soft paper. Resuspend the cells in 250 &amp;#181;L of sterile PBS and proceed directly to cell sorting.</w:t>
      </w:r>
    </w:p>
    <w:p>
      <w:pPr>
        <w:numPr>
          <w:ilvl w:val="0"/>
          <w:numId w:val="40"/>
        </w:numPr>
        <w:spacing w:before="0" w:after="0" w:line="240"/>
        <w:ind w:right="0" w:left="936" w:hanging="576"/>
        <w:jc w:val="both"/>
        <w:rPr>
          <w:rFonts w:ascii="Calibri" w:hAnsi="Calibri" w:cs="Calibri" w:eastAsia="Calibri"/>
          <w:b/>
          <w:color w:val="000000"/>
          <w:spacing w:val="0"/>
          <w:position w:val="0"/>
          <w:sz w:val="24"/>
          <w:shd w:fill="auto" w:val="clear"/>
        </w:rPr>
      </w:pPr>
    </w:p>
    <w:p>
      <w:pPr>
        <w:numPr>
          <w:ilvl w:val="0"/>
          <w:numId w:val="40"/>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Cell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Prepare the microfuge tube with 500 &amp;#181;L of sterile PBS for collecting the sorted cells.</w:t>
      </w: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Add 10 &amp;#181;L of Hoechst per 1000 &amp;#181;L of cell solution to color the nuclei of the living cells and distinguish them from the dead cells.</w:t>
      </w: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Transfer the cells as soon as possible to the cell sorting machine at 4 &amp;#176;C.</w:t>
      </w: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First, sort the cells by forward and side scatter, and then sort the Hoechst positive cells. Next, sort the cells based on the antibodies of interest. Collect the positively stained cells separately. Make sure to distinguish the positive cells from the autofluorescent ones.</w:t>
      </w: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44"/>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w:t>
        <w:tab/>
        <w:t xml:space="preserve">Count the number of sorted cells for each pool of interest.</w:t>
      </w:r>
    </w:p>
    <w:p>
      <w:pPr>
        <w:numPr>
          <w:ilvl w:val="0"/>
          <w:numId w:val="44"/>
        </w:numPr>
        <w:spacing w:before="0" w:after="0" w:line="240"/>
        <w:ind w:right="0" w:left="936" w:hanging="576"/>
        <w:jc w:val="both"/>
        <w:rPr>
          <w:rFonts w:ascii="Calibri" w:hAnsi="Calibri" w:cs="Calibri" w:eastAsia="Calibri"/>
          <w:b/>
          <w:color w:val="000000"/>
          <w:spacing w:val="0"/>
          <w:position w:val="0"/>
          <w:sz w:val="24"/>
          <w:shd w:fill="auto" w:val="clear"/>
        </w:rPr>
      </w:pPr>
    </w:p>
    <w:p>
      <w:pPr>
        <w:numPr>
          <w:ilvl w:val="0"/>
          <w:numId w:val="44"/>
        </w:numPr>
        <w:spacing w:before="0" w:after="0" w:line="240"/>
        <w:ind w:right="0" w:left="79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Gamma counting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Calibrate the &amp;#947; counting system with 10 &amp;#181;L of the same phantom solution used for the SPECT calibration but dilute it in 1 mL of water.</w:t>
      </w:r>
    </w:p>
    <w:p>
      <w:pPr>
        <w:numPr>
          <w:ilvl w:val="0"/>
          <w:numId w:val="48"/>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48"/>
        </w:numPr>
        <w:spacing w:before="0" w:after="12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phantom solution is diluted because of the enhanced precision of the &amp;#947; counting system.</w:t>
      </w:r>
    </w:p>
    <w:p>
      <w:pPr>
        <w:numPr>
          <w:ilvl w:val="0"/>
          <w:numId w:val="48"/>
        </w:numPr>
        <w:spacing w:before="0" w:after="120" w:line="240"/>
        <w:ind w:right="0" w:left="936" w:hanging="576"/>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93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Place the tube of sorted cells in the &amp;#947; counting system and proceed with the &amp;#947; counting according to the manufacturer’s protocol.</w:t>
      </w:r>
    </w:p>
    <w:p>
      <w:pPr>
        <w:numPr>
          <w:ilvl w:val="0"/>
          <w:numId w:val="48"/>
        </w:numPr>
        <w:spacing w:before="0" w:after="0" w:line="240"/>
        <w:ind w:right="0" w:left="936" w:hanging="576"/>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629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rats experienced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SPECT scan with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radiotracer after a unilateral LPS injection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scan (using summed data from images of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post radiotracer injection) showed higher binding of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in the site of the LPS injection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than in the contralateral region of the brain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samples that underwent FACS-RTT confirmed those results and revealed the presence of a higher number of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binding sites only in microglia, showing that the cellular origin of the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signal in the ipsilateral side of the brain was microglial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tabs>
          <w:tab w:val="left" w:pos="629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29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same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radiotracer, the protocol was then performed on the hippocampus of old TgF344-AD Rats (12- and 24-month-old) and compared with 24-month-old WT. The results demonstrated that the increase in TSPO binding at 12 months in TgF344-AD rats was restricted to astrocytes. In 24-month-old rats, the increase in TSPO binding was due to both astrocytic and microglial alterations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results showed that the TSPO overexpression in astrocytes is probably observed before the microglial one. Independently, using the radiotracer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this technique was used at a cellular scale to show that in older TgF344-AD rats, striatal astrocytes displayed a decreased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density when compared with WT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tabs>
          <w:tab w:val="left" w:pos="629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29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FACS-RTT was performed on human AD post-mortem samples. After dissociation, the cells were incubated with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before staining and the FACS procedure. This allowed discovering a cortical overexpression of TSPO in both astrocytes and microglia of AD subjects compared with age-matched controls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SPECT Camera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SPECT camera overall presentation.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Bed presentation with heater and respiratory rate monitoring.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Anesthesia tube plugs.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Heating bed and respiratory probe socket.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Phantom positioning monitoring view from the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12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TSPO brain imaging using SPECT with [</w:t>
      </w:r>
      <w:r>
        <w:rPr>
          <w:rFonts w:ascii="Calibri" w:hAnsi="Calibri" w:cs="Calibri" w:eastAsia="Calibri"/>
          <w:b/>
          <w:color w:val="000000"/>
          <w:spacing w:val="0"/>
          <w:position w:val="0"/>
          <w:sz w:val="24"/>
          <w:shd w:fill="auto" w:val="clear"/>
          <w:vertAlign w:val="superscript"/>
        </w:rPr>
        <w:t xml:space="preserve">125</w:t>
      </w:r>
      <w:r>
        <w:rPr>
          <w:rFonts w:ascii="Calibri" w:hAnsi="Calibri" w:cs="Calibri" w:eastAsia="Calibri"/>
          <w:b/>
          <w:color w:val="000000"/>
          <w:spacing w:val="0"/>
          <w:position w:val="0"/>
          <w:sz w:val="24"/>
          <w:shd w:fill="auto" w:val="clear"/>
        </w:rPr>
        <w:t xml:space="preserve">I]CLINDE radiotracer.</w:t>
      </w:r>
      <w:r>
        <w:rPr>
          <w:rFonts w:ascii="Calibri" w:hAnsi="Calibri" w:cs="Calibri" w:eastAsia="Calibri"/>
          <w:color w:val="000000"/>
          <w:spacing w:val="0"/>
          <w:position w:val="0"/>
          <w:sz w:val="24"/>
          <w:shd w:fill="auto" w:val="clear"/>
        </w:rPr>
        <w:t xml:space="preserve"> Representative images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post-injection of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of the hippocampus after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LPS 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saline injection in the ipsilateral (white) and contralateral (red) side of the brain.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time-activity curves measured in the volume-of-interest are represented in the right panel. SPECT: single-photon emission computed tomography; TSPO: translocator protein; LPS: lipopolysaccharide n = 7 animals per condition. This figure has been modified from Tournier 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Quantification of TSPO and 5HT</w:t>
      </w:r>
      <w:r>
        <w:rPr>
          <w:rFonts w:ascii="Calibri" w:hAnsi="Calibri" w:cs="Calibri" w:eastAsia="Calibri"/>
          <w:b/>
          <w:color w:val="000000"/>
          <w:spacing w:val="0"/>
          <w:position w:val="0"/>
          <w:sz w:val="24"/>
          <w:shd w:fill="auto" w:val="clear"/>
          <w:vertAlign w:val="subscript"/>
        </w:rPr>
        <w:t xml:space="preserve">2A</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Cellular origin of TSPO overexpression after a unilateral brain injection of LPS. The radioactivity was measured (% injected dose/g of tissue) in each cell population in the contralateral (gray, n = 7) and the ipsilateral (green, n = 7) side of the injection. Statistical test used: 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TSPO in old TgF344-AD rat. The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concentrations (% injected dose/g of tissue) were determined in 24-month-old wild-type animals (gray, n = 9) and in 12- (green, n = 8) and 24-month-old (purple, n = 7) TgF344- AD rats. Statistical test used: two-way ANOVA.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is decreased in astrocytes of the striatum in old TgF344-AD rats. The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concentration was determined in astrocytes and microglia at the cellular level (% injected dose/cell) in WT (gray, n = 7) and old TgF344-AD (green, n = 11) rats. Statistical test used: one-way ANOVA.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Cell provenance of TSPO overexpression in the frontal cortex in Alzheimer’s disease (AD). In each cell population, the radioactivity is measured (% injected dose/g of tissue) in AD subjects (green, n = 9) and control (gray, n = 9). Statistical test used: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All data are represented as mean &amp;plusmn; 95% CI with the following annotation: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our knowledge, this technique was the first to describe an approach that allows a better understanding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binding alterations of a radiotracer at the cellular level. The protocol describes a multiscale method to quantify radiotracer binding at the cellular level using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I]CLINDE (TSPO) or [</w:t>
      </w:r>
      <w:r>
        <w:rPr>
          <w:rFonts w:ascii="Calibri" w:hAnsi="Calibri" w:cs="Calibri" w:eastAsia="Calibri"/>
          <w:color w:val="000000"/>
          <w:spacing w:val="0"/>
          <w:position w:val="0"/>
          <w:sz w:val="24"/>
          <w:shd w:fill="auto" w:val="clear"/>
          <w:vertAlign w:val="superscript"/>
        </w:rPr>
        <w:t xml:space="preserve">125</w:t>
      </w:r>
      <w:r>
        <w:rPr>
          <w:rFonts w:ascii="Calibri" w:hAnsi="Calibri" w:cs="Calibri" w:eastAsia="Calibri"/>
          <w:color w:val="000000"/>
          <w:spacing w:val="0"/>
          <w:position w:val="0"/>
          <w:sz w:val="24"/>
          <w:shd w:fill="auto" w:val="clear"/>
        </w:rPr>
        <w:t xml:space="preserve">I]R91150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as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is robust and sensitive enough to precisely detect the cellular origin of a wide spectrum of glial cell alterations ranging from an intense inflammatory reaction induced by LPS to more subtle glial cell alterations observed in a rat model of AD, bringing important complementary information to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nuclear neuroimaging, as the microglial origin of the signal obtained with SPECT that was determined. The study further showed that FACS-RTT was even able to discern neuroreceptor density alterations at the cellular scale with the example of 5HT</w:t>
      </w:r>
      <w:r>
        <w:rPr>
          <w:rFonts w:ascii="Calibri" w:hAnsi="Calibri" w:cs="Calibri" w:eastAsia="Calibri"/>
          <w:color w:val="000000"/>
          <w:spacing w:val="0"/>
          <w:position w:val="0"/>
          <w:sz w:val="24"/>
          <w:shd w:fill="auto" w:val="clear"/>
          <w:vertAlign w:val="subscript"/>
        </w:rPr>
        <w:t xml:space="preserve">2A</w:t>
      </w:r>
      <w:r>
        <w:rPr>
          <w:rFonts w:ascii="Calibri" w:hAnsi="Calibri" w:cs="Calibri" w:eastAsia="Calibri"/>
          <w:color w:val="000000"/>
          <w:spacing w:val="0"/>
          <w:position w:val="0"/>
          <w:sz w:val="24"/>
          <w:shd w:fill="auto" w:val="clear"/>
        </w:rPr>
        <w:t xml:space="preserve">R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Finally, evidence for using the technique in human post-mortem tissues was provided, showing an increased TSPO concentration in astrocytes and microglia of AD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 of this technique is its complementarity with PET and SPECT imaging. Indeed, nuclear imaging is a powerful technique that can extract information from a brain region or voxel level. However, its limit resides at the cellular scale; it is impossible to distinguish each cell type’s contribution to the signal. FACS-RTT allows going further by revealing a radiotracer concentration in each cell type. Interestingly, in theory, an unlimited set of targets can be assessed with this technique, the limitation being the availability of a radiotracer for the target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of the protocol include the use of radioactivity that must be performed in a secure environment with qualified personnel. Furthermore, it is crucial to consider radioactive decay. For FACS preparation, one must ensure antibody specificity, wavelength, light intensity that differ depending on the cell type and need optimization for efficient cell sorting.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limitations of this technique underlined in the studies presented here lies in using aged animals and human post-mortem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brain samples because of autofluorescent cells. Lipofuscin, i.e., a residue of lysosomal digestion, is fluorescent and accumulates in aging neurons, microglia, and astrocytes. FACS can, with prior optimization, distinguish autofluorescent cells from positively labeled ones, which is an essential step if older animals are studied. Another limitation of the technique is the impossibility to directly compare the radiotracer concentration between the different sorted cell types across different animals. This could be performed if the concentration of the non-metabolized, non-protein bound radiotracers in blood was considered for normalization across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final limitation is the need for all the equipment used, e.g., cyclotron, PET/SPECT camera, FACS, and &amp;#947; counter, to be in close physical proximity to each other, especially if short half-life isotopes are used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and FACS-RTT.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FACS-RTT could also be used as a standalone approach, i.e., not necessarily following an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nuclear imaging study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complexity of brain disease requires studying mechanisms at a cellular level or single-cell scale. FACS-RTT could be a translational tool bridging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approaches with a vast spectrum of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or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cellular and molecular biology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Swiss National Science Foundation (grant no. 320030-184713). Authors BBT and KC are supported by the Velux Foundation (project n. 1123). Author ST received support from the Swiss National Science Foundation (Early Post-Doc Mobility Scholarship, no. P2GEP3_191446), the Prof Dr. Max Cloetta Foundation (Clinical Medicine Plus scholarship), and the Jean and Madeleine Vachoux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Nichols,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Global, regional, and national burden of Alzheimer’s disease and other dementias, 1990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 a systematic analysis for the Global Burden of Disease Study 2016.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Kinney, J. W. et al. Inflammation as a central mechanism in Alzheimer’s disease. </w:t>
      </w:r>
      <w:r>
        <w:rPr>
          <w:rFonts w:ascii="Calibri" w:hAnsi="Calibri" w:cs="Calibri" w:eastAsia="Calibri"/>
          <w:i/>
          <w:color w:val="000000"/>
          <w:spacing w:val="0"/>
          <w:position w:val="0"/>
          <w:sz w:val="24"/>
          <w:shd w:fill="auto" w:val="clear"/>
        </w:rPr>
        <w:t xml:space="preserve">Alzheimer’s &amp;amp; Dementia (New York, N. 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D’Amelio, M., Puglisi-Allegra, S., Mercuri, N. The role of dopaminergic midbrain in Alzheimer’s disease: Translating basic science into clinical practice. </w:t>
      </w:r>
      <w:r>
        <w:rPr>
          <w:rFonts w:ascii="Calibri" w:hAnsi="Calibri" w:cs="Calibri" w:eastAsia="Calibri"/>
          <w:i/>
          <w:color w:val="000000"/>
          <w:spacing w:val="0"/>
          <w:position w:val="0"/>
          <w:sz w:val="24"/>
          <w:shd w:fill="auto" w:val="clear"/>
        </w:rPr>
        <w:t xml:space="preserve">Pharmacological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D’Amelio, M., Serra, L., Bozzali, M. Ventral tegmental area in prodromal Alzheimer’s disease: Bridging the gap between mice and humans. </w:t>
      </w:r>
      <w:r>
        <w:rPr>
          <w:rFonts w:ascii="Calibri" w:hAnsi="Calibri" w:cs="Calibri" w:eastAsia="Calibri"/>
          <w:i/>
          <w:color w:val="000000"/>
          <w:spacing w:val="0"/>
          <w:position w:val="0"/>
          <w:sz w:val="24"/>
          <w:shd w:fill="auto" w:val="clear"/>
        </w:rPr>
        <w:t xml:space="preserve">Journal of Alzheimer’s Disease: JAD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Cohen, 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transgenic Alzheimer rat with plaques, tau pathology, behavioral impairment, oligomeric a&amp;#946;, and frank neuronal loss. </w:t>
      </w:r>
      <w:r>
        <w:rPr>
          <w:rFonts w:ascii="Calibri" w:hAnsi="Calibri" w:cs="Calibri" w:eastAsia="Calibri"/>
          <w:i/>
          <w:color w:val="000000"/>
          <w:spacing w:val="0"/>
          <w:position w:val="0"/>
          <w:sz w:val="24"/>
          <w:shd w:fill="auto" w:val="clear"/>
        </w:rPr>
        <w:t xml:space="preserve">The Journal of Neuroscience: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(15), 6245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Morrone, C.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Regional differences in Alzheimer’s disease pathology confound behavioural rescue after amyloid-&amp;#946; attenuation. </w:t>
      </w:r>
      <w:r>
        <w:rPr>
          <w:rFonts w:ascii="Calibri" w:hAnsi="Calibri" w:cs="Calibri" w:eastAsia="Calibri"/>
          <w:i/>
          <w:color w:val="000000"/>
          <w:spacing w:val="0"/>
          <w:position w:val="0"/>
          <w:sz w:val="24"/>
          <w:shd w:fill="auto" w:val="clear"/>
        </w:rPr>
        <w:t xml:space="preserve">Brain: A 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Berkowitz, L. E., Harvey, R. E., Drake, E., Thompson, S. M., Clark, B. J. Progressive impairment of directional and spatially precise trajectories by TgF344-Alzheimer’s disease rats in the Morris Water Task.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16153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Koulousakis, P., van den Hove, D., Visser-Vandewalle, V., Sesia, T. Cognitive improvements after intermittent deep brain stimulation of the nucleus basalis of meynert in a transgenic rat model for Alzheimer’s disease: A preliminary approach. </w:t>
      </w:r>
      <w:r>
        <w:rPr>
          <w:rFonts w:ascii="Calibri" w:hAnsi="Calibri" w:cs="Calibri" w:eastAsia="Calibri"/>
          <w:i/>
          <w:color w:val="000000"/>
          <w:spacing w:val="0"/>
          <w:position w:val="0"/>
          <w:sz w:val="24"/>
          <w:shd w:fill="auto" w:val="clear"/>
        </w:rPr>
        <w:t xml:space="preserve">Journal of Alzheimer’s Disease: JAD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Tournier, B.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Spatial reference learning deficits in absence of dysfunctional working memory in the TgF344-AD rat model of Alzheimer’s disease. </w:t>
      </w:r>
      <w:r>
        <w:rPr>
          <w:rFonts w:ascii="Calibri" w:hAnsi="Calibri" w:cs="Calibri" w:eastAsia="Calibri"/>
          <w:i/>
          <w:color w:val="000000"/>
          <w:spacing w:val="0"/>
          <w:position w:val="0"/>
          <w:sz w:val="24"/>
          <w:shd w:fill="auto" w:val="clear"/>
        </w:rPr>
        <w:t xml:space="preserve">Genes, Brain, and Behavior</w:t>
      </w:r>
      <w:r>
        <w:rPr>
          <w:rFonts w:ascii="Calibri" w:hAnsi="Calibri" w:cs="Calibri" w:eastAsia="Calibri"/>
          <w:color w:val="000000"/>
          <w:spacing w:val="0"/>
          <w:position w:val="0"/>
          <w:sz w:val="24"/>
          <w:shd w:fill="auto" w:val="clear"/>
        </w:rPr>
        <w:t xml:space="preserve">. e12712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Tournier, B. B., Tsartsalis, S., Ceyz&amp;#233;riat, K., Garibotto, V., Millet, P. In vivo TSPO signal and neuroinflammation in Alzheimer’s disease.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Backes, H. [11C]raclopride and extrastriatal binding to D2/3 receptors.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116346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Millet,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Quantification of dopamine D(2/3) receptors in rat brain using factor analysis corrected [18F]Fallypride images.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1455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Tsartsalis, S. et al. A modified simplified reference tissue model for the quantification of dopamine D2/3 receptors with [18F]Fallypride images. </w:t>
      </w:r>
      <w:r>
        <w:rPr>
          <w:rFonts w:ascii="Calibri" w:hAnsi="Calibri" w:cs="Calibri" w:eastAsia="Calibri"/>
          <w:i/>
          <w:color w:val="000000"/>
          <w:spacing w:val="0"/>
          <w:position w:val="0"/>
          <w:sz w:val="24"/>
          <w:shd w:fill="auto" w:val="clear"/>
        </w:rPr>
        <w:t xml:space="preserve">Molecular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7290.2014.00028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Schwarz, J. M. Using fluorescence-activated cell sorting to examine cell-type-specific gene expression in rat brain tissue.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e52537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Tournier, B.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Fluorescence-activated cell sorting to reveal the cell origin of radioligand binding.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Tournier, B.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Astrocytic TSPO upregulation appears before microglial TSPO in Alzheimer’s disease. </w:t>
      </w:r>
      <w:r>
        <w:rPr>
          <w:rFonts w:ascii="Calibri" w:hAnsi="Calibri" w:cs="Calibri" w:eastAsia="Calibri"/>
          <w:i/>
          <w:color w:val="000000"/>
          <w:spacing w:val="0"/>
          <w:position w:val="0"/>
          <w:sz w:val="24"/>
          <w:shd w:fill="auto" w:val="clear"/>
        </w:rPr>
        <w:t xml:space="preserve">Journal of Alzheimer’s Disease: JAD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 1043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1056 (2020).</w:t>
      </w:r>
    </w:p>
    <w:p>
      <w:pPr>
        <w:tabs>
          <w:tab w:val="left" w:pos="380" w:leader="none"/>
        </w:tabs>
        <w:spacing w:before="0" w:after="0" w:line="240"/>
        <w:ind w:right="0" w:left="384" w:hanging="384"/>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2">
    <w:abstractNumId w:val="72"/>
  </w:num>
  <w:num w:numId="4">
    <w:abstractNumId w:val="66"/>
  </w:num>
  <w:num w:numId="7">
    <w:abstractNumId w:val="60"/>
  </w:num>
  <w:num w:numId="11">
    <w:abstractNumId w:val="54"/>
  </w:num>
  <w:num w:numId="15">
    <w:abstractNumId w:val="48"/>
  </w:num>
  <w:num w:numId="19">
    <w:abstractNumId w:val="42"/>
  </w:num>
  <w:num w:numId="23">
    <w:abstractNumId w:val="36"/>
  </w:num>
  <w:num w:numId="27">
    <w:abstractNumId w:val="30"/>
  </w:num>
  <w:num w:numId="31">
    <w:abstractNumId w:val="24"/>
  </w:num>
  <w:num w:numId="37">
    <w:abstractNumId w:val="18"/>
  </w:num>
  <w:num w:numId="40">
    <w:abstractNumId w:val="12"/>
  </w:num>
  <w:num w:numId="44">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