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2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Free-floating Immunostaining of Mouse Brains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Longlong Tu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 Zhang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Kristine M. Conde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Jonathan C. Bean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Chunmei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 Xu</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USDA/ARS Children’s Nutrition Research Center, Department of Pediatrics, Baylor College of Medicine, Houston, TX 77030,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Endocrinology, Union Hospital, Tongji Medical College, Huazhong University of Science and Technology,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Hubei Provincial Clinical Research Center for Diabetes and Metabolic Disorder, Wuhan,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and Cellular Biology, Baylor College of Medicine, Houston, TX 77030,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Longlong Tu</w:t>
        <w:tab/>
        <w:tab/>
        <w:tab/>
        <w:tab/>
        <w:t xml:space="preserve">(Longlong.Tu@bcm.edu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 Zhang</w:t>
        <w:tab/>
        <w:tab/>
        <w:tab/>
        <w:tab/>
        <w:t xml:space="preserve">(Nan.Zhang@bcm.edu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Kristine M Conde                                    (Kristine.Conde@bcm.edu)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C. Bean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(Jonathan.Bean@bcm.edu)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Chunmei Wang</w:t>
        <w:tab/>
        <w:tab/>
        <w:tab/>
        <w:t xml:space="preserve">(Chunmei.Wang@bcm.edu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Xu</w:t>
        <w:tab/>
        <w:tab/>
        <w:tab/>
        <w:tab/>
        <w:t xml:space="preserve">(yongx@bcm.edu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efficient and reproducible approach for mouse brain histological studies, including perfusion, brain sectioning, free-floating immunostaining, slide mounting, and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Immunohistochemical staining of mouse brains is a routine technique commonly used in neuroscience to investigate central mechanisms underlying the regulation of energy metabolism and other neurobiological processes. However, the quality, reliability, and reproducibility of brain histology results may vary among laboratories. For each staining experiment, it is necessary to optimize the key procedures based on differences in species, tissues, targeted proteins, and the working conditions of the reagents. This paper demonstrates a reliable workflow in detail, including intra-aortic perfusion, brain sectioning, free-floating immunostaining, tissue mounting, and imaging, which can be followed easily by researchers in this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discussed are how to modify these procedures to satisfy the individual needs of researchers. To illustrate the reliability and efficiency of this protocol, perineuronal nets were stained with biotin-labeled Wisteria florbunda agglutinin (WFA) and arginine vasopressin (AVP) with an anti-AVP antibody in the mouse brain. Finally, the critical details for the entire procedure have been addressed, and the advantages of this protocol compared to those of other protocols. Taken together, this paper presents an optimized protocol for free-floating immunostaining of mouse brain tissue, making this process easier for beginners to follow and improve the quality, reliability, and reproducibility of these types of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of obesity and associated comorbidities has reached epidemic levels, causing a tremendous socioeconomic burden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Various mouse models have been developed to better understand the biological processes responsible for obesity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Because central mechanisms are important for the regulation of energy homeostasis in these animal models, neuroanatomical studies of mouse brains have become a necessary technique in this field. However, the quality, reliability, and reproducibility of brain histology techniques vary considerably among laboratories and even researchers within the same laboratory for various reasons (e.g., antibodies, tissues, treatments, species, research objectives). Therefore, it is necessary to establish a general protocol for histological studies of the mouse brain, including perfusion, brain sectioning, free-floating immunostaining, slide mounting, and imaging. Meanwhile, beginners can quickly learn, master, and adjust this protocol to satisfy their individual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Immunohistochemical staining is an established method that has been used extensively to visualize specific cell types, mRNAs, and proteins in a variety of tissues (e.g., brain and peripheral tissues)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More specifically, an antigen of interest can be labeled by a specific primary antibody and a corresponding secondary antibody linked to an enzyme (e.g., chromogenic immunohistochemistry) or a fluorescent dye (fluorescein isothiocyanate)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an example of the utility of these techniques, &amp;#946;-endorphin [one peptide encoded by pro-opiomelanocortin (POMC)] and c-fos (a marker of neuronal activity) were stained in the arcuate nucleus. Deletion of tryptophan hydroxylase 2 (an enzyme integral to serotonin synthesis) in the dorsal raphe nucleus was shown to decrease c-fos expression in POMC neurons in the arcuate nucleus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the distribution of vitamin D receptor mRNA was mapped in the mouse brain via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(RNAscope)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paper presents a reliable and efficient method with a step-by-step workflow for free-floating immunostaining, aiming to improve the quality and reproducibility of histological studies of the mouse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C57BL/6J mice of both sexes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of age) were used in the present study. Care of all animals and all procedures were approved by Baylor College of Medicine’s Institutional Animal Care and Use Committees.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are performed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Pour 5 mL of isoflurane (see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onto a paper towel placed at the bottom of a desiccator. Introduce the mouse into the desiccator and wait until signs of respiration have disappeared. Before proceeding, confirm there is no reflex to a toe-pinch.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Fix the mouse to a foam board by driving a pin through each foot. Ensure that the foam board is placed in a tray to collect liquid spillover.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Exposing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 Make a longitudinal superficial incision along the midline over the thorax and abdomen, then move the skin aside to expose the muscle wall of the thorax and abdomen. Next, make an incision in the muscle layer to expose the liver and the intestine. Finally, cut the rib cage with scissors to open the thorax and expose the heart and lungs. Use hemostatic forceps to pull the ribcage aside to widen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work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Collection of terminal blood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Insert a 1 mL syringe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carefully into the right atrium of the heart until the tip is completely embedded. Hold the syringe steady and draw blood slowly until the desired volume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penetrate past the right atrium;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&amp;#181;L of blood is achievable per adult mouse. Additives such as a clot accelerator or anticoagulant may be used, depending on the purpose of blood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Placement of the perfusion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1.4.1. </w:t>
      </w:r>
      <w:r>
        <w:rPr>
          <w:rFonts w:ascii="Calibri" w:hAnsi="Calibri" w:cs="Calibri" w:eastAsia="Calibri"/>
          <w:color w:val="auto"/>
          <w:spacing w:val="0"/>
          <w:position w:val="0"/>
          <w:sz w:val="24"/>
          <w:shd w:fill="FFFF00" w:val="clear"/>
        </w:rPr>
        <w:t xml:space="preserve">For beginners, cut a small hole (&amp;lt;1 mm) in the left ventricle of the heart with scissors and insert a blunt cannula (18 G needle for young mice and 21 G needle for aged mice) through the left ventricle into the ascending aorta. Alternatively, for experienced experimenters, penetrate the left heart ventricle with a blunt cannula directly and insert it into the ascending aorta carefully.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1.4.2. </w:t>
      </w:r>
      <w:r>
        <w:rPr>
          <w:rFonts w:ascii="Calibri" w:hAnsi="Calibri" w:cs="Calibri" w:eastAsia="Calibri"/>
          <w:color w:val="auto"/>
          <w:spacing w:val="0"/>
          <w:position w:val="0"/>
          <w:sz w:val="24"/>
          <w:shd w:fill="FFFF00" w:val="clear"/>
        </w:rPr>
        <w:t xml:space="preserve">Place pins around the conjunction of the cannula and coupled tubing on the foam board to prevent movement during the perfusion. Alternatively, use hemostatic forceps to fix the cannula in place. Proceed to cut the right atrium to allow the outflow of blood from circulation.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perfusion cannula and coupled tubing are connected to the perfusion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Perfusion with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1.5.1. </w:t>
      </w:r>
      <w:r>
        <w:rPr>
          <w:rFonts w:ascii="Calibri" w:hAnsi="Calibri" w:cs="Calibri" w:eastAsia="Calibri"/>
          <w:color w:val="auto"/>
          <w:spacing w:val="0"/>
          <w:position w:val="0"/>
          <w:sz w:val="24"/>
          <w:shd w:fill="FFFF00" w:val="clear"/>
        </w:rPr>
        <w:t xml:space="preserve">Turn on the saline pressure switch, and perfuse the mouse transcardially with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mL of saline (0.9% NaCl: 25 &amp;#176;C, pH 7.4). Observe the outflow from the right atrium and the color of the liver closely.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automated perfusion pump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used to flush the blood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As the pressure range of the pump 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mmHg, the speed can be adjusted accordingly. If saline is leaking from the nose and/or the lung is inflated, decrease the pressure and adjust the cannula. Once the outflow no longer contains blood, the brain is sufficiently flushed with saline. Meanwhile, the liver is devoid of blood and becomes brownish-gray in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Perfusion with formalin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Turn off the saline pressure switch and turn on the formalin pressure switch to perfuse the mouse with 40 mL of 10% neutral buffered formalin (10% NBF: 25 &amp;#176;C, pH 6.8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Observe the animal’s limbs for evidence of tremors.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Tail movement may also be observed after infusion of 10% NBF. CAUTION: As NBF is biohazardous, it is suggested that researchers wear personal protective equipment (e.g., N95 mask, face shield) throughout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Brain isolation</w:t>
      </w:r>
      <w:r>
        <w:rPr>
          <w:rFonts w:ascii="Calibri" w:hAnsi="Calibri" w:cs="Calibri" w:eastAsia="Calibri"/>
          <w:color w:val="auto"/>
          <w:spacing w:val="0"/>
          <w:position w:val="0"/>
          <w:sz w:val="24"/>
          <w:shd w:fill="FFFF00"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Use scissors to remove the head. Make a middle line incision along the integument to expose the skull. Trim off the skin and muscle attachment with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Make a cut at the orbital ridge; then, place the sharp end of iris scissors into the foramen magnum. Advance the scissors along the inner surface of the skull, maintaining upward pressure to avoid damage to the brain. Remove the parietal/frontal bones and meninges carefully. Finally, remove the brain from the opened skull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Post-fixation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1.8.1.</w:t>
        <w:tab/>
      </w:r>
      <w:r>
        <w:rPr>
          <w:rFonts w:ascii="Calibri" w:hAnsi="Calibri" w:cs="Calibri" w:eastAsia="Calibri"/>
          <w:color w:val="auto"/>
          <w:spacing w:val="0"/>
          <w:position w:val="0"/>
          <w:sz w:val="24"/>
          <w:shd w:fill="auto" w:val="clear"/>
        </w:rPr>
        <w:t xml:space="preserve">Place the brain in a 15 mL tube filled with 10 mL of 5% NBF and 15% sucrose for overnight fixation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prepare 10 mL of 5% NBF and 15% sucrose, combine 5 mL of 10% NBF and 5 mL of 30% sucrose (w/v, dissolved into phosphate-buffered saline (PBS),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Make sure the volume of the fixation buffer is at least 10x larger than the sample itself. Initially, the brain will float in the buffer and will sink to the bottom after overnight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Transfer the brain sample to a 15 mL tube filled with 10 mL of 30% sucrose for dehydration at 4 &amp;#176;C until it sinks.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Cryosectioning (coronal sections)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dry ice on top of the height adjustment plate of a sliding microtome, and wait until white frost is visible. Carefully spread 5 mL of 30% sucrose on top of the plate to form a layer of a solid base after the sucrose solution is fully frozen. Place all brain samples (up to 5 brain samples in one batch) horizontally in a line on top of the sucrose base with 0.5 mL of 30% sucrose.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brain will immediately stick to the frozen sucrose base and gradually freeze from bottom to top. Place additional sucrose around the mounted portion of the brain to form a sturdier base for cutting.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Sectioning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2.2.1. </w:t>
      </w:r>
      <w:r>
        <w:rPr>
          <w:rFonts w:ascii="Calibri" w:hAnsi="Calibri" w:cs="Calibri" w:eastAsia="Calibri"/>
          <w:color w:val="auto"/>
          <w:spacing w:val="0"/>
          <w:position w:val="0"/>
          <w:sz w:val="24"/>
          <w:shd w:fill="FFFF00" w:val="clear"/>
        </w:rPr>
        <w:t xml:space="preserve">After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of freezing, when the brain has become hard and white, trim the brain until the desired layer/region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amount of dry ice on the plate to control the temperature. The temperature is too low when ice crystals appear on the surface of the brain. The temperature is too high when the brain becomes soft and is no longer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Switch from the </w:t>
      </w:r>
      <w:r>
        <w:rPr>
          <w:rFonts w:ascii="Calibri" w:hAnsi="Calibri" w:cs="Calibri" w:eastAsia="Calibri"/>
          <w:b/>
          <w:color w:val="auto"/>
          <w:spacing w:val="0"/>
          <w:position w:val="0"/>
          <w:sz w:val="24"/>
          <w:shd w:fill="FFFF00" w:val="clear"/>
        </w:rPr>
        <w:t xml:space="preserve">Trim</w:t>
      </w:r>
      <w:r>
        <w:rPr>
          <w:rFonts w:ascii="Calibri" w:hAnsi="Calibri" w:cs="Calibri" w:eastAsia="Calibri"/>
          <w:color w:val="auto"/>
          <w:spacing w:val="0"/>
          <w:position w:val="0"/>
          <w:sz w:val="24"/>
          <w:shd w:fill="FFFF00" w:val="clear"/>
        </w:rPr>
        <w:t xml:space="preserve"> mode to the </w:t>
      </w:r>
      <w:r>
        <w:rPr>
          <w:rFonts w:ascii="Calibri" w:hAnsi="Calibri" w:cs="Calibri" w:eastAsia="Calibri"/>
          <w:b/>
          <w:color w:val="auto"/>
          <w:spacing w:val="0"/>
          <w:position w:val="0"/>
          <w:sz w:val="24"/>
          <w:shd w:fill="FFFF00" w:val="clear"/>
        </w:rPr>
        <w:t xml:space="preserve">Feed</w:t>
      </w:r>
      <w:r>
        <w:rPr>
          <w:rFonts w:ascii="Calibri" w:hAnsi="Calibri" w:cs="Calibri" w:eastAsia="Calibri"/>
          <w:color w:val="auto"/>
          <w:spacing w:val="0"/>
          <w:position w:val="0"/>
          <w:sz w:val="24"/>
          <w:shd w:fill="FFFF00" w:val="clear"/>
        </w:rPr>
        <w:t xml:space="preserve"> mode and section brain tissue to 25 &amp;#181;m thickness. Prepare a 48-well plate filled with 1x PBS, and mark five wells for one mouse brain. Use a paintbrush to collect each section from one mouse and place it into one well. Collect the subsequent section of the same mouse and place it into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Repeat 2.2.2 until the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well is reached, placing sections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in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well and so on. Repeat the same procedure for the rest of the brains simultaneously. Repeat until all the sections from one mouse are collected into the 5 wells in anatomical order.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this procedure, the brain sections from each mouse are aliquoted into 5 series, which can be used for up to 5 different histological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Use a paintbrush to transfer the sections from each well to a 1.5 mL microtube filled with cryoprotectant buffer (20% glycerol, 30% ethylene glycol, and 50% PBS), and store the samples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sections stored in small tubes (1.5 mL) can save physical space in the freezer, and the integrity of the sections can be preserved for several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Free-floating WFA staining and anti-AVP immunostaining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Place a cell strainer into a well of a 6-well cell culture plate filled with PBS, and use a paintbrush to transfer one series of brain sections into the cell strainer. Rinse the sections in PBS by transferring the cell strainer to another well filled with PBS. Rinse for 6 x 10 min on a shaker for sections stored in cryoprotectant buffer and 3 x 10 min for freshly cut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washing procedures are performed in a 6-well cell culture plate with a cell strainer inside each well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Each strainer holds the brain sections of interest from each mouse. To save reagents, all the incubation procedures described below are performed in a 1.5 mL microcentrifuge tube. Between washing and incubation procedures, use a paintbrush to transfer the brain sections between each cell strainer to each tube. For washing with PBS, 12 mL is adequate for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Prepare 1 mL of biotin-labeled WFA (1:1,000) solution in PBT (2.5 mL of Triton X-100 dissolved in 1,000 mL of PBS) buffer in 1.5 mL tube. Transfer brain sections from the cell strainer to the tube and incubate at room temperature on a rocking platform ~50 rpm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Rinse the brain sections with PBS for 3 x 10 min as described in 3.1.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Prepare 1 mL of streptavidin-daylight 488 (1:500) solution in PBT in a 1.5 mL tube. Transfer brain sections into the tube and incubate at room temperature for 2 h on a rocking platform at ~50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Cover the plate with foil to avoid light exposure from this step forward.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Rinse the brain sections with PBS for 3 x 10 min. Incubate the brain sections in blocking buffer (3% normal donkey serum diluted in PBT) for 2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choice of blocking serum is determined by the species from which the secondary antibody is generated. e.g., if the secondary antibody is from goat, normal goat serum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Incubate the brain sections in primary antibody (rabbit anti-AVP, 1:500) at room temperature on a rocking platform at ~50 rpm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both primary and secondary antibodies in blocking buffer. The concentration, duration of incubation, and temperature of incubation need to be optimized in pilot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Rinse the brain sections with PBS for 3 x 10 min. Incubate the brain sections in secondary antibody (Alexa Flour 594 donkey anti-rabbit IgG (H+L), 1:500) at room temperature for 2 h on a rocking platform at ~50 rpm. Rinse the brain sections with PBS for 3 x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Mounting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Fill two Petri dishes (a diameter of 150 mm) with 100 mL of 1x PBS each. Transfer all the brain sections from one strainer into the first dish, and align the brain sections in neuroanatomical order from caudal to rostral.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mixing sections from different animals, mount one series of brain sections from one animal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After all the brain sections are aligned in the first dish, submerge one slide into the second dish with one end slightly tilted with a stand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FFFF00" w:val="clear"/>
        </w:rPr>
        <w:t xml:space="preserve">). Use a fine paintbrush to gently place a brain section just below the air-buffer interface onto the tilted slide. Repeat this process until all the desired sections are mounted onto the slide.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Use a transfer pipette to slowly and gently remove the buffer to lower its level until both brain sections are entirely above the air-buffer interface. Repeat this process until all the desired sections are mounted onto the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minimize the disturbance of the buffer surface, or the brain sections may float away. When dry, this row of brain sections will adhere to the slide firmly. If necessary, gently adjust the sections on the slide to ensure there are no wrinkles or folds in the tissue when the sections are still wet.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Repeat this process until the bottom of the slide is reached. Continue to repeat until all sections are mounted onto the slide(s).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Coverslipping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 After all sections have dried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room temperature), place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of anti-fading mounting medium with DAPI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slide, and gently apply a glass coverslip to cover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the glass coverslip carefully and slowly to avoid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Place the slides in a microscope slide box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store them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all sections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to avoid fading of fluorescence and the development of autofluorescence.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 </w:t>
      </w:r>
      <w:r>
        <w:rPr>
          <w:rFonts w:ascii="Calibri" w:hAnsi="Calibri" w:cs="Calibri" w:eastAsia="Calibri"/>
          <w:color w:val="auto"/>
          <w:spacing w:val="0"/>
          <w:position w:val="0"/>
          <w:sz w:val="24"/>
          <w:shd w:fill="FFFF00" w:val="clear"/>
        </w:rPr>
        <w:t xml:space="preserve">Turn on the scanner and the computer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Position the slides in the slide holder with the loading device and insert the holder in the scanner.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scanner enables scanning of multiple channels (e.g.,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r>
        <w:rPr>
          <w:rFonts w:ascii="Calibri" w:hAnsi="Calibri" w:cs="Calibri" w:eastAsia="Calibri"/>
          <w:color w:val="auto"/>
          <w:spacing w:val="0"/>
          <w:position w:val="0"/>
          <w:sz w:val="24"/>
          <w:shd w:fill="auto" w:val="clear"/>
        </w:rPr>
        <w:t xml:space="preserve">DAPI), green, and red channels) simultaneously. The scanner scans slides only with a 20x magnification, and the Leica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when a higher magnification (e.g., 40x)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Open the software for the scanner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Choose the appropriate storage location and scanning profile.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Start the preview scan by clicking on the </w:t>
      </w:r>
      <w:r>
        <w:rPr>
          <w:rFonts w:ascii="Calibri" w:hAnsi="Calibri" w:cs="Calibri" w:eastAsia="Calibri"/>
          <w:b/>
          <w:color w:val="auto"/>
          <w:spacing w:val="0"/>
          <w:position w:val="0"/>
          <w:sz w:val="24"/>
          <w:shd w:fill="FFFF00" w:val="clear"/>
        </w:rPr>
        <w:t xml:space="preserve">Start Preview Scan</w:t>
      </w:r>
      <w:r>
        <w:rPr>
          <w:rFonts w:ascii="Calibri" w:hAnsi="Calibri" w:cs="Calibri" w:eastAsia="Calibri"/>
          <w:color w:val="auto"/>
          <w:spacing w:val="0"/>
          <w:position w:val="0"/>
          <w:sz w:val="24"/>
          <w:shd w:fill="FFFF00" w:val="clear"/>
        </w:rPr>
        <w:t xml:space="preserve"> button. After the preview scan, open the </w:t>
      </w:r>
      <w:r>
        <w:rPr>
          <w:rFonts w:ascii="Calibri" w:hAnsi="Calibri" w:cs="Calibri" w:eastAsia="Calibri"/>
          <w:b/>
          <w:color w:val="auto"/>
          <w:spacing w:val="0"/>
          <w:position w:val="0"/>
          <w:sz w:val="24"/>
          <w:shd w:fill="FFFF00" w:val="clear"/>
        </w:rPr>
        <w:t xml:space="preserve">tissue detection</w:t>
      </w:r>
      <w:r>
        <w:rPr>
          <w:rFonts w:ascii="Calibri" w:hAnsi="Calibri" w:cs="Calibri" w:eastAsia="Calibri"/>
          <w:color w:val="auto"/>
          <w:spacing w:val="0"/>
          <w:position w:val="0"/>
          <w:sz w:val="24"/>
          <w:shd w:fill="FFFF00" w:val="clear"/>
        </w:rPr>
        <w:t xml:space="preserve"> wizard and circle the regions of interest for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Click on the </w:t>
      </w:r>
      <w:r>
        <w:rPr>
          <w:rFonts w:ascii="Calibri" w:hAnsi="Calibri" w:cs="Calibri" w:eastAsia="Calibri"/>
          <w:b/>
          <w:color w:val="auto"/>
          <w:spacing w:val="0"/>
          <w:position w:val="0"/>
          <w:sz w:val="24"/>
          <w:shd w:fill="FFFF00" w:val="clear"/>
        </w:rPr>
        <w:t xml:space="preserve">Start Scan</w:t>
      </w:r>
      <w:r>
        <w:rPr>
          <w:rFonts w:ascii="Calibri" w:hAnsi="Calibri" w:cs="Calibri" w:eastAsia="Calibri"/>
          <w:color w:val="auto"/>
          <w:spacing w:val="0"/>
          <w:position w:val="0"/>
          <w:sz w:val="24"/>
          <w:shd w:fill="FFFF00" w:val="clear"/>
        </w:rPr>
        <w:t xml:space="preserve"> button after choosing the regions for imaging. Wait for the machine to finish scanning. Check the result file and export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profile is unsuitable for the slide, adjust by refocusing and changing the exposure time or light strength to adapt the profile to the tissues. Refer to the instructions for the scanner for more technical details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chart of this protocol is briefly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laboratory’s cryosectioning procedure is demonstrated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which 5 brain samples were sectioned simultaneously. The mounting of brain sections is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a fully mounted slide with brain sections is illustrated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representative fluorescence immunohistochemistry images of a mouse brain section with co-staining of WFA and AVP at lower and higher magnification at Bregma -0.82 mm. AVP signals were observed in the paraventricular nucleus and the supraoptic nucleus. WFA signals were observed in the perifornical area of the anterior hypothalamus and the reticular nucleus.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fluorescence immunohistochemistry with mouse brains</w:t>
      </w:r>
      <w:r>
        <w:rPr>
          <w:rFonts w:ascii="Calibri" w:hAnsi="Calibri" w:cs="Calibri" w:eastAsia="Calibri"/>
          <w:color w:val="auto"/>
          <w:spacing w:val="0"/>
          <w:position w:val="0"/>
          <w:sz w:val="24"/>
          <w:shd w:fill="auto" w:val="clear"/>
        </w:rPr>
        <w:t xml:space="preserve">. Following complete anesthesia, a mouse is perfused with saline and then 10% NBF. The brain is carefully removed and cut into sections after fixation and dehydration. The sections were incubated with WFA followed by Streptavidin-daylight 488 after three washes with PBS. The brain sections were blocked and then incubated with a primary anti-AVP antibody. Then, the sections were washed 3 times with PBS followed by incubation with the secondary antibody, Alexa Flour 594 donkey anti-rabbit IgG (H+L). The brain sections were mounted on slides and coverslips placed on the slides with antifading mounting medium with DAPI before imaging. Abbreviations: NBF = neutral buffered formalin; WFA = Wisteria florbunda agglutinin; PBS = phosphate-buffered saline; AVP = arginine vasopressin;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Photos illustrating practical cryosectioning and mounting in the laboratory.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Build up a base on top of the plate with 30% sucrose to hold all samples horizontally, cut the tissues into sections (25 &amp;#181;m/section) and collect the sections into a 48-well cell culture plate filled with phosphate-buffered saline.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Submerge a slide in the dish with one end slightly tilted with a stand. Place each row of sections under the air-buffer interface and lower the buffer to bring the sections out of the buffer until the bottom of the slide. The white line indicates the interface of buffer and air.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fully mounted slide with brain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example of double immunofluorescent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Microscopic images showing the distribution of WFA (red,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AVP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DAPI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merged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coronal mouse brain sections at Bregma -0.82 mm. Scale bars = 200 &amp;#181;m.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Higher magnification microscopic images of the white boxes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Scale bars = 100 &amp;#181;m. Abbreviations: 3V = third ventricle; PeFAH = perifornical area of the anterior hypothalamus; PVH = paraventricular nucleus; RT = reticular nucleus; SON = supraoptic nucleus.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established method for neuroanatomical studies of the mouse brain, including perfusion, tissue sectioning, free-floating immunostaining, slide mounting, and imaging. However, a few key details essential for consistent and reliable results must be optimized.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perfusion is critical for successful staining. Staining results might be affected if blood remains in the brain, given that blood cells (e.g., red blood cells) can generate an artificial ‘positive’ staining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infer the presence of a brownish-gray liver to indicate a high quality of perfusion, which usually results in blood-free brains. The automated perfusion pump used in this protocol helps to perfuse one animal successfully within a short period. Insufficient fixation will generate soft and fragile brain sections in the subsequent procedures, while over fixation will reduce the sensitivity of antigen reactions due to the enhanced formaldehyde cross-linking of proteins. Different conditions were tested, and overnight fixation at 4 &amp;#176;C was sufficient for post-fixation of mouse brains. In addition to 10% NBF used in the present protocol as a fixative buffer, 4% (w/v) of freshly prepared paraformaldehyde (PFA) in PBS has also been extensively used for tissue fixation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cryosectioning, the thickness of sections needs to be decided depending on the specific needs. For instance, RNAscope studies require a thickness of 14 &amp;#181;m instead of 25 &amp;#181;m, commonly used in free-floating staining. Meanwhile, RNAscope studies require that all procedures are performed in RNAase-free solutions to preserve the integrity of the target mRNAs. Some researchers also use a section thickness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&amp;#181;m for a variety of staining procedures. Conventional cryosectioning (i.e., optimal cutting temperature (O.C.T.) compound-embedded samples) allows for much thinner (e.g., 10 &amp;#181;m) brain sections that might be crucial for intracellular structures or other applications. The current cryosectioning strategy does not necessarily involve O.C.T. compound-embedding of brain samples and allows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&amp;#181;m sections. There may be no significant difference for 3,3-diaminobenzidine (DAB) staining using 25 or 40 &amp;#181;m thick brain sections. However, thinner sections offer better-quality fluorescence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 of this strategy is that multiple brain samples (up to 5 brains) can be cut at one time. However, the limitation of this method is that brain samples need to be cut within 1 week after dehydration because submersion in 30% sucrose for too long is more likely to cause protein degradation and other issues. To avoid this potential issue, these brain sections can be transferred into the cryoprotectant buffer and stored at -20 &amp;#176;C. For free-floating staining, the duration of incubation and concentration of both primary and secondary antibodies should be optimized in pilot studies. Generally, overnight incubation at 4 &amp;#176;C or room temperature with mild shaking is appropriate for most primary antibodies, if not instructed otherwise by manufacturers. For secondary antibodies, incubation at room temperature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works well in most situations. However, these details must be optimized for various circumstances. For example, for c-fos staining, we typically incubate the brain sections with a concentration of 1:1,000 overnight at 4 &amp;#176;C for immunofluorescent staining. However, using the same antibody for c-fos DAB staining, we prefer to incubate brain sections with a concentration of 1:5,000 for 48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cocktail of primary antibodies and secondary antibodies might be used for double-staining to speed up the procedure. More specifically, two different primary antibodies from different species (e.g., one is from rabbit, the other one is from guinea pig, chicken, or mouse) are mixed before incubation, as are the corresponding secondary antibodies. The choice of secondary antibody is dependent on the primary antibody. If the primary antibody is from rabbit, the secondary antibody must be anti-rabbit, for example, donkey anti-rabbit or goat anti-rabbit. The selection of blocking serum depends on the secondary antibody; for example, normal donkey serum will be used if the secondary antibody is from donkey. Antigen retrieval is suggested if the immunostaining still does not work even if all guidelines have been followed strictly.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Mounting and coverslipping of brain sections must be performed in a very delicate manner. The whole process requires no wrinkles, folds, or air bubbles. It will take several trials to determine the optimal exposure time for imaging. We recommend the same exposure time for the same antibody across different sections, which is essential for comparing the signal intensities among different animals or groups. It is reasonable that exposure time might not be the same for different antibodies, even in the same section. For example, the exposure time for DAPI might be shorter than the c-fos signal in most cases.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few procedures presented in the protocol are helpful to improve both reliability and efficiency throughout the whole process. 1) Using an automated perfusion pump for perfusion can considerably shorten perfusion time and significantly improve tissue quality. 2) This cryosectioning strategy enables slicing multiple brain samples simultaneously, which is much more efficient than conventional practice. This method is also easy for new researchers to learn and master. 3) For free-floating staining, as brain samples are stained in suspension, antibodies can penetrate the sections from both sides. We optimized the incubation strategy by placing all sections from one sample/series into a 1.5 mL microcentrifuge tube for primary and secondary antibodies, which saves antibodies, particularly when we need to stain brain samples in bulk. Another benefit of the free-floating approach is that it can be modified and applied to other histochemical staining methods (e.g., chromogenic IHC, hematoxylin and eosin, cresyl violet) in addition to immunofluorescent staining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one limitation of free-floating staining is that very thin sections can be difficult to handle. An on-slide staining method might be considered if only a few sections need to be collected and stained immediately, as is frequently the case in clinical pathology. We also tested the on-slide staining method using brain sections generated from this protocol, and it worked well. To do this, mount the brain sections onto slides, wait for the sections to dry, and follow the regular frozen section on-slide staining protocol. 4) Mounting free-floating sections on the slides can be tedious for certain researchers, especially for beginners. We use a fine paintbrush to gently coax sections onto the slide at the air-buffer interface and then use a transfer pipette to gently remove the buffer to lower the air-buffer interface as mounting advances from the top to the bottom of the slide. Although time-consuming, this strategy is friendly to beginners. Experienced experimenters can mount all the brains sections onto the slides in PBS at one time and only remove the buffer to bring the slide out after the last section is mounted. 5) Finally, we use a scanner for imaging, which is more efficient than fluorescence microscopy, especially when there are a large number of slides for imaging. The scanner enables scanning up to 12 slides in one batch with a 20x magnification. Alternatively, standard fluorescence microscopy can be employed in certain circumstances, for example, when a specific cluster of neurons in the brain must be showcased with a higher magnification (e.g., 40x or even 60x)</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paper presents an established methodology for histological studies of mouse brains that has been proven to be reproducible, reliable, and efficient. The protocol will help generate optimal and consistent histological results among different researchers and laboratories and serve as a reference for beginners to learn this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investigators were supported by grants from the NIH (K01DK119471 to CW; P01DK113954, R01DK115761, R01DK117281, R01DK125480, and R01DK120858 to YX), USDA/CRIS (51000-064-01S to YX), and American Heart Association Postdoctoral Fellowship (#829565) to 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Must, A. et al. The Disease burden associated with overweight and obesity.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(16), 1523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Apovian, C. M. Obesity: definition, comorbidities, causes, and burden. </w:t>
      </w:r>
      <w:r>
        <w:rPr>
          <w:rFonts w:ascii="Calibri" w:hAnsi="Calibri" w:cs="Calibri" w:eastAsia="Calibri"/>
          <w:i/>
          <w:color w:val="auto"/>
          <w:spacing w:val="0"/>
          <w:position w:val="0"/>
          <w:sz w:val="24"/>
          <w:shd w:fill="auto" w:val="clear"/>
        </w:rPr>
        <w:t xml:space="preserve">The American Journal of Managed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Suppl), s176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Wong, S. K., Chin, K. Y., Suhaimi, F. H., Fairus, A., Ima-Nirwana, S. Animal models of metabolic syndrome: a review. </w:t>
      </w:r>
      <w:r>
        <w:rPr>
          <w:rFonts w:ascii="Calibri" w:hAnsi="Calibri" w:cs="Calibri" w:eastAsia="Calibri"/>
          <w:i/>
          <w:color w:val="auto"/>
          <w:spacing w:val="0"/>
          <w:position w:val="0"/>
          <w:sz w:val="24"/>
          <w:shd w:fill="auto" w:val="clear"/>
        </w:rPr>
        <w:t xml:space="preserve">Nutrition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Kennedy, A. J., Ellacott, K. L., King, V. L., Hasty, A. H. Mouse models of the metabolic syndrome.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Schacht, V., Kern, J. S. Basics of immunohistochemistry.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Mepham, B. L., Britten, K. J. M. Immunostaining methods for frozen and paraffin sections. in </w:t>
      </w:r>
      <w:r>
        <w:rPr>
          <w:rFonts w:ascii="Calibri" w:hAnsi="Calibri" w:cs="Calibri" w:eastAsia="Calibri"/>
          <w:i/>
          <w:color w:val="auto"/>
          <w:spacing w:val="0"/>
          <w:position w:val="0"/>
          <w:sz w:val="24"/>
          <w:shd w:fill="auto" w:val="clear"/>
        </w:rPr>
        <w:t xml:space="preserve">Lymphoproliferative Diseases</w:t>
      </w:r>
      <w:r>
        <w:rPr>
          <w:rFonts w:ascii="Calibri" w:hAnsi="Calibri" w:cs="Calibri" w:eastAsia="Calibri"/>
          <w:color w:val="auto"/>
          <w:spacing w:val="0"/>
          <w:position w:val="0"/>
          <w:sz w:val="24"/>
          <w:shd w:fill="auto" w:val="clear"/>
        </w:rPr>
        <w:t xml:space="preserve">. Jones, D. B., Wright, D. H. (eds), Springer, Dordrecht,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TPH2 in the dorsal raphe nuclei regulates energy balance in a sex-dependent manner.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Liu, H.et al. Defining vitamin D receptor expression in the brain using a novel VDR(Cre) mouse.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 </w:t>
      </w:r>
      <w:r>
        <w:rPr>
          <w:rFonts w:ascii="Calibri" w:hAnsi="Calibri" w:cs="Calibri" w:eastAsia="Calibri"/>
          <w:color w:val="auto"/>
          <w:spacing w:val="0"/>
          <w:position w:val="0"/>
          <w:sz w:val="24"/>
          <w:shd w:fill="auto" w:val="clear"/>
        </w:rPr>
        <w:t xml:space="preserve">(9), 2362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(65), e3564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Whittington, N. C., Wray, S. Suppression of red blood cell autofluorescence for immunocytochemistry on fixed embryonic mouse tissue.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Zeller, R. Fixation, embedding, and sectioning of tissues, embryos, and single cells. </w:t>
      </w:r>
      <w:r>
        <w:rPr>
          <w:rFonts w:ascii="Calibri" w:hAnsi="Calibri" w:cs="Calibri" w:eastAsia="Calibri"/>
          <w:i/>
          <w:color w:val="auto"/>
          <w:spacing w:val="0"/>
          <w:position w:val="0"/>
          <w:sz w:val="24"/>
          <w:shd w:fill="auto" w:val="clear"/>
        </w:rPr>
        <w:t xml:space="preserve">Current Protocols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3</w:t>
      </w:r>
      <w:r>
        <w:rPr>
          <w:rFonts w:ascii="Calibri" w:hAnsi="Calibri" w:cs="Calibri" w:eastAsia="Calibri"/>
          <w:color w:val="auto"/>
          <w:spacing w:val="0"/>
          <w:position w:val="0"/>
          <w:sz w:val="24"/>
          <w:shd w:fill="auto" w:val="clear"/>
        </w:rPr>
        <w:t xml:space="preserve">: 3D, doi: 10.1002/047114155.pha03ds07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Potts, E. M., Coppotelli, G., Ross, J. M. Histological-based stainings using free-floating tissue sections.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(162), e61622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small potassium current in AgRP/NPY neurons regulates feeding behavior and energy metabolism.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1807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Xu,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of serotonin 2C receptors in dopamine neurons inhibits binge-like eating in mice. </w:t>
      </w:r>
      <w:r>
        <w:rPr>
          <w:rFonts w:ascii="Calibri" w:hAnsi="Calibri" w:cs="Calibri" w:eastAsia="Calibri"/>
          <w:i/>
          <w:color w:val="auto"/>
          <w:spacing w:val="0"/>
          <w:position w:val="0"/>
          <w:sz w:val="24"/>
          <w:shd w:fill="auto" w:val="clear"/>
        </w:rPr>
        <w:t xml:space="preserve">Biololgical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(9),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747 (2017).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