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567BF" w14:textId="77777777" w:rsidR="00CD79D8" w:rsidRDefault="00CD79D8" w:rsidP="00CD79D8">
      <w:r>
        <w:rPr>
          <w:rStyle w:val="Strong"/>
        </w:rPr>
        <w:t>Editorial comments:</w:t>
      </w:r>
    </w:p>
    <w:p w14:paraId="35E9EA39" w14:textId="77777777" w:rsidR="00CD79D8" w:rsidRDefault="00CD79D8" w:rsidP="00CD79D8">
      <w:r>
        <w:t>1. The Manuscript has been modified to fit the journal standard. Some comments to be addressed are included in the manuscript. Please review and revise accordingly.</w:t>
      </w:r>
    </w:p>
    <w:p w14:paraId="69CB4C65" w14:textId="77777777" w:rsidR="00387DE3" w:rsidRDefault="00387DE3" w:rsidP="00CD79D8">
      <w:pPr>
        <w:rPr>
          <w:color w:val="FF0000"/>
        </w:rPr>
      </w:pPr>
      <w:r>
        <w:rPr>
          <w:color w:val="FF0000"/>
        </w:rPr>
        <w:t>The sentence is step 4.7 has been rewritten to add clarity.</w:t>
      </w:r>
    </w:p>
    <w:p w14:paraId="373EA7AB" w14:textId="77777777" w:rsidR="00387DE3" w:rsidRPr="00387DE3" w:rsidRDefault="00387DE3" w:rsidP="00CD79D8">
      <w:pPr>
        <w:rPr>
          <w:b/>
          <w:color w:val="FF0000"/>
        </w:rPr>
      </w:pPr>
      <w:r>
        <w:rPr>
          <w:color w:val="FF0000"/>
        </w:rPr>
        <w:t>The change in step 5.3.13 has been verified and the change is correct: the name of the box that is chosen is Save and Disconnect. A screenshot of the step is included below to demonstrate the option.</w:t>
      </w:r>
    </w:p>
    <w:p w14:paraId="79B310F3" w14:textId="77777777" w:rsidR="00CD79D8" w:rsidRDefault="00CD79D8" w:rsidP="00CD79D8">
      <w:r>
        <w:t>2. Please reduce the usage of “Oxygraph-2k” in the manuscript.</w:t>
      </w:r>
    </w:p>
    <w:p w14:paraId="659E4591" w14:textId="77777777" w:rsidR="00387DE3" w:rsidRDefault="00387DE3" w:rsidP="00CD79D8">
      <w:pPr>
        <w:rPr>
          <w:color w:val="FF0000"/>
        </w:rPr>
      </w:pPr>
      <w:r>
        <w:rPr>
          <w:color w:val="FF0000"/>
        </w:rPr>
        <w:t>We have reduced the usage of “Oxygraph-2k” in the manuscript. It appears in line 38 of the abstract and line 73 of the introduction, which includes the O2k abbreviation. The O2k abbreviation is used in line 241 of the protocol and line 836 of the discussion. We additionally removed four uses of “Oxygraph” in the protocol (steps 3.4, 5.1, 6.1, and 9.1.2</w:t>
      </w:r>
      <w:r w:rsidR="007D6982">
        <w:rPr>
          <w:color w:val="FF0000"/>
        </w:rPr>
        <w:t>)</w:t>
      </w:r>
      <w:r w:rsidR="00737843">
        <w:rPr>
          <w:color w:val="FF0000"/>
        </w:rPr>
        <w:t>.</w:t>
      </w:r>
    </w:p>
    <w:p w14:paraId="03DFBF4B" w14:textId="77777777" w:rsidR="00CD79D8" w:rsidRDefault="00CD79D8" w:rsidP="00CD79D8">
      <w:r>
        <w:t>3. The table of abbreviations has been removed. They have been included in the appropriate lines/sections. Please define “As/Tm” in line 760.</w:t>
      </w:r>
    </w:p>
    <w:p w14:paraId="39BA5E23" w14:textId="77777777" w:rsidR="00737843" w:rsidRPr="00AF376C" w:rsidRDefault="00AF376C" w:rsidP="00CD79D8">
      <w:pPr>
        <w:rPr>
          <w:color w:val="FF0000"/>
        </w:rPr>
      </w:pPr>
      <w:r>
        <w:rPr>
          <w:color w:val="FF0000"/>
        </w:rPr>
        <w:t>“As/Tm” has now been defined in line 760.</w:t>
      </w:r>
    </w:p>
    <w:p w14:paraId="3DBA3FE7" w14:textId="77777777" w:rsidR="00CD79D8" w:rsidRDefault="00CD79D8" w:rsidP="00CD79D8">
      <w:r>
        <w:t>4. Please change the unit in all the Figures and Table 1 to “pmol/s/mg” instead of “pmol/sec/mg”</w:t>
      </w:r>
    </w:p>
    <w:p w14:paraId="2D325CEE" w14:textId="77777777" w:rsidR="00135B74" w:rsidRPr="00135B74" w:rsidRDefault="00135B74" w:rsidP="00CD79D8">
      <w:pPr>
        <w:rPr>
          <w:color w:val="FF0000"/>
        </w:rPr>
      </w:pPr>
      <w:r w:rsidRPr="00654ABF">
        <w:rPr>
          <w:color w:val="FF0000"/>
        </w:rPr>
        <w:t>We have changed the unit in all the Figures and Table 1 to pmol/s/mg.</w:t>
      </w:r>
    </w:p>
    <w:p w14:paraId="0023F267" w14:textId="77777777" w:rsidR="00CD79D8" w:rsidRDefault="00CD79D8" w:rsidP="00CD79D8">
      <w:r>
        <w:t>5. Please ensure that all the comments to the rebuttals are included in the manuscript in the appropriate sections.</w:t>
      </w:r>
    </w:p>
    <w:p w14:paraId="7E170805" w14:textId="78BE2E55" w:rsidR="00E93D67" w:rsidRDefault="00E93D67" w:rsidP="00CD79D8">
      <w:pPr>
        <w:rPr>
          <w:color w:val="FF0000"/>
        </w:rPr>
      </w:pPr>
      <w:r w:rsidRPr="00654ABF">
        <w:rPr>
          <w:color w:val="FF0000"/>
        </w:rPr>
        <w:t xml:space="preserve">All comments to the rebuttals </w:t>
      </w:r>
      <w:r w:rsidR="00654ABF" w:rsidRPr="00654ABF">
        <w:rPr>
          <w:color w:val="FF0000"/>
        </w:rPr>
        <w:t>have been incorporated</w:t>
      </w:r>
      <w:r w:rsidRPr="00654ABF">
        <w:rPr>
          <w:color w:val="FF0000"/>
        </w:rPr>
        <w:t xml:space="preserve"> in</w:t>
      </w:r>
      <w:r w:rsidR="00654ABF" w:rsidRPr="00654ABF">
        <w:rPr>
          <w:color w:val="FF0000"/>
        </w:rPr>
        <w:t>to</w:t>
      </w:r>
      <w:r w:rsidRPr="00654ABF">
        <w:rPr>
          <w:color w:val="FF0000"/>
        </w:rPr>
        <w:t xml:space="preserve"> the manuscript.</w:t>
      </w:r>
    </w:p>
    <w:p w14:paraId="549BA745" w14:textId="77777777" w:rsidR="008C19A0" w:rsidRPr="00F45132" w:rsidRDefault="008C19A0" w:rsidP="00CD79D8">
      <w:pPr>
        <w:rPr>
          <w:b/>
          <w:color w:val="FF0000"/>
        </w:rPr>
      </w:pPr>
      <w:r w:rsidRPr="00F45132">
        <w:rPr>
          <w:b/>
          <w:color w:val="FF0000"/>
        </w:rPr>
        <w:t>For Reviewer #1, minor concern #1</w:t>
      </w:r>
    </w:p>
    <w:p w14:paraId="726CE93D" w14:textId="77777777" w:rsidR="00EB0BE8" w:rsidRDefault="008C19A0" w:rsidP="00CD79D8">
      <w:pPr>
        <w:rPr>
          <w:color w:val="FF0000"/>
        </w:rPr>
      </w:pPr>
      <w:r>
        <w:rPr>
          <w:color w:val="FF0000"/>
        </w:rPr>
        <w:t>We have added the response to the discussion: “these SUIT protocols have been developed to measure functional capaci</w:t>
      </w:r>
      <w:r w:rsidR="00577C57">
        <w:rPr>
          <w:color w:val="FF0000"/>
        </w:rPr>
        <w:t xml:space="preserve">ty and thus the contribution of </w:t>
      </w:r>
      <w:r>
        <w:rPr>
          <w:color w:val="FF0000"/>
        </w:rPr>
        <w:t xml:space="preserve">potential </w:t>
      </w:r>
      <w:r w:rsidR="00577C57">
        <w:rPr>
          <w:color w:val="FF0000"/>
        </w:rPr>
        <w:t xml:space="preserve">endogenous </w:t>
      </w:r>
      <w:r>
        <w:rPr>
          <w:color w:val="FF0000"/>
        </w:rPr>
        <w:t>substrates have no impact on the capacity measurement. We analytically account for non-mitochondrial oxygen consumption and/or residual consumption of the homogenate through subtraction of the antimycin-A, rotenone, or sodium azide insensitive rates, as appropriate.”</w:t>
      </w:r>
    </w:p>
    <w:p w14:paraId="573CCDEF" w14:textId="77777777" w:rsidR="00EB0BE8" w:rsidRPr="00F45132" w:rsidRDefault="00EB0BE8" w:rsidP="00EB0BE8">
      <w:pPr>
        <w:rPr>
          <w:b/>
          <w:color w:val="FF0000"/>
        </w:rPr>
      </w:pPr>
      <w:r w:rsidRPr="00F45132">
        <w:rPr>
          <w:b/>
          <w:color w:val="FF0000"/>
        </w:rPr>
        <w:t>For Reviewer #1, minor concern #2</w:t>
      </w:r>
    </w:p>
    <w:p w14:paraId="52B51E91" w14:textId="77777777" w:rsidR="00F45132" w:rsidRDefault="00EB0BE8" w:rsidP="00EB0BE8">
      <w:pPr>
        <w:rPr>
          <w:color w:val="FF0000"/>
        </w:rPr>
      </w:pPr>
      <w:r>
        <w:rPr>
          <w:color w:val="FF0000"/>
        </w:rPr>
        <w:t>We have added the response to the discussion: “We controlled for auto-oxidation of ascorbate/TMPD/</w:t>
      </w:r>
      <w:proofErr w:type="spellStart"/>
      <w:r>
        <w:rPr>
          <w:color w:val="FF0000"/>
        </w:rPr>
        <w:t>cyt</w:t>
      </w:r>
      <w:proofErr w:type="spellEnd"/>
      <w:r>
        <w:rPr>
          <w:color w:val="FF0000"/>
        </w:rPr>
        <w:t xml:space="preserve"> C through inhibition of CIV with sodium azide.”</w:t>
      </w:r>
    </w:p>
    <w:p w14:paraId="09628B3A" w14:textId="77777777" w:rsidR="00F45132" w:rsidRDefault="00F45132" w:rsidP="00F45132">
      <w:pPr>
        <w:rPr>
          <w:b/>
          <w:color w:val="FF0000"/>
        </w:rPr>
      </w:pPr>
      <w:r w:rsidRPr="00F45132">
        <w:rPr>
          <w:b/>
          <w:color w:val="FF0000"/>
        </w:rPr>
        <w:t>F</w:t>
      </w:r>
      <w:r>
        <w:rPr>
          <w:b/>
          <w:color w:val="FF0000"/>
        </w:rPr>
        <w:t>or Reviewer #1, minor concern #3</w:t>
      </w:r>
    </w:p>
    <w:p w14:paraId="2483EECA" w14:textId="570F5B53" w:rsidR="00F45132" w:rsidRPr="00F45132" w:rsidRDefault="00F45132" w:rsidP="00F45132">
      <w:pPr>
        <w:rPr>
          <w:b/>
          <w:color w:val="FF0000"/>
        </w:rPr>
      </w:pPr>
      <w:r w:rsidRPr="00654ABF">
        <w:rPr>
          <w:color w:val="FF0000"/>
        </w:rPr>
        <w:t xml:space="preserve">We have </w:t>
      </w:r>
      <w:r w:rsidR="00654ABF" w:rsidRPr="00654ABF">
        <w:rPr>
          <w:color w:val="FF0000"/>
        </w:rPr>
        <w:t>incorporated</w:t>
      </w:r>
      <w:r w:rsidRPr="00654ABF">
        <w:rPr>
          <w:color w:val="FF0000"/>
        </w:rPr>
        <w:t xml:space="preserve"> </w:t>
      </w:r>
      <w:r w:rsidRPr="00654ABF">
        <w:rPr>
          <w:b/>
          <w:color w:val="FF0000"/>
        </w:rPr>
        <w:t>Response Figure 2</w:t>
      </w:r>
      <w:r w:rsidRPr="00654ABF">
        <w:rPr>
          <w:color w:val="FF0000"/>
        </w:rPr>
        <w:t xml:space="preserve"> </w:t>
      </w:r>
      <w:r w:rsidR="00654ABF" w:rsidRPr="00654ABF">
        <w:rPr>
          <w:color w:val="FF0000"/>
        </w:rPr>
        <w:t xml:space="preserve">into </w:t>
      </w:r>
      <w:r w:rsidR="00654ABF" w:rsidRPr="00654ABF">
        <w:rPr>
          <w:b/>
          <w:bCs/>
          <w:color w:val="FF0000"/>
        </w:rPr>
        <w:t>Figure 2B</w:t>
      </w:r>
      <w:r w:rsidR="00D47C97">
        <w:rPr>
          <w:color w:val="FF0000"/>
        </w:rPr>
        <w:t xml:space="preserve"> and have updated the representative results text.</w:t>
      </w:r>
    </w:p>
    <w:p w14:paraId="746C7021" w14:textId="77777777" w:rsidR="00F45132" w:rsidRDefault="00F45132" w:rsidP="00EB0BE8">
      <w:pPr>
        <w:rPr>
          <w:color w:val="FF0000"/>
        </w:rPr>
      </w:pPr>
    </w:p>
    <w:p w14:paraId="7F169D64" w14:textId="77777777" w:rsidR="00DB4DC5" w:rsidRDefault="00DB4DC5" w:rsidP="00DB4DC5">
      <w:pPr>
        <w:rPr>
          <w:b/>
          <w:color w:val="FF0000"/>
        </w:rPr>
      </w:pPr>
      <w:r w:rsidRPr="00F45132">
        <w:rPr>
          <w:b/>
          <w:color w:val="FF0000"/>
        </w:rPr>
        <w:t>F</w:t>
      </w:r>
      <w:r>
        <w:rPr>
          <w:b/>
          <w:color w:val="FF0000"/>
        </w:rPr>
        <w:t>or Reviewer #2, major concern #10</w:t>
      </w:r>
    </w:p>
    <w:p w14:paraId="21A10BD4" w14:textId="35C945DE" w:rsidR="00DB4DC5" w:rsidRDefault="00DB4DC5" w:rsidP="00DB4DC5">
      <w:pPr>
        <w:rPr>
          <w:color w:val="FF0000"/>
        </w:rPr>
      </w:pPr>
      <w:r>
        <w:rPr>
          <w:color w:val="FF0000"/>
        </w:rPr>
        <w:lastRenderedPageBreak/>
        <w:t xml:space="preserve">We have added the response to the discussion: </w:t>
      </w:r>
      <w:r w:rsidR="00727981">
        <w:rPr>
          <w:color w:val="FF0000"/>
        </w:rPr>
        <w:t>“</w:t>
      </w:r>
      <w:r w:rsidR="00654ABF">
        <w:rPr>
          <w:color w:val="FF0000"/>
        </w:rPr>
        <w:t>we slightly overfill the chambers when adding homogenate and thus when we close the chamber fully, the chamber capillary remains full. This will use up some oxygen in the chamber, but with optimization of sample concentration we can account for this consumption in determining what oxygen level to start with. Alternatively, the sample can be allowed to equilibrate at ambient oxygen before the chamber is closed, but this will often increase the amount of time before the experiment starts and delay the addition of substrates.</w:t>
      </w:r>
    </w:p>
    <w:p w14:paraId="3A4F794A" w14:textId="77777777" w:rsidR="00727981" w:rsidRDefault="00727981" w:rsidP="00727981">
      <w:pPr>
        <w:rPr>
          <w:b/>
          <w:color w:val="FF0000"/>
        </w:rPr>
      </w:pPr>
      <w:r w:rsidRPr="00F45132">
        <w:rPr>
          <w:b/>
          <w:color w:val="FF0000"/>
        </w:rPr>
        <w:t>F</w:t>
      </w:r>
      <w:r>
        <w:rPr>
          <w:b/>
          <w:color w:val="FF0000"/>
        </w:rPr>
        <w:t>or Reviewer #2, major concern #12</w:t>
      </w:r>
    </w:p>
    <w:p w14:paraId="15ECEB58" w14:textId="10EB8790" w:rsidR="00727981" w:rsidRPr="00DB4DC5" w:rsidRDefault="00727981" w:rsidP="00DB4DC5">
      <w:pPr>
        <w:rPr>
          <w:color w:val="FF0000"/>
        </w:rPr>
      </w:pPr>
      <w:r>
        <w:rPr>
          <w:color w:val="FF0000"/>
        </w:rPr>
        <w:t>We have added the response to the discussion: “</w:t>
      </w:r>
      <w:r w:rsidR="00654ABF">
        <w:rPr>
          <w:color w:val="FF0000"/>
        </w:rPr>
        <w:t>Inhibitors, such as rotenone and Antimycin A, are best used when saturated within the first injection. While optimal concentrations were determined in preliminary experiments, we have also observed treatment related differences in response to inhibitors and thus often add one additional injection of inhibitors to demonstrate maximal inhibition as the resultant rates serve as the basis for quantification.”</w:t>
      </w:r>
    </w:p>
    <w:p w14:paraId="3D0D522E" w14:textId="77777777" w:rsidR="00EB0BE8" w:rsidRPr="00E93D67" w:rsidRDefault="00EB0BE8" w:rsidP="00CD79D8">
      <w:pPr>
        <w:rPr>
          <w:color w:val="FF0000"/>
        </w:rPr>
      </w:pPr>
    </w:p>
    <w:p w14:paraId="431685ED" w14:textId="77777777" w:rsidR="00B551B7" w:rsidRDefault="00CD79D8" w:rsidP="00CD79D8">
      <w:r>
        <w:t>6. The highlighted steps in the revised version exceed the 3-page limit. We cannot have more than 3 pages of highlighting. Please consider removing highlights from the “NOTEs”.</w:t>
      </w:r>
    </w:p>
    <w:p w14:paraId="521CBF6C" w14:textId="77777777" w:rsidR="005E727B" w:rsidRPr="005E727B" w:rsidRDefault="005E727B" w:rsidP="00CD79D8">
      <w:pPr>
        <w:rPr>
          <w:color w:val="FF0000"/>
        </w:rPr>
      </w:pPr>
      <w:r>
        <w:rPr>
          <w:color w:val="FF0000"/>
        </w:rPr>
        <w:t>We have removed highlights from the NOTES as well as step 4.3, which account for 10 lines (including the space before the paragraph).</w:t>
      </w:r>
      <w:r w:rsidR="004E126B">
        <w:rPr>
          <w:color w:val="FF0000"/>
        </w:rPr>
        <w:t xml:space="preserve"> There are now 132 lines (including spaces) that are highlighted.</w:t>
      </w:r>
    </w:p>
    <w:sectPr w:rsidR="005E727B" w:rsidRPr="005E7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79D8"/>
    <w:rsid w:val="00086146"/>
    <w:rsid w:val="00135B74"/>
    <w:rsid w:val="00225C87"/>
    <w:rsid w:val="002F348C"/>
    <w:rsid w:val="00387DE3"/>
    <w:rsid w:val="004E126B"/>
    <w:rsid w:val="00577C57"/>
    <w:rsid w:val="005A4FE6"/>
    <w:rsid w:val="005E727B"/>
    <w:rsid w:val="0065298D"/>
    <w:rsid w:val="00654ABF"/>
    <w:rsid w:val="006A5C09"/>
    <w:rsid w:val="0072678A"/>
    <w:rsid w:val="00727981"/>
    <w:rsid w:val="00737843"/>
    <w:rsid w:val="007D6982"/>
    <w:rsid w:val="008C19A0"/>
    <w:rsid w:val="00A95981"/>
    <w:rsid w:val="00AF376C"/>
    <w:rsid w:val="00B551B7"/>
    <w:rsid w:val="00CD79D8"/>
    <w:rsid w:val="00D47C97"/>
    <w:rsid w:val="00DB4DC5"/>
    <w:rsid w:val="00E03BA7"/>
    <w:rsid w:val="00E93D67"/>
    <w:rsid w:val="00EB0BE8"/>
    <w:rsid w:val="00EB2F3C"/>
    <w:rsid w:val="00F451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41741"/>
  <w15:chartTrackingRefBased/>
  <w15:docId w15:val="{695AD55C-483B-4C57-9033-9E9027CA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D79D8"/>
    <w:rPr>
      <w:b/>
      <w:bCs/>
    </w:rPr>
  </w:style>
  <w:style w:type="paragraph" w:styleId="ListParagraph">
    <w:name w:val="List Paragraph"/>
    <w:basedOn w:val="Normal"/>
    <w:uiPriority w:val="34"/>
    <w:qFormat/>
    <w:rsid w:val="00387D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PBRC</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Zunica</dc:creator>
  <cp:keywords/>
  <dc:description/>
  <cp:lastModifiedBy>Christopher Axelrod</cp:lastModifiedBy>
  <cp:revision>2</cp:revision>
  <dcterms:created xsi:type="dcterms:W3CDTF">2021-07-19T20:15:00Z</dcterms:created>
  <dcterms:modified xsi:type="dcterms:W3CDTF">2021-07-19T20:15:00Z</dcterms:modified>
</cp:coreProperties>
</file>