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Transposon-insertion Sequencing as a Tool to Elucidate Bacterial Colonization Factors in a </w:t>
      </w:r>
      <w:r>
        <w:rPr>
          <w:rFonts w:ascii="Calibri" w:hAnsi="Calibri" w:cs="Calibri" w:eastAsia="Calibri"/>
          <w:i/>
          <w:color w:val="auto"/>
          <w:spacing w:val="0"/>
          <w:position w:val="0"/>
          <w:sz w:val="24"/>
          <w:shd w:fill="auto" w:val="clear"/>
        </w:rPr>
        <w:t xml:space="preserve">Burkholderia gladioli </w:t>
      </w:r>
      <w:r>
        <w:rPr>
          <w:rFonts w:ascii="Calibri" w:hAnsi="Calibri" w:cs="Calibri" w:eastAsia="Calibri"/>
          <w:color w:val="auto"/>
          <w:spacing w:val="0"/>
          <w:position w:val="0"/>
          <w:sz w:val="24"/>
          <w:shd w:fill="auto" w:val="clear"/>
        </w:rPr>
        <w:t xml:space="preserve">Symbiont of </w:t>
      </w:r>
      <w:r>
        <w:rPr>
          <w:rFonts w:ascii="Calibri" w:hAnsi="Calibri" w:cs="Calibri" w:eastAsia="Calibri"/>
          <w:i/>
          <w:color w:val="auto"/>
          <w:spacing w:val="0"/>
          <w:position w:val="0"/>
          <w:sz w:val="24"/>
          <w:shd w:fill="auto" w:val="clear"/>
        </w:rPr>
        <w:t xml:space="preserve">Lagria villosa </w:t>
      </w:r>
      <w:r>
        <w:rPr>
          <w:rFonts w:ascii="Calibri" w:hAnsi="Calibri" w:cs="Calibri" w:eastAsia="Calibri"/>
          <w:color w:val="auto"/>
          <w:spacing w:val="0"/>
          <w:position w:val="0"/>
          <w:sz w:val="24"/>
          <w:shd w:fill="auto" w:val="clear"/>
        </w:rPr>
        <w:t xml:space="preserve">Beetles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Ramya Ganesan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Kaltenpoth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Laura V. Fl&amp;#243;rez</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Evolutionary Ecology, Institute of Organismic and Molecular Evolution, Johannes Gutenberg University, 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Insect Symbiosis, Max Planck Institute for Chemical Ecology, Jena,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Plant and Environmental Sciences, Section for Organismal Biology, University of Copenhagen,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Ramya Ganesan</w:t>
        <w:tab/>
        <w:tab/>
        <w:tab/>
        <w:t xml:space="preserve">(raganesa@uni-mainz.de)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Kaltenpoth</w:t>
        <w:tab/>
        <w:tab/>
        <w:tab/>
        <w:t xml:space="preserve">(kaltenpoth@ice.mpg.de)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V. Fl&amp;#243;rez</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(lvf@plen.ku.dk)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rPr>
        <w:t xml:space="preserve">, Symbiont, Host colonization, Transposon sequencing, Tn5 transposon, </w:t>
      </w:r>
      <w:r>
        <w:rPr>
          <w:rFonts w:ascii="Calibri" w:hAnsi="Calibri" w:cs="Calibri" w:eastAsia="Calibri"/>
          <w:i/>
          <w:color w:val="auto"/>
          <w:spacing w:val="0"/>
          <w:position w:val="0"/>
          <w:sz w:val="24"/>
          <w:shd w:fill="auto" w:val="clear"/>
        </w:rPr>
        <w:t xml:space="preserve">Lagria villosa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an adapted method for identifying candidate insect colonization factors in a </w:t>
      </w: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rPr>
        <w:t xml:space="preserve"> beneficial symbiont. The beetle host is infected with a random mutant library generated via transposon mutagenesis, and library complexity after colonization is compared to a control grown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Inferring the biological function of genes by manipulating their activity is an essential tool for understanding the genetic underpinnings of most biological processes. Advances in molecular microbiology have seen the emergence of diverse mutagenesis techniques for the manipulation of genes. Among them, transposon-insertion sequencing (Tn-seq) is a valuable tool to simultaneously assess the functionality of many candidate genes in an untargeted way. The technique has been key to identifying molecular mechanisms for the colonization of eukaryotic hosts in several pathogenic microbes and a few beneficial symbionts.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Tn-seq is established as a method to identify colonization factors in a mutualistic </w:t>
      </w:r>
      <w:r>
        <w:rPr>
          <w:rFonts w:ascii="Calibri" w:hAnsi="Calibri" w:cs="Calibri" w:eastAsia="Calibri"/>
          <w:i/>
          <w:color w:val="auto"/>
          <w:spacing w:val="0"/>
          <w:position w:val="0"/>
          <w:sz w:val="24"/>
          <w:shd w:fill="auto" w:val="clear"/>
        </w:rPr>
        <w:t xml:space="preserve">Burkholderia gladioli</w:t>
      </w:r>
      <w:r>
        <w:rPr>
          <w:rFonts w:ascii="Calibri" w:hAnsi="Calibri" w:cs="Calibri" w:eastAsia="Calibri"/>
          <w:color w:val="auto"/>
          <w:spacing w:val="0"/>
          <w:position w:val="0"/>
          <w:sz w:val="24"/>
          <w:shd w:fill="auto" w:val="clear"/>
        </w:rPr>
        <w:t xml:space="preserve"> symbiont of the beetle </w:t>
      </w:r>
      <w:r>
        <w:rPr>
          <w:rFonts w:ascii="Calibri" w:hAnsi="Calibri" w:cs="Calibri" w:eastAsia="Calibri"/>
          <w:i/>
          <w:color w:val="auto"/>
          <w:spacing w:val="0"/>
          <w:position w:val="0"/>
          <w:sz w:val="24"/>
          <w:shd w:fill="auto" w:val="clear"/>
        </w:rPr>
        <w:t xml:space="preserve">Lagria villosa</w:t>
      </w:r>
      <w:r>
        <w:rPr>
          <w:rFonts w:ascii="Calibri" w:hAnsi="Calibri" w:cs="Calibri" w:eastAsia="Calibri"/>
          <w:color w:val="auto"/>
          <w:spacing w:val="0"/>
          <w:position w:val="0"/>
          <w:sz w:val="24"/>
          <w:shd w:fill="auto" w:val="clear"/>
        </w:rPr>
        <w:t xml:space="preserve">. By conjugation, Tn5 transposon-mediated insertion of an antibiotic-resistance cassette was carried out at random genomic locations in </w:t>
      </w:r>
      <w:r>
        <w:rPr>
          <w:rFonts w:ascii="Calibri" w:hAnsi="Calibri" w:cs="Calibri" w:eastAsia="Calibri"/>
          <w:i/>
          <w:color w:val="auto"/>
          <w:spacing w:val="0"/>
          <w:position w:val="0"/>
          <w:sz w:val="24"/>
          <w:shd w:fill="auto" w:val="clear"/>
        </w:rPr>
        <w:t xml:space="preserve">B. gladioli</w:t>
      </w:r>
      <w:r>
        <w:rPr>
          <w:rFonts w:ascii="Calibri" w:hAnsi="Calibri" w:cs="Calibri" w:eastAsia="Calibri"/>
          <w:color w:val="auto"/>
          <w:spacing w:val="0"/>
          <w:position w:val="0"/>
          <w:sz w:val="24"/>
          <w:shd w:fill="auto" w:val="clear"/>
        </w:rPr>
        <w:t xml:space="preserve">. To identify the effect of gene disruptions on the ability of the bacteria to colonize the beetle host, the generated </w:t>
      </w:r>
      <w:r>
        <w:rPr>
          <w:rFonts w:ascii="Calibri" w:hAnsi="Calibri" w:cs="Calibri" w:eastAsia="Calibri"/>
          <w:i/>
          <w:color w:val="auto"/>
          <w:spacing w:val="0"/>
          <w:position w:val="0"/>
          <w:sz w:val="24"/>
          <w:shd w:fill="auto" w:val="clear"/>
        </w:rPr>
        <w:t xml:space="preserve">B. gladioli</w:t>
      </w:r>
      <w:r>
        <w:rPr>
          <w:rFonts w:ascii="Calibri" w:hAnsi="Calibri" w:cs="Calibri" w:eastAsia="Calibri"/>
          <w:color w:val="auto"/>
          <w:spacing w:val="0"/>
          <w:position w:val="0"/>
          <w:sz w:val="24"/>
          <w:shd w:fill="auto" w:val="clear"/>
        </w:rPr>
        <w:t xml:space="preserve"> transposon-mutant library is inoculated on the beetle eggs, while a control is grown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a liquid culture medium. After allowing sufficient time for colonization, DNA is extracted from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grown libraries. Following a DNA library preparation protocol, the DNA samples are prepared for transposon-insertion sequencing. DNA fragments that contain the transposon-insert edge and flanking bacterial DNA are selected, and the mutation sites are determined by sequencing away from the transposon-insert edge. Finally, by analyzing and comparing the frequencies of each mutant between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libraries, the importance of specific symbiont genes during beetle colonization can be predicted.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Burkholderia gladioli </w:t>
      </w:r>
      <w:r>
        <w:rPr>
          <w:rFonts w:ascii="Calibri" w:hAnsi="Calibri" w:cs="Calibri" w:eastAsia="Calibri"/>
          <w:color w:val="auto"/>
          <w:spacing w:val="0"/>
          <w:position w:val="0"/>
          <w:sz w:val="24"/>
          <w:shd w:fill="auto" w:val="clear"/>
        </w:rPr>
        <w:t xml:space="preserve">can engage in a symbiotic association with </w:t>
      </w:r>
      <w:r>
        <w:rPr>
          <w:rFonts w:ascii="Calibri" w:hAnsi="Calibri" w:cs="Calibri" w:eastAsia="Calibri"/>
          <w:i/>
          <w:color w:val="auto"/>
          <w:spacing w:val="0"/>
          <w:position w:val="0"/>
          <w:sz w:val="24"/>
          <w:shd w:fill="auto" w:val="clear"/>
        </w:rPr>
        <w:t xml:space="preserve">Lagria villosa </w:t>
      </w:r>
      <w:r>
        <w:rPr>
          <w:rFonts w:ascii="Calibri" w:hAnsi="Calibri" w:cs="Calibri" w:eastAsia="Calibri"/>
          <w:color w:val="auto"/>
          <w:spacing w:val="0"/>
          <w:position w:val="0"/>
          <w:sz w:val="24"/>
          <w:shd w:fill="auto" w:val="clear"/>
        </w:rPr>
        <w:t xml:space="preserve">beetles, playing an important role in defense against microbial antagonists of the insect host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Female beetles house several strains of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in specialized glands accessory to the reproductive system. Upon egg-laying, females smear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cells on the egg surface where antimicrobial compounds produced by </w:t>
      </w:r>
      <w:r>
        <w:rPr>
          <w:rFonts w:ascii="Calibri" w:hAnsi="Calibri" w:cs="Calibri" w:eastAsia="Calibri"/>
          <w:i/>
          <w:color w:val="auto"/>
          <w:spacing w:val="0"/>
          <w:position w:val="0"/>
          <w:sz w:val="24"/>
          <w:shd w:fill="auto" w:val="clear"/>
        </w:rPr>
        <w:t xml:space="preserve">B. gladioli</w:t>
      </w:r>
      <w:r>
        <w:rPr>
          <w:rFonts w:ascii="Calibri" w:hAnsi="Calibri" w:cs="Calibri" w:eastAsia="Calibri"/>
          <w:color w:val="auto"/>
          <w:spacing w:val="0"/>
          <w:position w:val="0"/>
          <w:sz w:val="24"/>
          <w:shd w:fill="auto" w:val="clear"/>
        </w:rPr>
        <w:t xml:space="preserve"> inhibit infections by entomopathogenic fungi</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During late embryonic development or early after the larvae hatch, the bacteria colonize cuticular invaginations on the dorsal surface of the larvae. Despite this specialized localization and vertical transmission route of the symbionts, </w:t>
      </w:r>
      <w:r>
        <w:rPr>
          <w:rFonts w:ascii="Calibri" w:hAnsi="Calibri" w:cs="Calibri" w:eastAsia="Calibri"/>
          <w:i/>
          <w:color w:val="auto"/>
          <w:spacing w:val="0"/>
          <w:position w:val="0"/>
          <w:sz w:val="24"/>
          <w:shd w:fill="auto" w:val="clear"/>
        </w:rPr>
        <w:t xml:space="preserve">L. villosa </w:t>
      </w:r>
      <w:r>
        <w:rPr>
          <w:rFonts w:ascii="Calibri" w:hAnsi="Calibri" w:cs="Calibri" w:eastAsia="Calibri"/>
          <w:color w:val="auto"/>
          <w:spacing w:val="0"/>
          <w:position w:val="0"/>
          <w:sz w:val="24"/>
          <w:shd w:fill="auto" w:val="clear"/>
        </w:rPr>
        <w:t xml:space="preserve">can presumably also acquire </w:t>
      </w:r>
      <w:r>
        <w:rPr>
          <w:rFonts w:ascii="Calibri" w:hAnsi="Calibri" w:cs="Calibri" w:eastAsia="Calibri"/>
          <w:i/>
          <w:color w:val="auto"/>
          <w:spacing w:val="0"/>
          <w:position w:val="0"/>
          <w:sz w:val="24"/>
          <w:shd w:fill="auto" w:val="clear"/>
        </w:rPr>
        <w:t xml:space="preserve">B. gladioli</w:t>
      </w:r>
      <w:r>
        <w:rPr>
          <w:rFonts w:ascii="Calibri" w:hAnsi="Calibri" w:cs="Calibri" w:eastAsia="Calibri"/>
          <w:color w:val="auto"/>
          <w:spacing w:val="0"/>
          <w:position w:val="0"/>
          <w:sz w:val="24"/>
          <w:shd w:fill="auto" w:val="clear"/>
        </w:rPr>
        <w:t xml:space="preserve"> horizontally from the environment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at least three strains of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have been found in association with </w:t>
      </w:r>
      <w:r>
        <w:rPr>
          <w:rFonts w:ascii="Calibri" w:hAnsi="Calibri" w:cs="Calibri" w:eastAsia="Calibri"/>
          <w:i/>
          <w:color w:val="auto"/>
          <w:spacing w:val="0"/>
          <w:position w:val="0"/>
          <w:sz w:val="24"/>
          <w:shd w:fill="auto" w:val="clear"/>
        </w:rPr>
        <w:t xml:space="preserve">L. villosa</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Among these,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is the only one that is amenable to cultivation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has a genome size of 8.56 Mb</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contains 7,468 genes. Which of these genes are important for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bacteria to colonize the beetle host? To answer this question, we used transposon-insertion sequencing (Tn-seq), an explorative method to identify conditionally essential microbial genes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mutant library of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was created using a Tn5 transposon. Through conjugation from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donor cells to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a pRL27 plasmid carrying the Tn5 transposon and an antibiotic resistance cassette flanked by inverted repeats was transferred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Thereby, a set of mutants that individually carry disruptions of 3,736 symbiont genes was generated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mutant pool was infected onto beetle eggs to identify the colonization factors 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a control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also grown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King’s B (KB) medium. After allowing sufficient time for colonization, hatched larvae were collected and pooled for DNA extraction. Fragments of DNA containing the transposon insert and the flanking genomic region of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were selected using a modified DNA library preparation protocol for sequencing. Read quality processing followed by analysis with DESeq2 was carried out to identify specific genes crucial for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to colonize </w:t>
      </w:r>
      <w:r>
        <w:rPr>
          <w:rFonts w:ascii="Calibri" w:hAnsi="Calibri" w:cs="Calibri" w:eastAsia="Calibri"/>
          <w:i/>
          <w:color w:val="auto"/>
          <w:spacing w:val="0"/>
          <w:position w:val="0"/>
          <w:sz w:val="24"/>
          <w:shd w:fill="auto" w:val="clear"/>
        </w:rPr>
        <w:t xml:space="preserve">L. villosa </w:t>
      </w:r>
      <w:r>
        <w:rPr>
          <w:rFonts w:ascii="Calibri" w:hAnsi="Calibri" w:cs="Calibri" w:eastAsia="Calibri"/>
          <w:color w:val="auto"/>
          <w:spacing w:val="0"/>
          <w:position w:val="0"/>
          <w:sz w:val="24"/>
          <w:shd w:fill="auto" w:val="clear"/>
        </w:rPr>
        <w:t xml:space="preserve">larvae when transmitted via the egg surface.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Media and buffer preparation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KB and LB media and agar plates as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autoclave at 121 &amp;#176;C, 15 psi,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50 &amp;#181;g/mL filter-sterilized kanamycin and 300 &amp;#181;M filter-sterilized 2,6-diaminopimelic acid (DAP) to the autoclaved LB medium before culturing </w:t>
      </w:r>
      <w:r>
        <w:rPr>
          <w:rFonts w:ascii="Calibri" w:hAnsi="Calibri" w:cs="Calibri" w:eastAsia="Calibri"/>
          <w:i/>
          <w:color w:val="auto"/>
          <w:spacing w:val="0"/>
          <w:position w:val="0"/>
          <w:sz w:val="24"/>
          <w:shd w:fill="auto" w:val="clear"/>
        </w:rPr>
        <w:t xml:space="preserve">E.coli </w:t>
      </w:r>
      <w:r>
        <w:rPr>
          <w:rFonts w:ascii="Calibri" w:hAnsi="Calibri" w:cs="Calibri" w:eastAsia="Calibri"/>
          <w:color w:val="auto"/>
          <w:spacing w:val="0"/>
          <w:position w:val="0"/>
          <w:sz w:val="24"/>
          <w:shd w:fill="auto" w:val="clear"/>
        </w:rPr>
        <w:t xml:space="preserve">WM3064 + pRL27.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Add 50 &amp;#181;g/mL filter-sterilized kanamycin to the autoclaved KB agar to pour plates needed for selecting successful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transconjugants.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1x phosphate-buffered saline (PBS) by mixing the following components: NaCl 8 g/L, KCl 0.201 g/L,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1.42 g/L, and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0.272 g/L. Dissolve the salts in distilled water and autoclave the mixture at 121 &amp;#176;C, 15 psi, 20 min before use.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 2x Bind-and-wash buffer by dissolving the following components: 10 mM Tris-HCl (pH 7.5), 1 mM ethylenediamine tetraacetic acid (EDTA), and 2 M NaCl in distilled water. Filter-sterilize the mixture before use.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1x Low-TE by dissolving 10 mM Tris-HCl (pH 8.0) and 0.1 mM EDTA in double-distilled water. Sterilize by autoclaving at 121 &amp;#176;C, 15 psi, 20 min.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Conjugation to generate the transposon mutant library</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Under a sterile hood, inoculate a fresh donor culture of </w:t>
      </w:r>
      <w:r>
        <w:rPr>
          <w:rFonts w:ascii="Calibri" w:hAnsi="Calibri" w:cs="Calibri" w:eastAsia="Calibri"/>
          <w:i/>
          <w:color w:val="auto"/>
          <w:spacing w:val="0"/>
          <w:position w:val="0"/>
          <w:sz w:val="24"/>
          <w:shd w:fill="FFFF00" w:val="clear"/>
        </w:rPr>
        <w:t xml:space="preserve">Escherichia coli </w:t>
      </w:r>
      <w:r>
        <w:rPr>
          <w:rFonts w:ascii="Calibri" w:hAnsi="Calibri" w:cs="Calibri" w:eastAsia="Calibri"/>
          <w:color w:val="auto"/>
          <w:spacing w:val="0"/>
          <w:position w:val="0"/>
          <w:sz w:val="24"/>
          <w:shd w:fill="FFFF00" w:val="clear"/>
        </w:rPr>
        <w:t xml:space="preserve">WM3064 + pRL27 in 10 mL of LB medium supplemented with kanamycin and DAP. Inoculate </w:t>
      </w:r>
      <w:r>
        <w:rPr>
          <w:rFonts w:ascii="Calibri" w:hAnsi="Calibri" w:cs="Calibri" w:eastAsia="Calibri"/>
          <w:i/>
          <w:color w:val="auto"/>
          <w:spacing w:val="0"/>
          <w:position w:val="0"/>
          <w:sz w:val="24"/>
          <w:shd w:fill="FFFF00" w:val="clear"/>
        </w:rPr>
        <w:t xml:space="preserve">Burkholderia gladioli </w:t>
      </w:r>
      <w:r>
        <w:rPr>
          <w:rFonts w:ascii="Calibri" w:hAnsi="Calibri" w:cs="Calibri" w:eastAsia="Calibri"/>
          <w:color w:val="auto"/>
          <w:spacing w:val="0"/>
          <w:position w:val="0"/>
          <w:sz w:val="24"/>
          <w:shd w:fill="FFFF00" w:val="clear"/>
        </w:rPr>
        <w:t xml:space="preserve">Lv-StA recipient cells in 5 mL of KB medium. Incubate the cultures at 30 &amp;#176;C overnight on a shaker at 250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After overnight growth, centrifuge 4 mL of each of the cultures at 9,600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 min to pellet the cells.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Under a sterile hood, wash the pelleted cell cultures in KB medium containing DAP and finally resuspend the cultures separately in 4 mL of KB + DAP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 a fresh 15 mL tube, mix 250 &amp;#181;L of the washed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donor cells with 1 mL of the washed </w:t>
      </w:r>
      <w:r>
        <w:rPr>
          <w:rFonts w:ascii="Calibri" w:hAnsi="Calibri" w:cs="Calibri" w:eastAsia="Calibri"/>
          <w:i/>
          <w:color w:val="auto"/>
          <w:spacing w:val="0"/>
          <w:position w:val="0"/>
          <w:sz w:val="24"/>
          <w:shd w:fill="FFFF00" w:val="clear"/>
        </w:rPr>
        <w:t xml:space="preserve">B. gladioli </w:t>
      </w:r>
      <w:r>
        <w:rPr>
          <w:rFonts w:ascii="Calibri" w:hAnsi="Calibri" w:cs="Calibri" w:eastAsia="Calibri"/>
          <w:color w:val="auto"/>
          <w:spacing w:val="0"/>
          <w:position w:val="0"/>
          <w:sz w:val="24"/>
          <w:shd w:fill="FFFF00" w:val="clear"/>
        </w:rPr>
        <w:t xml:space="preserve">Lv-StA recipient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Spot 10 &amp;#181;L of this conjugation cell mixture on KB agar plates containing DAP. Allow the plate to rest undisturbed in the sterile hood at room temperature for 1 h. Then, incubate the plates with the conjugation spots at 30 &amp;#176;C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conjugation period can be adjusted according to the target species. However, a long conjugation period increases the risk for double insertions or plasmid integration into the genome. For slow-growing bacteria, allow for longer conjugation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After incubation, add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1x PBS into the plates under a sterile hood and use a cell scraper to release the grown bacterial conjugation spots from the agar. Pipette the conjugated-cell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mix into 2 mL microfuge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Pellet the cells by centrifuging at 9,600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Discard the supernatant and wash the pellet twice in 1 mL of 1x PBS by pipetting up and down. Resuspend the final pellet in 1200 &amp;#181;L of 1x PBS. Make dilutions before plating if the number of cells in the mixture is above 1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Mix well and spread 200 &amp;#181;L of the cell mixture on large KB agar plates (6 or more, if required) supplemented with kanamycin and incubate at 30 &amp;#176;C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Target mutant colonies appear within 30 h on the selective agar plates. Due to the antibiotic resistance marker, only mutated colonies appear on the selective agar plate. Therefore, all colonies are expected to be successful transconjugants.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Count the total number of transconjugant colonies on three plates and extrapolate to calculate the approximate number of mutants obtained in all the plates. To increase the chances of obtaining a representative library, ensure that the total number of colonies is several fold higher than the total number of genes in the genome. To confirm the success of conjugation, perform a PCR targeting the insertion cassette using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sample colonies, as described in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aim is to ensure that the number of colonies is at least 10-fold the number of genes in the whole genome, in this case, &amp;gt;75,000 mutants. However, it is generally challenging to accurately estimate the number of colonies that would correspond to a fully representative library. Given that disruptions in essential genes are not captured, there are often multiple different mutation sites for the same gene, and mutations generated with Tn5 transposons are not entirely random.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Under a sterile hood, scrape colonies from the plates by adding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1x PBS on the agar. Pool the cell mixture scraped off from the plates into 50 mL tubes. Vortex the library to mix thoroughly and then split 1 mL of the pooled mutant library into several cryotubes. Add 1 mL of 70% glycerol to the tubes and store at -80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PCR and gel electrophoresis to confirm successful insertions in B. gladioli Lv-StA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confirm the presence of the insertion, pick individual mutant colonies from the selection plates in step 2.9 and perform a PCR targeting the insertion cassette using the primers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Prepare the PCR master mix according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set conditions in the thermal cycler as described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Run the PCR products on a 1.6% agarose gel by electrophoresis (250 V, 40 min) to check if the amplified DNA fragments are of the expected length of 1580 bp.</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Mutant pool infection on beetle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Library washing steps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Thaw an aliquot of the prepared mutant library on ice. Centrifuge at 2,683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and remove the supernatant. Under a sterile hood, wash the cells with 4 mL of 1x PBS to remove any remaining medium from the cells. Resuspend the cells in 4 mL of 1x PBS.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Count the number of cells in an aliquot of the library using a cell counting chamber. Dilute a part of the library to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cells/&amp;#181;L in 1x PBS.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Vortex the library aliquot thoroughly to mix the whole library homogenously before taking the required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Egg clutch sterilization and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infection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Select an </w:t>
      </w:r>
      <w:r>
        <w:rPr>
          <w:rFonts w:ascii="Calibri" w:hAnsi="Calibri" w:cs="Calibri" w:eastAsia="Calibri"/>
          <w:i/>
          <w:color w:val="auto"/>
          <w:spacing w:val="0"/>
          <w:position w:val="0"/>
          <w:sz w:val="24"/>
          <w:shd w:fill="FFFF00" w:val="clear"/>
        </w:rPr>
        <w:t xml:space="preserve">L. villosa</w:t>
      </w:r>
      <w:r>
        <w:rPr>
          <w:rFonts w:ascii="Calibri" w:hAnsi="Calibri" w:cs="Calibri" w:eastAsia="Calibri"/>
          <w:color w:val="auto"/>
          <w:spacing w:val="0"/>
          <w:position w:val="0"/>
          <w:sz w:val="24"/>
          <w:shd w:fill="FFFF00" w:val="clear"/>
        </w:rPr>
        <w:t xml:space="preserve"> egg clutch. Count the number of eggs and continue if the clutch contains more than 100 eggs.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Sterilize the entire egg clutch.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4.2.2.1.</w:t>
        <w:tab/>
        <w:t xml:space="preserve">Add 200 &amp;#181;L of 70% ethanol and gently wash the eggs for 5 min. Remove the ethanol and wash the eggs twice with autoclaved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4.2.2.2.</w:t>
        <w:tab/>
        <w:t xml:space="preserve">Add 200 &amp;#181;L of 12% bleach (NaOCl) and gently wash the eggs for 30 s. Remove the bleach immediately and wash the eggs again three times with 200 &amp;#181;L of autoclaved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Infect 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cells/&amp;#181;L of the washed mutant library on the sterilized egg clutch (2.5 &amp;#181;L per egg).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Two days after the infected beetle larvae hatch, collect 100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instar larvae per 1.5 mL microfuge tube and store at -80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i/>
          <w:color w:val="auto"/>
          <w:spacing w:val="0"/>
          <w:position w:val="0"/>
          <w:sz w:val="24"/>
          <w:shd w:fill="FFFF00" w:val="clear"/>
        </w:rPr>
        <w:t xml:space="preserve">In vitro </w:t>
      </w:r>
      <w:r>
        <w:rPr>
          <w:rFonts w:ascii="Calibri" w:hAnsi="Calibri" w:cs="Calibri" w:eastAsia="Calibri"/>
          <w:color w:val="auto"/>
          <w:spacing w:val="0"/>
          <w:position w:val="0"/>
          <w:sz w:val="24"/>
          <w:shd w:fill="FFFF00" w:val="clear"/>
        </w:rPr>
        <w:t xml:space="preserve">mutant library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Under a sterile hood, inoculate 250 &amp;#181;L of 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cells/&amp;#181;L in 10 mL of KB medium containing kanamycin.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Incubate the </w:t>
      </w:r>
      <w:r>
        <w:rPr>
          <w:rFonts w:ascii="Calibri" w:hAnsi="Calibri" w:cs="Calibri" w:eastAsia="Calibri"/>
          <w:i/>
          <w:color w:val="auto"/>
          <w:spacing w:val="0"/>
          <w:position w:val="0"/>
          <w:sz w:val="24"/>
          <w:shd w:fill="FFFF00" w:val="clear"/>
        </w:rPr>
        <w:t xml:space="preserve">in vitro </w:t>
      </w:r>
      <w:r>
        <w:rPr>
          <w:rFonts w:ascii="Calibri" w:hAnsi="Calibri" w:cs="Calibri" w:eastAsia="Calibri"/>
          <w:color w:val="auto"/>
          <w:spacing w:val="0"/>
          <w:position w:val="0"/>
          <w:sz w:val="24"/>
          <w:shd w:fill="FFFF00" w:val="clear"/>
        </w:rPr>
        <w:t xml:space="preserve">mutant culture at 30 &amp;#176;C for 20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the duration of incubation to match the approximate number of generations of WT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during colonization.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After the 20 h incubation, add an equal volume of 70% glycerol to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mutant culture and store it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Infected beetles and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mutant library DNA extraction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DNA extractions were performed using a DNA and RNA purification kit according to the manufacturer’s protocol briefly outlined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Homogenize pooled larvae (maximum of 4 mg per microfuge tube) by adding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liquid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Thaw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grown mutant cultures from glycerol stocks on ice. Pellet the cells by centrifuging at 9,600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before cell 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300 &amp;#181;L of Tissue and Cell lysis solution to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samples. Add 5 &amp;#181;L of 10 mg/mL Proteinase K, incubate the mix at 60 &amp;#176;C for 15 min, and then place on ice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150 &amp;#181;L of protein precipitation reagent to the lysates and vortex thoroughly. Pellet the protein debris by centrifuging at 9,600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Transfer the supernatant to a 1.5 mL microfuge tube. Add 500 &amp;#181;L of isopropanol to the supernatant and gently invert the tubes at least 40 times before incubating at -20 &amp;#176;C for 1 h 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Pellet the precipitated DNA by centrifuging at 9,600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Discard the supernatant and add ice-cold 70% ethanol to the DNA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leave the samples to air-dry for at least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Resuspend the DNA from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samples in 100 &amp;#181;L of Low-TE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Store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Sequencing library preparation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and reagents for DNA library preparation are adapted and modified from the instructions provided by the manufacturer of the DNA library preparation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Dilute the samples to 20 ng/&amp;#181;L concentration and volume of 100 &amp;#181;L and keep them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Shear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in vitro </w:t>
      </w:r>
      <w:r>
        <w:rPr>
          <w:rFonts w:ascii="Calibri" w:hAnsi="Calibri" w:cs="Calibri" w:eastAsia="Calibri"/>
          <w:color w:val="auto"/>
          <w:spacing w:val="0"/>
          <w:position w:val="0"/>
          <w:sz w:val="24"/>
          <w:shd w:fill="FFFF00" w:val="clear"/>
        </w:rPr>
        <w:t xml:space="preserve">sample DNA using an ultrasonicator. Set the ultrasonicator at 70% power. Vortex the samples briefly and shear for 1 min 30 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settings for the ultrasonicator will differ among instruments. In this case, the fragment size was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bp, which is appropriate for this sequencing approach of 150 bp, paired-end (see step. 9.1). The shearing parameters can be adjusted according to the experimenter’s requirements.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Check if the DNA was sheared to the desired size range </w:t>
      </w:r>
      <w:r>
        <w:rPr>
          <w:rFonts w:ascii="Calibri" w:hAnsi="Calibri" w:cs="Calibri" w:eastAsia="Calibri"/>
          <w:color w:val="auto"/>
          <w:spacing w:val="0"/>
          <w:position w:val="0"/>
          <w:sz w:val="24"/>
          <w:shd w:fill="auto" w:val="clear"/>
        </w:rPr>
        <w:t xml:space="preserve">(in this case,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bp)</w:t>
      </w:r>
      <w:r>
        <w:rPr>
          <w:rFonts w:ascii="Calibri" w:hAnsi="Calibri" w:cs="Calibri" w:eastAsia="Calibri"/>
          <w:color w:val="auto"/>
          <w:spacing w:val="0"/>
          <w:position w:val="0"/>
          <w:sz w:val="24"/>
          <w:shd w:fill="FFFF00" w:val="clear"/>
        </w:rPr>
        <w:t xml:space="preserve">. Load 5 &amp;#181;L of the unsheared and sheared DNA after mixing with gel loading dye in a 1:1 ratio on a 1.6% agarose gel run at 250 V for 40 min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Preparation of fragment ends required for adapter ligation</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To 50 &amp;#181;L of the sheared DNA, add the end preparation reagents given in the library preparation kit: 3 &amp;#181;L of the enzyme mix and 7 &amp;#181;L of reaction buffer and mix well by pipetting. Set a thermal cycler with a heated lid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75 &amp;#176;C and incubate the samples for 30 min at 20 &amp;#176;C and 30 min at 65 &amp;#176;C. Hold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Adapter ligation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w:t>
        <w:tab/>
        <w:t xml:space="preserve">For adapter ligation, add the following reagents to the products of the end preparation step: 30 &amp;#181;L Ligation Master Mix, 1 &amp;#181;L Ligation Enhancer, and 2.5 &amp;#181;L diluted Adapter. Mix thoroughly by pipetting and incubate the sample for 15 min at 20 &amp;#176;C in the thermal cycler with the heated lid off.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6.5.2.</w:t>
        <w:tab/>
        <w:t xml:space="preserve">After 15 min, add 3 &amp;#181;L of the enzyme (uracil DNA glycosylase + DNA glycosylase-lyase Endonuclease VIII)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Mix well by pipetting and incubate the sample for 15 min at 37 &amp;#176;C in a thermal cycler with the lid heated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at this step, and the samples can be stored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Size selection of adapter-ligated DNA targeting fragments of 250 bp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6.6.1.</w:t>
        <w:tab/>
        <w:t xml:space="preserve">Vortex the magnetic bead solution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place it at room temperature for 30 min before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6.6.2.</w:t>
        <w:tab/>
        <w:t xml:space="preserve">Add 0.3x of beads to 96.5 &amp;#181;L of the ligated DNA mixture and mix by pipetting thoroughly. Incubate the bead mixture for 5 min.</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salts and polyethylene glycol in the bead mixture facilitates the precipitation of DNA fragments on the beads. A low ratio of beads to DNA molecules leads to the binding of only larger DNA fragments to the beads. In this case, DNA fragments above 250 bp in length are bound to the beads.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6.6.3.</w:t>
        <w:tab/>
        <w:t xml:space="preserve">Place the tubes on a magnetic stand to pull down the beads and remove DNA fragments of unwanted size. Let the beads settle for 5 min and then transfer the clear supernatant to a new microfuge tube (keep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6.6.4.</w:t>
        <w:tab/>
        <w:t xml:space="preserve">Add 0.15x of fresh beads to the supernatant and mix by pipetting well. Incubate the bead mixture for 5 min and then place the tubes on a magnetic stand to pull down the beads bound to the target DNA. Wait for 5 min and then discard the supernatant (keep the beads).</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ratio of beads to DNA leads to the binding of fragments of the desired 250 bp size.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6.6.5.</w:t>
        <w:tab/>
      </w:r>
      <w:r>
        <w:rPr>
          <w:rFonts w:ascii="Calibri" w:hAnsi="Calibri" w:cs="Calibri" w:eastAsia="Calibri"/>
          <w:color w:val="auto"/>
          <w:spacing w:val="0"/>
          <w:position w:val="0"/>
          <w:sz w:val="24"/>
          <w:shd w:fill="FFFF00" w:val="clear"/>
        </w:rPr>
        <w:t xml:space="preserve">With the beads on the magnetic stand, add 200 &amp;#181;L of 80% ethanol (freshly prepared) and wait for 30 s.</w:t>
      </w:r>
      <w:r>
        <w:rPr>
          <w:rFonts w:ascii="Calibri" w:hAnsi="Calibri" w:cs="Calibri" w:eastAsia="Calibri"/>
          <w:color w:val="auto"/>
          <w:spacing w:val="0"/>
          <w:position w:val="0"/>
          <w:sz w:val="24"/>
          <w:shd w:fill="auto" w:val="clear"/>
        </w:rPr>
        <w:t xml:space="preserve"> Pipette out and discard the ethanol wash carefully without disturbing the beads on the magnetic stand. Repeat this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6.6.6.</w:t>
        <w:tab/>
        <w:t xml:space="preserve">After the last wash, remove traces of ethanol from the beads and then air-dry the beads for 2 min until they appear glossy but not completely dried out. Do not over-dry the beads.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6.6.7.</w:t>
        <w:tab/>
        <w:t xml:space="preserve">Remove the tubes from the magnetic stand and add 17 &amp;#181;L of 10 mM Tris-HCl or 0.1x TE (Low-TE). Mix by pipetting ~10 times and incubate the mixture at room temperature for 2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6.6.8.</w:t>
        <w:tab/>
        <w:t xml:space="preserve">Place the tubes back on the magnetic stand and wait for 5 min. Once the beads have settled down, transfer the DNA supernatant to a new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PCR I to add biotin tag to DNA fragments containing the insertion cassette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6.7.1.</w:t>
        <w:tab/>
        <w:t xml:space="preserve">Add a biotinylated primer tag to the DNA fragments containing the Tn5-insertion cassette by using the transposon-specific biotinylated primer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and an index primer. Prepare the PCR master mix according to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and follow the PCR conditions for the thermal cycler listed in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Clean-up of PCR I without size selection</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6.8.1.</w:t>
        <w:tab/>
        <w:t xml:space="preserve">Vortex 0.9x beads and place them at room temperature for at least 30 min before clean-up.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6.8.2.</w:t>
        <w:tab/>
        <w:t xml:space="preserve">Add 0.9x beads to the PCR products and mix thoroughly.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6.8.3.</w:t>
        <w:tab/>
        <w:t xml:space="preserve">Place the beads on a magnetic stand to pull down the beads.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6.8.4.</w:t>
        <w:tab/>
        <w:t xml:space="preserve">Remove the clear supernatant and wash the bead-bound-DNA with 200 &amp;#181;L of freshly prepared 80% ethanol twice.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6.8.5.</w:t>
        <w:tab/>
        <w:t xml:space="preserve">Remove the ethanol after the wash steps and air dry the beads until they look glossy but not too dry.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6.8.6.</w:t>
        <w:tab/>
        <w:t xml:space="preserve">Add 32 &amp;#181;L of 10 mM Tris-HCl or 0.1X TE (Low-TE) and incubate the beads for 5 min. Place the mixture back on the magnetic stand and transfer the supernatant to a fresh microfuge tube.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Binding biotinylated DNA fragments to streptavidin beads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6.9.1.</w:t>
        <w:tab/>
        <w:t xml:space="preserve">Resuspend 32 &amp;#181;L of streptavidin beads in 1x Bind-and-wash buffer. Wash the beads with the buffer three times while placed on a magnetic stand.</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6.9.2.</w:t>
        <w:tab/>
        <w:t xml:space="preserve">Add 32 &amp;#181;L of 2x Bind-and-wash buffer and resuspend the beads. To this, add 32 &amp;#181;L of the cleaned-up PCR 1 products. Mix thoroughly and incubate at room temperature for 30 min.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6.9.3.</w:t>
        <w:tab/>
        <w:t xml:space="preserve">Place the bead-DNA mixture on a magnetic stand for 2 min. Pipette out the supernatant as biotin-tagged DNA containing the insertion edge binds to streptavidin on the beads.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6.9.4.</w:t>
        <w:tab/>
        <w:t xml:space="preserve">Wash the beads with 500 &amp;#181;L of 1x Bind-and-wash buffer and then wash the beads with 200 &amp;#181;L of Low-TE. Resuspend the DNA-bound beads in 17 &amp;#181;L of Low-TE.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PCR II to add adapters to the fragments containing the insertion cassette edge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6.10.1.</w:t>
        <w:tab/>
        <w:t xml:space="preserve">Prepare a master mix, as shown in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using the index primers and modified universal PCR primers listed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Add 15 &amp;#181;L of the DNA-bound streptavidin beads from the previous step to the PCR mix. See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for the thermal cycler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Clean up the PCR products without size selection as given in step 6.8 of this protocol. Elute the final DNA products in 30 &amp;#181;L of molecular-grade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Store the samples at -20 &amp;#176;C and use them for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Sequencing and analysis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Sequence the library using high-throughput sequencing technology. Adjust the sequencing depth depending on the transposon library size, as noted below. Assess the read quality with FastQC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Select reads containing the Tn5-insertion edge on the 5' end of the read and remove the insertion edge sequence using Cutadapt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and/or Trimmomatic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paired-end sequencing approach was used to target 150 bp per read and a total of 8 Mio reads. To obtain a representative dataset, ensure that the total number of sequenced reads exceeds the maximum possible number of mutants in the library, i.e., the total estimated number of colonies from step 2.9. As a reference, this protocol aimed for 40-fold of the maximum possible library size. Other successful studies using Tn-seq for a similar purpose sequenced a total number of reads close to 25-fold of the actual number of unique insertions in the corresponding mutant library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Considering that mutations at the ends of genes are not functionally disruptive, trim 5% off both ends of gene annotations of the reference genome GFF file. Map the trimmed reads to the reference genome using Bowtie2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Calculate the number of insertions from the number of unique 5' positions in the alignment BAM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 Using FeatureCounts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obtain the number of hit genes for each replicate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Using the DESeq2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package in RStudio, calculate the difference in mutant abundances between different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Host-associated bacteria can employ several factors to establish an association, including those mediating adhesion, motility, chemotaxis, stress responses, or specific transporters. While factors important for pathogen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host interactions have been reported for several bacteria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including members of the genus </w:t>
      </w: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fewer studies have explored the molecular mechanisms used by beneficial symbionts for colonization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Using transposon insertion sequencing, the aim was to identify molecular factors that enable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colonize </w:t>
      </w:r>
      <w:r>
        <w:rPr>
          <w:rFonts w:ascii="Calibri" w:hAnsi="Calibri" w:cs="Calibri" w:eastAsia="Calibri"/>
          <w:i/>
          <w:color w:val="auto"/>
          <w:spacing w:val="0"/>
          <w:position w:val="0"/>
          <w:sz w:val="24"/>
          <w:shd w:fill="auto" w:val="clear"/>
        </w:rPr>
        <w:t xml:space="preserve">L. villosa</w:t>
      </w:r>
      <w:r>
        <w:rPr>
          <w:rFonts w:ascii="Calibri" w:hAnsi="Calibri" w:cs="Calibri" w:eastAsia="Calibri"/>
          <w:color w:val="auto"/>
          <w:spacing w:val="0"/>
          <w:position w:val="0"/>
          <w:sz w:val="24"/>
          <w:shd w:fill="auto" w:val="clear"/>
        </w:rPr>
        <w:t xml:space="preserve"> beetles.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Transposon-mediated mutagenesis was performed using the pRL27 plasmid, which carries a Tn5 transposon and a kanamycin resistance cassette flanked by invert repeat sites. The plasmid was introduced into the target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cells by conjugation with the plasmid donor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WM3064 strain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conjugation, the conjugation mix containing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recipient and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donor cells were plated on selective agar plates containing kanamycin. The absence of DAP on the plates eliminated the donor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cells, and the presence of kanamycin selected for successful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transconjugants. The pooled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mutant library obtained from harvesting the 100,000 transconjugant colonies on the plate was prepared for sequencing using a modified DNA library preparation kit and custom primers.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highlights the DNA library preparation steps. Sequencing yielded 4 Mio paired reads; 3,736 genes out of 7,468 genes in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were disrupted.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mutants that were colonization-defective in the host, the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mutant library was infected on the beetle eggs and grown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in KB medium as a control.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colonization bottleneck size was calculated before the experiment. A known number of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cells was infected on beetle eggs, and the number of colonizing cells in freshly hatched first instar larvae was obtained by plating a suspension from each larva and counting colony-forming units per individual. These calculations were done to ensure that the number of colonizing cells is enough to assess all or a high percentage of the mutants in the library for their ability to colonize the host. Additionally, the growth time between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conditions was normalized based on the number of bacterial generations to make these samples comparable.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eggs hatched, 1,296 larvae were collected in 13 pools. The corresponding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mutant cultures were grown and stored as glycerol stocks. DNA of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grown mutant libraries was extracted and fragmented in an ultrasonicator.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size distribution of the sheared DNA, where the majority of the fragments span between 100 and 400 bp, as expected. This step was followed by the modified DNA library preparation protocol for sequencing. At each step of the protocol, the concentration of remaining DNA was checked to ensure that the steps were performed correctly and to track losses of DNA. A quality check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before sequencing revealed that the DNA libraries contained unexpectedly large (&amp;gt;800 bp) DNA fragments, and this was more pronounced in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libraries. Given the difficulty in optimizing the clustering of fragments in the sequencing lanes, it was necessary to increase the sequencing depth to 10 Mio paired reads in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libraries to attain the desired number of reads. The analysis of the sequencing results revealed that an average of 4 Mio reads in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libraries and 3.1 Mio reads in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libraries contained the Transposon edge in the 5' end of Read-1 (</w:t>
      </w: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which was satisfactory for this experiment. The distribution of the 24,224 unique insertions across the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genome in the original library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 analysis carried out using DESeq2 revealed that the abundances of 271 mutants were significantly different between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Conjugation protocol steps.</w:t>
      </w:r>
      <w:r>
        <w:rPr>
          <w:rFonts w:ascii="Calibri" w:hAnsi="Calibri" w:cs="Calibri" w:eastAsia="Calibri"/>
          <w:color w:val="auto"/>
          <w:spacing w:val="0"/>
          <w:position w:val="0"/>
          <w:sz w:val="24"/>
          <w:shd w:fill="auto" w:val="clear"/>
        </w:rPr>
        <w:t xml:space="preserve"> The conjugation recipient </w:t>
      </w:r>
      <w:r>
        <w:rPr>
          <w:rFonts w:ascii="Calibri" w:hAnsi="Calibri" w:cs="Calibri" w:eastAsia="Calibri"/>
          <w:i/>
          <w:color w:val="auto"/>
          <w:spacing w:val="0"/>
          <w:position w:val="0"/>
          <w:sz w:val="24"/>
          <w:shd w:fill="auto" w:val="clear"/>
        </w:rPr>
        <w:t xml:space="preserve">Burkholderia gladioli </w:t>
      </w:r>
      <w:r>
        <w:rPr>
          <w:rFonts w:ascii="Calibri" w:hAnsi="Calibri" w:cs="Calibri" w:eastAsia="Calibri"/>
          <w:color w:val="auto"/>
          <w:spacing w:val="0"/>
          <w:position w:val="0"/>
          <w:sz w:val="24"/>
          <w:shd w:fill="auto" w:val="clear"/>
        </w:rPr>
        <w:t xml:space="preserve">Lv-StA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and donor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containing the pRL27 plasmid (pink) are grown in KB agar and LB, respectively, supplemented with kanamycin and DAP. After conjugative transfer of the plasmid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at 30 &amp;#176;C, the transconjugant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cells are selected on KB containing kanamycin and pooled together. Abbreviations: DAP = 2,6-diaminopimelic acid; Kan = kanamycin.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the DNA library preparation steps.</w:t>
      </w:r>
      <w:r>
        <w:rPr>
          <w:rFonts w:ascii="Calibri" w:hAnsi="Calibri" w:cs="Calibri" w:eastAsia="Calibri"/>
          <w:color w:val="auto"/>
          <w:spacing w:val="0"/>
          <w:position w:val="0"/>
          <w:sz w:val="24"/>
          <w:shd w:fill="auto" w:val="clear"/>
        </w:rPr>
        <w:t xml:space="preserve"> After shearing and adapter ligation, the modified protocol includes a streptavidin bead-selection step to enrich DNA fragments containing the insertion cassette.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Agarose gels of a mutant and DNA libraries.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Agarose gel with unsheared DNA of a mutant in lane x and a 1 kbp ladder for scale.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Gel with sheared DNA library. The band sizes of the ladder in the first lane are indicated on the left side. The first three lanes a, b, and c contain sheared DNA fragments of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libraries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Lanes d, e, f, and g contain sheared DNA fragments of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Location of unique insertion sites in the original library across the four replicons in the </w:t>
      </w:r>
      <w:r>
        <w:rPr>
          <w:rFonts w:ascii="Calibri" w:hAnsi="Calibri" w:cs="Calibri" w:eastAsia="Calibri"/>
          <w:b/>
          <w:i/>
          <w:color w:val="auto"/>
          <w:spacing w:val="0"/>
          <w:position w:val="0"/>
          <w:sz w:val="24"/>
          <w:shd w:fill="auto" w:val="clear"/>
        </w:rPr>
        <w:t xml:space="preserve">Burkholderia gladioli </w:t>
      </w:r>
      <w:r>
        <w:rPr>
          <w:rFonts w:ascii="Calibri" w:hAnsi="Calibri" w:cs="Calibri" w:eastAsia="Calibri"/>
          <w:b/>
          <w:color w:val="auto"/>
          <w:spacing w:val="0"/>
          <w:position w:val="0"/>
          <w:sz w:val="24"/>
          <w:shd w:fill="auto" w:val="clear"/>
        </w:rPr>
        <w:t xml:space="preserve">Lv-StA genome.</w:t>
      </w:r>
      <w:r>
        <w:rPr>
          <w:rFonts w:ascii="Calibri" w:hAnsi="Calibri" w:cs="Calibri" w:eastAsia="Calibri"/>
          <w:color w:val="auto"/>
          <w:spacing w:val="0"/>
          <w:position w:val="0"/>
          <w:sz w:val="24"/>
          <w:shd w:fill="auto" w:val="clear"/>
        </w:rPr>
        <w:t xml:space="preserve"> Each bar along the x-axis is located at a site of insertion. The height of a bar along the y-axis corresponds to the number of reads associated with that site. Note that the two chromosomes and two plasmids are shown in full length and thus have different scales on the x-axis.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Media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Primers to confirm the success of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PCR master mix to confirm the success of conjugation. </w:t>
      </w:r>
      <w:r>
        <w:rPr>
          <w:rFonts w:ascii="Calibri" w:hAnsi="Calibri" w:cs="Calibri" w:eastAsia="Calibri"/>
          <w:color w:val="auto"/>
          <w:spacing w:val="0"/>
          <w:position w:val="0"/>
          <w:sz w:val="24"/>
          <w:shd w:fill="auto" w:val="clear"/>
        </w:rPr>
        <w:t xml:space="preserve">Abbreviations: HPLC = high-performance liquid chromatography; dNTPs = deoxynucleoside triphosphate.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PCR conditions to confirm the success of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Primers and adapter for PCR I and II during DNA library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DNA library preparation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PCR I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DNA library preparation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PCR I and II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 DNA library preparation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PCR II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9: Summary of sequencing output and transposon insertion frequency per library. </w:t>
      </w:r>
      <w:r>
        <w:rPr>
          <w:rFonts w:ascii="Calibri" w:hAnsi="Calibri" w:cs="Calibri" w:eastAsia="Calibri"/>
          <w:color w:val="auto"/>
          <w:spacing w:val="0"/>
          <w:position w:val="0"/>
          <w:sz w:val="24"/>
          <w:shd w:fill="auto" w:val="clear"/>
        </w:rPr>
        <w:t xml:space="preserve">Abbreviation: PE = paired-end.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transposon mutant library was generated to identify important host colonization factors in the symbiotic interaction between </w:t>
      </w:r>
      <w:r>
        <w:rPr>
          <w:rFonts w:ascii="Calibri" w:hAnsi="Calibri" w:cs="Calibri" w:eastAsia="Calibri"/>
          <w:i/>
          <w:color w:val="auto"/>
          <w:spacing w:val="0"/>
          <w:position w:val="0"/>
          <w:sz w:val="24"/>
          <w:shd w:fill="auto" w:val="clear"/>
        </w:rPr>
        <w:t xml:space="preserve">L. villosa </w:t>
      </w:r>
      <w:r>
        <w:rPr>
          <w:rFonts w:ascii="Calibri" w:hAnsi="Calibri" w:cs="Calibri" w:eastAsia="Calibri"/>
          <w:color w:val="auto"/>
          <w:spacing w:val="0"/>
          <w:position w:val="0"/>
          <w:sz w:val="24"/>
          <w:shd w:fill="auto" w:val="clear"/>
        </w:rPr>
        <w:t xml:space="preserve">beetles and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bacteria. The major steps in the protocol were conjugation, host-infection, DNA library preparation, and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many strains of </w:t>
      </w:r>
      <w:r>
        <w:rPr>
          <w:rFonts w:ascii="Calibri" w:hAnsi="Calibri" w:cs="Calibri" w:eastAsia="Calibri"/>
          <w:i/>
          <w:color w:val="auto"/>
          <w:spacing w:val="0"/>
          <w:position w:val="0"/>
          <w:sz w:val="24"/>
          <w:shd w:fill="auto" w:val="clear"/>
        </w:rPr>
        <w:t xml:space="preserve">Burkholderia </w:t>
      </w:r>
      <w:r>
        <w:rPr>
          <w:rFonts w:ascii="Calibri" w:hAnsi="Calibri" w:cs="Calibri" w:eastAsia="Calibri"/>
          <w:color w:val="auto"/>
          <w:spacing w:val="0"/>
          <w:position w:val="0"/>
          <w:sz w:val="24"/>
          <w:shd w:fill="auto" w:val="clear"/>
        </w:rPr>
        <w:t xml:space="preserve">are amenable to genetic modification by conjugation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 plasmid carrying the transposon and antibiotic insertion cassette was conjugated successfully into the target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strain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Previous attempts of transformation by electroporation yielded very low to almost no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transformants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advisable to optimize the transformation technique for the target organism to efficiently yield a large number of transformants.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round of conjugation and 40 conjugation spots disrupted 3,736 genes in </w:t>
      </w:r>
      <w:r>
        <w:rPr>
          <w:rFonts w:ascii="Calibri" w:hAnsi="Calibri" w:cs="Calibri" w:eastAsia="Calibri"/>
          <w:i/>
          <w:color w:val="auto"/>
          <w:spacing w:val="0"/>
          <w:position w:val="0"/>
          <w:sz w:val="24"/>
          <w:shd w:fill="auto" w:val="clear"/>
        </w:rPr>
        <w:t xml:space="preserve">B. gladioli </w:t>
      </w:r>
      <w:r>
        <w:rPr>
          <w:rFonts w:ascii="Calibri" w:hAnsi="Calibri" w:cs="Calibri" w:eastAsia="Calibri"/>
          <w:color w:val="auto"/>
          <w:spacing w:val="0"/>
          <w:position w:val="0"/>
          <w:sz w:val="24"/>
          <w:shd w:fill="auto" w:val="clear"/>
        </w:rPr>
        <w:t xml:space="preserve">Lv-StA. In hindsight, multiple rounds of conjugation would be necessary to disrupt most of the 7,468 genes and obtain a saturated library. Notably, the incubation time during conjugation was not allowed to exceed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which is the end of the exponential growth phase of </w:t>
      </w:r>
      <w:r>
        <w:rPr>
          <w:rFonts w:ascii="Calibri" w:hAnsi="Calibri" w:cs="Calibri" w:eastAsia="Calibri"/>
          <w:i/>
          <w:color w:val="auto"/>
          <w:spacing w:val="0"/>
          <w:position w:val="0"/>
          <w:sz w:val="24"/>
          <w:shd w:fill="auto" w:val="clear"/>
        </w:rPr>
        <w:t xml:space="preserve">B. gladioli</w:t>
      </w:r>
      <w:r>
        <w:rPr>
          <w:rFonts w:ascii="Calibri" w:hAnsi="Calibri" w:cs="Calibri" w:eastAsia="Calibri"/>
          <w:color w:val="auto"/>
          <w:spacing w:val="0"/>
          <w:position w:val="0"/>
          <w:sz w:val="24"/>
          <w:shd w:fill="auto" w:val="clear"/>
        </w:rPr>
        <w:t xml:space="preserve">. Allowing conjugation beyond the exponential growth phase of bacterial cells reduces the chances of success of obtaining transconjugants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the conjugation period should be adjusted according to the growth of the target bacterial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carry out an experiment involving the infection of mutant libraries in a host, it is important to assess the bacterial population bottleneck size during colonization and the diversity of mutants in the library before infection</w:t>
      </w:r>
      <w:r>
        <w:rPr>
          <w:rFonts w:ascii="Calibri" w:hAnsi="Calibri" w:cs="Calibri" w:eastAsia="Calibri"/>
          <w:color w:val="auto"/>
          <w:spacing w:val="0"/>
          <w:position w:val="0"/>
          <w:sz w:val="24"/>
          <w:shd w:fill="auto" w:val="clear"/>
          <w:vertAlign w:val="superscript"/>
        </w:rPr>
        <w:t xml:space="preserve">1,2,27</w:t>
      </w:r>
      <w:r>
        <w:rPr>
          <w:rFonts w:ascii="Calibri" w:hAnsi="Calibri" w:cs="Calibri" w:eastAsia="Calibri"/>
          <w:color w:val="auto"/>
          <w:spacing w:val="0"/>
          <w:position w:val="0"/>
          <w:sz w:val="24"/>
          <w:shd w:fill="auto" w:val="clear"/>
        </w:rPr>
        <w:t xml:space="preserve">. In preparation for the experiment, we estimated the minimum number of beetles that must be infected to have a high chance that each mutant in the library is sampled and allowed to colonize. The approximate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bacterial generation time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number of generations for the duration of the experiment were also calculated.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then grown up to a comparable number of generations by adjusting the incubation time. For a similar infection experiment in other non-model hosts, the ability to maintain a laboratory culture and a constant source of the host organisms is desirable.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growth of the mutant library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sample collection, a modified DNA library preparation protocol for transposon insertion sequencing was carried out. The modification in the protocol involved designing custom PCR primers and adding PCR steps to select for DNA fragments containing the insertion cassette. Because the protocol was customized, additional PCR cycles in the protocol increased the risk of overamplification and obtaining hybridized adapter-adapter fragments in the end libraries. Hence, a final cleanup step (without size selection) after the two PCRs is recommended, as it helps in removing these fragments. The size distribution of the DNA libraries was still broader than expected. However, increasing the sequencing depth provided sufficient data that were filtered during bioinformatics analysis, obtaining satisfactory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transposon-mediated mutagenesis generates thousands of random insertions in a single experiment, it is possible to generate a saturated library of mutants that contains all except those mutants where genes essential for bacterial growth have been disrupted. We most likely did not work with a saturated mutant library, given the estimations of essential genes in other studies on </w:t>
      </w:r>
      <w:r>
        <w:rPr>
          <w:rFonts w:ascii="Calibri" w:hAnsi="Calibri" w:cs="Calibri" w:eastAsia="Calibri"/>
          <w:i/>
          <w:color w:val="auto"/>
          <w:spacing w:val="0"/>
          <w:position w:val="0"/>
          <w:sz w:val="24"/>
          <w:shd w:fill="auto" w:val="clear"/>
        </w:rPr>
        <w:t xml:space="preserve">Burkholderia sp.</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 non-saturated library nevertheless helps in exploring various candidate genes for further studies using targeted mutagenesis. Before the experiments, it is also important to remember that some transposons have specific insertion target sites that increase the abundance of mutants at certain loci in the genome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Mariner transposons are known to target AT sites for insertion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Tn5 transposons have a GC bias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Including steps during bioinformatics analysis to recognize hotspots for transposon insertions will help in assessing any distribution bias.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prone to setbacks, a well-designed transposon insertion sequencing experiment can be a powerful tool to identify many conditionally important genes in bacteria within a single experiment. For example, a dozen genes in </w:t>
      </w:r>
      <w:r>
        <w:rPr>
          <w:rFonts w:ascii="Calibri" w:hAnsi="Calibri" w:cs="Calibri" w:eastAsia="Calibri"/>
          <w:i/>
          <w:color w:val="auto"/>
          <w:spacing w:val="0"/>
          <w:position w:val="0"/>
          <w:sz w:val="24"/>
          <w:shd w:fill="auto" w:val="clear"/>
        </w:rPr>
        <w:t xml:space="preserve">Burkholderia seminalis</w:t>
      </w:r>
      <w:r>
        <w:rPr>
          <w:rFonts w:ascii="Calibri" w:hAnsi="Calibri" w:cs="Calibri" w:eastAsia="Calibri"/>
          <w:color w:val="auto"/>
          <w:spacing w:val="0"/>
          <w:position w:val="0"/>
          <w:sz w:val="24"/>
          <w:shd w:fill="auto" w:val="clear"/>
        </w:rPr>
        <w:t xml:space="preserve"> important for the suppression of orchid leaf necrosis were identified by combining transposon mutagenesis and genomics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Beyond </w:t>
      </w:r>
      <w:r>
        <w:rPr>
          <w:rFonts w:ascii="Calibri" w:hAnsi="Calibri" w:cs="Calibri" w:eastAsia="Calibri"/>
          <w:i/>
          <w:color w:val="auto"/>
          <w:spacing w:val="0"/>
          <w:position w:val="0"/>
          <w:sz w:val="24"/>
          <w:shd w:fill="auto" w:val="clear"/>
        </w:rPr>
        <w:t xml:space="preserve">Burkholderia, </w:t>
      </w:r>
      <w:r>
        <w:rPr>
          <w:rFonts w:ascii="Calibri" w:hAnsi="Calibri" w:cs="Calibri" w:eastAsia="Calibri"/>
          <w:color w:val="auto"/>
          <w:spacing w:val="0"/>
          <w:position w:val="0"/>
          <w:sz w:val="24"/>
          <w:shd w:fill="auto" w:val="clear"/>
        </w:rPr>
        <w:t xml:space="preserve">several adhesion and motility genes and transporters have been identified as important colonization factors in </w:t>
      </w:r>
      <w:r>
        <w:rPr>
          <w:rFonts w:ascii="Calibri" w:hAnsi="Calibri" w:cs="Calibri" w:eastAsia="Calibri"/>
          <w:i/>
          <w:color w:val="auto"/>
          <w:spacing w:val="0"/>
          <w:position w:val="0"/>
          <w:sz w:val="24"/>
          <w:shd w:fill="auto" w:val="clear"/>
        </w:rPr>
        <w:t xml:space="preserve">Snodgrassella alvi </w:t>
      </w:r>
      <w:r>
        <w:rPr>
          <w:rFonts w:ascii="Calibri" w:hAnsi="Calibri" w:cs="Calibri" w:eastAsia="Calibri"/>
          <w:color w:val="auto"/>
          <w:spacing w:val="0"/>
          <w:position w:val="0"/>
          <w:sz w:val="24"/>
          <w:shd w:fill="auto" w:val="clear"/>
        </w:rPr>
        <w:t xml:space="preserve">symbionts of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(Honeybee)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in the </w:t>
      </w:r>
      <w:r>
        <w:rPr>
          <w:rFonts w:ascii="Calibri" w:hAnsi="Calibri" w:cs="Calibri" w:eastAsia="Calibri"/>
          <w:i/>
          <w:color w:val="auto"/>
          <w:spacing w:val="0"/>
          <w:position w:val="0"/>
          <w:sz w:val="24"/>
          <w:shd w:fill="auto" w:val="clear"/>
        </w:rPr>
        <w:t xml:space="preserve">Vibrio fischerii </w:t>
      </w:r>
      <w:r>
        <w:rPr>
          <w:rFonts w:ascii="Calibri" w:hAnsi="Calibri" w:cs="Calibri" w:eastAsia="Calibri"/>
          <w:color w:val="auto"/>
          <w:spacing w:val="0"/>
          <w:position w:val="0"/>
          <w:sz w:val="24"/>
          <w:shd w:fill="auto" w:val="clear"/>
        </w:rPr>
        <w:t xml:space="preserve">symbionts of </w:t>
      </w:r>
      <w:r>
        <w:rPr>
          <w:rFonts w:ascii="Calibri" w:hAnsi="Calibri" w:cs="Calibri" w:eastAsia="Calibri"/>
          <w:i/>
          <w:color w:val="auto"/>
          <w:spacing w:val="0"/>
          <w:position w:val="0"/>
          <w:sz w:val="24"/>
          <w:shd w:fill="auto" w:val="clear"/>
        </w:rPr>
        <w:t xml:space="preserve">Euprymna scolopes </w:t>
      </w:r>
      <w:r>
        <w:rPr>
          <w:rFonts w:ascii="Calibri" w:hAnsi="Calibri" w:cs="Calibri" w:eastAsia="Calibri"/>
          <w:color w:val="auto"/>
          <w:spacing w:val="0"/>
          <w:position w:val="0"/>
          <w:sz w:val="24"/>
          <w:shd w:fill="auto" w:val="clear"/>
        </w:rPr>
        <w:t xml:space="preserve">(Hawaiian bobtail squid)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using the Transposon-insertion mutagenesis approach. As an alternative approach, transposon mutagenesis may be followed by screening for individual mutants using selective media instead of sequencing. Phenotypic screening or bioassays to identify deficiencies, such as motility, production of bioactive secondary metabolites, or specific auxotrophies, are feasible.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screening of a </w:t>
      </w:r>
      <w:r>
        <w:rPr>
          <w:rFonts w:ascii="Calibri" w:hAnsi="Calibri" w:cs="Calibri" w:eastAsia="Calibri"/>
          <w:i/>
          <w:color w:val="auto"/>
          <w:spacing w:val="0"/>
          <w:position w:val="0"/>
          <w:sz w:val="24"/>
          <w:shd w:fill="auto" w:val="clear"/>
        </w:rPr>
        <w:t xml:space="preserve">Burkholderia insecticola </w:t>
      </w:r>
      <w:r>
        <w:rPr>
          <w:rFonts w:ascii="Calibri" w:hAnsi="Calibri" w:cs="Calibri" w:eastAsia="Calibri"/>
          <w:color w:val="auto"/>
          <w:spacing w:val="0"/>
          <w:position w:val="0"/>
          <w:sz w:val="24"/>
          <w:shd w:fill="auto" w:val="clear"/>
        </w:rPr>
        <w:t xml:space="preserve">(reassigned to genus </w:t>
      </w:r>
      <w:r>
        <w:rPr>
          <w:rFonts w:ascii="Calibri" w:hAnsi="Calibri" w:cs="Calibri" w:eastAsia="Calibri"/>
          <w:i/>
          <w:color w:val="auto"/>
          <w:spacing w:val="0"/>
          <w:position w:val="0"/>
          <w:sz w:val="24"/>
          <w:shd w:fill="auto" w:val="clear"/>
        </w:rPr>
        <w:t xml:space="preserve">Caballeronia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transposon mutant library has been key in identifying that the symbionts employ motility genes for colonizing </w:t>
      </w:r>
      <w:r>
        <w:rPr>
          <w:rFonts w:ascii="Calibri" w:hAnsi="Calibri" w:cs="Calibri" w:eastAsia="Calibri"/>
          <w:i/>
          <w:color w:val="auto"/>
          <w:spacing w:val="0"/>
          <w:position w:val="0"/>
          <w:sz w:val="24"/>
          <w:shd w:fill="auto" w:val="clear"/>
        </w:rPr>
        <w:t xml:space="preserve">Riptortus pedestris, </w:t>
      </w:r>
      <w:r>
        <w:rPr>
          <w:rFonts w:ascii="Calibri" w:hAnsi="Calibri" w:cs="Calibri" w:eastAsia="Calibri"/>
          <w:color w:val="auto"/>
          <w:spacing w:val="0"/>
          <w:position w:val="0"/>
          <w:sz w:val="24"/>
          <w:shd w:fill="auto" w:val="clear"/>
        </w:rPr>
        <w:t xml:space="preserve">their insect host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Furthermore, using transposon mutagenesis and phenotypic screening, the biosynthetic gene cluster for the bioactive secondary metabolite caryoynencin was identified in </w:t>
      </w:r>
      <w:r>
        <w:rPr>
          <w:rFonts w:ascii="Calibri" w:hAnsi="Calibri" w:cs="Calibri" w:eastAsia="Calibri"/>
          <w:i/>
          <w:color w:val="auto"/>
          <w:spacing w:val="0"/>
          <w:position w:val="0"/>
          <w:sz w:val="24"/>
          <w:shd w:fill="auto" w:val="clear"/>
        </w:rPr>
        <w:t xml:space="preserve">Burkholderia caryophylli</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auxotrophic mutant of </w:t>
      </w:r>
      <w:r>
        <w:rPr>
          <w:rFonts w:ascii="Calibri" w:hAnsi="Calibri" w:cs="Calibri" w:eastAsia="Calibri"/>
          <w:i/>
          <w:color w:val="auto"/>
          <w:spacing w:val="0"/>
          <w:position w:val="0"/>
          <w:sz w:val="24"/>
          <w:shd w:fill="auto" w:val="clear"/>
        </w:rPr>
        <w:t xml:space="preserve">Burkholderia pseudomallei </w:t>
      </w:r>
      <w:r>
        <w:rPr>
          <w:rFonts w:ascii="Calibri" w:hAnsi="Calibri" w:cs="Calibri" w:eastAsia="Calibri"/>
          <w:color w:val="auto"/>
          <w:spacing w:val="0"/>
          <w:position w:val="0"/>
          <w:sz w:val="24"/>
          <w:shd w:fill="auto" w:val="clear"/>
        </w:rPr>
        <w:t xml:space="preserve">was identified following transposon mutagenesis and screening and is a possible attenuated vaccine candidate against melioidosis, a dangerous disease in humans and animals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Thus, transposon mutagenesis and sequencing is a valuable approach in studying the molecular traits of bacteria that are important for the interactions with their respective hosts in pathogenic or mutualistic associations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 pertaining to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are thankful to Junbeom Lee for providing the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WM3064+pRL27 strain for conjugation and guidance in the procedure, Kathrin H&amp;#252;ffmeier for helping with troubleshooting during mutant library generation, and Prof. Andr&amp;#233; Rodrigues for supporting insect collection and permit acquisition. We also thank Rebekka Janke and Dagmar Klebsch for support in the collection and rearing of the insects. We acknowledge the Brazilian authorities for granting the following permits for access, collection, and export of insect specimens: </w:t>
      </w:r>
      <w:r>
        <w:rPr>
          <w:rFonts w:ascii="Calibri" w:hAnsi="Calibri" w:cs="Calibri" w:eastAsia="Calibri"/>
          <w:color w:val="auto"/>
          <w:spacing w:val="0"/>
          <w:position w:val="0"/>
          <w:sz w:val="24"/>
          <w:shd w:fill="auto" w:val="clear"/>
        </w:rPr>
        <w:t xml:space="preserve">SISBIO authorization Nr. 45742-1, 45742-7 and 45742-10, CNPq process nº 01300.004320/2014-21 and 01300.0013848/2017-33, IBAMA Nr. 14BR016151DF and 20BR035212/DF). This research was supported by funding from the German Science Foundation (DFG) Research Grants FL1051/1-1 and KA2846/6-1.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Cain, A. K. et al. A decade of advances in transposon-insertion sequencing.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Chao, M. C., Abel, S., Davis, B. M., Waldor, M. K. The design and analysis of transposon insertion sequencing experiments.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Barquist, L., Boinett, C. J., Cain, A. K. Approaches to querying bacterial genomes with transposon-insertion sequencing.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Fl&amp;#243;rez, L.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Antibiotic-producing symbionts dynamically transition between plant pathogenicity and insect-defensive mutualism.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15172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Fl&amp;#243;rez, L. V., Kaltenpoth, M. Symbiont dynamics and strain diversity in the defensive mutualism between </w:t>
      </w:r>
      <w:r>
        <w:rPr>
          <w:rFonts w:ascii="Calibri" w:hAnsi="Calibri" w:cs="Calibri" w:eastAsia="Calibri"/>
          <w:i/>
          <w:color w:val="auto"/>
          <w:spacing w:val="0"/>
          <w:position w:val="0"/>
          <w:sz w:val="24"/>
          <w:shd w:fill="auto" w:val="clear"/>
        </w:rPr>
        <w:t xml:space="preserve">Lagria </w:t>
      </w:r>
      <w:r>
        <w:rPr>
          <w:rFonts w:ascii="Calibri" w:hAnsi="Calibri" w:cs="Calibri" w:eastAsia="Calibri"/>
          <w:color w:val="auto"/>
          <w:spacing w:val="0"/>
          <w:position w:val="0"/>
          <w:sz w:val="24"/>
          <w:shd w:fill="auto" w:val="clear"/>
        </w:rPr>
        <w:t xml:space="preserve">beetles and </w:t>
      </w: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3674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Fl&amp;#243;rez, L. V. et al. An antifungal polyketide associated with horizontally acquired genes supports symbiont-mediated defense in </w:t>
      </w:r>
      <w:r>
        <w:rPr>
          <w:rFonts w:ascii="Calibri" w:hAnsi="Calibri" w:cs="Calibri" w:eastAsia="Calibri"/>
          <w:i/>
          <w:color w:val="auto"/>
          <w:spacing w:val="0"/>
          <w:position w:val="0"/>
          <w:sz w:val="24"/>
          <w:shd w:fill="auto" w:val="clear"/>
        </w:rPr>
        <w:t xml:space="preserve">Lagria villosa </w:t>
      </w:r>
      <w:r>
        <w:rPr>
          <w:rFonts w:ascii="Calibri" w:hAnsi="Calibri" w:cs="Calibri" w:eastAsia="Calibri"/>
          <w:color w:val="auto"/>
          <w:spacing w:val="0"/>
          <w:position w:val="0"/>
          <w:sz w:val="24"/>
          <w:shd w:fill="auto" w:val="clear"/>
        </w:rPr>
        <w:t xml:space="preserve">beetles.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2478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Andrews, S. FastQC A quality control tool for high throughput sequence data.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https://www.bioinformatics.babraham.ac.uk/projects/fastqc/</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Martin, M. Cutadapt removes adapter sequences from high-throughput sequencing reads. </w:t>
      </w:r>
      <w:r>
        <w:rPr>
          <w:rFonts w:ascii="Calibri" w:hAnsi="Calibri" w:cs="Calibri" w:eastAsia="Calibri"/>
          <w:i/>
          <w:color w:val="auto"/>
          <w:spacing w:val="0"/>
          <w:position w:val="0"/>
          <w:sz w:val="24"/>
          <w:shd w:fill="auto" w:val="clear"/>
        </w:rPr>
        <w:t xml:space="preserve">EMBnet.journal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Bolger, A. M., Lohse, M.,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 2114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Langmead, B., Salzberg, S. L. Fast gapped-read alignment with Bowtie 2.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Liao, Y., Smyth, G. K., Shi, W. FeatureCounts: An efficient general purpose program for assigning sequence reads to genomic features.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Love, M. I., Huber, W., Anders, S. Moderated estimation of fold change and dispersion for RNA-seq data with DESeq2.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550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Gayt&amp;#225;n, M. O., Mart&amp;#237;nez-Santos, V. I., Soto, E., Gonz&amp;#225;lez-Pedrajo, B. Type three secretion system in attaching and effacing pathogens.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Hachani, A., Wood, T. E., Filloux, A. Type VI secretion and anti-host effectors.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Deep, A., Chaudhary, U., Gupta, V. Quorum sensing and bacterial pathogenicity: From molecules to disease. </w:t>
      </w:r>
      <w:r>
        <w:rPr>
          <w:rFonts w:ascii="Calibri" w:hAnsi="Calibri" w:cs="Calibri" w:eastAsia="Calibri"/>
          <w:i/>
          <w:color w:val="auto"/>
          <w:spacing w:val="0"/>
          <w:position w:val="0"/>
          <w:sz w:val="24"/>
          <w:shd w:fill="auto" w:val="clear"/>
        </w:rPr>
        <w:t xml:space="preserve">Journal of Laboratory Physicians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Silva, A. J., Benitez, J. A. </w:t>
      </w:r>
      <w:r>
        <w:rPr>
          <w:rFonts w:ascii="Calibri" w:hAnsi="Calibri" w:cs="Calibri" w:eastAsia="Calibri"/>
          <w:i/>
          <w:color w:val="auto"/>
          <w:spacing w:val="0"/>
          <w:position w:val="0"/>
          <w:sz w:val="24"/>
          <w:shd w:fill="auto" w:val="clear"/>
        </w:rPr>
        <w:t xml:space="preserve">Vibrio cholerae </w:t>
      </w:r>
      <w:r>
        <w:rPr>
          <w:rFonts w:ascii="Calibri" w:hAnsi="Calibri" w:cs="Calibri" w:eastAsia="Calibri"/>
          <w:color w:val="auto"/>
          <w:spacing w:val="0"/>
          <w:position w:val="0"/>
          <w:sz w:val="24"/>
          <w:shd w:fill="auto" w:val="clear"/>
        </w:rPr>
        <w:t xml:space="preserve">biofilms and cholera pathogenesis.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e0004330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Navarro-Garcia, F., Ruiz-Perez, F., Cataldi, Á., Larz&amp;#225;bal, M. Type VI secretion system in 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structure, role in virulence, and acquisition.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Ribet, D., Cossart, P. How bacterial pathogens colonize their hosts and invade deeper tissues. </w:t>
      </w:r>
      <w:r>
        <w:rPr>
          <w:rFonts w:ascii="Calibri" w:hAnsi="Calibri" w:cs="Calibri" w:eastAsia="Calibri"/>
          <w:i/>
          <w:color w:val="auto"/>
          <w:spacing w:val="0"/>
          <w:position w:val="0"/>
          <w:sz w:val="24"/>
          <w:shd w:fill="auto" w:val="clear"/>
        </w:rPr>
        <w:t xml:space="preserve">Microbes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Schwarz, S. et al. </w:t>
      </w: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rPr>
        <w:t xml:space="preserve"> Type VI secretion systems have distinct roles in eukaryotic and bacterial cell interactions.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e1001068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Jones,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Kill and cure: genomic phylogeny and bioactivity of </w:t>
      </w:r>
      <w:r>
        <w:rPr>
          <w:rFonts w:ascii="Calibri" w:hAnsi="Calibri" w:cs="Calibri" w:eastAsia="Calibri"/>
          <w:i/>
          <w:color w:val="auto"/>
          <w:spacing w:val="0"/>
          <w:position w:val="0"/>
          <w:sz w:val="24"/>
          <w:shd w:fill="auto" w:val="clear"/>
        </w:rPr>
        <w:t xml:space="preserve">Burkholderia gladioli </w:t>
      </w:r>
      <w:r>
        <w:rPr>
          <w:rFonts w:ascii="Calibri" w:hAnsi="Calibri" w:cs="Calibri" w:eastAsia="Calibri"/>
          <w:color w:val="auto"/>
          <w:spacing w:val="0"/>
          <w:position w:val="0"/>
          <w:sz w:val="24"/>
          <w:shd w:fill="auto" w:val="clear"/>
        </w:rPr>
        <w:t xml:space="preserve">bacteria capable of pathogenic and beneficial lifestyles.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mgen000515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Takeshita, K., Kikuchi, Y. </w:t>
      </w:r>
      <w:r>
        <w:rPr>
          <w:rFonts w:ascii="Calibri" w:hAnsi="Calibri" w:cs="Calibri" w:eastAsia="Calibri"/>
          <w:i/>
          <w:color w:val="auto"/>
          <w:spacing w:val="0"/>
          <w:position w:val="0"/>
          <w:sz w:val="24"/>
          <w:shd w:fill="auto" w:val="clear"/>
        </w:rPr>
        <w:t xml:space="preserve">Riptortus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pedestris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rPr>
        <w:t xml:space="preserve"> symbiont: an ideal model system for insect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microbe symbiotic associations. </w:t>
      </w:r>
      <w:r>
        <w:rPr>
          <w:rFonts w:ascii="Calibri" w:hAnsi="Calibri" w:cs="Calibri" w:eastAsia="Calibri"/>
          <w:i/>
          <w:color w:val="auto"/>
          <w:spacing w:val="0"/>
          <w:position w:val="0"/>
          <w:sz w:val="24"/>
          <w:shd w:fill="auto" w:val="clear"/>
        </w:rPr>
        <w:t xml:space="preserve">Research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Powell, J. E. et al. Genome-wide screen identifies host colonization determinants in a bacterial gut symbiont.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(48), 13887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Brooks, J. F. et al. Global discovery of colonization determinants in the squid symbiont </w:t>
      </w:r>
      <w:r>
        <w:rPr>
          <w:rFonts w:ascii="Calibri" w:hAnsi="Calibri" w:cs="Calibri" w:eastAsia="Calibri"/>
          <w:i/>
          <w:color w:val="auto"/>
          <w:spacing w:val="0"/>
          <w:position w:val="0"/>
          <w:sz w:val="24"/>
          <w:shd w:fill="auto" w:val="clear"/>
        </w:rPr>
        <w:t xml:space="preserve">Vibrio fischeri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(48), 17284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Somprasong, N., McMillan, I., Karkhoff-Schweizer, R. R., Mongkolsuk, S., Schweizer, H. P. Methods for genetic manipulation of </w:t>
      </w:r>
      <w:r>
        <w:rPr>
          <w:rFonts w:ascii="Calibri" w:hAnsi="Calibri" w:cs="Calibri" w:eastAsia="Calibri"/>
          <w:i/>
          <w:color w:val="auto"/>
          <w:spacing w:val="0"/>
          <w:position w:val="0"/>
          <w:sz w:val="24"/>
          <w:shd w:fill="auto" w:val="clear"/>
        </w:rPr>
        <w:t xml:space="preserve">Burkholderia gladioli</w:t>
      </w:r>
      <w:r>
        <w:rPr>
          <w:rFonts w:ascii="Calibri" w:hAnsi="Calibri" w:cs="Calibri" w:eastAsia="Calibri"/>
          <w:color w:val="auto"/>
          <w:spacing w:val="0"/>
          <w:position w:val="0"/>
          <w:sz w:val="24"/>
          <w:shd w:fill="auto" w:val="clear"/>
        </w:rPr>
        <w:t xml:space="preserve"> pathovar cocovenenans.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Garcia, E. C. </w:t>
      </w:r>
      <w:r>
        <w:rPr>
          <w:rFonts w:ascii="Calibri" w:hAnsi="Calibri" w:cs="Calibri" w:eastAsia="Calibri"/>
          <w:i/>
          <w:color w:val="auto"/>
          <w:spacing w:val="0"/>
          <w:position w:val="0"/>
          <w:sz w:val="24"/>
          <w:shd w:fill="auto" w:val="clear"/>
        </w:rPr>
        <w:t xml:space="preserve">Burkholderia thailandensis</w:t>
      </w:r>
      <w:r>
        <w:rPr>
          <w:rFonts w:ascii="Calibri" w:hAnsi="Calibri" w:cs="Calibri" w:eastAsia="Calibri"/>
          <w:color w:val="auto"/>
          <w:spacing w:val="0"/>
          <w:position w:val="0"/>
          <w:sz w:val="24"/>
          <w:shd w:fill="auto" w:val="clear"/>
        </w:rPr>
        <w:t xml:space="preserve">: Genetic manipulation.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4C.2.1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4C.2.15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Headd, B., Bradford, S. A. The conjugation window in an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K-12 strain with an IncFII plasmid.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(17), e00948-20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Opijnen, T., Camilli, A. Transposon insertion sequencing: A new tool for systems-level analysis of microorganisms.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Gallagher, L. A., Ramage, E., Patrapuvich, R., Weiss, E., Brittnacher, M., Manoil, C. Sequence-defined transposon mutant library of </w:t>
      </w:r>
      <w:r>
        <w:rPr>
          <w:rFonts w:ascii="Calibri" w:hAnsi="Calibri" w:cs="Calibri" w:eastAsia="Calibri"/>
          <w:i/>
          <w:color w:val="auto"/>
          <w:spacing w:val="0"/>
          <w:position w:val="0"/>
          <w:sz w:val="24"/>
          <w:shd w:fill="auto" w:val="clear"/>
        </w:rPr>
        <w:t xml:space="preserve">Burkholderia thailandensis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e00604-13.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Wong, Y.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Candidate essential genes in </w:t>
      </w:r>
      <w:r>
        <w:rPr>
          <w:rFonts w:ascii="Calibri" w:hAnsi="Calibri" w:cs="Calibri" w:eastAsia="Calibri"/>
          <w:i/>
          <w:color w:val="auto"/>
          <w:spacing w:val="0"/>
          <w:position w:val="0"/>
          <w:sz w:val="24"/>
          <w:shd w:fill="auto" w:val="clear"/>
        </w:rPr>
        <w:t xml:space="preserve">Burkholderia cenocepacia</w:t>
      </w:r>
      <w:r>
        <w:rPr>
          <w:rFonts w:ascii="Calibri" w:hAnsi="Calibri" w:cs="Calibri" w:eastAsia="Calibri"/>
          <w:color w:val="auto"/>
          <w:spacing w:val="0"/>
          <w:position w:val="0"/>
          <w:sz w:val="24"/>
          <w:shd w:fill="auto" w:val="clear"/>
        </w:rPr>
        <w:t xml:space="preserve"> J2315 identified by genome-wide TraDIS.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Moule, M. G. et al. Genome-wide saturation mutagenesis of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K96243 predicts essential genes and novel targets for antimicrobial development.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e00926-13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Ding, Q., Tan, K. S. Himar1 transposon for efficient random mutagenesis in </w:t>
      </w:r>
      <w:r>
        <w:rPr>
          <w:rFonts w:ascii="Calibri" w:hAnsi="Calibri" w:cs="Calibri" w:eastAsia="Calibri"/>
          <w:i/>
          <w:color w:val="auto"/>
          <w:spacing w:val="0"/>
          <w:position w:val="0"/>
          <w:sz w:val="24"/>
          <w:shd w:fill="auto" w:val="clear"/>
        </w:rPr>
        <w:t xml:space="preserve">Aggregatibacter actinomycetemcomitans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1842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Green, B., Bouchier, C., Fairhead, C., Craig, N. L., Cormack, B. P. Insertion site preference of Mu, Tn5, and Tn7 transposons. </w:t>
      </w:r>
      <w:r>
        <w:rPr>
          <w:rFonts w:ascii="Calibri" w:hAnsi="Calibri" w:cs="Calibri" w:eastAsia="Calibri"/>
          <w:i/>
          <w:color w:val="auto"/>
          <w:spacing w:val="0"/>
          <w:position w:val="0"/>
          <w:sz w:val="24"/>
          <w:shd w:fill="auto" w:val="clear"/>
        </w:rPr>
        <w:t xml:space="preserve">Mobile DNA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Lodge, J. K., Weston-Hafer, K., Berg, D. E. Transposon Tn5 target specificity: Preference for insertion at G/C pairs.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Ar&amp;#225; Ujo, W. L. et al. Genome sequencing and transposon mutagenesis of </w:t>
      </w:r>
      <w:r>
        <w:rPr>
          <w:rFonts w:ascii="Calibri" w:hAnsi="Calibri" w:cs="Calibri" w:eastAsia="Calibri"/>
          <w:i/>
          <w:color w:val="auto"/>
          <w:spacing w:val="0"/>
          <w:position w:val="0"/>
          <w:sz w:val="24"/>
          <w:shd w:fill="auto" w:val="clear"/>
        </w:rPr>
        <w:t xml:space="preserve">Burkholderia seminalis</w:t>
      </w:r>
      <w:r>
        <w:rPr>
          <w:rFonts w:ascii="Calibri" w:hAnsi="Calibri" w:cs="Calibri" w:eastAsia="Calibri"/>
          <w:color w:val="auto"/>
          <w:spacing w:val="0"/>
          <w:position w:val="0"/>
          <w:sz w:val="24"/>
          <w:shd w:fill="auto" w:val="clear"/>
        </w:rPr>
        <w:t xml:space="preserve"> TC3.4.2R3 identify genes contributing to suppression of orchid necrosis caused by </w:t>
      </w:r>
      <w:r>
        <w:rPr>
          <w:rFonts w:ascii="Calibri" w:hAnsi="Calibri" w:cs="Calibri" w:eastAsia="Calibri"/>
          <w:i/>
          <w:color w:val="auto"/>
          <w:spacing w:val="0"/>
          <w:position w:val="0"/>
          <w:sz w:val="24"/>
          <w:shd w:fill="auto" w:val="clear"/>
        </w:rPr>
        <w:t xml:space="preserve">B. gladioli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Plant-microbe Interactions: MPMI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Dobritsa, A. P., Samadpour, M. Reclassification of </w:t>
      </w:r>
      <w:r>
        <w:rPr>
          <w:rFonts w:ascii="Calibri" w:hAnsi="Calibri" w:cs="Calibri" w:eastAsia="Calibri"/>
          <w:i/>
          <w:color w:val="auto"/>
          <w:spacing w:val="0"/>
          <w:position w:val="0"/>
          <w:sz w:val="24"/>
          <w:shd w:fill="auto" w:val="clear"/>
        </w:rPr>
        <w:t xml:space="preserve">Burkholderia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insecticola</w:t>
      </w:r>
      <w:r>
        <w:rPr>
          <w:rFonts w:ascii="Calibri" w:hAnsi="Calibri" w:cs="Calibri" w:eastAsia="Calibri"/>
          <w:color w:val="auto"/>
          <w:spacing w:val="0"/>
          <w:position w:val="0"/>
          <w:sz w:val="24"/>
          <w:shd w:fill="auto" w:val="clear"/>
        </w:rPr>
        <w:t xml:space="preserve"> as </w:t>
      </w:r>
      <w:r>
        <w:rPr>
          <w:rFonts w:ascii="Calibri" w:hAnsi="Calibri" w:cs="Calibri" w:eastAsia="Calibri"/>
          <w:i/>
          <w:color w:val="auto"/>
          <w:spacing w:val="0"/>
          <w:position w:val="0"/>
          <w:sz w:val="24"/>
          <w:shd w:fill="auto" w:val="clear"/>
        </w:rPr>
        <w:t xml:space="preserve">Caballeronia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insecticola</w:t>
      </w:r>
      <w:r>
        <w:rPr>
          <w:rFonts w:ascii="Calibri" w:hAnsi="Calibri" w:cs="Calibri" w:eastAsia="Calibri"/>
          <w:color w:val="auto"/>
          <w:spacing w:val="0"/>
          <w:position w:val="0"/>
          <w:sz w:val="24"/>
          <w:shd w:fill="auto" w:val="clear"/>
        </w:rPr>
        <w:t xml:space="preserve"> comb. nov. and reliability of conserved signature indels as molecular synapomorphies. </w:t>
      </w:r>
      <w:r>
        <w:rPr>
          <w:rFonts w:ascii="Calibri" w:hAnsi="Calibri" w:cs="Calibri" w:eastAsia="Calibri"/>
          <w:i/>
          <w:color w:val="auto"/>
          <w:spacing w:val="0"/>
          <w:position w:val="0"/>
          <w:sz w:val="24"/>
          <w:shd w:fill="auto" w:val="clear"/>
        </w:rPr>
        <w:t xml:space="preserve">International Journal of Systematic and Evolutionary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2057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Ohbayashi, T. et al. Insect’s intestinal organ for symbiont sorting.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(37), E5179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E5188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Ross, C., Scherlach, K., Kloss, F., Hertweck, C. The molecular basis of conjugated polyyne biosynthesis in phytopathogenic bacteria.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(30), 7794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Atkins, T. et al. A mutant of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auxotrophic in the branched chain amino acid biosynthetic pathway, is attenuated and protective in a murine model of melioidosis.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(9), 5290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5294 (2002).</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ioinformatics.babraham.ac.uk/projects/fastq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