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121A4" w14:textId="77777777" w:rsidR="00432515" w:rsidRPr="006C0CED" w:rsidRDefault="00432515" w:rsidP="00432515">
      <w:pPr>
        <w:pStyle w:val="StandardWeb"/>
        <w:rPr>
          <w:rStyle w:val="Fett"/>
          <w:u w:val="single"/>
          <w:lang w:val="en-AU"/>
        </w:rPr>
      </w:pPr>
      <w:r w:rsidRPr="006C0CED">
        <w:rPr>
          <w:rStyle w:val="Fett"/>
          <w:u w:val="single"/>
          <w:lang w:val="en-AU"/>
        </w:rPr>
        <w:t>Point to point response</w:t>
      </w:r>
    </w:p>
    <w:p w14:paraId="2424464E" w14:textId="77777777" w:rsidR="00432515" w:rsidRPr="006C0CED" w:rsidRDefault="00432515" w:rsidP="00432515">
      <w:pPr>
        <w:pStyle w:val="StandardWeb"/>
        <w:rPr>
          <w:rStyle w:val="Fett"/>
          <w:u w:val="single"/>
          <w:lang w:val="en-AU"/>
        </w:rPr>
      </w:pPr>
    </w:p>
    <w:p w14:paraId="1EA9DAE1" w14:textId="77777777" w:rsidR="00432515" w:rsidRPr="00BC4B61" w:rsidRDefault="00432515" w:rsidP="00432515">
      <w:pPr>
        <w:pStyle w:val="StandardWeb"/>
        <w:rPr>
          <w:lang w:val="en-AU"/>
        </w:rPr>
      </w:pPr>
      <w:r w:rsidRPr="006C0CED">
        <w:rPr>
          <w:rStyle w:val="Fett"/>
          <w:u w:val="single"/>
          <w:lang w:val="en-AU"/>
        </w:rPr>
        <w:t>Editorial comments:</w:t>
      </w:r>
      <w:r w:rsidRPr="006C0CED">
        <w:rPr>
          <w:lang w:val="en-AU"/>
        </w:rPr>
        <w:br/>
        <w:t xml:space="preserve">1. </w:t>
      </w:r>
      <w:r w:rsidRPr="00BC4B61">
        <w:rPr>
          <w:lang w:val="en-AU"/>
        </w:rPr>
        <w:t>Please take this opportunity to thoroughly proofread the manuscript to ensure that there are no spelling or grammar issues.</w:t>
      </w:r>
    </w:p>
    <w:p w14:paraId="753EBA95" w14:textId="77777777" w:rsidR="00432515" w:rsidRPr="006C0CED" w:rsidRDefault="00432515" w:rsidP="00432515">
      <w:pPr>
        <w:pStyle w:val="StandardWeb"/>
        <w:rPr>
          <w:lang w:val="en-AU"/>
        </w:rPr>
      </w:pPr>
      <w:r w:rsidRPr="006C0CED">
        <w:rPr>
          <w:b/>
          <w:lang w:val="en-AU"/>
        </w:rPr>
        <w:t>Answer:</w:t>
      </w:r>
      <w:r w:rsidRPr="006C0CED">
        <w:rPr>
          <w:lang w:val="en-AU"/>
        </w:rPr>
        <w:t xml:space="preserve">  We thoroughly proofread the manuscript</w:t>
      </w:r>
    </w:p>
    <w:p w14:paraId="0288E5F6" w14:textId="23C9D1C5" w:rsidR="00432515" w:rsidRPr="006C0CED" w:rsidRDefault="00432515" w:rsidP="00432515">
      <w:pPr>
        <w:pStyle w:val="StandardWeb"/>
        <w:rPr>
          <w:b/>
          <w:lang w:val="en-AU"/>
        </w:rPr>
      </w:pPr>
      <w:r w:rsidRPr="006C0CED">
        <w:rPr>
          <w:lang w:val="en-AU"/>
        </w:rPr>
        <w:t>2. Please revise the following lines to avoid previously published work: 274-277, 283-285, 291-293</w:t>
      </w:r>
    </w:p>
    <w:p w14:paraId="58EABD59" w14:textId="7FCAB4F8" w:rsidR="00432515" w:rsidRPr="006C0CED" w:rsidRDefault="00432515" w:rsidP="00432515">
      <w:pPr>
        <w:pStyle w:val="StandardWeb"/>
        <w:rPr>
          <w:lang w:val="en-AU"/>
        </w:rPr>
      </w:pPr>
      <w:r w:rsidRPr="006C0CED">
        <w:rPr>
          <w:b/>
          <w:lang w:val="en-AU"/>
        </w:rPr>
        <w:t>Answer:</w:t>
      </w:r>
      <w:r w:rsidRPr="006C0CED">
        <w:rPr>
          <w:lang w:val="en-AU"/>
        </w:rPr>
        <w:t xml:space="preserve"> T</w:t>
      </w:r>
      <w:r w:rsidR="00666486" w:rsidRPr="006C0CED">
        <w:rPr>
          <w:lang w:val="en-AU"/>
        </w:rPr>
        <w:t>his part was modified to have a different phrasing</w:t>
      </w:r>
      <w:r w:rsidR="00BC4B61">
        <w:rPr>
          <w:lang w:val="en-AU"/>
        </w:rPr>
        <w:t xml:space="preserve"> than previously published work</w:t>
      </w:r>
    </w:p>
    <w:p w14:paraId="406ED4E7" w14:textId="1081418B" w:rsidR="00432515" w:rsidRPr="006C0CED" w:rsidRDefault="00432515" w:rsidP="00432515">
      <w:pPr>
        <w:pStyle w:val="StandardWeb"/>
        <w:rPr>
          <w:lang w:val="en-AU"/>
        </w:rPr>
      </w:pPr>
      <w:r w:rsidRPr="006C0CED">
        <w:rPr>
          <w:lang w:val="en-AU"/>
        </w:rPr>
        <w:t>3. Please revise the text to avoid the use of any personal pronouns (e.g., "we", "you", "our" etc.).</w:t>
      </w:r>
    </w:p>
    <w:p w14:paraId="76EA7D07" w14:textId="77777777" w:rsidR="00432515" w:rsidRPr="006C0CED" w:rsidRDefault="00432515" w:rsidP="00432515">
      <w:pPr>
        <w:pStyle w:val="StandardWeb"/>
        <w:rPr>
          <w:lang w:val="en-AU"/>
        </w:rPr>
      </w:pPr>
      <w:r w:rsidRPr="006C0CED">
        <w:rPr>
          <w:b/>
          <w:lang w:val="en-AU"/>
        </w:rPr>
        <w:t>Answer:</w:t>
      </w:r>
      <w:r w:rsidRPr="006C0CED">
        <w:rPr>
          <w:lang w:val="en-AU"/>
        </w:rPr>
        <w:t xml:space="preserve">  We thoroughly proofread the manuscript to avoid the use of any personal pronouns</w:t>
      </w:r>
    </w:p>
    <w:p w14:paraId="1CCB70F4" w14:textId="47D4BA25" w:rsidR="00432515" w:rsidRPr="006C0CED" w:rsidRDefault="00432515" w:rsidP="00432515">
      <w:pPr>
        <w:pStyle w:val="StandardWeb"/>
        <w:rPr>
          <w:lang w:val="en-AU"/>
        </w:rPr>
      </w:pPr>
      <w:r w:rsidRPr="006C0CED">
        <w:rPr>
          <w:lang w:val="en-AU"/>
        </w:rPr>
        <w:t>4. Please include an ethics statement before the numbered protocol steps, indicating that the protocol follows the guidelines of your institution’s human research ethics committee.</w:t>
      </w:r>
    </w:p>
    <w:p w14:paraId="43B8FA69" w14:textId="77777777" w:rsidR="00432515" w:rsidRPr="006C0CED" w:rsidRDefault="00432515" w:rsidP="00432515">
      <w:pPr>
        <w:pStyle w:val="StandardWeb"/>
        <w:rPr>
          <w:lang w:val="en-AU"/>
        </w:rPr>
      </w:pPr>
      <w:r w:rsidRPr="006C0CED">
        <w:rPr>
          <w:b/>
          <w:lang w:val="en-AU"/>
        </w:rPr>
        <w:t>Answer:</w:t>
      </w:r>
      <w:r w:rsidRPr="006C0CED">
        <w:rPr>
          <w:lang w:val="en-AU"/>
        </w:rPr>
        <w:t xml:space="preserve">  We added the number of the ethical agreement </w:t>
      </w:r>
      <w:r w:rsidR="00587799" w:rsidRPr="006C0CED">
        <w:rPr>
          <w:lang w:val="en-AU"/>
        </w:rPr>
        <w:t>to t</w:t>
      </w:r>
      <w:r w:rsidRPr="006C0CED">
        <w:rPr>
          <w:lang w:val="en-AU"/>
        </w:rPr>
        <w:t>he protocol text</w:t>
      </w:r>
    </w:p>
    <w:p w14:paraId="2A6B69B5" w14:textId="2F5E060A" w:rsidR="00432515" w:rsidRPr="006C0CED" w:rsidRDefault="00432515" w:rsidP="00432515">
      <w:pPr>
        <w:pStyle w:val="StandardWeb"/>
        <w:rPr>
          <w:lang w:val="en-AU"/>
        </w:rPr>
      </w:pPr>
      <w:r w:rsidRPr="006C0CED">
        <w:rPr>
          <w:lang w:val="en-AU"/>
        </w:rPr>
        <w:t>5.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75C31D3E" w14:textId="451A6B86" w:rsidR="00432515" w:rsidRPr="006C0CED" w:rsidRDefault="00432515" w:rsidP="00432515">
      <w:pPr>
        <w:pStyle w:val="StandardWeb"/>
        <w:rPr>
          <w:lang w:val="en-AU"/>
        </w:rPr>
      </w:pPr>
      <w:r w:rsidRPr="006C0CED">
        <w:rPr>
          <w:b/>
          <w:lang w:val="en-AU"/>
        </w:rPr>
        <w:t>Answer:</w:t>
      </w:r>
      <w:r w:rsidRPr="006C0CED">
        <w:rPr>
          <w:lang w:val="en-AU"/>
        </w:rPr>
        <w:t xml:space="preserve"> We </w:t>
      </w:r>
      <w:r w:rsidR="00666486" w:rsidRPr="006C0CED">
        <w:rPr>
          <w:lang w:val="en-AU"/>
        </w:rPr>
        <w:t xml:space="preserve">added more details to our protocol steps </w:t>
      </w:r>
      <w:r w:rsidR="00587799" w:rsidRPr="006C0CED">
        <w:rPr>
          <w:lang w:val="en-AU"/>
        </w:rPr>
        <w:t>to have it contain everything that we would like shown in the video</w:t>
      </w:r>
      <w:r w:rsidRPr="006C0CED">
        <w:rPr>
          <w:lang w:val="en-AU"/>
        </w:rPr>
        <w:t>.</w:t>
      </w:r>
      <w:r w:rsidR="00666486" w:rsidRPr="006C0CED">
        <w:rPr>
          <w:lang w:val="en-AU"/>
        </w:rPr>
        <w:t xml:space="preserve"> Please, see the revised version of </w:t>
      </w:r>
      <w:r w:rsidR="00BC4B61">
        <w:rPr>
          <w:lang w:val="en-AU"/>
        </w:rPr>
        <w:t>t</w:t>
      </w:r>
      <w:r w:rsidR="00666486" w:rsidRPr="006C0CED">
        <w:rPr>
          <w:lang w:val="en-AU"/>
        </w:rPr>
        <w:t>he protocol with changes highlighted in yellow.</w:t>
      </w:r>
    </w:p>
    <w:p w14:paraId="5945C138" w14:textId="77777777" w:rsidR="00587799" w:rsidRPr="006C0CED" w:rsidRDefault="00432515" w:rsidP="00432515">
      <w:pPr>
        <w:pStyle w:val="StandardWeb"/>
        <w:rPr>
          <w:lang w:val="en-AU"/>
        </w:rPr>
      </w:pPr>
      <w:r w:rsidRPr="006C0CED">
        <w:rPr>
          <w:lang w:val="en-AU"/>
        </w:rPr>
        <w:t>6. Line 106-107: Please specify the constituents of the medium.</w:t>
      </w:r>
    </w:p>
    <w:p w14:paraId="6412582F" w14:textId="219BCEDF" w:rsidR="00587799" w:rsidRPr="006C0CED" w:rsidRDefault="00587799" w:rsidP="00432515">
      <w:pPr>
        <w:pStyle w:val="StandardWeb"/>
        <w:rPr>
          <w:lang w:val="en-AU"/>
        </w:rPr>
      </w:pPr>
      <w:r w:rsidRPr="006C0CED">
        <w:rPr>
          <w:b/>
          <w:lang w:val="en-AU"/>
        </w:rPr>
        <w:t>Answer:</w:t>
      </w:r>
      <w:r w:rsidR="00666486" w:rsidRPr="006C0CED">
        <w:rPr>
          <w:lang w:val="en-AU"/>
        </w:rPr>
        <w:t xml:space="preserve"> We added the link to</w:t>
      </w:r>
      <w:r w:rsidRPr="006C0CED">
        <w:rPr>
          <w:lang w:val="en-AU"/>
        </w:rPr>
        <w:t xml:space="preserve"> the table</w:t>
      </w:r>
      <w:r w:rsidR="0052476F" w:rsidRPr="006C0CED">
        <w:rPr>
          <w:lang w:val="en-AU"/>
        </w:rPr>
        <w:t xml:space="preserve"> of</w:t>
      </w:r>
      <w:r w:rsidRPr="006C0CED">
        <w:rPr>
          <w:lang w:val="en-AU"/>
        </w:rPr>
        <w:t xml:space="preserve"> materials</w:t>
      </w:r>
      <w:r w:rsidR="00666486" w:rsidRPr="006C0CED">
        <w:rPr>
          <w:lang w:val="en-AU"/>
        </w:rPr>
        <w:t>, where detailed composition of</w:t>
      </w:r>
      <w:r w:rsidR="00BC4B61">
        <w:rPr>
          <w:lang w:val="en-AU"/>
        </w:rPr>
        <w:t xml:space="preserve"> </w:t>
      </w:r>
      <w:r w:rsidR="00666486" w:rsidRPr="006C0CED">
        <w:rPr>
          <w:lang w:val="en-AU"/>
        </w:rPr>
        <w:t>the medium is presented</w:t>
      </w:r>
    </w:p>
    <w:p w14:paraId="2ECDF0EC" w14:textId="77777777" w:rsidR="00587799" w:rsidRPr="006C0CED" w:rsidRDefault="00432515" w:rsidP="00432515">
      <w:pPr>
        <w:pStyle w:val="StandardWeb"/>
        <w:rPr>
          <w:lang w:val="en-AU"/>
        </w:rPr>
      </w:pPr>
      <w:r w:rsidRPr="006C0CED">
        <w:rPr>
          <w:lang w:val="en-AU"/>
        </w:rPr>
        <w:t>7. Line 109-110: Please specify how the cell confluence and adhesion are controlled.</w:t>
      </w:r>
    </w:p>
    <w:p w14:paraId="2DA04C27" w14:textId="77777777" w:rsidR="00587799" w:rsidRPr="006C0CED" w:rsidRDefault="00587799" w:rsidP="00432515">
      <w:pPr>
        <w:pStyle w:val="StandardWeb"/>
        <w:rPr>
          <w:lang w:val="en-AU"/>
        </w:rPr>
      </w:pPr>
      <w:r w:rsidRPr="006C0CED">
        <w:rPr>
          <w:b/>
          <w:lang w:val="en-AU"/>
        </w:rPr>
        <w:t>Answer:</w:t>
      </w:r>
      <w:r w:rsidRPr="006C0CED">
        <w:rPr>
          <w:lang w:val="en-AU"/>
        </w:rPr>
        <w:t xml:space="preserve"> we added the following points:</w:t>
      </w:r>
    </w:p>
    <w:p w14:paraId="61363247" w14:textId="77777777" w:rsidR="00666486" w:rsidRPr="00BC4B61" w:rsidRDefault="00666486" w:rsidP="00666486">
      <w:pPr>
        <w:rPr>
          <w:rFonts w:cstheme="minorHAnsi"/>
          <w:color w:val="000000"/>
          <w:lang w:val="en-US"/>
        </w:rPr>
      </w:pPr>
      <w:r w:rsidRPr="00BC4B61">
        <w:rPr>
          <w:rFonts w:cstheme="minorHAnsi"/>
          <w:lang w:val="en-US"/>
        </w:rPr>
        <w:t xml:space="preserve">1.1.2. </w:t>
      </w:r>
      <w:r w:rsidRPr="00BC4B61">
        <w:rPr>
          <w:rFonts w:cstheme="minorHAnsi"/>
          <w:highlight w:val="yellow"/>
          <w:lang w:val="en-US"/>
        </w:rPr>
        <w:t>On the day of experiment: Control cell confluence and cell adhesion microscopically before the experiment starts. Comparing the amount of space covered by cells with unoccupied space gives an estimation of their confluence. The cells with confluence of 80-90 % were typically used for the experiments.</w:t>
      </w:r>
      <w:r w:rsidRPr="00BC4B61">
        <w:rPr>
          <w:rFonts w:cstheme="minorHAnsi"/>
          <w:lang w:val="en-US"/>
        </w:rPr>
        <w:t xml:space="preserve"> </w:t>
      </w:r>
      <w:r w:rsidRPr="00BC4B61">
        <w:rPr>
          <w:rFonts w:cstheme="minorHAnsi"/>
          <w:highlight w:val="yellow"/>
          <w:lang w:val="en-US"/>
        </w:rPr>
        <w:t>Nearly all cells should be attached to the bottom of the dish.</w:t>
      </w:r>
      <w:r w:rsidRPr="00BC4B61">
        <w:rPr>
          <w:rFonts w:cstheme="minorHAnsi"/>
          <w:lang w:val="en-US"/>
        </w:rPr>
        <w:t xml:space="preserve"> </w:t>
      </w:r>
    </w:p>
    <w:p w14:paraId="123F0250" w14:textId="77777777" w:rsidR="00587799" w:rsidRPr="00E877C2" w:rsidRDefault="00587799" w:rsidP="00587799">
      <w:pPr>
        <w:rPr>
          <w:rFonts w:cstheme="minorHAnsi"/>
          <w:lang w:val="en-US"/>
        </w:rPr>
      </w:pPr>
    </w:p>
    <w:p w14:paraId="0BE88E3B" w14:textId="28293D87" w:rsidR="00587799" w:rsidRPr="006C0CED" w:rsidRDefault="00432515" w:rsidP="00432515">
      <w:pPr>
        <w:pStyle w:val="StandardWeb"/>
        <w:rPr>
          <w:lang w:val="en-AU"/>
        </w:rPr>
      </w:pPr>
      <w:r w:rsidRPr="006C0CED">
        <w:rPr>
          <w:lang w:val="en-AU"/>
        </w:rPr>
        <w:lastRenderedPageBreak/>
        <w:t>8. Line 116: Please specify from where the primary T cells were isolated.</w:t>
      </w:r>
      <w:r w:rsidRPr="006C0CED">
        <w:rPr>
          <w:lang w:val="en-AU"/>
        </w:rPr>
        <w:br/>
      </w:r>
      <w:r w:rsidR="00587799" w:rsidRPr="006C0CED">
        <w:rPr>
          <w:b/>
          <w:lang w:val="en-AU"/>
        </w:rPr>
        <w:t>Answer:</w:t>
      </w:r>
      <w:r w:rsidR="00587799" w:rsidRPr="006C0CED">
        <w:rPr>
          <w:lang w:val="en-AU"/>
        </w:rPr>
        <w:t xml:space="preserve"> we give a citation which </w:t>
      </w:r>
      <w:r w:rsidR="00666486" w:rsidRPr="006C0CED">
        <w:rPr>
          <w:lang w:val="en-AU"/>
        </w:rPr>
        <w:t xml:space="preserve">describes the </w:t>
      </w:r>
      <w:r w:rsidR="00BC4B61" w:rsidRPr="006C0CED">
        <w:rPr>
          <w:lang w:val="en-AU"/>
        </w:rPr>
        <w:t>preparation</w:t>
      </w:r>
      <w:r w:rsidR="00666486" w:rsidRPr="006C0CED">
        <w:rPr>
          <w:lang w:val="en-AU"/>
        </w:rPr>
        <w:t xml:space="preserve"> of these cells</w:t>
      </w:r>
      <w:r w:rsidR="00587799" w:rsidRPr="006C0CED">
        <w:rPr>
          <w:lang w:val="en-AU"/>
        </w:rPr>
        <w:t xml:space="preserve"> and acknowledge our colleagues that have provided us with primary T cells. </w:t>
      </w:r>
    </w:p>
    <w:p w14:paraId="73A52D58" w14:textId="77777777" w:rsidR="00587799" w:rsidRPr="006C0CED" w:rsidRDefault="00432515" w:rsidP="00432515">
      <w:pPr>
        <w:pStyle w:val="StandardWeb"/>
        <w:rPr>
          <w:lang w:val="en-AU"/>
        </w:rPr>
      </w:pPr>
      <w:r w:rsidRPr="006C0CED">
        <w:rPr>
          <w:lang w:val="en-AU"/>
        </w:rPr>
        <w:t>9. Line 126: Please add more detail</w:t>
      </w:r>
      <w:r w:rsidR="00587799" w:rsidRPr="006C0CED">
        <w:rPr>
          <w:lang w:val="en-AU"/>
        </w:rPr>
        <w:t>s to the CD95L stimulation step</w:t>
      </w:r>
    </w:p>
    <w:p w14:paraId="22C986DA" w14:textId="77777777" w:rsidR="00587799" w:rsidRPr="006C0CED" w:rsidRDefault="00587799" w:rsidP="00432515">
      <w:pPr>
        <w:pStyle w:val="StandardWeb"/>
        <w:rPr>
          <w:lang w:val="en-AU"/>
        </w:rPr>
      </w:pPr>
      <w:r w:rsidRPr="006C0CED">
        <w:rPr>
          <w:b/>
          <w:lang w:val="en-AU"/>
        </w:rPr>
        <w:t>Answer:</w:t>
      </w:r>
      <w:r w:rsidR="00262986" w:rsidRPr="006C0CED">
        <w:rPr>
          <w:lang w:val="en-AU"/>
        </w:rPr>
        <w:t xml:space="preserve"> we added the following details:</w:t>
      </w:r>
    </w:p>
    <w:p w14:paraId="284712AB" w14:textId="77777777" w:rsidR="00262986" w:rsidRPr="00BC4B61" w:rsidRDefault="00262986" w:rsidP="00262986">
      <w:pPr>
        <w:rPr>
          <w:rFonts w:cstheme="minorHAnsi"/>
          <w:lang w:val="en-US"/>
        </w:rPr>
      </w:pPr>
      <w:r w:rsidRPr="00BC4B61">
        <w:rPr>
          <w:rFonts w:cstheme="minorHAnsi"/>
          <w:lang w:val="en-US"/>
        </w:rPr>
        <w:t xml:space="preserve">2.1. </w:t>
      </w:r>
      <w:r w:rsidRPr="00BC4B61">
        <w:rPr>
          <w:rFonts w:cstheme="minorHAnsi"/>
          <w:highlight w:val="yellow"/>
          <w:lang w:val="en-US"/>
        </w:rPr>
        <w:t>Stimulate the cells with CD95L</w:t>
      </w:r>
      <w:r w:rsidRPr="00BC4B61">
        <w:rPr>
          <w:rFonts w:cstheme="minorHAnsi"/>
          <w:lang w:val="en-US"/>
        </w:rPr>
        <w:t xml:space="preserve"> (produced as previously described</w:t>
      </w:r>
      <w:r>
        <w:rPr>
          <w:rStyle w:val="Funotenzeichen"/>
          <w:rFonts w:cstheme="minorHAnsi"/>
        </w:rPr>
        <w:fldChar w:fldCharType="begin" w:fldLock="1"/>
      </w:r>
      <w:r w:rsidRPr="00BC4B61">
        <w:rPr>
          <w:rFonts w:cstheme="minorHAnsi"/>
          <w:lang w:val="en-US"/>
        </w:rPr>
        <w:instrText>ADDIN CSL_CITATION {"citationItems":[{"id":"ITEM-1","itemData":{"DOI":"10.1083/jcb.201002060","ISSN":"1540-8140","PMID":"20696707","abstract":"Cellular FADD-like interleukin-1beta-converting enzyme inhibitory proteins (c-FLIPs; isoforms c-FLIP long [c-FLIP(L)], c-FLIP short [c-FLIP(S)], and c-FLIP Raji [c-FLIP(R)]) regulate caspase-8 activation and death receptor (DR)-induced apoptosis. In this study, using a combination of mathematical modeling, imaging, and quantitative Western blots, we present a new mathematical model describing caspase-8 activation in quantitative terms, which highlights the influence of c-FLIP proteins on this process directly at the CD95 death-inducing signaling complex. We quantitatively define how the stoichiometry of c-FLIP proteins determines sensitivity toward CD95-induced apoptosis. We show that c-FLIP(L) has a proapoptotic role only upon moderate expression in combination with strong receptor stimulation or in the presence of high amounts of one of the short c-FLIP isoforms, c-FLIP(S) or c-FLIP(R). Our findings resolve the present controversial discussion on the function of c-FLIP(L) as a pro- or antiapoptotic protein in DR-mediated apoptosis and are important for understanding the regulation of CD95-induced apoptosis, where subtle differences in c-FLIP concentrations determine life or death of the cells.","author":[{"dropping-particle":"","family":"Fricker","given":"Nicolai","non-dropping-particle":"","parse-names":false,"suffix":""},{"dropping-particle":"","family":"Beaudouin","given":"Joel","non-dropping-particle":"","parse-names":false,"suffix":""},{"dropping-particle":"","family":"Richter","given":"Petra","non-dropping-particle":"","parse-names":false,"suffix":""},{"dropping-particle":"","family":"Eils","given":"Roland","non-dropping-particle":"","parse-names":false,"suffix":""},{"dropping-particle":"","family":"Krammer","given":"Peter H","non-dropping-particle":"","parse-names":false,"suffix":""},{"dropping-particle":"","family":"Lavrik","given":"Inna N","non-dropping-particle":"","parse-names":false,"suffix":""}],"container-title":"The Journal of cell biology","id":"ITEM-1","issue":"3","issued":{"date-parts":[["2010","8","9"]]},"page":"377-89","title":"Model-based dissection of CD95 signaling dynamics reveals both a pro- and antiapoptotic role of c-FLIPL.","type":"article-journal","volume":"190"},"uris":["http://www.mendeley.com/documents/?uuid=00c2cfe1-d84b-4e96-a1af-af0a5058ccc2"]}],"mendeley":{"formattedCitation":"&lt;sup&gt;20&lt;/sup&gt;","plainTextFormattedCitation":"20","previouslyFormattedCitation":"&lt;sup&gt;20&lt;/sup&gt;"},"properties":{"noteIndex":0},"schema":"https://github.com/citation-style-language/schema/raw/master/csl-citation.json"}</w:instrText>
      </w:r>
      <w:r>
        <w:rPr>
          <w:rStyle w:val="Funotenzeichen"/>
          <w:rFonts w:cstheme="minorHAnsi"/>
        </w:rPr>
        <w:fldChar w:fldCharType="separate"/>
      </w:r>
      <w:r w:rsidRPr="00BC4B61">
        <w:rPr>
          <w:rFonts w:cstheme="minorHAnsi"/>
          <w:noProof/>
          <w:vertAlign w:val="superscript"/>
          <w:lang w:val="en-US"/>
        </w:rPr>
        <w:t>20</w:t>
      </w:r>
      <w:r>
        <w:rPr>
          <w:rStyle w:val="Funotenzeichen"/>
          <w:rFonts w:cstheme="minorHAnsi"/>
        </w:rPr>
        <w:fldChar w:fldCharType="end"/>
      </w:r>
      <w:r w:rsidRPr="00BC4B61">
        <w:rPr>
          <w:rFonts w:cstheme="minorHAnsi"/>
          <w:lang w:val="en-US"/>
        </w:rPr>
        <w:t xml:space="preserve"> or commercially available at ENZO: ALX-522-020-C005).</w:t>
      </w:r>
    </w:p>
    <w:p w14:paraId="304D932D" w14:textId="404D238A" w:rsidR="00262986" w:rsidRPr="00BC4B61" w:rsidRDefault="00262986" w:rsidP="00262986">
      <w:pPr>
        <w:rPr>
          <w:rFonts w:cstheme="minorHAnsi"/>
          <w:lang w:val="en-US"/>
        </w:rPr>
      </w:pPr>
      <w:r w:rsidRPr="00BC4B61">
        <w:rPr>
          <w:rFonts w:cstheme="minorHAnsi"/>
          <w:lang w:val="en-US"/>
        </w:rPr>
        <w:t>Note: The concentration of the CD95L and the time of stimulation are cell-type dependent.</w:t>
      </w:r>
      <w:r>
        <w:rPr>
          <w:rFonts w:cstheme="minorHAnsi"/>
        </w:rPr>
        <w:fldChar w:fldCharType="begin" w:fldLock="1"/>
      </w:r>
      <w:r w:rsidRPr="00BC4B61">
        <w:rPr>
          <w:rFonts w:cstheme="minorHAnsi"/>
          <w:lang w:val="en-US"/>
        </w:rPr>
        <w:instrText>ADDIN CSL_CITATION {"citationItems":[{"id":"ITEM-1","itemData":{"DOI":"10.1074/jbc.M414425200","ISSN":"00219258","abstract":"c-FLIPs (c-FLICE inhibitory proteins) play an essential role in regulation of death receptor-induced apoptosis. Multiple splice variants of c-FLIP have been described on the mRNA level; so far only two of them, c-FLIPL and c-FLIPS, had been found to be expressed at the protein level. In this report, we reveal the endogenous expression of a third isoform of c-FLIP. We demonstrate its presence in a number of T and B cell lines as well as in primary human T cells. We identified this isoform as c-FLIPR, a death effector domain-only splice variant previously identified on the mRNA level. Importantly, c-FLIPR is recruited to the CD95 (Fas/APO-1) death-inducing signaling complex upon CD95 stimulation. Several properties of c-FLIPR are similar to C-FLIPS: both isoforms have a short half-life, a similar pattern of expression during activation of primary human T cells, and are strongly induced in T cells upon CD3/CD28 costimulation. Taken together, our data demonstrate endogenous expression of c-FLIPR and similar roles of c-FLIPR and C-FLIPS isofonns in death receptor-mediated apoptosis. © 2005 by The American Society for Biochemistry and Molecular Biology, Inc.","author":[{"dropping-particle":"","family":"Golks","given":"Alexander","non-dropping-particle":"","parse-names":false,"suffix":""},{"dropping-particle":"","family":"Brenner","given":"Dirk","non-dropping-particle":"","parse-names":false,"suffix":""},{"dropping-particle":"","family":"Fritsch","given":"Cornelius","non-dropping-particle":"","parse-names":false,"suffix":""},{"dropping-particle":"","family":"Krammer","given":"Peter H.","non-dropping-particle":"","parse-names":false,"suffix":""},{"dropping-particle":"","family":"Lavrik","given":"Inna N.","non-dropping-particle":"","parse-names":false,"suffix":""}],"container-title":"Journal of Biological Chemistry","id":"ITEM-1","issue":"15","issued":{"date-parts":[["2005","4","15"]]},"page":"14507-14513","publisher":"American Society for Biochemistry and Molecular Biology","title":"c-FLIPR, a new regulator of death receptor-induced apoptosis","type":"article-journal","volume":"280"},"uris":["http://www.mendeley.com/documents/?uuid=c071c78a-fc7b-3d6a-8789-a7f7d0eee740"]},{"id":"ITEM-2","itemData":{"DOI":"10.1038/s41388-019-1100-3","ISSN":"14765594","PMID":"31740779","abstract":"The assembly of the death-inducing signaling complex (DISC) and death effector domain (DED) filaments at CD95/Fas initiates extrinsic apoptosis. Procaspase-8 activation at the DED filaments is controlled by short and long c-FLIP isoforms. Despite apparent progress in understanding the assembly of CD95-activated platforms and DED filaments, the detailed molecular mechanism of c-FLIP action remains elusive. Here, we further addressed the mechanisms of c-FLIP action at the</w:instrText>
      </w:r>
      <w:r>
        <w:rPr>
          <w:rFonts w:cstheme="minorHAnsi"/>
        </w:rPr>
        <w:instrText xml:space="preserve"> DISC using biochemical assays, quantitative mass spectrometry, and structural modeling. Our data strongly indicate that c-FLIP can bind to both FADD and procaspase-8 at the DED filament. Moreover, the constructed in silico model shows that c-FLIP proteins can lead to the formation of the DISCs comprising short DED filaments as well as serve as bridging motifs for building a cooperative DISC network, in which adjacent CD95 DISCs are connected by DED filaments. This network is based on selective interactions of FADD with both c-FLIP and procaspase-8. Hence, c-FLIP proteins at the DISC control initiation, elongation, and composition of DED filaments, playing the role of control checkpoints. These findings provide new insights into DISC and DED filament regulation and open innovative possibilities for targeting the extrinsic apoptosis pathway.","author":[{"dropping-particle":"","family":"Hillert","given":"Laura K.","non-dropping-particle":"","parse-names":false,"suffix":""},{"dropping-particle":"V.","family":"Ivanisenko","given":"Nikita","non-dropping-particle":"","parse-names":false,"suffix":""},{"dropping-particle":"","family":"Espe","given":"Johannes","non-dropping-particle":"","parse-names":false,"suffix":""},{"dropping-particle":"","family":"König","given":"Corinna","non-dropping-particle":"","parse-names":false,"suffix":""},{"dropping-particle":"","family":"Ivanisenko","given":"Vladimir A.","non-dropping-particle":"","parse-names":false,"suffix":""},{"dropping-particle":"","family":"Kähne","given":"Thilo","non-dropping-particle":"","parse-names":false,"suffix":""},{"dropping-particle":"","family":"Lavrik","given":"Inna N.","non-dropping-particle":"","parse-names":false,"suffix":""}],"container-title":"Oncogene","id":"ITEM-2","issue":"8","issued":{"date-parts":[["2020","2","20"]]},"page":"1756-1772","publisher":"Springer Nature","title":"Long and short isoforms of c-FLIP act as control checkpoints of DED filament assembly",</w:instrText>
      </w:r>
      <w:r w:rsidRPr="00BC4B61">
        <w:rPr>
          <w:rFonts w:cstheme="minorHAnsi"/>
          <w:lang w:val="en-US"/>
        </w:rPr>
        <w:instrText>"type":"article-journal","volume":"39"},"uris":["http://www.mendeley.com/documents/?uuid=5f004e2b-78fa-38cb-8b61-505f97eabbf2"]},{"id":"ITEM-3","itemData":{"DOI":"10.1016/j.yexcr.2015.10.005","ISSN":"00144827","author":[{"dropping-particle":"","family":"Pietkiewicz","given":"Sabine","non-dropping-particle":"","parse-names":false,"suffix":""},{"dropping-particle":"","family":"Eils","given":"Roland","non-dropping-particle":"","parse-names":false,"suffix":""},{"dropping-particle":"","family":"Krammer","given":"Peter H.","non-dropping-particle":"","parse-names":false,"suffix":""},{"dropping-particle":"","family":"Giese","given":"Natalia","non-dropping-particle":"","parse-names":false,"suffix":""},{"dropping-particle":"","family":"Lavrik","given":"Inna N.","non-dropping-particle":"","parse-names":false,"suffix":""}],"container-title":"Experimental Cell Research","id":"ITEM-3","issue":"1","issued":{"date-parts":[["2015","11"]]},"page":"1-9","title":"Combinatorial treatment of CD95L and gemcitabine in pancreatic cancer cells induces apoptotic and RIP1-mediated necroptotic cell death network","type":"article-journal","volume":"339"},"uris":["http://www.mendeley.com/documents/?uuid=ccca80ab-43b7-3fc0-a540-1d94dfc39bac"]}],"mendeley":{"formattedCitation":"&lt;sup&gt;13,15,22&lt;/sup&gt;","plainTextFormattedCitation":"13,15,22","previouslyFormattedCitation":"&lt;sup&gt;15,22,23&lt;/sup&gt;"},"properties":{"noteIndex":0},"schema":"https://github.com/citation-style-language/schema/raw/master/csl-citation.json"}</w:instrText>
      </w:r>
      <w:r>
        <w:rPr>
          <w:rFonts w:cstheme="minorHAnsi"/>
        </w:rPr>
        <w:fldChar w:fldCharType="separate"/>
      </w:r>
      <w:r w:rsidRPr="00BC4B61">
        <w:rPr>
          <w:rFonts w:cstheme="minorHAnsi"/>
          <w:noProof/>
          <w:vertAlign w:val="superscript"/>
          <w:lang w:val="en-US"/>
        </w:rPr>
        <w:t>13,15,22</w:t>
      </w:r>
      <w:r>
        <w:rPr>
          <w:rFonts w:cstheme="minorHAnsi"/>
        </w:rPr>
        <w:fldChar w:fldCharType="end"/>
      </w:r>
      <w:r w:rsidRPr="00BC4B61">
        <w:rPr>
          <w:rFonts w:cstheme="minorHAnsi"/>
          <w:lang w:val="en-US"/>
        </w:rPr>
        <w:t xml:space="preserve"> Prepare one stimulation condition twice to generate in parallel a ‘bead control’ sample. </w:t>
      </w:r>
    </w:p>
    <w:p w14:paraId="2B13EB2F" w14:textId="77777777" w:rsidR="00262986" w:rsidRPr="00BC4B61" w:rsidRDefault="00262986" w:rsidP="00262986">
      <w:pPr>
        <w:rPr>
          <w:rFonts w:cstheme="minorHAnsi"/>
          <w:lang w:val="en-US"/>
        </w:rPr>
      </w:pPr>
      <w:r w:rsidRPr="00BC4B61">
        <w:rPr>
          <w:rFonts w:cstheme="minorHAnsi"/>
          <w:lang w:val="en-US"/>
        </w:rPr>
        <w:t xml:space="preserve">2.1.1. </w:t>
      </w:r>
      <w:r w:rsidRPr="00BC4B61">
        <w:rPr>
          <w:rFonts w:cstheme="minorHAnsi"/>
          <w:highlight w:val="yellow"/>
          <w:lang w:val="en-US"/>
        </w:rPr>
        <w:t>Stimulate adherent cells for example with selected concentration of CD95L (see the note above). Hold the plate at an angle and pipet the ligand into the medium without touching the adherent cells.</w:t>
      </w:r>
      <w:r w:rsidRPr="00BC4B61">
        <w:rPr>
          <w:rFonts w:cstheme="minorHAnsi"/>
          <w:lang w:val="en-US"/>
        </w:rPr>
        <w:t xml:space="preserve"> </w:t>
      </w:r>
    </w:p>
    <w:p w14:paraId="3D4DE8C1" w14:textId="77777777" w:rsidR="00262986" w:rsidRPr="00BC4B61" w:rsidRDefault="00262986" w:rsidP="00262986">
      <w:pPr>
        <w:rPr>
          <w:rFonts w:cstheme="minorHAnsi"/>
          <w:lang w:val="en-US"/>
        </w:rPr>
      </w:pPr>
      <w:r w:rsidRPr="00BC4B61">
        <w:rPr>
          <w:rFonts w:cstheme="minorHAnsi"/>
          <w:lang w:val="en-US"/>
        </w:rPr>
        <w:t xml:space="preserve">2.1.2. Stimulate suspension cells with CD95L by pipetting the ligand solution into the cell suspension. </w:t>
      </w:r>
    </w:p>
    <w:p w14:paraId="6B93555C" w14:textId="0F103FF9" w:rsidR="00262986" w:rsidRPr="006C0CED" w:rsidRDefault="00432515" w:rsidP="00432515">
      <w:pPr>
        <w:pStyle w:val="StandardWeb"/>
        <w:rPr>
          <w:lang w:val="en-AU"/>
        </w:rPr>
      </w:pPr>
      <w:r w:rsidRPr="006C0CED">
        <w:rPr>
          <w:lang w:val="en-AU"/>
        </w:rPr>
        <w:t>10. Line 131: Are the flasks/dishes with media put on ice? Is the media discarded before placing it on ice?</w:t>
      </w:r>
    </w:p>
    <w:p w14:paraId="0C6DA67C" w14:textId="727AD0AF" w:rsidR="0047513A" w:rsidRPr="006C0CED" w:rsidRDefault="0047513A" w:rsidP="00432515">
      <w:pPr>
        <w:pStyle w:val="StandardWeb"/>
        <w:rPr>
          <w:lang w:val="en-AU"/>
        </w:rPr>
      </w:pPr>
      <w:r w:rsidRPr="006C0CED">
        <w:rPr>
          <w:b/>
          <w:lang w:val="en-AU"/>
        </w:rPr>
        <w:t>Answer:</w:t>
      </w:r>
      <w:r w:rsidRPr="006C0CED">
        <w:rPr>
          <w:lang w:val="en-AU"/>
        </w:rPr>
        <w:t xml:space="preserve"> we have expanded this part with the following text:</w:t>
      </w:r>
    </w:p>
    <w:p w14:paraId="4F93F6AF" w14:textId="77777777" w:rsidR="0047513A" w:rsidRPr="00BC4B61" w:rsidRDefault="0047513A" w:rsidP="0047513A">
      <w:pPr>
        <w:rPr>
          <w:rFonts w:cstheme="minorHAnsi"/>
          <w:lang w:val="en-US"/>
        </w:rPr>
      </w:pPr>
      <w:r w:rsidRPr="00BC4B61">
        <w:rPr>
          <w:rFonts w:cstheme="minorHAnsi"/>
          <w:lang w:val="en-US"/>
        </w:rPr>
        <w:t xml:space="preserve">3.1. </w:t>
      </w:r>
      <w:r w:rsidRPr="00BC4B61">
        <w:rPr>
          <w:rFonts w:cstheme="minorHAnsi"/>
          <w:highlight w:val="yellow"/>
          <w:lang w:val="en-US"/>
        </w:rPr>
        <w:t>Put the cell dishes on ice.</w:t>
      </w:r>
      <w:r w:rsidRPr="00BC4B61">
        <w:rPr>
          <w:rFonts w:cstheme="minorHAnsi"/>
          <w:lang w:val="en-US"/>
        </w:rPr>
        <w:t xml:space="preserve"> </w:t>
      </w:r>
    </w:p>
    <w:p w14:paraId="0A8E1748" w14:textId="77777777" w:rsidR="0047513A" w:rsidRPr="00BC4B61" w:rsidRDefault="0047513A" w:rsidP="0047513A">
      <w:pPr>
        <w:rPr>
          <w:rFonts w:cstheme="minorHAnsi"/>
          <w:lang w:val="en-US"/>
        </w:rPr>
      </w:pPr>
      <w:r w:rsidRPr="00BC4B61">
        <w:rPr>
          <w:rFonts w:cstheme="minorHAnsi"/>
          <w:lang w:val="en-US"/>
        </w:rPr>
        <w:t xml:space="preserve">Note: Do not discard the medium. Dying cells float in the medium and are important for the analysis. </w:t>
      </w:r>
    </w:p>
    <w:p w14:paraId="081FDFD4" w14:textId="77777777" w:rsidR="0047513A" w:rsidRPr="00BC4B61" w:rsidRDefault="0047513A" w:rsidP="0047513A">
      <w:pPr>
        <w:rPr>
          <w:rFonts w:cstheme="minorHAnsi"/>
          <w:lang w:val="en-US"/>
        </w:rPr>
      </w:pPr>
    </w:p>
    <w:p w14:paraId="49DA841C" w14:textId="77777777" w:rsidR="0047513A" w:rsidRPr="00BC4B61" w:rsidRDefault="0047513A" w:rsidP="0047513A">
      <w:pPr>
        <w:rPr>
          <w:rFonts w:cstheme="minorHAnsi"/>
          <w:lang w:val="en-US"/>
        </w:rPr>
      </w:pPr>
      <w:r w:rsidRPr="00BC4B61">
        <w:rPr>
          <w:rFonts w:cstheme="minorHAnsi"/>
          <w:lang w:val="en-US"/>
        </w:rPr>
        <w:t xml:space="preserve">3.2. </w:t>
      </w:r>
      <w:r w:rsidRPr="00BC4B61">
        <w:rPr>
          <w:rFonts w:cstheme="minorHAnsi"/>
          <w:highlight w:val="yellow"/>
          <w:lang w:val="en-US"/>
        </w:rPr>
        <w:t>Add 10 mL cold PBS to the cell suspension and scrape the attached cells off the plate.</w:t>
      </w:r>
      <w:r w:rsidRPr="00BC4B61">
        <w:rPr>
          <w:rFonts w:cstheme="minorHAnsi"/>
          <w:lang w:val="en-US"/>
        </w:rPr>
        <w:t xml:space="preserve"> </w:t>
      </w:r>
    </w:p>
    <w:p w14:paraId="695DAAB0" w14:textId="75368C1A" w:rsidR="0047513A" w:rsidRPr="006C0CED" w:rsidRDefault="00432515" w:rsidP="00432515">
      <w:pPr>
        <w:pStyle w:val="StandardWeb"/>
        <w:rPr>
          <w:lang w:val="en-AU"/>
        </w:rPr>
      </w:pPr>
      <w:r w:rsidRPr="006C0CED">
        <w:rPr>
          <w:lang w:val="en-AU"/>
        </w:rPr>
        <w:t>11. Line 205: Is the detection performed immediately after the addition of substrate. How is the chemiluminescent signal detected?</w:t>
      </w:r>
      <w:r w:rsidRPr="006C0CED">
        <w:rPr>
          <w:lang w:val="en-AU"/>
        </w:rPr>
        <w:br/>
      </w:r>
    </w:p>
    <w:p w14:paraId="60DE163B" w14:textId="0457A0D0" w:rsidR="0047513A" w:rsidRPr="006C0CED" w:rsidRDefault="0047513A" w:rsidP="00432515">
      <w:pPr>
        <w:pStyle w:val="StandardWeb"/>
        <w:rPr>
          <w:lang w:val="en-AU"/>
        </w:rPr>
      </w:pPr>
      <w:r w:rsidRPr="006C0CED">
        <w:rPr>
          <w:b/>
          <w:lang w:val="en-AU"/>
        </w:rPr>
        <w:t>Answer:</w:t>
      </w:r>
      <w:r w:rsidR="0052476F" w:rsidRPr="006C0CED">
        <w:rPr>
          <w:lang w:val="en-AU"/>
        </w:rPr>
        <w:t xml:space="preserve"> we have expanded this part with the following text:</w:t>
      </w:r>
    </w:p>
    <w:p w14:paraId="13B83609" w14:textId="77777777" w:rsidR="0047513A" w:rsidRPr="00BC4B61" w:rsidRDefault="0047513A" w:rsidP="0047513A">
      <w:pPr>
        <w:rPr>
          <w:rFonts w:cstheme="minorHAnsi"/>
          <w:highlight w:val="yellow"/>
          <w:lang w:val="en-US"/>
        </w:rPr>
      </w:pPr>
      <w:r w:rsidRPr="00BC4B61">
        <w:rPr>
          <w:rFonts w:cstheme="minorHAnsi"/>
          <w:lang w:val="en-US"/>
        </w:rPr>
        <w:t xml:space="preserve">6.6. </w:t>
      </w:r>
      <w:r w:rsidRPr="00BC4B61">
        <w:rPr>
          <w:rFonts w:cstheme="minorHAnsi"/>
          <w:highlight w:val="yellow"/>
          <w:lang w:val="en-US"/>
        </w:rPr>
        <w:t xml:space="preserve">Detect directly the chemoluminescent signal using ChemiDoc XRS+ Gel Imaging System (Biorad). </w:t>
      </w:r>
    </w:p>
    <w:p w14:paraId="172A73D0" w14:textId="2EC6CD9C" w:rsidR="0047513A" w:rsidRPr="006C0CED" w:rsidRDefault="0047513A" w:rsidP="0047513A">
      <w:pPr>
        <w:pStyle w:val="StandardWeb"/>
        <w:rPr>
          <w:lang w:val="en-AU"/>
        </w:rPr>
      </w:pPr>
      <w:r w:rsidRPr="006C0CED">
        <w:rPr>
          <w:rFonts w:cstheme="minorHAnsi"/>
          <w:lang w:val="en-AU"/>
        </w:rPr>
        <w:t xml:space="preserve"> Note: The exposure time and the amount of captured images depends on the amount of protein in t</w:t>
      </w:r>
      <w:r w:rsidR="00AD3D5D" w:rsidRPr="006C0CED">
        <w:rPr>
          <w:rFonts w:cstheme="minorHAnsi"/>
          <w:lang w:val="en-AU"/>
        </w:rPr>
        <w:t xml:space="preserve">he cell and the specificity </w:t>
      </w:r>
      <w:r w:rsidRPr="006C0CED">
        <w:rPr>
          <w:rFonts w:cstheme="minorHAnsi"/>
          <w:lang w:val="en-AU"/>
        </w:rPr>
        <w:t>of antibodies used. It has to be established empirically for each antibody that is used for the detection</w:t>
      </w:r>
    </w:p>
    <w:p w14:paraId="19AB8311" w14:textId="77777777" w:rsidR="0052476F" w:rsidRPr="006C0CED" w:rsidRDefault="00432515" w:rsidP="00432515">
      <w:pPr>
        <w:pStyle w:val="StandardWeb"/>
        <w:rPr>
          <w:lang w:val="en-AU"/>
        </w:rPr>
      </w:pPr>
      <w:r w:rsidRPr="006C0CED">
        <w:rPr>
          <w:lang w:val="en-AU"/>
        </w:rPr>
        <w:t>12.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3EAD477F" w14:textId="39B2B58A" w:rsidR="0052476F" w:rsidRPr="006C0CED" w:rsidRDefault="00AD3D5D" w:rsidP="0052476F">
      <w:pPr>
        <w:pStyle w:val="StandardWeb"/>
        <w:rPr>
          <w:lang w:val="en-AU"/>
        </w:rPr>
      </w:pPr>
      <w:r w:rsidRPr="006C0CED">
        <w:rPr>
          <w:b/>
          <w:lang w:val="en-AU"/>
        </w:rPr>
        <w:t>Answer:</w:t>
      </w:r>
      <w:r w:rsidRPr="006C0CED">
        <w:rPr>
          <w:lang w:val="en-AU"/>
        </w:rPr>
        <w:t xml:space="preserve"> This part was highlighted</w:t>
      </w:r>
      <w:r w:rsidR="00BC4B61">
        <w:rPr>
          <w:lang w:val="en-AU"/>
        </w:rPr>
        <w:t xml:space="preserve"> in yellow</w:t>
      </w:r>
      <w:r w:rsidR="0052476F" w:rsidRPr="006C0CED">
        <w:rPr>
          <w:lang w:val="en-AU"/>
        </w:rPr>
        <w:t>.</w:t>
      </w:r>
    </w:p>
    <w:p w14:paraId="5A2D9C7D" w14:textId="77777777" w:rsidR="0052476F" w:rsidRPr="006C0CED" w:rsidRDefault="00432515" w:rsidP="00432515">
      <w:pPr>
        <w:pStyle w:val="StandardWeb"/>
        <w:rPr>
          <w:lang w:val="en-AU"/>
        </w:rPr>
      </w:pPr>
      <w:r w:rsidRPr="006C0CED">
        <w:rPr>
          <w:lang w:val="en-AU"/>
        </w:rPr>
        <w:lastRenderedPageBreak/>
        <w:br/>
        <w:t>13.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58BD7811" w14:textId="2CAB7778" w:rsidR="0052476F" w:rsidRPr="006C0CED" w:rsidRDefault="0052476F" w:rsidP="0052476F">
      <w:pPr>
        <w:pStyle w:val="StandardWeb"/>
        <w:rPr>
          <w:lang w:val="en-AU"/>
        </w:rPr>
      </w:pPr>
      <w:r w:rsidRPr="006C0CED">
        <w:rPr>
          <w:b/>
          <w:lang w:val="en-AU"/>
        </w:rPr>
        <w:t>Answer:</w:t>
      </w:r>
      <w:r w:rsidRPr="006C0CED">
        <w:rPr>
          <w:lang w:val="en-AU"/>
        </w:rPr>
        <w:t xml:space="preserve"> The figures were generated solely for this manuscript and not published elsewhere.</w:t>
      </w:r>
    </w:p>
    <w:p w14:paraId="0847A12D" w14:textId="2DDFB5D1" w:rsidR="0052476F" w:rsidRPr="006C0CED" w:rsidRDefault="00432515" w:rsidP="00432515">
      <w:pPr>
        <w:pStyle w:val="StandardWeb"/>
        <w:rPr>
          <w:lang w:val="en-AU"/>
        </w:rPr>
      </w:pPr>
      <w:r w:rsidRPr="006C0CED">
        <w:rPr>
          <w:lang w:val="en-AU"/>
        </w:rPr>
        <w:t>14. As we are a methods journal, please ensure the Discussion explicitly covers the critical steps within the protocol, modifications, and troubleshooting of the technique, any limitations of the technique, significance with respect to existing methods, and future applications of the technique.</w:t>
      </w:r>
    </w:p>
    <w:p w14:paraId="7B293987" w14:textId="33D84E2F" w:rsidR="0052476F" w:rsidRPr="006C0CED" w:rsidRDefault="0052476F" w:rsidP="00432515">
      <w:pPr>
        <w:pStyle w:val="StandardWeb"/>
        <w:rPr>
          <w:lang w:val="en-AU"/>
        </w:rPr>
      </w:pPr>
      <w:r w:rsidRPr="006C0CED">
        <w:rPr>
          <w:b/>
          <w:lang w:val="en-AU"/>
        </w:rPr>
        <w:t>Answer:</w:t>
      </w:r>
      <w:r w:rsidRPr="006C0CED">
        <w:rPr>
          <w:lang w:val="en-AU"/>
        </w:rPr>
        <w:t xml:space="preserve"> We expanded the discussion with several technical issues and limitations of the technique. Please, see updated text.</w:t>
      </w:r>
    </w:p>
    <w:p w14:paraId="18646F73" w14:textId="2843976B" w:rsidR="0052476F" w:rsidRPr="006C0CED" w:rsidRDefault="00432515" w:rsidP="00432515">
      <w:pPr>
        <w:pStyle w:val="StandardWeb"/>
        <w:rPr>
          <w:lang w:val="en-AU"/>
        </w:rPr>
      </w:pPr>
      <w:r w:rsidRPr="006C0CED">
        <w:rPr>
          <w:lang w:val="en-AU"/>
        </w:rPr>
        <w:t>15. Please do not use the &amp;-sign or the word “and” when listing authors in the references. Authors should be listed as last name author 1, initials author 1, last name author 2, initials author 2, etc. Title case and italicize journal titles and book titles. Do not use any abbreviations. Article titles should start with a capital letter and end with a period and should appear exactly as they were published in the original work, without any abbreviations or truncations.</w:t>
      </w:r>
    </w:p>
    <w:p w14:paraId="43654853" w14:textId="77777777" w:rsidR="0052476F" w:rsidRPr="006C0CED" w:rsidRDefault="0052476F" w:rsidP="00432515">
      <w:pPr>
        <w:pStyle w:val="StandardWeb"/>
        <w:rPr>
          <w:lang w:val="en-AU"/>
        </w:rPr>
      </w:pPr>
      <w:r w:rsidRPr="006C0CED">
        <w:rPr>
          <w:b/>
          <w:lang w:val="en-AU"/>
        </w:rPr>
        <w:t>Answer:</w:t>
      </w:r>
      <w:r w:rsidRPr="006C0CED">
        <w:rPr>
          <w:lang w:val="en-AU"/>
        </w:rPr>
        <w:t xml:space="preserve"> This was done accordingly.</w:t>
      </w:r>
    </w:p>
    <w:p w14:paraId="12378EB8" w14:textId="184454AB" w:rsidR="0052476F" w:rsidRPr="006C0CED" w:rsidRDefault="00432515" w:rsidP="00432515">
      <w:pPr>
        <w:pStyle w:val="StandardWeb"/>
        <w:rPr>
          <w:lang w:val="en-AU"/>
        </w:rPr>
      </w:pPr>
      <w:r w:rsidRPr="006C0CED">
        <w:rPr>
          <w:lang w:val="en-AU"/>
        </w:rPr>
        <w:t>16. Figure 4: Please revise the X-axis label to “0.5 h” instead of “0,5 h”.</w:t>
      </w:r>
    </w:p>
    <w:p w14:paraId="0C0C28B3" w14:textId="19DBFC78" w:rsidR="0052476F" w:rsidRPr="006C0CED" w:rsidRDefault="0052476F" w:rsidP="00432515">
      <w:pPr>
        <w:pStyle w:val="StandardWeb"/>
        <w:rPr>
          <w:lang w:val="en-AU"/>
        </w:rPr>
      </w:pPr>
      <w:r w:rsidRPr="006C0CED">
        <w:rPr>
          <w:b/>
          <w:lang w:val="en-AU"/>
        </w:rPr>
        <w:t>Answer:</w:t>
      </w:r>
      <w:r w:rsidRPr="006C0CED">
        <w:rPr>
          <w:lang w:val="en-AU"/>
        </w:rPr>
        <w:t xml:space="preserve"> This was done</w:t>
      </w:r>
      <w:r w:rsidR="0075165A" w:rsidRPr="006C0CED">
        <w:rPr>
          <w:lang w:val="en-AU"/>
        </w:rPr>
        <w:t>,</w:t>
      </w:r>
      <w:r w:rsidRPr="006C0CED">
        <w:rPr>
          <w:lang w:val="en-AU"/>
        </w:rPr>
        <w:t xml:space="preserve"> accordingly.</w:t>
      </w:r>
    </w:p>
    <w:p w14:paraId="43A24E57" w14:textId="191D0A06" w:rsidR="0052476F" w:rsidRPr="006C0CED" w:rsidRDefault="00432515" w:rsidP="00432515">
      <w:pPr>
        <w:pStyle w:val="StandardWeb"/>
        <w:rPr>
          <w:lang w:val="en-AU"/>
        </w:rPr>
      </w:pPr>
      <w:r w:rsidRPr="006C0CED">
        <w:rPr>
          <w:lang w:val="en-AU"/>
        </w:rPr>
        <w:t xml:space="preserve">17. Figure 4/5/6: Does the Y-axis represent the fold increase? Is there any specific unit? </w:t>
      </w:r>
    </w:p>
    <w:p w14:paraId="05D52FC2" w14:textId="77777777" w:rsidR="0052476F" w:rsidRPr="006C0CED" w:rsidRDefault="00432515" w:rsidP="00432515">
      <w:pPr>
        <w:pStyle w:val="StandardWeb"/>
        <w:rPr>
          <w:lang w:val="en-AU"/>
        </w:rPr>
      </w:pPr>
      <w:r w:rsidRPr="006C0CED">
        <w:rPr>
          <w:lang w:val="en-AU"/>
        </w:rPr>
        <w:t>Please include the details of sample size and statistics performed?</w:t>
      </w:r>
    </w:p>
    <w:p w14:paraId="0355B647" w14:textId="73094911" w:rsidR="0052476F" w:rsidRPr="009D37BF" w:rsidRDefault="0052476F" w:rsidP="00432515">
      <w:pPr>
        <w:pStyle w:val="StandardWeb"/>
        <w:rPr>
          <w:lang w:val="en-AU"/>
        </w:rPr>
      </w:pPr>
      <w:r w:rsidRPr="009D37BF">
        <w:rPr>
          <w:b/>
          <w:lang w:val="en-AU"/>
        </w:rPr>
        <w:t>Answer:</w:t>
      </w:r>
      <w:r w:rsidRPr="009D37BF">
        <w:rPr>
          <w:lang w:val="en-AU"/>
        </w:rPr>
        <w:t xml:space="preserve"> </w:t>
      </w:r>
      <w:r w:rsidR="00AD3D5D" w:rsidRPr="009D37BF">
        <w:rPr>
          <w:lang w:val="en-AU"/>
        </w:rPr>
        <w:t xml:space="preserve">In the previous version of the manuscript </w:t>
      </w:r>
      <w:r w:rsidRPr="009D37BF">
        <w:rPr>
          <w:lang w:val="en-AU"/>
        </w:rPr>
        <w:t xml:space="preserve">we </w:t>
      </w:r>
      <w:r w:rsidR="00AD3D5D" w:rsidRPr="009D37BF">
        <w:rPr>
          <w:lang w:val="en-AU"/>
        </w:rPr>
        <w:t xml:space="preserve">have </w:t>
      </w:r>
      <w:r w:rsidRPr="009D37BF">
        <w:rPr>
          <w:lang w:val="en-AU"/>
        </w:rPr>
        <w:t>show</w:t>
      </w:r>
      <w:r w:rsidR="00AD3D5D" w:rsidRPr="009D37BF">
        <w:rPr>
          <w:lang w:val="en-AU"/>
        </w:rPr>
        <w:t>n</w:t>
      </w:r>
      <w:r w:rsidRPr="009D37BF">
        <w:rPr>
          <w:lang w:val="en-AU"/>
        </w:rPr>
        <w:t xml:space="preserve"> only quantification of this particular Western Blot and</w:t>
      </w:r>
      <w:r w:rsidR="00AD3D5D" w:rsidRPr="009D37BF">
        <w:rPr>
          <w:lang w:val="en-AU"/>
        </w:rPr>
        <w:t xml:space="preserve">, hence, </w:t>
      </w:r>
      <w:r w:rsidRPr="009D37BF">
        <w:rPr>
          <w:lang w:val="en-AU"/>
        </w:rPr>
        <w:t xml:space="preserve">we do not apply any statistical methods here. This </w:t>
      </w:r>
      <w:r w:rsidR="00AD3D5D" w:rsidRPr="009D37BF">
        <w:rPr>
          <w:lang w:val="en-AU"/>
        </w:rPr>
        <w:t xml:space="preserve">was </w:t>
      </w:r>
      <w:r w:rsidRPr="009D37BF">
        <w:rPr>
          <w:lang w:val="en-AU"/>
        </w:rPr>
        <w:t xml:space="preserve">done </w:t>
      </w:r>
      <w:r w:rsidR="00AD3D5D" w:rsidRPr="009D37BF">
        <w:rPr>
          <w:lang w:val="en-AU"/>
        </w:rPr>
        <w:t xml:space="preserve">only </w:t>
      </w:r>
      <w:r w:rsidRPr="009D37BF">
        <w:rPr>
          <w:lang w:val="en-AU"/>
        </w:rPr>
        <w:t>to show that one can</w:t>
      </w:r>
      <w:r w:rsidR="00AD3D5D" w:rsidRPr="009D37BF">
        <w:rPr>
          <w:lang w:val="en-AU"/>
        </w:rPr>
        <w:t xml:space="preserve"> quantify the cleavage products at the DISC. H</w:t>
      </w:r>
      <w:r w:rsidRPr="009D37BF">
        <w:rPr>
          <w:lang w:val="en-AU"/>
        </w:rPr>
        <w:t xml:space="preserve">owever, </w:t>
      </w:r>
      <w:r w:rsidR="00AD3D5D" w:rsidRPr="009D37BF">
        <w:rPr>
          <w:lang w:val="en-AU"/>
        </w:rPr>
        <w:t xml:space="preserve">following this comment, </w:t>
      </w:r>
      <w:r w:rsidRPr="009D37BF">
        <w:rPr>
          <w:lang w:val="en-AU"/>
        </w:rPr>
        <w:t>we have deci</w:t>
      </w:r>
      <w:r w:rsidR="00AD3D5D" w:rsidRPr="009D37BF">
        <w:rPr>
          <w:lang w:val="en-AU"/>
        </w:rPr>
        <w:t xml:space="preserve">ded to take away this graph to </w:t>
      </w:r>
      <w:r w:rsidRPr="009D37BF">
        <w:rPr>
          <w:lang w:val="en-AU"/>
        </w:rPr>
        <w:t>avoid the confusion</w:t>
      </w:r>
      <w:r w:rsidR="00AD3D5D" w:rsidRPr="009D37BF">
        <w:rPr>
          <w:lang w:val="en-AU"/>
        </w:rPr>
        <w:t>, which apparently it causes,</w:t>
      </w:r>
      <w:r w:rsidRPr="009D37BF">
        <w:rPr>
          <w:lang w:val="en-AU"/>
        </w:rPr>
        <w:t xml:space="preserve"> and leave only t</w:t>
      </w:r>
      <w:r w:rsidR="00AD3D5D" w:rsidRPr="009D37BF">
        <w:rPr>
          <w:lang w:val="en-AU"/>
        </w:rPr>
        <w:t>he numbers that correspond to the quantification of t</w:t>
      </w:r>
      <w:r w:rsidRPr="009D37BF">
        <w:rPr>
          <w:lang w:val="en-AU"/>
        </w:rPr>
        <w:t>he corresponding bands.</w:t>
      </w:r>
    </w:p>
    <w:p w14:paraId="1346F534" w14:textId="77777777" w:rsidR="0052476F" w:rsidRPr="006C0CED" w:rsidRDefault="00432515" w:rsidP="0052476F">
      <w:pPr>
        <w:pStyle w:val="StandardWeb"/>
        <w:rPr>
          <w:lang w:val="en-AU"/>
        </w:rPr>
      </w:pPr>
      <w:r w:rsidRPr="006C0CED">
        <w:rPr>
          <w:lang w:val="en-AU"/>
        </w:rPr>
        <w:t>18. Please sort the Table of materials in alphabetical order.</w:t>
      </w:r>
      <w:r w:rsidRPr="006C0CED">
        <w:rPr>
          <w:lang w:val="en-AU"/>
        </w:rPr>
        <w:br/>
      </w:r>
      <w:r w:rsidRPr="006C0CED">
        <w:rPr>
          <w:lang w:val="en-AU"/>
        </w:rPr>
        <w:br/>
      </w:r>
      <w:r w:rsidR="0052476F" w:rsidRPr="006C0CED">
        <w:rPr>
          <w:b/>
          <w:lang w:val="en-AU"/>
        </w:rPr>
        <w:t>Answer:</w:t>
      </w:r>
      <w:r w:rsidR="0052476F" w:rsidRPr="006C0CED">
        <w:rPr>
          <w:lang w:val="en-AU"/>
        </w:rPr>
        <w:t xml:space="preserve"> This was done accordingly.</w:t>
      </w:r>
    </w:p>
    <w:p w14:paraId="76ADC149" w14:textId="77777777" w:rsidR="00BC4B61" w:rsidRDefault="00BC4B61" w:rsidP="00432515">
      <w:pPr>
        <w:pStyle w:val="StandardWeb"/>
        <w:rPr>
          <w:lang w:val="en-AU"/>
        </w:rPr>
      </w:pPr>
      <w:r>
        <w:rPr>
          <w:lang w:val="en-AU"/>
        </w:rPr>
        <w:t>WE THANK THE EDITOR FOR THE EXCELLENT COMMENTS</w:t>
      </w:r>
    </w:p>
    <w:p w14:paraId="572F13FA" w14:textId="77777777" w:rsidR="00BC4B61" w:rsidRDefault="00BC4B61" w:rsidP="00432515">
      <w:pPr>
        <w:pStyle w:val="StandardWeb"/>
        <w:rPr>
          <w:lang w:val="en-AU"/>
        </w:rPr>
      </w:pPr>
    </w:p>
    <w:p w14:paraId="614DB0A2" w14:textId="77777777" w:rsidR="00BC4B61" w:rsidRDefault="00BC4B61" w:rsidP="00432515">
      <w:pPr>
        <w:pStyle w:val="StandardWeb"/>
        <w:rPr>
          <w:lang w:val="en-AU"/>
        </w:rPr>
      </w:pPr>
    </w:p>
    <w:p w14:paraId="74F43425" w14:textId="313F37D5" w:rsidR="009A28C9" w:rsidRPr="006C0CED" w:rsidRDefault="00432515" w:rsidP="00432515">
      <w:pPr>
        <w:pStyle w:val="StandardWeb"/>
        <w:rPr>
          <w:lang w:val="en-AU"/>
        </w:rPr>
      </w:pPr>
      <w:r w:rsidRPr="006C0CED">
        <w:rPr>
          <w:lang w:val="en-AU"/>
        </w:rPr>
        <w:lastRenderedPageBreak/>
        <w:br/>
        <w:t>____________________________________</w:t>
      </w:r>
      <w:r w:rsidRPr="006C0CED">
        <w:rPr>
          <w:lang w:val="en-AU"/>
        </w:rPr>
        <w:br/>
      </w:r>
      <w:r w:rsidRPr="006C0CED">
        <w:rPr>
          <w:rStyle w:val="Fett"/>
          <w:color w:val="0000FF"/>
          <w:u w:val="single"/>
          <w:lang w:val="en-AU"/>
        </w:rPr>
        <w:t>Reviewers' comments:</w:t>
      </w:r>
      <w:r w:rsidRPr="006C0CED">
        <w:rPr>
          <w:lang w:val="en-AU"/>
        </w:rPr>
        <w:br/>
      </w:r>
      <w:r w:rsidRPr="006C0CED">
        <w:rPr>
          <w:b/>
          <w:bCs/>
          <w:lang w:val="en-AU"/>
        </w:rPr>
        <w:t xml:space="preserve">Reviewer #1: </w:t>
      </w:r>
      <w:r w:rsidRPr="006C0CED">
        <w:rPr>
          <w:lang w:val="en-AU"/>
        </w:rPr>
        <w:br/>
        <w:t>Manuscript summary:</w:t>
      </w:r>
      <w:r w:rsidRPr="006C0CED">
        <w:rPr>
          <w:lang w:val="en-AU"/>
        </w:rPr>
        <w:br/>
      </w:r>
      <w:r w:rsidR="009A28C9" w:rsidRPr="006C0CED">
        <w:rPr>
          <w:b/>
          <w:lang w:val="en-AU"/>
        </w:rPr>
        <w:t>Comment 1.</w:t>
      </w:r>
      <w:r w:rsidR="009A28C9" w:rsidRPr="006C0CED">
        <w:rPr>
          <w:lang w:val="en-AU"/>
        </w:rPr>
        <w:t xml:space="preserve"> </w:t>
      </w:r>
      <w:r w:rsidRPr="006C0CED">
        <w:rPr>
          <w:lang w:val="en-AU"/>
        </w:rPr>
        <w:t>The above-mentioned manuscript aims at providing a detailed method to measure caspase-8 activity. Better said, the procotol described here merely allows visualization of caspase-8 activation. I expected from the title a protocol, based on the immunoprecipitation followed by an enzymatic assay to quantitate caspase-8 activation. This has been described in the literature and is probably not routinely performed in Inna Lavrik's laboratory. The title thus needs to be changed to avoid confusion.</w:t>
      </w:r>
      <w:r w:rsidRPr="006C0CED">
        <w:rPr>
          <w:lang w:val="en-AU"/>
        </w:rPr>
        <w:br/>
      </w:r>
    </w:p>
    <w:p w14:paraId="5D11A043" w14:textId="71923D60" w:rsidR="009A28C9" w:rsidRPr="009D37BF" w:rsidRDefault="009A28C9" w:rsidP="00432515">
      <w:pPr>
        <w:pStyle w:val="StandardWeb"/>
        <w:rPr>
          <w:b/>
          <w:lang w:val="en-AU"/>
        </w:rPr>
      </w:pPr>
      <w:r w:rsidRPr="009D37BF">
        <w:rPr>
          <w:b/>
          <w:lang w:val="en-AU"/>
        </w:rPr>
        <w:t>Answer</w:t>
      </w:r>
      <w:r w:rsidR="003E57F4" w:rsidRPr="009D37BF">
        <w:rPr>
          <w:b/>
          <w:lang w:val="en-AU"/>
        </w:rPr>
        <w:t xml:space="preserve"> 1</w:t>
      </w:r>
      <w:r w:rsidRPr="009D37BF">
        <w:rPr>
          <w:b/>
          <w:lang w:val="en-AU"/>
        </w:rPr>
        <w:t xml:space="preserve">: </w:t>
      </w:r>
      <w:r w:rsidRPr="009D37BF">
        <w:rPr>
          <w:lang w:val="en-AU"/>
        </w:rPr>
        <w:t xml:space="preserve">We thank for this </w:t>
      </w:r>
      <w:r w:rsidR="00120A45" w:rsidRPr="009D37BF">
        <w:rPr>
          <w:lang w:val="en-AU"/>
        </w:rPr>
        <w:t xml:space="preserve">excellent </w:t>
      </w:r>
      <w:r w:rsidRPr="009D37BF">
        <w:rPr>
          <w:lang w:val="en-AU"/>
        </w:rPr>
        <w:t>c</w:t>
      </w:r>
      <w:r w:rsidR="00120A45" w:rsidRPr="009D37BF">
        <w:rPr>
          <w:lang w:val="en-AU"/>
        </w:rPr>
        <w:t>omment. T</w:t>
      </w:r>
      <w:r w:rsidRPr="009D37BF">
        <w:rPr>
          <w:lang w:val="en-AU"/>
        </w:rPr>
        <w:t xml:space="preserve">he title was changed accordingly. </w:t>
      </w:r>
      <w:r w:rsidR="00120A45" w:rsidRPr="009D37BF">
        <w:rPr>
          <w:lang w:val="en-AU"/>
        </w:rPr>
        <w:t>It has be noted, that t</w:t>
      </w:r>
      <w:r w:rsidRPr="009D37BF">
        <w:rPr>
          <w:lang w:val="en-AU"/>
        </w:rPr>
        <w:t>hough we</w:t>
      </w:r>
      <w:r w:rsidR="00120A45" w:rsidRPr="009D37BF">
        <w:rPr>
          <w:lang w:val="en-AU"/>
        </w:rPr>
        <w:t xml:space="preserve"> </w:t>
      </w:r>
      <w:r w:rsidRPr="009D37BF">
        <w:rPr>
          <w:lang w:val="en-AU"/>
        </w:rPr>
        <w:t>discuss</w:t>
      </w:r>
      <w:r w:rsidR="00821428" w:rsidRPr="009D37BF">
        <w:rPr>
          <w:lang w:val="en-AU"/>
        </w:rPr>
        <w:t>ed</w:t>
      </w:r>
      <w:r w:rsidRPr="009D37BF">
        <w:rPr>
          <w:lang w:val="en-AU"/>
        </w:rPr>
        <w:t xml:space="preserve"> in the </w:t>
      </w:r>
      <w:r w:rsidR="00821428" w:rsidRPr="009D37BF">
        <w:rPr>
          <w:lang w:val="en-AU"/>
        </w:rPr>
        <w:t>previous version of the</w:t>
      </w:r>
      <w:r w:rsidR="00F44067" w:rsidRPr="009D37BF">
        <w:rPr>
          <w:lang w:val="en-AU"/>
        </w:rPr>
        <w:t xml:space="preserve"> text </w:t>
      </w:r>
      <w:r w:rsidRPr="009D37BF">
        <w:rPr>
          <w:lang w:val="en-AU"/>
        </w:rPr>
        <w:t>that processing of procaspase-8 a</w:t>
      </w:r>
      <w:r w:rsidR="00F44067" w:rsidRPr="009D37BF">
        <w:rPr>
          <w:lang w:val="en-AU"/>
        </w:rPr>
        <w:t>t the DISC</w:t>
      </w:r>
      <w:r w:rsidRPr="009D37BF">
        <w:rPr>
          <w:lang w:val="en-AU"/>
        </w:rPr>
        <w:t xml:space="preserve"> </w:t>
      </w:r>
      <w:r w:rsidR="00F44067" w:rsidRPr="009D37BF">
        <w:rPr>
          <w:lang w:val="en-AU"/>
        </w:rPr>
        <w:t>is a direct indication of</w:t>
      </w:r>
      <w:r w:rsidRPr="009D37BF">
        <w:rPr>
          <w:lang w:val="en-AU"/>
        </w:rPr>
        <w:t xml:space="preserve"> </w:t>
      </w:r>
      <w:r w:rsidR="00F44067" w:rsidRPr="009D37BF">
        <w:rPr>
          <w:lang w:val="en-AU"/>
        </w:rPr>
        <w:t>i</w:t>
      </w:r>
      <w:r w:rsidRPr="009D37BF">
        <w:rPr>
          <w:lang w:val="en-AU"/>
        </w:rPr>
        <w:t>t</w:t>
      </w:r>
      <w:r w:rsidR="00F44067" w:rsidRPr="009D37BF">
        <w:rPr>
          <w:lang w:val="en-AU"/>
        </w:rPr>
        <w:t>s</w:t>
      </w:r>
      <w:r w:rsidRPr="009D37BF">
        <w:rPr>
          <w:lang w:val="en-AU"/>
        </w:rPr>
        <w:t xml:space="preserve"> activatio</w:t>
      </w:r>
      <w:r w:rsidR="00821428" w:rsidRPr="009D37BF">
        <w:rPr>
          <w:lang w:val="en-AU"/>
        </w:rPr>
        <w:t>n, however we fully agree that</w:t>
      </w:r>
      <w:r w:rsidR="00120A45" w:rsidRPr="009D37BF">
        <w:rPr>
          <w:lang w:val="en-AU"/>
        </w:rPr>
        <w:t xml:space="preserve"> this was cer</w:t>
      </w:r>
      <w:r w:rsidR="00F44067" w:rsidRPr="009D37BF">
        <w:rPr>
          <w:lang w:val="en-AU"/>
        </w:rPr>
        <w:t>t</w:t>
      </w:r>
      <w:r w:rsidR="00120A45" w:rsidRPr="009D37BF">
        <w:rPr>
          <w:lang w:val="en-AU"/>
        </w:rPr>
        <w:t xml:space="preserve">ainly not the most </w:t>
      </w:r>
      <w:r w:rsidR="00BC4B61" w:rsidRPr="009D37BF">
        <w:rPr>
          <w:lang w:val="en-AU"/>
        </w:rPr>
        <w:t>straightforward</w:t>
      </w:r>
      <w:r w:rsidR="00120A45" w:rsidRPr="009D37BF">
        <w:rPr>
          <w:lang w:val="en-AU"/>
        </w:rPr>
        <w:t xml:space="preserve"> way to claim</w:t>
      </w:r>
      <w:r w:rsidR="00AD3D5D" w:rsidRPr="009D37BF">
        <w:rPr>
          <w:lang w:val="en-AU"/>
        </w:rPr>
        <w:t xml:space="preserve"> as a protocol for </w:t>
      </w:r>
      <w:r w:rsidR="006C0CED">
        <w:rPr>
          <w:lang w:val="en-AU"/>
        </w:rPr>
        <w:t>t</w:t>
      </w:r>
      <w:r w:rsidR="00AD3D5D" w:rsidRPr="009D37BF">
        <w:rPr>
          <w:lang w:val="en-AU"/>
        </w:rPr>
        <w:t xml:space="preserve">he </w:t>
      </w:r>
      <w:r w:rsidR="00821428" w:rsidRPr="009D37BF">
        <w:rPr>
          <w:lang w:val="en-AU"/>
        </w:rPr>
        <w:t>activation of caspase-8 at the DISC and the</w:t>
      </w:r>
      <w:r w:rsidR="00AD3D5D" w:rsidRPr="009D37BF">
        <w:rPr>
          <w:lang w:val="en-AU"/>
        </w:rPr>
        <w:t xml:space="preserve"> previous title was indeed</w:t>
      </w:r>
      <w:r w:rsidR="00821428" w:rsidRPr="009D37BF">
        <w:rPr>
          <w:lang w:val="en-AU"/>
        </w:rPr>
        <w:t xml:space="preserve"> misleading</w:t>
      </w:r>
      <w:r w:rsidR="00AD3D5D" w:rsidRPr="009D37BF">
        <w:rPr>
          <w:lang w:val="en-AU"/>
        </w:rPr>
        <w:t>.</w:t>
      </w:r>
      <w:r w:rsidR="00821428" w:rsidRPr="009D37BF">
        <w:rPr>
          <w:lang w:val="en-AU"/>
        </w:rPr>
        <w:t xml:space="preserve"> </w:t>
      </w:r>
      <w:r w:rsidR="00F44067" w:rsidRPr="009D37BF">
        <w:rPr>
          <w:lang w:val="en-AU"/>
        </w:rPr>
        <w:t xml:space="preserve">We also took care that </w:t>
      </w:r>
      <w:r w:rsidR="00821428" w:rsidRPr="009D37BF">
        <w:rPr>
          <w:lang w:val="en-AU"/>
        </w:rPr>
        <w:t xml:space="preserve">we more carefully </w:t>
      </w:r>
      <w:r w:rsidR="00BC4B61" w:rsidRPr="009D37BF">
        <w:rPr>
          <w:lang w:val="en-AU"/>
        </w:rPr>
        <w:t>discuss</w:t>
      </w:r>
      <w:r w:rsidR="00821428" w:rsidRPr="009D37BF">
        <w:rPr>
          <w:lang w:val="en-AU"/>
        </w:rPr>
        <w:t xml:space="preserve"> caspase-8 activation at the DISC in the current version of the manuscript and</w:t>
      </w:r>
      <w:r w:rsidR="00F44067" w:rsidRPr="009D37BF">
        <w:rPr>
          <w:lang w:val="en-AU"/>
        </w:rPr>
        <w:t xml:space="preserve"> rather use</w:t>
      </w:r>
      <w:r w:rsidR="00AE01C1" w:rsidRPr="009D37BF">
        <w:rPr>
          <w:lang w:val="en-AU"/>
        </w:rPr>
        <w:t xml:space="preserve"> terms</w:t>
      </w:r>
      <w:r w:rsidR="00821428" w:rsidRPr="009D37BF">
        <w:rPr>
          <w:lang w:val="en-AU"/>
        </w:rPr>
        <w:t>‚</w:t>
      </w:r>
      <w:r w:rsidR="00BC4B61">
        <w:rPr>
          <w:lang w:val="en-AU"/>
        </w:rPr>
        <w:t xml:space="preserve"> </w:t>
      </w:r>
      <w:r w:rsidR="00F44067" w:rsidRPr="009D37BF">
        <w:rPr>
          <w:lang w:val="en-AU"/>
        </w:rPr>
        <w:t>recruitment and processing</w:t>
      </w:r>
      <w:r w:rsidR="00821428" w:rsidRPr="009D37BF">
        <w:rPr>
          <w:lang w:val="en-AU"/>
        </w:rPr>
        <w:t>‘</w:t>
      </w:r>
      <w:r w:rsidR="00F44067" w:rsidRPr="009D37BF">
        <w:rPr>
          <w:lang w:val="en-AU"/>
        </w:rPr>
        <w:t xml:space="preserve"> as suggested by the reviewer, which is </w:t>
      </w:r>
      <w:r w:rsidR="00821428" w:rsidRPr="009D37BF">
        <w:rPr>
          <w:lang w:val="en-AU"/>
        </w:rPr>
        <w:t>really a splendid</w:t>
      </w:r>
      <w:r w:rsidR="00F44067" w:rsidRPr="009D37BF">
        <w:rPr>
          <w:lang w:val="en-AU"/>
        </w:rPr>
        <w:t xml:space="preserve"> suggestion. </w:t>
      </w:r>
    </w:p>
    <w:p w14:paraId="3AD51339" w14:textId="06B32E35" w:rsidR="009A28C9" w:rsidRPr="006C0CED" w:rsidRDefault="009A28C9" w:rsidP="00432515">
      <w:pPr>
        <w:pStyle w:val="StandardWeb"/>
        <w:rPr>
          <w:lang w:val="en-AU"/>
        </w:rPr>
      </w:pPr>
      <w:r w:rsidRPr="00E877C2">
        <w:rPr>
          <w:b/>
          <w:lang w:val="en-AU"/>
        </w:rPr>
        <w:t xml:space="preserve">Comment 2. </w:t>
      </w:r>
      <w:r w:rsidR="00432515" w:rsidRPr="00E877C2">
        <w:rPr>
          <w:lang w:val="en-AU"/>
        </w:rPr>
        <w:t xml:space="preserve">Second, there are a number of references to antibodies provided by Dr P Krammer. </w:t>
      </w:r>
      <w:r w:rsidR="00432515" w:rsidRPr="006C0CED">
        <w:rPr>
          <w:lang w:val="en-AU"/>
        </w:rPr>
        <w:t>While the latter may be available to selected scientists, I guess that most readers won't get them easily. I would therefore recommend the Author's to make their best to provide either referenced commercially available antibodies that may easily replace Dr P Krammer's antibodies, or to mention whether the latter are available upon request, and if so, who should be contacted.</w:t>
      </w:r>
      <w:r w:rsidR="00432515" w:rsidRPr="006C0CED">
        <w:rPr>
          <w:lang w:val="en-AU"/>
        </w:rPr>
        <w:br/>
      </w:r>
      <w:r w:rsidR="00432515" w:rsidRPr="006C0CED">
        <w:rPr>
          <w:lang w:val="en-AU"/>
        </w:rPr>
        <w:br/>
        <w:t>This also strongly applies to the immunoprecipitating antibody APO1 (Also from Dr Krammer). To get a broader audience, one may also be happy to get a side-by-side comparison with commercially available Fas/CD95 Ligands, and probably some comments, as the aim of the protocol is to follow and sustain cell death induced by Fas/CD95, through, but not exclusively, visualization of capase-8 recruitment and processing within the Fas/CD95 DISC.</w:t>
      </w:r>
    </w:p>
    <w:p w14:paraId="34A303AB" w14:textId="26875E4B" w:rsidR="009A28C9" w:rsidRDefault="009A28C9" w:rsidP="009A28C9">
      <w:pPr>
        <w:pStyle w:val="StandardWeb"/>
        <w:rPr>
          <w:lang w:val="en-AU"/>
        </w:rPr>
      </w:pPr>
      <w:r w:rsidRPr="006C0CED">
        <w:rPr>
          <w:b/>
          <w:lang w:val="en-AU"/>
        </w:rPr>
        <w:t>Answer</w:t>
      </w:r>
      <w:r w:rsidR="003E57F4" w:rsidRPr="006C0CED">
        <w:rPr>
          <w:b/>
          <w:lang w:val="en-AU"/>
        </w:rPr>
        <w:t xml:space="preserve"> 2</w:t>
      </w:r>
      <w:r w:rsidRPr="006C0CED">
        <w:rPr>
          <w:lang w:val="en-AU"/>
        </w:rPr>
        <w:t>: We thank for this comment. We have provided referenced commercially available antibodies that may easily replace Dr P Krammer's antibodies. These antibodies are from ENZO. They are all</w:t>
      </w:r>
      <w:r w:rsidR="00AE01C1" w:rsidRPr="006C0CED">
        <w:rPr>
          <w:lang w:val="en-AU"/>
        </w:rPr>
        <w:t>,</w:t>
      </w:r>
      <w:r w:rsidRPr="006C0CED">
        <w:rPr>
          <w:lang w:val="en-AU"/>
        </w:rPr>
        <w:t xml:space="preserve"> except for </w:t>
      </w:r>
      <w:r w:rsidR="00FA0171" w:rsidRPr="006C0CED">
        <w:rPr>
          <w:lang w:val="en-AU"/>
        </w:rPr>
        <w:t>anti-</w:t>
      </w:r>
      <w:r w:rsidRPr="006C0CED">
        <w:rPr>
          <w:lang w:val="en-AU"/>
        </w:rPr>
        <w:t>FADD</w:t>
      </w:r>
      <w:r w:rsidR="00FA0171" w:rsidRPr="006C0CED">
        <w:rPr>
          <w:lang w:val="en-AU"/>
        </w:rPr>
        <w:t xml:space="preserve"> </w:t>
      </w:r>
      <w:r w:rsidRPr="006C0CED">
        <w:rPr>
          <w:lang w:val="en-AU"/>
        </w:rPr>
        <w:t>antibodies</w:t>
      </w:r>
      <w:r w:rsidR="00AE01C1" w:rsidRPr="006C0CED">
        <w:rPr>
          <w:lang w:val="en-AU"/>
        </w:rPr>
        <w:t>,</w:t>
      </w:r>
      <w:r w:rsidRPr="006C0CED">
        <w:rPr>
          <w:lang w:val="en-AU"/>
        </w:rPr>
        <w:t xml:space="preserve"> are produced from the same hybrodomas </w:t>
      </w:r>
      <w:r w:rsidR="00821428" w:rsidRPr="006C0CED">
        <w:rPr>
          <w:lang w:val="en-AU"/>
        </w:rPr>
        <w:t>as the ones from Krammer’s lab. These hybrydomas to our knowledge</w:t>
      </w:r>
      <w:r w:rsidRPr="006C0CED">
        <w:rPr>
          <w:lang w:val="en-AU"/>
        </w:rPr>
        <w:t xml:space="preserve"> were given</w:t>
      </w:r>
      <w:r w:rsidR="00FA0171" w:rsidRPr="006C0CED">
        <w:rPr>
          <w:lang w:val="en-AU"/>
        </w:rPr>
        <w:t xml:space="preserve"> at some time point to the</w:t>
      </w:r>
      <w:r w:rsidRPr="006C0CED">
        <w:rPr>
          <w:lang w:val="en-AU"/>
        </w:rPr>
        <w:t xml:space="preserve"> company</w:t>
      </w:r>
      <w:r w:rsidR="00FA0171" w:rsidRPr="006C0CED">
        <w:rPr>
          <w:lang w:val="en-AU"/>
        </w:rPr>
        <w:t xml:space="preserve"> (Alexis</w:t>
      </w:r>
      <w:r w:rsidR="00AE01C1" w:rsidRPr="006C0CED">
        <w:rPr>
          <w:lang w:val="en-AU"/>
        </w:rPr>
        <w:t xml:space="preserve"> was the name of company</w:t>
      </w:r>
      <w:r w:rsidR="00FA0171" w:rsidRPr="006C0CED">
        <w:rPr>
          <w:lang w:val="en-AU"/>
        </w:rPr>
        <w:t xml:space="preserve"> at that time</w:t>
      </w:r>
      <w:r w:rsidR="00AE01C1" w:rsidRPr="006C0CED">
        <w:rPr>
          <w:lang w:val="en-AU"/>
        </w:rPr>
        <w:t xml:space="preserve"> that was later taken over by Enzo</w:t>
      </w:r>
      <w:r w:rsidR="00FA0171" w:rsidRPr="006C0CED">
        <w:rPr>
          <w:lang w:val="en-AU"/>
        </w:rPr>
        <w:t>)</w:t>
      </w:r>
      <w:r w:rsidRPr="006C0CED">
        <w:rPr>
          <w:lang w:val="en-AU"/>
        </w:rPr>
        <w:t>.</w:t>
      </w:r>
      <w:r w:rsidR="00FA0171" w:rsidRPr="006C0CED">
        <w:rPr>
          <w:lang w:val="en-AU"/>
        </w:rPr>
        <w:t xml:space="preserve"> This also corresponds to anti-APO-1 antibody. We also provided the information on commercially available Fas/CD95 </w:t>
      </w:r>
      <w:r w:rsidR="006C0CED">
        <w:rPr>
          <w:lang w:val="en-AU"/>
        </w:rPr>
        <w:t>l</w:t>
      </w:r>
      <w:r w:rsidR="00FA0171" w:rsidRPr="006C0CED">
        <w:rPr>
          <w:lang w:val="en-AU"/>
        </w:rPr>
        <w:t xml:space="preserve">igands. However, for the suggestion to perform more experiments with commercially available FasL/CD95L, and compare it with our results, the time of the </w:t>
      </w:r>
      <w:r w:rsidR="00821428" w:rsidRPr="006C0CED">
        <w:rPr>
          <w:lang w:val="en-AU"/>
        </w:rPr>
        <w:t>revision is too short for the</w:t>
      </w:r>
      <w:r w:rsidR="00FA0171" w:rsidRPr="006C0CED">
        <w:rPr>
          <w:lang w:val="en-AU"/>
        </w:rPr>
        <w:t>s</w:t>
      </w:r>
      <w:r w:rsidR="00821428" w:rsidRPr="006C0CED">
        <w:rPr>
          <w:lang w:val="en-AU"/>
        </w:rPr>
        <w:t>e</w:t>
      </w:r>
      <w:r w:rsidR="00FA0171" w:rsidRPr="006C0CED">
        <w:rPr>
          <w:lang w:val="en-AU"/>
        </w:rPr>
        <w:t xml:space="preserve"> experiments. Hence, we hope that giving the corresponding number for the commercially available ligand would address the comment of the reviewer </w:t>
      </w:r>
      <w:r w:rsidR="00471ADD" w:rsidRPr="006C0CED">
        <w:rPr>
          <w:lang w:val="en-AU"/>
        </w:rPr>
        <w:t>to t</w:t>
      </w:r>
      <w:r w:rsidR="00FA0171" w:rsidRPr="006C0CED">
        <w:rPr>
          <w:lang w:val="en-AU"/>
        </w:rPr>
        <w:t>he larger extent.</w:t>
      </w:r>
    </w:p>
    <w:p w14:paraId="283DA965" w14:textId="78C70C81" w:rsidR="00E877C2" w:rsidRPr="006C0CED" w:rsidRDefault="00E877C2" w:rsidP="009A28C9">
      <w:pPr>
        <w:pStyle w:val="StandardWeb"/>
        <w:rPr>
          <w:lang w:val="en-AU"/>
        </w:rPr>
      </w:pPr>
      <w:r>
        <w:rPr>
          <w:lang w:val="en-AU"/>
        </w:rPr>
        <w:t>Finally, we decided to mention Dr Krammer’s name in the protocol as it was not mentioned so far.</w:t>
      </w:r>
    </w:p>
    <w:p w14:paraId="4FF89EA2" w14:textId="24BB8F43" w:rsidR="00471ADD" w:rsidRPr="006C0CED" w:rsidRDefault="00432515" w:rsidP="00432515">
      <w:pPr>
        <w:pStyle w:val="StandardWeb"/>
        <w:rPr>
          <w:lang w:val="en-AU"/>
        </w:rPr>
      </w:pPr>
      <w:r w:rsidRPr="006C0CED">
        <w:rPr>
          <w:lang w:val="en-AU"/>
        </w:rPr>
        <w:br/>
      </w:r>
      <w:r w:rsidR="00471ADD" w:rsidRPr="006C0CED">
        <w:rPr>
          <w:b/>
          <w:lang w:val="en-AU"/>
        </w:rPr>
        <w:t xml:space="preserve">Comment 3. </w:t>
      </w:r>
      <w:r w:rsidRPr="006C0CED">
        <w:rPr>
          <w:lang w:val="en-AU"/>
        </w:rPr>
        <w:t xml:space="preserve">The Authors also mention that stimulation of the cells with Fas/CD95L is highly </w:t>
      </w:r>
      <w:r w:rsidRPr="006C0CED">
        <w:rPr>
          <w:lang w:val="en-AU"/>
        </w:rPr>
        <w:lastRenderedPageBreak/>
        <w:t>dependent on the cell type/ cell line. It would be nice to share your expertise in a table for cell lines that you have worked with in the past, and for which the DISC analysis is mastered in your laboratory. This could easily be proposed in a table.</w:t>
      </w:r>
    </w:p>
    <w:p w14:paraId="1EECB1AF" w14:textId="13E44C90" w:rsidR="00821428" w:rsidRPr="006C0CED" w:rsidRDefault="00471ADD" w:rsidP="00432515">
      <w:pPr>
        <w:pStyle w:val="StandardWeb"/>
        <w:rPr>
          <w:lang w:val="en-AU"/>
        </w:rPr>
      </w:pPr>
      <w:r w:rsidRPr="006C0CED">
        <w:rPr>
          <w:b/>
          <w:lang w:val="en-AU"/>
        </w:rPr>
        <w:t>Answer</w:t>
      </w:r>
      <w:r w:rsidR="003E57F4" w:rsidRPr="006C0CED">
        <w:rPr>
          <w:b/>
          <w:lang w:val="en-AU"/>
        </w:rPr>
        <w:t xml:space="preserve"> 3</w:t>
      </w:r>
      <w:r w:rsidRPr="006C0CED">
        <w:rPr>
          <w:lang w:val="en-AU"/>
        </w:rPr>
        <w:t>:</w:t>
      </w:r>
      <w:r w:rsidR="00821428" w:rsidRPr="006C0CED">
        <w:rPr>
          <w:lang w:val="en-AU"/>
        </w:rPr>
        <w:t xml:space="preserve"> We have given a number of reference</w:t>
      </w:r>
      <w:r w:rsidR="00AE01C1" w:rsidRPr="006C0CED">
        <w:rPr>
          <w:lang w:val="en-AU"/>
        </w:rPr>
        <w:t>s that provide an important information</w:t>
      </w:r>
      <w:r w:rsidR="00935F8C" w:rsidRPr="006C0CED">
        <w:rPr>
          <w:lang w:val="en-AU"/>
        </w:rPr>
        <w:t xml:space="preserve"> what are the times of stimulation</w:t>
      </w:r>
      <w:r w:rsidR="00E877C2">
        <w:rPr>
          <w:lang w:val="en-AU"/>
        </w:rPr>
        <w:t>/ stimulation strength</w:t>
      </w:r>
      <w:r w:rsidR="00935F8C" w:rsidRPr="006C0CED">
        <w:rPr>
          <w:lang w:val="en-AU"/>
        </w:rPr>
        <w:t xml:space="preserve"> for the different cell lines.</w:t>
      </w:r>
      <w:r w:rsidR="00821428" w:rsidRPr="006C0CED">
        <w:rPr>
          <w:lang w:val="en-AU"/>
        </w:rPr>
        <w:t xml:space="preserve"> </w:t>
      </w:r>
    </w:p>
    <w:p w14:paraId="6F59324A" w14:textId="1AA2C51C" w:rsidR="00084CC9" w:rsidRPr="006C0CED" w:rsidRDefault="00821428" w:rsidP="00432515">
      <w:pPr>
        <w:pStyle w:val="StandardWeb"/>
        <w:rPr>
          <w:lang w:val="en-AU"/>
        </w:rPr>
      </w:pPr>
      <w:r w:rsidRPr="009D37BF">
        <w:rPr>
          <w:b/>
          <w:lang w:val="en-AU"/>
        </w:rPr>
        <w:t xml:space="preserve">Comment 4. </w:t>
      </w:r>
      <w:r w:rsidR="00432515" w:rsidRPr="009D37BF">
        <w:rPr>
          <w:lang w:val="en-AU"/>
        </w:rPr>
        <w:t xml:space="preserve">In the protocol you provide a number of consideration to increase the Signal/noise ratio of your immunoprecipitation, but you omit to mention that a preclearing step can also help in reducing the noise and favor post WB analysis. Could you comment in this ? Don't you ever had this step ? </w:t>
      </w:r>
      <w:r w:rsidR="00432515" w:rsidRPr="00E877C2">
        <w:rPr>
          <w:lang w:val="en-AU"/>
        </w:rPr>
        <w:t>Do you think it is not mandatory ?</w:t>
      </w:r>
      <w:r w:rsidR="00432515" w:rsidRPr="00E877C2">
        <w:rPr>
          <w:lang w:val="en-AU"/>
        </w:rPr>
        <w:br/>
      </w:r>
      <w:r w:rsidR="00432515" w:rsidRPr="00E877C2">
        <w:rPr>
          <w:lang w:val="en-AU"/>
        </w:rPr>
        <w:br/>
        <w:t xml:space="preserve">Along the line, in all your figures, "non-DISC components" are cropped see for example Actin (but you also show PARP, or caspase-3); Are these results added as an illustration but not blotted along the caspase-8 or CD95 ? </w:t>
      </w:r>
      <w:r w:rsidR="00432515" w:rsidRPr="006C0CED">
        <w:rPr>
          <w:lang w:val="en-AU"/>
        </w:rPr>
        <w:t>Could be nice to show, if you have done so some of these controls to illustrate the importance of t</w:t>
      </w:r>
      <w:r w:rsidR="00935F8C" w:rsidRPr="006C0CED">
        <w:rPr>
          <w:lang w:val="en-AU"/>
        </w:rPr>
        <w:t>he washings during the IP steps</w:t>
      </w:r>
      <w:r w:rsidR="00432515" w:rsidRPr="006C0CED">
        <w:rPr>
          <w:lang w:val="en-AU"/>
        </w:rPr>
        <w:t>? If these blots are not matching the (Lysate + DISC IP) showing C8 / FLIP FAS/CD95, then you should present them aside from the main DISC analysis and not below, to avoid confusion.</w:t>
      </w:r>
    </w:p>
    <w:p w14:paraId="1759620C" w14:textId="1BE29D2F" w:rsidR="00BA021B" w:rsidRPr="006C0CED" w:rsidRDefault="00084CC9" w:rsidP="00935F8C">
      <w:pPr>
        <w:pStyle w:val="StandardWeb"/>
        <w:rPr>
          <w:lang w:val="en-AU"/>
        </w:rPr>
      </w:pPr>
      <w:r w:rsidRPr="009D37BF">
        <w:rPr>
          <w:b/>
          <w:lang w:val="en-AU"/>
        </w:rPr>
        <w:t>Answer</w:t>
      </w:r>
      <w:r w:rsidR="003E57F4" w:rsidRPr="009D37BF">
        <w:rPr>
          <w:b/>
          <w:lang w:val="en-AU"/>
        </w:rPr>
        <w:t xml:space="preserve"> 4</w:t>
      </w:r>
      <w:r w:rsidR="00935F8C" w:rsidRPr="009D37BF">
        <w:rPr>
          <w:b/>
          <w:lang w:val="en-AU"/>
        </w:rPr>
        <w:t xml:space="preserve">:  </w:t>
      </w:r>
      <w:r w:rsidR="00935F8C" w:rsidRPr="009D37BF">
        <w:rPr>
          <w:lang w:val="en-AU"/>
        </w:rPr>
        <w:t>For the prewashing steps</w:t>
      </w:r>
      <w:r w:rsidR="003E57F4" w:rsidRPr="009D37BF">
        <w:rPr>
          <w:lang w:val="en-AU"/>
        </w:rPr>
        <w:t>,</w:t>
      </w:r>
      <w:r w:rsidR="00E877C2">
        <w:rPr>
          <w:lang w:val="en-AU"/>
        </w:rPr>
        <w:t xml:space="preserve"> </w:t>
      </w:r>
      <w:r w:rsidR="00BA021B" w:rsidRPr="009D37BF">
        <w:rPr>
          <w:lang w:val="en-AU"/>
        </w:rPr>
        <w:t>we perform</w:t>
      </w:r>
      <w:r w:rsidR="00935F8C" w:rsidRPr="009D37BF">
        <w:rPr>
          <w:lang w:val="en-AU"/>
        </w:rPr>
        <w:t xml:space="preserve"> them only in the case</w:t>
      </w:r>
      <w:r w:rsidR="00BA021B" w:rsidRPr="009D37BF">
        <w:rPr>
          <w:lang w:val="en-AU"/>
        </w:rPr>
        <w:t xml:space="preserve"> of special analysis like Mass spectrometry, however for the conventional protocol, e.g. detecting recruitment of procaspase-8 to the DISC by Western Blot, we never saw the differences</w:t>
      </w:r>
      <w:r w:rsidR="00FB4290">
        <w:rPr>
          <w:lang w:val="en-AU"/>
        </w:rPr>
        <w:t xml:space="preserve"> </w:t>
      </w:r>
      <w:r w:rsidR="003E57F4" w:rsidRPr="009D37BF">
        <w:rPr>
          <w:lang w:val="en-AU"/>
        </w:rPr>
        <w:t xml:space="preserve">with prewashing and without it. </w:t>
      </w:r>
      <w:r w:rsidR="003E57F4" w:rsidRPr="006C0CED">
        <w:rPr>
          <w:lang w:val="en-AU"/>
        </w:rPr>
        <w:t>T</w:t>
      </w:r>
      <w:r w:rsidR="00BA021B" w:rsidRPr="006C0CED">
        <w:rPr>
          <w:lang w:val="en-AU"/>
        </w:rPr>
        <w:t>herefore, we  use this protocol without pre-clearing and pre-washing. We fully agree that this has to be mentioned and added to the manuscript, which is done in the current version</w:t>
      </w:r>
      <w:r w:rsidR="00E877C2">
        <w:rPr>
          <w:lang w:val="en-AU"/>
        </w:rPr>
        <w:t>.</w:t>
      </w:r>
      <w:r w:rsidR="00BA021B" w:rsidRPr="006C0CED">
        <w:rPr>
          <w:lang w:val="en-AU"/>
        </w:rPr>
        <w:t xml:space="preserve"> </w:t>
      </w:r>
    </w:p>
    <w:p w14:paraId="0FCFED3D" w14:textId="32CF74CF" w:rsidR="00935F8C" w:rsidRPr="006C0CED" w:rsidRDefault="00BA021B" w:rsidP="00935F8C">
      <w:pPr>
        <w:pStyle w:val="StandardWeb"/>
        <w:rPr>
          <w:lang w:val="en-AU"/>
        </w:rPr>
      </w:pPr>
      <w:r w:rsidRPr="006C0CED">
        <w:rPr>
          <w:lang w:val="en-AU"/>
        </w:rPr>
        <w:t>Within these lines, we think it is much more important to was</w:t>
      </w:r>
      <w:r w:rsidR="00FB4290">
        <w:rPr>
          <w:lang w:val="en-AU"/>
        </w:rPr>
        <w:t>h</w:t>
      </w:r>
      <w:r w:rsidRPr="006C0CED">
        <w:rPr>
          <w:lang w:val="en-AU"/>
        </w:rPr>
        <w:t xml:space="preserve"> the beads after immunoprecipitation and especially remove the rests of the washing buffer with the syringe and in this and only this way one can reach reliable results. This was also further</w:t>
      </w:r>
      <w:r w:rsidR="000D621B" w:rsidRPr="006C0CED">
        <w:rPr>
          <w:lang w:val="en-AU"/>
        </w:rPr>
        <w:t xml:space="preserve"> highlighted in t</w:t>
      </w:r>
      <w:r w:rsidRPr="006C0CED">
        <w:rPr>
          <w:lang w:val="en-AU"/>
        </w:rPr>
        <w:t>h</w:t>
      </w:r>
      <w:r w:rsidR="000D621B" w:rsidRPr="006C0CED">
        <w:rPr>
          <w:lang w:val="en-AU"/>
        </w:rPr>
        <w:t>e</w:t>
      </w:r>
      <w:r w:rsidRPr="006C0CED">
        <w:rPr>
          <w:lang w:val="en-AU"/>
        </w:rPr>
        <w:t xml:space="preserve"> current version.</w:t>
      </w:r>
    </w:p>
    <w:p w14:paraId="33C1A23D" w14:textId="130ED4E8" w:rsidR="00BA021B" w:rsidRPr="006C0CED" w:rsidRDefault="00BA021B" w:rsidP="00935F8C">
      <w:pPr>
        <w:pStyle w:val="StandardWeb"/>
        <w:rPr>
          <w:b/>
          <w:lang w:val="en-AU"/>
        </w:rPr>
      </w:pPr>
      <w:r w:rsidRPr="006C0CED">
        <w:rPr>
          <w:lang w:val="en-AU"/>
        </w:rPr>
        <w:t>We thank for the valuable point with Caspase-3 and PARP1. Indeed, we ‚uncropped‘ th</w:t>
      </w:r>
      <w:r w:rsidR="00FB4290">
        <w:rPr>
          <w:lang w:val="en-AU"/>
        </w:rPr>
        <w:t>ese</w:t>
      </w:r>
      <w:r w:rsidRPr="006C0CED">
        <w:rPr>
          <w:lang w:val="en-AU"/>
        </w:rPr>
        <w:t xml:space="preserve"> image</w:t>
      </w:r>
      <w:r w:rsidR="00FB4290">
        <w:rPr>
          <w:lang w:val="en-AU"/>
        </w:rPr>
        <w:t>s</w:t>
      </w:r>
      <w:r w:rsidR="000D621B" w:rsidRPr="006C0CED">
        <w:rPr>
          <w:lang w:val="en-AU"/>
        </w:rPr>
        <w:t xml:space="preserve"> and use the absence of the signals in the immunoprecipitation as an additional control for the absence of the unspecific binding to the beads. We added the additional text on this to the results and discussion.</w:t>
      </w:r>
    </w:p>
    <w:p w14:paraId="56B24EE0" w14:textId="752DC812" w:rsidR="00E877C2" w:rsidRDefault="00432515" w:rsidP="00432515">
      <w:pPr>
        <w:pStyle w:val="StandardWeb"/>
        <w:rPr>
          <w:b/>
          <w:lang w:val="en-AU"/>
        </w:rPr>
      </w:pPr>
      <w:r w:rsidRPr="006C0CED">
        <w:rPr>
          <w:lang w:val="en-AU"/>
        </w:rPr>
        <w:br/>
      </w:r>
      <w:r w:rsidR="000D621B" w:rsidRPr="00E877C2">
        <w:rPr>
          <w:b/>
          <w:lang w:val="en-AU"/>
        </w:rPr>
        <w:t xml:space="preserve">Comment </w:t>
      </w:r>
      <w:r w:rsidR="003E57F4" w:rsidRPr="00E877C2">
        <w:rPr>
          <w:b/>
          <w:lang w:val="en-AU"/>
        </w:rPr>
        <w:t>5</w:t>
      </w:r>
      <w:r w:rsidR="000D621B" w:rsidRPr="00E877C2">
        <w:rPr>
          <w:b/>
          <w:lang w:val="en-AU"/>
        </w:rPr>
        <w:t xml:space="preserve">. </w:t>
      </w:r>
      <w:r w:rsidRPr="00E877C2">
        <w:rPr>
          <w:lang w:val="en-AU"/>
        </w:rPr>
        <w:t xml:space="preserve">Could you please check whether the amount of cells seeded for adherent cells before DISC analysis (line 106). </w:t>
      </w:r>
      <w:r w:rsidRPr="006C0CED">
        <w:rPr>
          <w:lang w:val="en-AU"/>
        </w:rPr>
        <w:t>Is 5 million enough for the IP, whilst for suspension cells you mention that the analysis is perfomed with nearly 20 times more !</w:t>
      </w:r>
      <w:r w:rsidRPr="006C0CED">
        <w:rPr>
          <w:lang w:val="en-AU"/>
        </w:rPr>
        <w:br/>
      </w:r>
    </w:p>
    <w:p w14:paraId="1867F215" w14:textId="2A9CA6A8" w:rsidR="00A7161E" w:rsidRPr="006C0CED" w:rsidRDefault="00CC0B0D" w:rsidP="00432515">
      <w:pPr>
        <w:pStyle w:val="StandardWeb"/>
        <w:rPr>
          <w:lang w:val="en-AU"/>
        </w:rPr>
      </w:pPr>
      <w:r w:rsidRPr="006C0CED">
        <w:rPr>
          <w:b/>
          <w:lang w:val="en-AU"/>
        </w:rPr>
        <w:t>Answer</w:t>
      </w:r>
      <w:r w:rsidR="003E57F4" w:rsidRPr="006C0CED">
        <w:rPr>
          <w:b/>
          <w:lang w:val="en-AU"/>
        </w:rPr>
        <w:t xml:space="preserve"> 5</w:t>
      </w:r>
      <w:r w:rsidRPr="006C0CED">
        <w:rPr>
          <w:b/>
          <w:lang w:val="en-AU"/>
        </w:rPr>
        <w:t>:</w:t>
      </w:r>
      <w:r w:rsidR="000D621B" w:rsidRPr="006C0CED">
        <w:rPr>
          <w:lang w:val="en-AU"/>
        </w:rPr>
        <w:t xml:space="preserve"> This a very valuable point </w:t>
      </w:r>
      <w:r w:rsidR="00084CC9" w:rsidRPr="006C0CED">
        <w:rPr>
          <w:lang w:val="en-AU"/>
        </w:rPr>
        <w:t xml:space="preserve">and we are very grateful for pointing it out. The average number </w:t>
      </w:r>
      <w:bookmarkStart w:id="0" w:name="_GoBack"/>
      <w:bookmarkEnd w:id="0"/>
      <w:r w:rsidR="00084CC9" w:rsidRPr="006C0CED">
        <w:rPr>
          <w:lang w:val="en-AU"/>
        </w:rPr>
        <w:t>of cells for IP is 1</w:t>
      </w:r>
      <w:r w:rsidR="000D621B" w:rsidRPr="006C0CED">
        <w:rPr>
          <w:lang w:val="en-AU"/>
        </w:rPr>
        <w:t>0</w:t>
      </w:r>
      <w:r w:rsidR="000D621B" w:rsidRPr="006C0CED">
        <w:rPr>
          <w:vertAlign w:val="superscript"/>
          <w:lang w:val="en-AU"/>
        </w:rPr>
        <w:t>7</w:t>
      </w:r>
      <w:r w:rsidR="00084CC9" w:rsidRPr="006C0CED">
        <w:rPr>
          <w:lang w:val="en-AU"/>
        </w:rPr>
        <w:t>, which is the same</w:t>
      </w:r>
      <w:r w:rsidR="000D621B" w:rsidRPr="006C0CED">
        <w:rPr>
          <w:lang w:val="en-AU"/>
        </w:rPr>
        <w:t xml:space="preserve"> for adherent and suspensions cells. H</w:t>
      </w:r>
      <w:r w:rsidR="00A7161E" w:rsidRPr="006C0CED">
        <w:rPr>
          <w:lang w:val="en-AU"/>
        </w:rPr>
        <w:t xml:space="preserve">owever, we seed </w:t>
      </w:r>
      <w:r w:rsidR="000D621B" w:rsidRPr="006C0CED">
        <w:rPr>
          <w:lang w:val="en-AU"/>
        </w:rPr>
        <w:t>adherent cells one day before so that they can reach this number</w:t>
      </w:r>
      <w:r w:rsidR="00A7161E" w:rsidRPr="006C0CED">
        <w:rPr>
          <w:lang w:val="en-AU"/>
        </w:rPr>
        <w:t>. This was commented in the current version of the protocol.</w:t>
      </w:r>
    </w:p>
    <w:p w14:paraId="0821540C" w14:textId="755A62CA" w:rsidR="00CC0B0D" w:rsidRPr="006C0CED" w:rsidRDefault="00A7161E" w:rsidP="00432515">
      <w:pPr>
        <w:pStyle w:val="StandardWeb"/>
        <w:rPr>
          <w:lang w:val="en-AU"/>
        </w:rPr>
      </w:pPr>
      <w:r w:rsidRPr="006C0CED">
        <w:rPr>
          <w:lang w:val="en-AU"/>
        </w:rPr>
        <w:t xml:space="preserve"> T cells are exception from the rule as they are rather small and one needs the higher initial number of the cells.</w:t>
      </w:r>
    </w:p>
    <w:p w14:paraId="0DAE77CA" w14:textId="71717CD5" w:rsidR="00F03D4C" w:rsidRPr="009D37BF" w:rsidRDefault="00432515" w:rsidP="00432515">
      <w:pPr>
        <w:pStyle w:val="StandardWeb"/>
        <w:rPr>
          <w:lang w:val="en-AU"/>
        </w:rPr>
      </w:pPr>
      <w:r w:rsidRPr="009D37BF">
        <w:rPr>
          <w:lang w:val="en-AU"/>
        </w:rPr>
        <w:lastRenderedPageBreak/>
        <w:t>Minor Concerns:</w:t>
      </w:r>
      <w:r w:rsidRPr="009D37BF">
        <w:rPr>
          <w:lang w:val="en-AU"/>
        </w:rPr>
        <w:br/>
        <w:t>Last some typos remain in the text, please check out:</w:t>
      </w:r>
      <w:r w:rsidRPr="009D37BF">
        <w:rPr>
          <w:lang w:val="en-AU"/>
        </w:rPr>
        <w:br/>
        <w:t>Ie : adhaerent instead of adherent.</w:t>
      </w:r>
      <w:r w:rsidRPr="009D37BF">
        <w:rPr>
          <w:lang w:val="en-AU"/>
        </w:rPr>
        <w:br/>
      </w:r>
      <w:r w:rsidRPr="009D37BF">
        <w:rPr>
          <w:lang w:val="en-AU"/>
        </w:rPr>
        <w:br/>
      </w:r>
      <w:r w:rsidR="00F03D4C" w:rsidRPr="009D37BF">
        <w:rPr>
          <w:b/>
          <w:lang w:val="en-AU"/>
        </w:rPr>
        <w:t>Answer:</w:t>
      </w:r>
      <w:r w:rsidR="00A450FC" w:rsidRPr="009D37BF">
        <w:rPr>
          <w:lang w:val="en-AU"/>
        </w:rPr>
        <w:t xml:space="preserve"> W</w:t>
      </w:r>
      <w:r w:rsidR="00F03D4C" w:rsidRPr="009D37BF">
        <w:rPr>
          <w:lang w:val="en-AU"/>
        </w:rPr>
        <w:t xml:space="preserve">e have carefully checked the text for the typos. However, as for correction </w:t>
      </w:r>
      <w:r w:rsidR="00E877C2">
        <w:rPr>
          <w:lang w:val="en-AU"/>
        </w:rPr>
        <w:t>‘</w:t>
      </w:r>
      <w:r w:rsidR="00F03D4C" w:rsidRPr="009D37BF">
        <w:rPr>
          <w:lang w:val="en-AU"/>
        </w:rPr>
        <w:t>adhaerent</w:t>
      </w:r>
      <w:r w:rsidR="00E877C2">
        <w:rPr>
          <w:lang w:val="en-AU"/>
        </w:rPr>
        <w:t>’</w:t>
      </w:r>
      <w:r w:rsidR="00F03D4C" w:rsidRPr="009D37BF">
        <w:rPr>
          <w:lang w:val="en-AU"/>
        </w:rPr>
        <w:t xml:space="preserve"> instead of </w:t>
      </w:r>
      <w:r w:rsidR="00E877C2">
        <w:rPr>
          <w:lang w:val="en-AU"/>
        </w:rPr>
        <w:t>‘</w:t>
      </w:r>
      <w:r w:rsidR="00F03D4C" w:rsidRPr="009D37BF">
        <w:rPr>
          <w:lang w:val="en-AU"/>
        </w:rPr>
        <w:t>adherent</w:t>
      </w:r>
      <w:r w:rsidR="00E877C2">
        <w:rPr>
          <w:lang w:val="en-AU"/>
        </w:rPr>
        <w:t>’</w:t>
      </w:r>
      <w:r w:rsidR="00A450FC" w:rsidRPr="009D37BF">
        <w:rPr>
          <w:lang w:val="en-AU"/>
        </w:rPr>
        <w:t>, we prefer to use the latter version as it is often used as well.</w:t>
      </w:r>
    </w:p>
    <w:p w14:paraId="484947F8" w14:textId="1C8472E5" w:rsidR="00A450FC" w:rsidRPr="00E877C2" w:rsidRDefault="00432515" w:rsidP="00432515">
      <w:pPr>
        <w:pStyle w:val="StandardWeb"/>
        <w:rPr>
          <w:lang w:val="en-AU"/>
        </w:rPr>
      </w:pPr>
      <w:r w:rsidRPr="009D37BF">
        <w:rPr>
          <w:lang w:val="en-AU"/>
        </w:rPr>
        <w:br/>
      </w:r>
      <w:r w:rsidRPr="006C0CED">
        <w:rPr>
          <w:b/>
          <w:bCs/>
          <w:lang w:val="en-AU"/>
        </w:rPr>
        <w:t xml:space="preserve">Reviewer #2: </w:t>
      </w:r>
      <w:r w:rsidRPr="006C0CED">
        <w:rPr>
          <w:lang w:val="en-AU"/>
        </w:rPr>
        <w:br/>
        <w:t>Manuscript Summary:</w:t>
      </w:r>
      <w:r w:rsidRPr="006C0CED">
        <w:rPr>
          <w:lang w:val="en-AU"/>
        </w:rPr>
        <w:br/>
        <w:t>In this manuscript Laura Hillert_Richter and Inna Lavrik describe in detail a classical immunoprecipitation and Western blotting methodology for assessment of the CD95-activated assembly of the death-inducing signaling complex (DISC) in mediating death receptor (DR)-associated extrinsic apoptosis. The authors summarized the literature in the field, depicted a complete signaling pathway and its analysis workflow for the DR signal initiation, adaptor-associated component recruitment in DISC formation and subsequent caspase 8 activation. The experimental procedures are written in great detail with step-by-step explanations on the enzymatic activation cascade. This protocol deserves to be published as a standard, reliable method for analysis of DR-induced programmed cell death signals.</w:t>
      </w:r>
      <w:r w:rsidRPr="006C0CED">
        <w:rPr>
          <w:lang w:val="en-AU"/>
        </w:rPr>
        <w:br/>
      </w:r>
      <w:r w:rsidRPr="006C0CED">
        <w:rPr>
          <w:lang w:val="en-AU"/>
        </w:rPr>
        <w:br/>
      </w:r>
      <w:r w:rsidRPr="00E877C2">
        <w:rPr>
          <w:lang w:val="en-AU"/>
        </w:rPr>
        <w:t>Minor Concerns:</w:t>
      </w:r>
      <w:r w:rsidRPr="00E877C2">
        <w:rPr>
          <w:lang w:val="en-AU"/>
        </w:rPr>
        <w:br/>
        <w:t>A few minor comments as follows:</w:t>
      </w:r>
      <w:r w:rsidRPr="00E877C2">
        <w:rPr>
          <w:lang w:val="en-AU"/>
        </w:rPr>
        <w:br/>
        <w:t>1. It would be appropriate to describe the procedure as a classical, conventional workflow, rather than it is stated in line 41 "a state-of-art…"</w:t>
      </w:r>
    </w:p>
    <w:p w14:paraId="0E3EAC6D" w14:textId="679F59D0" w:rsidR="00432515" w:rsidRPr="006C0CED" w:rsidRDefault="00432515" w:rsidP="00432515">
      <w:pPr>
        <w:pStyle w:val="StandardWeb"/>
        <w:rPr>
          <w:lang w:val="en-AU"/>
        </w:rPr>
      </w:pPr>
      <w:r w:rsidRPr="006C0CED">
        <w:rPr>
          <w:lang w:val="en-AU"/>
        </w:rPr>
        <w:t>2. In line 163, please consider adding in "a separate tube of " front of "the lysate"</w:t>
      </w:r>
      <w:r w:rsidRPr="006C0CED">
        <w:rPr>
          <w:lang w:val="en-AU"/>
        </w:rPr>
        <w:br/>
        <w:t>3. It appears any pipette rather than Hamilton pipette (line 172) will be able to do the job</w:t>
      </w:r>
      <w:r w:rsidRPr="006C0CED">
        <w:rPr>
          <w:lang w:val="en-AU"/>
        </w:rPr>
        <w:br/>
        <w:t>4. In line 176, a reducing agent, such as DTT or 2-ME, appears to be overlooked.</w:t>
      </w:r>
      <w:r w:rsidRPr="006C0CED">
        <w:rPr>
          <w:lang w:val="en-AU"/>
        </w:rPr>
        <w:br/>
        <w:t>5. In line 179, an SDS protein or PAGE gel needs to be specified, and electrophoresis runs at constant 80 volts</w:t>
      </w:r>
      <w:r w:rsidRPr="006C0CED">
        <w:rPr>
          <w:lang w:val="en-AU"/>
        </w:rPr>
        <w:br/>
        <w:t>6. In line 186, please specify PBST as 0.1% Tween-20 in PBS pH7.5</w:t>
      </w:r>
      <w:r w:rsidRPr="006C0CED">
        <w:rPr>
          <w:lang w:val="en-AU"/>
        </w:rPr>
        <w:br/>
        <w:t>7. In line 307, please consider define "mouse" IgG3 as the isotype control</w:t>
      </w:r>
      <w:r w:rsidRPr="006C0CED">
        <w:rPr>
          <w:lang w:val="en-AU"/>
        </w:rPr>
        <w:br/>
        <w:t>8. For Figure 2, it would depict clearer by adding a dashed line in separating the left and right panels in the middle of the figure</w:t>
      </w:r>
      <w:r w:rsidRPr="006C0CED">
        <w:rPr>
          <w:lang w:val="en-AU"/>
        </w:rPr>
        <w:br/>
        <w:t>9. It would be good to provide the details for electrophoresis buffer and the self-made 12% SDS gel</w:t>
      </w:r>
    </w:p>
    <w:p w14:paraId="3425D386" w14:textId="2762A19B" w:rsidR="009776EE" w:rsidRPr="006C0CED" w:rsidRDefault="009776EE" w:rsidP="009776EE">
      <w:pPr>
        <w:pStyle w:val="StandardWeb"/>
        <w:rPr>
          <w:lang w:val="en-AU"/>
        </w:rPr>
      </w:pPr>
      <w:r w:rsidRPr="006C0CED">
        <w:rPr>
          <w:b/>
          <w:lang w:val="en-AU"/>
        </w:rPr>
        <w:t>Answer:</w:t>
      </w:r>
      <w:r w:rsidRPr="006C0CED">
        <w:rPr>
          <w:lang w:val="en-AU"/>
        </w:rPr>
        <w:t xml:space="preserve"> We have performed all corrections accordingly. We thank the reviewer for this valuable input</w:t>
      </w:r>
    </w:p>
    <w:p w14:paraId="0DDE7B1F" w14:textId="485EACE1" w:rsidR="009776EE" w:rsidRPr="006C0CED" w:rsidRDefault="009776EE" w:rsidP="009776EE">
      <w:pPr>
        <w:pStyle w:val="StandardWeb"/>
        <w:rPr>
          <w:lang w:val="en-AU"/>
        </w:rPr>
      </w:pPr>
    </w:p>
    <w:p w14:paraId="731B2028" w14:textId="382818FD" w:rsidR="009776EE" w:rsidRDefault="009776EE" w:rsidP="009776EE">
      <w:pPr>
        <w:pStyle w:val="StandardWeb"/>
      </w:pPr>
      <w:r w:rsidRPr="006C0CED">
        <w:rPr>
          <w:lang w:val="en-AU"/>
        </w:rPr>
        <w:t xml:space="preserve">In addition we would like to comment to the point 3. Here it was commented that any pipette would do this, we really strongly recommend to use a syringe rather than a pipette for this step (it was a typo in the previous version as we used pipette instead of syringe). </w:t>
      </w:r>
      <w:r w:rsidR="00FD7429">
        <w:t>This was corrected in the current version.</w:t>
      </w:r>
    </w:p>
    <w:p w14:paraId="15698AC5" w14:textId="77777777" w:rsidR="00332A5C" w:rsidRPr="00332A5C" w:rsidRDefault="00332A5C" w:rsidP="00332A5C"/>
    <w:sectPr w:rsidR="00332A5C" w:rsidRPr="00332A5C" w:rsidSect="00A64592">
      <w:headerReference w:type="default" r:id="rId6"/>
      <w:pgSz w:w="11906" w:h="16838"/>
      <w:pgMar w:top="1417" w:right="1417" w:bottom="1134" w:left="141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1E401" w14:textId="77777777" w:rsidR="00B16B4A" w:rsidRDefault="00B16B4A" w:rsidP="00A64592">
      <w:r>
        <w:separator/>
      </w:r>
    </w:p>
  </w:endnote>
  <w:endnote w:type="continuationSeparator" w:id="0">
    <w:p w14:paraId="60F55C38" w14:textId="77777777" w:rsidR="00B16B4A" w:rsidRDefault="00B16B4A" w:rsidP="00A6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F25F1" w14:textId="77777777" w:rsidR="00B16B4A" w:rsidRDefault="00B16B4A" w:rsidP="00A64592">
      <w:r>
        <w:separator/>
      </w:r>
    </w:p>
  </w:footnote>
  <w:footnote w:type="continuationSeparator" w:id="0">
    <w:p w14:paraId="79AD9708" w14:textId="77777777" w:rsidR="00B16B4A" w:rsidRDefault="00B16B4A" w:rsidP="00A645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2F993" w14:textId="46D5019C" w:rsidR="00A64592" w:rsidRDefault="00A64592">
    <w:pPr>
      <w:pStyle w:val="Kopfzeile"/>
      <w:jc w:val="right"/>
    </w:pPr>
    <w:r>
      <w:fldChar w:fldCharType="begin"/>
    </w:r>
    <w:r>
      <w:instrText>PAGE   \* MERGEFORMAT</w:instrText>
    </w:r>
    <w:r>
      <w:fldChar w:fldCharType="separate"/>
    </w:r>
    <w:r w:rsidR="00E877C2">
      <w:rPr>
        <w:noProof/>
      </w:rPr>
      <w:t>6</w:t>
    </w:r>
    <w:r>
      <w:fldChar w:fldCharType="end"/>
    </w:r>
  </w:p>
  <w:p w14:paraId="160D617C" w14:textId="77777777" w:rsidR="00A64592" w:rsidRDefault="00A6459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515"/>
    <w:rsid w:val="00054914"/>
    <w:rsid w:val="00084CC9"/>
    <w:rsid w:val="000D621B"/>
    <w:rsid w:val="00120A45"/>
    <w:rsid w:val="001278BC"/>
    <w:rsid w:val="00236B3B"/>
    <w:rsid w:val="00262986"/>
    <w:rsid w:val="00332A5C"/>
    <w:rsid w:val="00376232"/>
    <w:rsid w:val="003E57F4"/>
    <w:rsid w:val="00432515"/>
    <w:rsid w:val="00471ADD"/>
    <w:rsid w:val="0047513A"/>
    <w:rsid w:val="0052476F"/>
    <w:rsid w:val="00587799"/>
    <w:rsid w:val="00666486"/>
    <w:rsid w:val="006C0CED"/>
    <w:rsid w:val="0075165A"/>
    <w:rsid w:val="007F45D7"/>
    <w:rsid w:val="00821428"/>
    <w:rsid w:val="0082143A"/>
    <w:rsid w:val="008C0680"/>
    <w:rsid w:val="00935F8C"/>
    <w:rsid w:val="009776EE"/>
    <w:rsid w:val="009A28C9"/>
    <w:rsid w:val="009C4269"/>
    <w:rsid w:val="009D37BF"/>
    <w:rsid w:val="00A019BE"/>
    <w:rsid w:val="00A450FC"/>
    <w:rsid w:val="00A64592"/>
    <w:rsid w:val="00A7161E"/>
    <w:rsid w:val="00AA0B66"/>
    <w:rsid w:val="00AD3D5D"/>
    <w:rsid w:val="00AE01C1"/>
    <w:rsid w:val="00B16B4A"/>
    <w:rsid w:val="00B2475E"/>
    <w:rsid w:val="00B63847"/>
    <w:rsid w:val="00B8324B"/>
    <w:rsid w:val="00BA021B"/>
    <w:rsid w:val="00BC4B61"/>
    <w:rsid w:val="00CC0B0D"/>
    <w:rsid w:val="00CD7994"/>
    <w:rsid w:val="00DB0025"/>
    <w:rsid w:val="00E877C2"/>
    <w:rsid w:val="00F03D4C"/>
    <w:rsid w:val="00F44067"/>
    <w:rsid w:val="00FA0171"/>
    <w:rsid w:val="00FB4290"/>
    <w:rsid w:val="00FD7429"/>
    <w:rsid w:val="00FF0E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FD001"/>
  <w15:chartTrackingRefBased/>
  <w15:docId w15:val="{009ECBE9-52D7-44BB-BF5B-D412A568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C0680"/>
    <w:pPr>
      <w:spacing w:after="160" w:line="259" w:lineRule="auto"/>
    </w:pPr>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rsid w:val="008C0680"/>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8C0680"/>
  </w:style>
  <w:style w:type="paragraph" w:styleId="Kopfzeile">
    <w:name w:val="header"/>
    <w:basedOn w:val="Standard"/>
    <w:link w:val="KopfzeileZchn"/>
    <w:uiPriority w:val="99"/>
    <w:rsid w:val="00666486"/>
    <w:pPr>
      <w:tabs>
        <w:tab w:val="center" w:pos="4536"/>
        <w:tab w:val="right" w:pos="9072"/>
      </w:tabs>
    </w:pPr>
  </w:style>
  <w:style w:type="character" w:customStyle="1" w:styleId="KopfzeileZchn">
    <w:name w:val="Kopfzeile Zchn"/>
    <w:link w:val="Kopfzeile"/>
    <w:uiPriority w:val="99"/>
    <w:rsid w:val="00666486"/>
    <w:rPr>
      <w:sz w:val="24"/>
      <w:szCs w:val="24"/>
      <w:lang w:val="en-US" w:eastAsia="en-US"/>
    </w:rPr>
  </w:style>
  <w:style w:type="paragraph" w:styleId="Fuzeile">
    <w:name w:val="footer"/>
    <w:basedOn w:val="Standard"/>
    <w:link w:val="FuzeileZchn"/>
    <w:rsid w:val="00666486"/>
    <w:pPr>
      <w:tabs>
        <w:tab w:val="center" w:pos="4536"/>
        <w:tab w:val="right" w:pos="9072"/>
      </w:tabs>
    </w:pPr>
  </w:style>
  <w:style w:type="character" w:customStyle="1" w:styleId="FuzeileZchn">
    <w:name w:val="Fußzeile Zchn"/>
    <w:link w:val="Fuzeile"/>
    <w:rsid w:val="00666486"/>
    <w:rPr>
      <w:sz w:val="24"/>
      <w:szCs w:val="24"/>
      <w:lang w:val="en-US" w:eastAsia="en-US"/>
    </w:rPr>
  </w:style>
  <w:style w:type="paragraph" w:styleId="StandardWeb">
    <w:name w:val="Normal (Web)"/>
    <w:basedOn w:val="Standard"/>
    <w:uiPriority w:val="99"/>
    <w:unhideWhenUsed/>
    <w:rsid w:val="00432515"/>
    <w:pPr>
      <w:spacing w:before="100" w:beforeAutospacing="1" w:after="100" w:afterAutospacing="1"/>
    </w:pPr>
    <w:rPr>
      <w:lang w:eastAsia="de-DE"/>
    </w:rPr>
  </w:style>
  <w:style w:type="character" w:styleId="Fett">
    <w:name w:val="Strong"/>
    <w:basedOn w:val="Absatz-Standardschriftart"/>
    <w:uiPriority w:val="22"/>
    <w:qFormat/>
    <w:rsid w:val="00432515"/>
    <w:rPr>
      <w:b/>
      <w:bCs/>
    </w:rPr>
  </w:style>
  <w:style w:type="character" w:styleId="Kommentarzeichen">
    <w:name w:val="annotation reference"/>
    <w:rsid w:val="00587799"/>
    <w:rPr>
      <w:sz w:val="18"/>
      <w:szCs w:val="18"/>
    </w:rPr>
  </w:style>
  <w:style w:type="paragraph" w:styleId="Kommentartext">
    <w:name w:val="annotation text"/>
    <w:basedOn w:val="Standard"/>
    <w:link w:val="KommentartextZchn"/>
    <w:rsid w:val="00587799"/>
    <w:pPr>
      <w:widowControl w:val="0"/>
      <w:autoSpaceDE w:val="0"/>
      <w:autoSpaceDN w:val="0"/>
      <w:adjustRightInd w:val="0"/>
      <w:jc w:val="both"/>
    </w:pPr>
    <w:rPr>
      <w:rFonts w:ascii="Calibri" w:hAnsi="Calibri" w:cs="Calibri"/>
      <w:color w:val="000000"/>
    </w:rPr>
  </w:style>
  <w:style w:type="character" w:customStyle="1" w:styleId="KommentartextZchn">
    <w:name w:val="Kommentartext Zchn"/>
    <w:basedOn w:val="Absatz-Standardschriftart"/>
    <w:link w:val="Kommentartext"/>
    <w:rsid w:val="00587799"/>
    <w:rPr>
      <w:rFonts w:ascii="Calibri" w:hAnsi="Calibri" w:cs="Calibri"/>
      <w:color w:val="000000"/>
      <w:sz w:val="24"/>
      <w:szCs w:val="24"/>
      <w:lang w:val="en-US" w:eastAsia="en-US"/>
    </w:rPr>
  </w:style>
  <w:style w:type="paragraph" w:styleId="Sprechblasentext">
    <w:name w:val="Balloon Text"/>
    <w:basedOn w:val="Standard"/>
    <w:link w:val="SprechblasentextZchn"/>
    <w:semiHidden/>
    <w:unhideWhenUsed/>
    <w:rsid w:val="00587799"/>
    <w:rPr>
      <w:rFonts w:ascii="Segoe UI" w:hAnsi="Segoe UI" w:cs="Segoe UI"/>
      <w:sz w:val="18"/>
      <w:szCs w:val="18"/>
    </w:rPr>
  </w:style>
  <w:style w:type="character" w:customStyle="1" w:styleId="SprechblasentextZchn">
    <w:name w:val="Sprechblasentext Zchn"/>
    <w:basedOn w:val="Absatz-Standardschriftart"/>
    <w:link w:val="Sprechblasentext"/>
    <w:semiHidden/>
    <w:rsid w:val="00587799"/>
    <w:rPr>
      <w:rFonts w:ascii="Segoe UI" w:hAnsi="Segoe UI" w:cs="Segoe UI"/>
      <w:sz w:val="18"/>
      <w:szCs w:val="18"/>
      <w:lang w:val="en-US" w:eastAsia="en-US"/>
    </w:rPr>
  </w:style>
  <w:style w:type="character" w:styleId="Funotenzeichen">
    <w:name w:val="footnote reference"/>
    <w:basedOn w:val="Absatz-Standardschriftart"/>
    <w:uiPriority w:val="99"/>
    <w:semiHidden/>
    <w:unhideWhenUsed/>
    <w:rsid w:val="00262986"/>
    <w:rPr>
      <w:vertAlign w:val="superscript"/>
    </w:rPr>
  </w:style>
  <w:style w:type="paragraph" w:styleId="Kommentarthema">
    <w:name w:val="annotation subject"/>
    <w:basedOn w:val="Kommentartext"/>
    <w:next w:val="Kommentartext"/>
    <w:link w:val="KommentarthemaZchn"/>
    <w:semiHidden/>
    <w:unhideWhenUsed/>
    <w:rsid w:val="00AD3D5D"/>
    <w:pPr>
      <w:widowControl/>
      <w:autoSpaceDE/>
      <w:autoSpaceDN/>
      <w:adjustRightInd/>
      <w:jc w:val="left"/>
    </w:pPr>
    <w:rPr>
      <w:rFonts w:ascii="Times New Roman" w:hAnsi="Times New Roman" w:cs="Times New Roman"/>
      <w:b/>
      <w:bCs/>
      <w:color w:val="auto"/>
      <w:sz w:val="20"/>
      <w:szCs w:val="20"/>
    </w:rPr>
  </w:style>
  <w:style w:type="character" w:customStyle="1" w:styleId="KommentarthemaZchn">
    <w:name w:val="Kommentarthema Zchn"/>
    <w:basedOn w:val="KommentartextZchn"/>
    <w:link w:val="Kommentarthema"/>
    <w:semiHidden/>
    <w:rsid w:val="00AD3D5D"/>
    <w:rPr>
      <w:rFonts w:ascii="Calibri" w:hAnsi="Calibri" w:cs="Calibri"/>
      <w:b/>
      <w:bCs/>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6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3417</Words>
  <Characters>21533</Characters>
  <Application>Microsoft Office Word</Application>
  <DocSecurity>0</DocSecurity>
  <Lines>179</Lines>
  <Paragraphs>49</Paragraphs>
  <ScaleCrop>false</ScaleCrop>
  <HeadingPairs>
    <vt:vector size="2" baseType="variant">
      <vt:variant>
        <vt:lpstr>Titel</vt:lpstr>
      </vt:variant>
      <vt:variant>
        <vt:i4>1</vt:i4>
      </vt:variant>
    </vt:vector>
  </HeadingPairs>
  <TitlesOfParts>
    <vt:vector size="1" baseType="lpstr">
      <vt:lpstr>Normal.dot</vt:lpstr>
    </vt:vector>
  </TitlesOfParts>
  <Company>UMMD</Company>
  <LinksUpToDate>false</LinksUpToDate>
  <CharactersWithSpaces>24901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subject/>
  <dc:creator>Lavrik, Inna</dc:creator>
  <cp:keywords/>
  <dc:description/>
  <cp:lastModifiedBy>Mark</cp:lastModifiedBy>
  <cp:revision>3</cp:revision>
  <dcterms:created xsi:type="dcterms:W3CDTF">2021-06-23T21:48:00Z</dcterms:created>
  <dcterms:modified xsi:type="dcterms:W3CDTF">2021-06-23T22:03:00Z</dcterms:modified>
</cp:coreProperties>
</file>