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3DC4" w14:textId="77777777" w:rsidR="007E40DC" w:rsidRPr="00A04C81" w:rsidRDefault="00B868A9" w:rsidP="00B868A9">
      <w:pPr>
        <w:pStyle w:val="NormalWeb"/>
        <w:shd w:val="clear" w:color="auto" w:fill="FFFFFF"/>
        <w:rPr>
          <w:rFonts w:ascii="Segoe UI" w:hAnsi="Segoe UI" w:cs="Segoe UI"/>
          <w:color w:val="212121"/>
          <w:sz w:val="23"/>
          <w:szCs w:val="23"/>
        </w:rPr>
      </w:pPr>
      <w:r w:rsidRPr="00A04C81">
        <w:rPr>
          <w:rStyle w:val="Strong"/>
          <w:rFonts w:ascii="Segoe UI" w:hAnsi="Segoe UI" w:cs="Segoe UI"/>
          <w:color w:val="FF0000"/>
          <w:sz w:val="23"/>
          <w:szCs w:val="23"/>
          <w:u w:val="single"/>
        </w:rPr>
        <w:t>Editorial comments:</w:t>
      </w:r>
      <w:r w:rsidRPr="00A04C81">
        <w:rPr>
          <w:rFonts w:ascii="Segoe UI" w:hAnsi="Segoe UI" w:cs="Segoe UI"/>
          <w:color w:val="212121"/>
          <w:sz w:val="23"/>
          <w:szCs w:val="23"/>
        </w:rPr>
        <w:br/>
        <w:t>Changes to be made by the Author(s):</w:t>
      </w:r>
      <w:r w:rsidRPr="00A04C81">
        <w:rPr>
          <w:rFonts w:ascii="Segoe UI" w:hAnsi="Segoe UI" w:cs="Segoe UI"/>
          <w:color w:val="212121"/>
          <w:sz w:val="23"/>
          <w:szCs w:val="23"/>
        </w:rPr>
        <w:br/>
        <w:t>1. Please take this opportunity to thoroughly proofread the manuscript to ensure that there are no spelling or grammar issues. Please define all abbreviations at first use.</w:t>
      </w:r>
      <w:r w:rsidRPr="00A04C81">
        <w:rPr>
          <w:rFonts w:ascii="Segoe UI" w:hAnsi="Segoe UI" w:cs="Segoe UI"/>
          <w:color w:val="212121"/>
          <w:sz w:val="23"/>
          <w:szCs w:val="23"/>
        </w:rPr>
        <w:br/>
        <w:t>2. Please provide an email address for each author.</w:t>
      </w:r>
      <w:r w:rsidRPr="00A04C81">
        <w:rPr>
          <w:rFonts w:ascii="Segoe UI" w:hAnsi="Segoe UI" w:cs="Segoe UI"/>
          <w:color w:val="212121"/>
          <w:sz w:val="23"/>
          <w:szCs w:val="23"/>
        </w:rPr>
        <w:br/>
        <w:t>3. Please remove the citation from the abstract. Citation of references should start only from the introduction onwards.</w:t>
      </w:r>
      <w:r w:rsidRPr="00A04C81">
        <w:rPr>
          <w:rFonts w:ascii="Segoe UI" w:hAnsi="Segoe UI" w:cs="Segoe UI"/>
          <w:color w:val="212121"/>
          <w:sz w:val="23"/>
          <w:szCs w:val="23"/>
        </w:rPr>
        <w:br/>
        <w:t>4. Whose blood are you using here? Was approval required to conduct these experiments? Please provide details about the human volunteers or source of human blood (if from a blood drive or bank) before the numbered steps. Please include an ethics statement before all of the numbered protocol steps indicating that the protocol follows the relevant guidelines of your institution.</w:t>
      </w:r>
    </w:p>
    <w:p w14:paraId="0DE2E15B" w14:textId="77777777" w:rsidR="007E40DC" w:rsidRPr="00A04C81" w:rsidRDefault="00B868A9" w:rsidP="00B868A9">
      <w:pPr>
        <w:pStyle w:val="NormalWeb"/>
        <w:shd w:val="clear" w:color="auto" w:fill="FFFFFF"/>
        <w:rPr>
          <w:rFonts w:ascii="Segoe UI" w:hAnsi="Segoe UI" w:cs="Segoe UI"/>
          <w:b/>
          <w:bCs/>
          <w:color w:val="212121"/>
          <w:sz w:val="23"/>
          <w:szCs w:val="23"/>
          <w:u w:val="single"/>
        </w:rPr>
      </w:pPr>
      <w:r w:rsidRPr="00A04C81">
        <w:rPr>
          <w:rFonts w:ascii="Segoe UI" w:hAnsi="Segoe UI" w:cs="Segoe UI"/>
          <w:color w:val="212121"/>
          <w:sz w:val="23"/>
          <w:szCs w:val="23"/>
        </w:rPr>
        <w:br/>
        <w:t xml:space="preserve">5. Please revise the text, especially in the protocol, to avoid the use of </w:t>
      </w:r>
      <w:r w:rsidRPr="00A04C81">
        <w:rPr>
          <w:rFonts w:ascii="Segoe UI" w:hAnsi="Segoe UI" w:cs="Segoe UI"/>
          <w:b/>
          <w:bCs/>
          <w:color w:val="212121"/>
          <w:sz w:val="23"/>
          <w:szCs w:val="23"/>
          <w:u w:val="single"/>
        </w:rPr>
        <w:t>any personal pronouns (e.g</w:t>
      </w:r>
      <w:r w:rsidRPr="00A04C81">
        <w:rPr>
          <w:rFonts w:ascii="Segoe UI" w:hAnsi="Segoe UI" w:cs="Segoe UI"/>
          <w:b/>
          <w:bCs/>
          <w:color w:val="212121"/>
          <w:sz w:val="23"/>
          <w:szCs w:val="23"/>
          <w:highlight w:val="yellow"/>
          <w:u w:val="single"/>
        </w:rPr>
        <w:t>., "we",</w:t>
      </w:r>
      <w:r w:rsidRPr="00A04C81">
        <w:rPr>
          <w:rFonts w:ascii="Segoe UI" w:hAnsi="Segoe UI" w:cs="Segoe UI"/>
          <w:b/>
          <w:bCs/>
          <w:color w:val="212121"/>
          <w:sz w:val="23"/>
          <w:szCs w:val="23"/>
          <w:u w:val="single"/>
        </w:rPr>
        <w:t xml:space="preserve"> "</w:t>
      </w:r>
      <w:r w:rsidRPr="00A04C81">
        <w:rPr>
          <w:rFonts w:ascii="Segoe UI" w:hAnsi="Segoe UI" w:cs="Segoe UI"/>
          <w:b/>
          <w:bCs/>
          <w:color w:val="212121"/>
          <w:sz w:val="23"/>
          <w:szCs w:val="23"/>
          <w:highlight w:val="yellow"/>
          <w:u w:val="single"/>
        </w:rPr>
        <w:t>you</w:t>
      </w:r>
      <w:r w:rsidRPr="00A04C81">
        <w:rPr>
          <w:rFonts w:ascii="Segoe UI" w:hAnsi="Segoe UI" w:cs="Segoe UI"/>
          <w:b/>
          <w:bCs/>
          <w:color w:val="212121"/>
          <w:sz w:val="23"/>
          <w:szCs w:val="23"/>
          <w:u w:val="single"/>
        </w:rPr>
        <w:t>", "</w:t>
      </w:r>
      <w:r w:rsidRPr="00A04C81">
        <w:rPr>
          <w:rFonts w:ascii="Segoe UI" w:hAnsi="Segoe UI" w:cs="Segoe UI"/>
          <w:b/>
          <w:bCs/>
          <w:color w:val="212121"/>
          <w:sz w:val="23"/>
          <w:szCs w:val="23"/>
          <w:highlight w:val="yellow"/>
          <w:u w:val="single"/>
        </w:rPr>
        <w:t>our</w:t>
      </w:r>
      <w:r w:rsidRPr="00A04C81">
        <w:rPr>
          <w:rFonts w:ascii="Segoe UI" w:hAnsi="Segoe UI" w:cs="Segoe UI"/>
          <w:b/>
          <w:bCs/>
          <w:color w:val="212121"/>
          <w:sz w:val="23"/>
          <w:szCs w:val="23"/>
          <w:u w:val="single"/>
        </w:rPr>
        <w:t>" etc.).</w:t>
      </w:r>
    </w:p>
    <w:p w14:paraId="65504CA3" w14:textId="5499085E" w:rsidR="007E40DC"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b/>
          <w:bCs/>
          <w:color w:val="212121"/>
          <w:sz w:val="23"/>
          <w:szCs w:val="23"/>
          <w:u w:val="single"/>
        </w:rPr>
        <w:br/>
      </w:r>
      <w:r w:rsidRPr="00A04C81">
        <w:rPr>
          <w:rFonts w:ascii="Segoe UI" w:hAnsi="Segoe UI" w:cs="Segoe UI"/>
          <w:color w:val="212121"/>
          <w:sz w:val="23"/>
          <w:szCs w:val="23"/>
        </w:rPr>
        <w:t xml:space="preserve">6. Please ensure that all text in the protocol section is written in the imperative tense as if telling someone how to do the technique (e.g., </w:t>
      </w:r>
      <w:r w:rsidRPr="00A04C81">
        <w:rPr>
          <w:rFonts w:ascii="Segoe UI" w:hAnsi="Segoe UI" w:cs="Segoe UI"/>
          <w:b/>
          <w:bCs/>
          <w:color w:val="212121"/>
          <w:sz w:val="23"/>
          <w:szCs w:val="23"/>
          <w:u w:val="single"/>
        </w:rPr>
        <w:t>“Do this,” “Ensure that</w:t>
      </w:r>
      <w:r w:rsidRPr="00A04C81">
        <w:rPr>
          <w:rFonts w:ascii="Segoe UI" w:hAnsi="Segoe UI" w:cs="Segoe UI"/>
          <w:color w:val="212121"/>
          <w:sz w:val="23"/>
          <w:szCs w:val="23"/>
        </w:rPr>
        <w:t>,” etc.). The actions should be described in the imperative tense in complete sentences wherever possible. Avoid usage of phrases such as “</w:t>
      </w:r>
      <w:r w:rsidRPr="00A04C81">
        <w:rPr>
          <w:rFonts w:ascii="Segoe UI" w:hAnsi="Segoe UI" w:cs="Segoe UI"/>
          <w:b/>
          <w:bCs/>
          <w:color w:val="212121"/>
          <w:sz w:val="23"/>
          <w:szCs w:val="23"/>
          <w:highlight w:val="yellow"/>
        </w:rPr>
        <w:t>could be,” “should be,”</w:t>
      </w:r>
      <w:r w:rsidRPr="00A04C81">
        <w:rPr>
          <w:rFonts w:ascii="Segoe UI" w:hAnsi="Segoe UI" w:cs="Segoe UI"/>
          <w:b/>
          <w:bCs/>
          <w:color w:val="212121"/>
          <w:sz w:val="23"/>
          <w:szCs w:val="23"/>
        </w:rPr>
        <w:t xml:space="preserve"> and “</w:t>
      </w:r>
      <w:r w:rsidRPr="00A04C81">
        <w:rPr>
          <w:rFonts w:ascii="Segoe UI" w:hAnsi="Segoe UI" w:cs="Segoe UI"/>
          <w:b/>
          <w:bCs/>
          <w:color w:val="212121"/>
          <w:sz w:val="23"/>
          <w:szCs w:val="23"/>
          <w:highlight w:val="yellow"/>
        </w:rPr>
        <w:t>would be” throughout the Protocol</w:t>
      </w:r>
      <w:r w:rsidRPr="00A04C81">
        <w:rPr>
          <w:rFonts w:ascii="Segoe UI" w:hAnsi="Segoe UI" w:cs="Segoe UI"/>
          <w:color w:val="212121"/>
          <w:sz w:val="23"/>
          <w:szCs w:val="23"/>
        </w:rPr>
        <w:t>. Any text that cannot be written in the imperative tense may be added as a “Note.” However, notes should be concise and used sparingly. Please include all safety procedures and use of hoods, etc.</w:t>
      </w:r>
      <w:r w:rsidRPr="00A04C81">
        <w:rPr>
          <w:rFonts w:ascii="Segoe UI" w:hAnsi="Segoe UI" w:cs="Segoe UI"/>
          <w:color w:val="212121"/>
          <w:sz w:val="23"/>
          <w:szCs w:val="23"/>
        </w:rPr>
        <w:br/>
      </w:r>
    </w:p>
    <w:p w14:paraId="751313D6" w14:textId="77777777" w:rsidR="007E40DC"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62BCF49" w14:textId="77777777" w:rsidR="007E40DC"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8. After including a one line space between each protocol step, highlight up to 3 pages of protocol text for inclusion in the protocol section of the video. This will clarify what needs to be filmed.</w:t>
      </w:r>
    </w:p>
    <w:p w14:paraId="2BC00AC4" w14:textId="1E80A577" w:rsidR="007F65F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 xml:space="preserve">9. </w:t>
      </w:r>
      <w:r w:rsidRPr="00A04C81">
        <w:rPr>
          <w:rFonts w:ascii="Segoe UI" w:hAnsi="Segoe UI" w:cs="Segoe UI"/>
          <w:color w:val="212121"/>
          <w:sz w:val="23"/>
          <w:szCs w:val="23"/>
          <w:highlight w:val="yellow"/>
        </w:rPr>
        <w:t>Please add limitations of your technique to your discussion.</w:t>
      </w:r>
    </w:p>
    <w:p w14:paraId="4858870B" w14:textId="433A4FDF" w:rsidR="00314E84" w:rsidRPr="00A04C81" w:rsidRDefault="00314E84"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lastRenderedPageBreak/>
        <w:t xml:space="preserve">We have added discussion regarding the importance </w:t>
      </w:r>
      <w:r w:rsidR="003361F7" w:rsidRPr="00A04C81">
        <w:rPr>
          <w:rFonts w:ascii="Segoe UI" w:hAnsi="Segoe UI" w:cs="Segoe UI"/>
          <w:color w:val="212121"/>
          <w:sz w:val="23"/>
          <w:szCs w:val="23"/>
        </w:rPr>
        <w:t>to use highly purify cells for gene and protein expression experiment.</w:t>
      </w:r>
    </w:p>
    <w:p w14:paraId="09FF6483" w14:textId="761FEFB5" w:rsidR="007E40DC"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10.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w:t>
      </w:r>
      <w:r w:rsidRPr="00A04C81">
        <w:rPr>
          <w:rFonts w:ascii="Segoe UI" w:hAnsi="Segoe UI" w:cs="Segoe UI"/>
          <w:color w:val="212121"/>
          <w:sz w:val="23"/>
          <w:szCs w:val="23"/>
        </w:rPr>
        <w:br/>
      </w:r>
      <w:r w:rsidRPr="00A04C81">
        <w:rPr>
          <w:rFonts w:ascii="Segoe UI" w:hAnsi="Segoe UI" w:cs="Segoe UI"/>
          <w:color w:val="212121"/>
          <w:sz w:val="23"/>
          <w:szCs w:val="23"/>
        </w:rPr>
        <w:br/>
      </w:r>
      <w:r w:rsidR="0082091A">
        <w:rPr>
          <w:rFonts w:ascii="Segoe UI" w:hAnsi="Segoe UI" w:cs="Segoe UI"/>
          <w:color w:val="212121"/>
          <w:sz w:val="23"/>
          <w:szCs w:val="23"/>
        </w:rPr>
        <w:t>We have used the endnote style “JOVE”.</w:t>
      </w:r>
      <w:r w:rsidRPr="00A04C81">
        <w:rPr>
          <w:rFonts w:ascii="Segoe UI" w:hAnsi="Segoe UI" w:cs="Segoe UI"/>
          <w:color w:val="212121"/>
          <w:sz w:val="23"/>
          <w:szCs w:val="23"/>
        </w:rPr>
        <w:br/>
        <w:t>____________________________________</w:t>
      </w:r>
      <w:r w:rsidRPr="00A04C81">
        <w:rPr>
          <w:rFonts w:ascii="Segoe UI" w:hAnsi="Segoe UI" w:cs="Segoe UI"/>
          <w:color w:val="212121"/>
          <w:sz w:val="23"/>
          <w:szCs w:val="23"/>
        </w:rPr>
        <w:br/>
      </w:r>
      <w:r w:rsidRPr="00A04C81">
        <w:rPr>
          <w:rStyle w:val="Strong"/>
          <w:rFonts w:ascii="Segoe UI" w:hAnsi="Segoe UI" w:cs="Segoe UI"/>
          <w:color w:val="0000FF"/>
          <w:sz w:val="23"/>
          <w:szCs w:val="23"/>
          <w:u w:val="single"/>
        </w:rPr>
        <w:t>Reviewers' comments:</w:t>
      </w:r>
      <w:r w:rsidRPr="00A04C81">
        <w:rPr>
          <w:rFonts w:ascii="Segoe UI" w:hAnsi="Segoe UI" w:cs="Segoe UI"/>
          <w:color w:val="212121"/>
          <w:sz w:val="23"/>
          <w:szCs w:val="23"/>
        </w:rPr>
        <w:br/>
      </w:r>
      <w:r w:rsidRPr="00A04C81">
        <w:rPr>
          <w:rFonts w:ascii="Segoe UI" w:hAnsi="Segoe UI" w:cs="Segoe UI"/>
          <w:b/>
          <w:bCs/>
          <w:color w:val="212121"/>
          <w:sz w:val="23"/>
          <w:szCs w:val="23"/>
        </w:rPr>
        <w:t>Reviewer #1:</w:t>
      </w:r>
      <w:r w:rsidRPr="00A04C81">
        <w:rPr>
          <w:rFonts w:ascii="Segoe UI" w:hAnsi="Segoe UI" w:cs="Segoe UI"/>
          <w:color w:val="212121"/>
          <w:sz w:val="23"/>
          <w:szCs w:val="23"/>
        </w:rPr>
        <w:br/>
        <w:t>Dr. Luo and co-authors presented a standard protocol of isolating neutrophils from fresh blood using density gradient centrifugation, RBC sedimentation, and RBC lysis. The protocol is straightforward. Here is some minor points below:</w:t>
      </w:r>
    </w:p>
    <w:p w14:paraId="2411761E" w14:textId="314D9FFC"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1</w:t>
      </w:r>
      <w:r w:rsidRPr="00A04C81">
        <w:rPr>
          <w:rFonts w:ascii="Segoe UI" w:hAnsi="Segoe UI" w:cs="Segoe UI"/>
          <w:color w:val="212121"/>
          <w:sz w:val="23"/>
          <w:szCs w:val="23"/>
          <w:highlight w:val="yellow"/>
        </w:rPr>
        <w:t>. Figure 2, are eosinophils considered? I think they also express both CD66b and CD11b.</w:t>
      </w:r>
    </w:p>
    <w:p w14:paraId="3ED91631" w14:textId="3FCA0F51" w:rsidR="00B868A9" w:rsidRPr="00A04C81" w:rsidRDefault="007E40DC"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Thanks for the useful </w:t>
      </w:r>
      <w:r w:rsidR="00EA11B8" w:rsidRPr="00A04C81">
        <w:rPr>
          <w:rFonts w:ascii="Segoe UI" w:hAnsi="Segoe UI" w:cs="Segoe UI"/>
          <w:color w:val="212121"/>
          <w:sz w:val="23"/>
          <w:szCs w:val="23"/>
        </w:rPr>
        <w:t>suggestion</w:t>
      </w:r>
      <w:r w:rsidRPr="00A04C81">
        <w:rPr>
          <w:rFonts w:ascii="Segoe UI" w:hAnsi="Segoe UI" w:cs="Segoe UI"/>
          <w:color w:val="212121"/>
          <w:sz w:val="23"/>
          <w:szCs w:val="23"/>
        </w:rPr>
        <w:t>. We have added the staining (CD193)</w:t>
      </w:r>
      <w:r w:rsidR="00366A2A" w:rsidRPr="00A04C81">
        <w:rPr>
          <w:rFonts w:ascii="Segoe UI" w:hAnsi="Segoe UI" w:cs="Segoe UI"/>
          <w:color w:val="212121"/>
          <w:sz w:val="23"/>
          <w:szCs w:val="23"/>
        </w:rPr>
        <w:t xml:space="preserve"> </w:t>
      </w:r>
      <w:r w:rsidRPr="00A04C81">
        <w:rPr>
          <w:rFonts w:ascii="Segoe UI" w:hAnsi="Segoe UI" w:cs="Segoe UI"/>
          <w:color w:val="212121"/>
          <w:sz w:val="23"/>
          <w:szCs w:val="23"/>
        </w:rPr>
        <w:t>we routinely use to determine the percentage of eosinophil contamination</w:t>
      </w:r>
      <w:r w:rsidR="007A2FD9" w:rsidRPr="00A04C81">
        <w:rPr>
          <w:rFonts w:ascii="Segoe UI" w:hAnsi="Segoe UI" w:cs="Segoe UI"/>
          <w:color w:val="212121"/>
          <w:sz w:val="23"/>
          <w:szCs w:val="23"/>
        </w:rPr>
        <w:t xml:space="preserve"> in a revised version of figure </w:t>
      </w:r>
      <w:r w:rsidR="00EA11B8" w:rsidRPr="00A04C81">
        <w:rPr>
          <w:rFonts w:ascii="Segoe UI" w:hAnsi="Segoe UI" w:cs="Segoe UI"/>
          <w:color w:val="212121"/>
          <w:sz w:val="23"/>
          <w:szCs w:val="23"/>
        </w:rPr>
        <w:t>3</w:t>
      </w:r>
      <w:r w:rsidR="007A2FD9" w:rsidRPr="00A04C81">
        <w:rPr>
          <w:rFonts w:ascii="Segoe UI" w:hAnsi="Segoe UI" w:cs="Segoe UI"/>
          <w:color w:val="212121"/>
          <w:sz w:val="23"/>
          <w:szCs w:val="23"/>
        </w:rPr>
        <w:t>.</w:t>
      </w:r>
    </w:p>
    <w:p w14:paraId="49CBD366" w14:textId="0405996E"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2</w:t>
      </w:r>
      <w:r w:rsidRPr="00A04C81">
        <w:rPr>
          <w:rFonts w:ascii="Segoe UI" w:hAnsi="Segoe UI" w:cs="Segoe UI"/>
          <w:color w:val="212121"/>
          <w:sz w:val="23"/>
          <w:szCs w:val="23"/>
          <w:highlight w:val="yellow"/>
        </w:rPr>
        <w:t>. Figure 2A and 3A, the gating is not live cells, but leukocytes, I believe. You don't know whether they are live or dead showing viability staining.</w:t>
      </w:r>
    </w:p>
    <w:p w14:paraId="7893FB42" w14:textId="3C261D2E" w:rsidR="00B868A9"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 xml:space="preserve">Thanks for highlighting the mislabeled graphics. Mention of “live cells” has been removed from figure 3. In the revised version of the manuscript, we have added the assay we routinely perform to measure cell survival immediately after cell isolation. These results are shown in figure 5. </w:t>
      </w:r>
    </w:p>
    <w:p w14:paraId="4483C8B2" w14:textId="65DBCBDA"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3. </w:t>
      </w:r>
      <w:r w:rsidRPr="00A04C81">
        <w:rPr>
          <w:rFonts w:ascii="Segoe UI" w:hAnsi="Segoe UI" w:cs="Segoe UI"/>
          <w:color w:val="212121"/>
          <w:sz w:val="23"/>
          <w:szCs w:val="23"/>
          <w:highlight w:val="yellow"/>
        </w:rPr>
        <w:t>Figure 3B, the upon-right corner is doublets I believe, not activation. Activated neutrophils will degranulate, which do not have a big change in ssc but a decrease in fsc. So that will be a left shift. You can confirm this by stimulation.</w:t>
      </w:r>
    </w:p>
    <w:p w14:paraId="271ABE89" w14:textId="46A03B00" w:rsidR="00B868A9"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Thanks for highlighting the misleading labeling. Figure 3 has been modified and the mention of cell activation has been removed. </w:t>
      </w:r>
    </w:p>
    <w:p w14:paraId="73C295DC" w14:textId="2EECBDEC"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4. </w:t>
      </w:r>
      <w:r w:rsidRPr="00A04C81">
        <w:rPr>
          <w:rFonts w:ascii="Segoe UI" w:hAnsi="Segoe UI" w:cs="Segoe UI"/>
          <w:color w:val="212121"/>
          <w:sz w:val="23"/>
          <w:szCs w:val="23"/>
          <w:highlight w:val="yellow"/>
        </w:rPr>
        <w:t>A positive control is needed for the AnnexinV/PI staining, such as cells 1 day after isolation, or treated with some toxin. Also a negative control is missing, such as stained whole blood with RBC lysis after staining.</w:t>
      </w:r>
    </w:p>
    <w:p w14:paraId="40F9DEEA" w14:textId="54461624"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lastRenderedPageBreak/>
        <w:t xml:space="preserve">We have added the assay we perform to measure cell survival immediately after cell isolation. These results are shown in figure 5. Of note, the cell survival measured by flow cytometry immediately after isolation is similar using the protocol described here or using a commercially available negative selection kit. In both cases, cell survival is &gt;= at 90%. </w:t>
      </w:r>
    </w:p>
    <w:p w14:paraId="4B3ED136" w14:textId="4CE998A4" w:rsidR="00EA11B8" w:rsidRPr="00A04C81" w:rsidRDefault="00EA11B8" w:rsidP="00EA11B8">
      <w:pPr>
        <w:pStyle w:val="NormalWeb"/>
        <w:shd w:val="clear" w:color="auto" w:fill="FFFFFF"/>
        <w:jc w:val="both"/>
        <w:rPr>
          <w:rFonts w:ascii="Segoe UI" w:hAnsi="Segoe UI" w:cs="Segoe UI"/>
          <w:color w:val="212121"/>
          <w:sz w:val="23"/>
          <w:szCs w:val="23"/>
        </w:rPr>
      </w:pPr>
    </w:p>
    <w:p w14:paraId="458804FA" w14:textId="0BB9E156"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 xml:space="preserve">5. </w:t>
      </w:r>
      <w:r w:rsidRPr="00A04C81">
        <w:rPr>
          <w:rFonts w:ascii="Segoe UI" w:hAnsi="Segoe UI" w:cs="Segoe UI"/>
          <w:color w:val="212121"/>
          <w:sz w:val="23"/>
          <w:szCs w:val="23"/>
          <w:highlight w:val="yellow"/>
        </w:rPr>
        <w:t>At least 3 repeats are needed for each experiments and show a statistics, such as purity mean±SD, live/dead mean±SD.</w:t>
      </w:r>
      <w:r w:rsidRPr="00A04C81">
        <w:rPr>
          <w:rFonts w:ascii="Segoe UI" w:hAnsi="Segoe UI" w:cs="Segoe UI"/>
          <w:color w:val="212121"/>
          <w:sz w:val="23"/>
          <w:szCs w:val="23"/>
        </w:rPr>
        <w:br/>
      </w:r>
      <w:r w:rsidRPr="00A04C81">
        <w:rPr>
          <w:rFonts w:ascii="Segoe UI" w:hAnsi="Segoe UI" w:cs="Segoe UI"/>
          <w:color w:val="212121"/>
          <w:sz w:val="23"/>
          <w:szCs w:val="23"/>
        </w:rPr>
        <w:br/>
      </w:r>
      <w:r w:rsidR="00EA11B8" w:rsidRPr="00A04C81">
        <w:rPr>
          <w:rFonts w:ascii="Segoe UI" w:hAnsi="Segoe UI" w:cs="Segoe UI"/>
          <w:color w:val="212121"/>
          <w:sz w:val="23"/>
          <w:szCs w:val="23"/>
        </w:rPr>
        <w:t>We thank the reviewer for this important remark. We have added quantification and statistical analysis in figure 3 and 5.</w:t>
      </w:r>
    </w:p>
    <w:p w14:paraId="5CB95CBD" w14:textId="77777777"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b/>
          <w:bCs/>
          <w:color w:val="212121"/>
          <w:sz w:val="23"/>
          <w:szCs w:val="23"/>
        </w:rPr>
        <w:t>Reviewer #2:</w:t>
      </w:r>
      <w:r w:rsidRPr="00A04C81">
        <w:rPr>
          <w:rFonts w:ascii="Segoe UI" w:hAnsi="Segoe UI" w:cs="Segoe UI"/>
          <w:color w:val="212121"/>
          <w:sz w:val="23"/>
          <w:szCs w:val="23"/>
        </w:rPr>
        <w:br/>
        <w:t>Manuscript Summary:</w:t>
      </w:r>
      <w:r w:rsidRPr="00A04C81">
        <w:rPr>
          <w:rFonts w:ascii="Segoe UI" w:hAnsi="Segoe UI" w:cs="Segoe UI"/>
          <w:color w:val="212121"/>
          <w:sz w:val="23"/>
          <w:szCs w:val="23"/>
        </w:rPr>
        <w:br/>
        <w:t>The authors describe studies for isolating neutrophils from human blood or buffy coats.</w:t>
      </w:r>
      <w:r w:rsidRPr="00A04C81">
        <w:rPr>
          <w:rFonts w:ascii="Segoe UI" w:hAnsi="Segoe UI" w:cs="Segoe UI"/>
          <w:color w:val="212121"/>
          <w:sz w:val="23"/>
          <w:szCs w:val="23"/>
        </w:rPr>
        <w:br/>
      </w:r>
      <w:r w:rsidRPr="00A04C81">
        <w:rPr>
          <w:rFonts w:ascii="Segoe UI" w:hAnsi="Segoe UI" w:cs="Segoe UI"/>
          <w:color w:val="212121"/>
          <w:sz w:val="23"/>
          <w:szCs w:val="23"/>
        </w:rPr>
        <w:br/>
        <w:t>Major Concerns:</w:t>
      </w:r>
      <w:r w:rsidRPr="00A04C81">
        <w:rPr>
          <w:rFonts w:ascii="Segoe UI" w:hAnsi="Segoe UI" w:cs="Segoe UI"/>
          <w:color w:val="212121"/>
          <w:sz w:val="23"/>
          <w:szCs w:val="23"/>
        </w:rPr>
        <w:br/>
      </w:r>
      <w:r w:rsidRPr="00A04C81">
        <w:rPr>
          <w:rFonts w:ascii="Segoe UI" w:hAnsi="Segoe UI" w:cs="Segoe UI"/>
          <w:color w:val="212121"/>
          <w:sz w:val="23"/>
          <w:szCs w:val="23"/>
          <w:highlight w:val="yellow"/>
        </w:rPr>
        <w:t>There are a number of methods publications about how to isolate neutrophils. None of these are referenced even though the methods are essentially the same. For example, see Nauseef, W.M. (2014) Methods in Molecular Biology 1124: 13-18 or Siemsen, D.W., et al. Methods in Molecular Biology 1124: 19-37. How do yields and purity compare with these methods or others already published?</w:t>
      </w:r>
    </w:p>
    <w:p w14:paraId="794C1A59" w14:textId="4DADF4F7"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Our method is a revised version of previously published methods, based on the references the reviewer kindly highlighted. These references will be cited, as they should have been in the initial version of this manuscript. Thanks for pointing this important omission.</w:t>
      </w:r>
    </w:p>
    <w:p w14:paraId="20D52D4B" w14:textId="46AB490F" w:rsidR="00EA11B8" w:rsidRPr="00A04C81" w:rsidRDefault="00EA11B8" w:rsidP="00EA11B8">
      <w:pPr>
        <w:spacing w:after="0" w:line="240" w:lineRule="auto"/>
        <w:rPr>
          <w:rFonts w:ascii="Times New Roman" w:eastAsia="Times New Roman" w:hAnsi="Times New Roman" w:cs="Times New Roman"/>
          <w:sz w:val="24"/>
          <w:szCs w:val="24"/>
          <w:lang w:eastAsia="en-US"/>
        </w:rPr>
      </w:pPr>
      <w:r w:rsidRPr="00A04C81">
        <w:rPr>
          <w:rFonts w:ascii="Times New Roman" w:eastAsia="Times New Roman" w:hAnsi="Times New Roman" w:cs="Times New Roman"/>
          <w:sz w:val="24"/>
          <w:szCs w:val="24"/>
          <w:lang w:eastAsia="en-US"/>
        </w:rPr>
        <w:t xml:space="preserve">Nauseef, W.M., 2014. Isolation of Human Neutrophils from Venous Blood. , in: Quinn, M.T., DeLeo, F.R. (Eds.), Neutrophil Methods and Protocols, Methods in Molecular Biology. Humana Press, Totowa, NJ, pp. 13–18. </w:t>
      </w:r>
      <w:hyperlink r:id="rId4" w:history="1">
        <w:r w:rsidRPr="00A04C81">
          <w:rPr>
            <w:rFonts w:ascii="Times New Roman" w:eastAsia="Times New Roman" w:hAnsi="Times New Roman" w:cs="Times New Roman"/>
            <w:color w:val="0000FF"/>
            <w:sz w:val="24"/>
            <w:szCs w:val="24"/>
            <w:u w:val="single"/>
            <w:lang w:eastAsia="en-US"/>
          </w:rPr>
          <w:t>https://doi.org/10.1007/978-1-62703-845-4_2</w:t>
        </w:r>
      </w:hyperlink>
    </w:p>
    <w:p w14:paraId="341EADE0"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p>
    <w:p w14:paraId="2D374DD8"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r w:rsidRPr="00A04C81">
        <w:rPr>
          <w:rFonts w:ascii="Times New Roman" w:eastAsia="Times New Roman" w:hAnsi="Times New Roman" w:cs="Times New Roman"/>
          <w:sz w:val="24"/>
          <w:szCs w:val="24"/>
          <w:lang w:eastAsia="en-US"/>
        </w:rPr>
        <w:t xml:space="preserve">Siemsen, D.W., Malachowa, N., Schepetkin, I.A., Whitney, A.R., Kirpotina, L.N., Lei, B., Deleo, F.R., Quinn, M.T., 2014. Neutrophil isolation from nonhuman species. Methods Mol Biol 1124, 19–37. </w:t>
      </w:r>
      <w:hyperlink r:id="rId5" w:history="1">
        <w:r w:rsidRPr="00A04C81">
          <w:rPr>
            <w:rFonts w:ascii="Times New Roman" w:eastAsia="Times New Roman" w:hAnsi="Times New Roman" w:cs="Times New Roman"/>
            <w:color w:val="0000FF"/>
            <w:sz w:val="24"/>
            <w:szCs w:val="24"/>
            <w:u w:val="single"/>
            <w:lang w:eastAsia="en-US"/>
          </w:rPr>
          <w:t>https://doi.org/10.1007/978-1-62703-845-4_3</w:t>
        </w:r>
      </w:hyperlink>
    </w:p>
    <w:p w14:paraId="168C69C8" w14:textId="6AD1FD16"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 xml:space="preserve">We feel that our protocol brings important updates to previously published methods. </w:t>
      </w:r>
    </w:p>
    <w:p w14:paraId="605FB24C" w14:textId="31DFB1B5"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 xml:space="preserve">One is that yield is better when RBC sedimentation was performed after centrifugation. We believe that it is due to the activation of monocytes by dextran, as it has been reported by </w:t>
      </w:r>
      <w:r w:rsidRPr="00A04C81">
        <w:rPr>
          <w:rFonts w:ascii="Segoe UI" w:hAnsi="Segoe UI" w:cs="Segoe UI"/>
          <w:color w:val="212121"/>
          <w:sz w:val="23"/>
          <w:szCs w:val="23"/>
        </w:rPr>
        <w:lastRenderedPageBreak/>
        <w:t>others. However, we believe exploring the mechanisms are beyond the scope of this revise method.</w:t>
      </w:r>
    </w:p>
    <w:p w14:paraId="2731B8CF" w14:textId="2FE2F5BA"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The cited references do not provide a detail gating strategy and adequate markers for the precise identification of neutrophils and contaminating cells. The yield and purity reported in these studies are based on cell counting using an hemacytometer, which is not has accurate as flow cytometry. These works used veinous whole blood. Our results are comparable to the one reported in the works in term of purity, but yields cannot be compared as buffy coats were used for the present work.</w:t>
      </w:r>
    </w:p>
    <w:p w14:paraId="56B3C8A9" w14:textId="398BA98D" w:rsidR="00EA11B8" w:rsidRPr="00A04C81" w:rsidRDefault="00B868A9"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br/>
        <w:t>Minor Concerns:</w:t>
      </w:r>
    </w:p>
    <w:p w14:paraId="38C3CEF5" w14:textId="010923EC"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t>1</w:t>
      </w:r>
      <w:r w:rsidRPr="00A04C81">
        <w:rPr>
          <w:rFonts w:ascii="Segoe UI" w:hAnsi="Segoe UI" w:cs="Segoe UI"/>
          <w:color w:val="212121"/>
          <w:sz w:val="23"/>
          <w:szCs w:val="23"/>
          <w:highlight w:val="yellow"/>
        </w:rPr>
        <w:t>) There are a number of typographical errors and grammatical errors.</w:t>
      </w:r>
      <w:r w:rsidRPr="00A04C81">
        <w:rPr>
          <w:rFonts w:ascii="Segoe UI" w:hAnsi="Segoe UI" w:cs="Segoe UI"/>
          <w:color w:val="212121"/>
          <w:sz w:val="23"/>
          <w:szCs w:val="23"/>
        </w:rPr>
        <w:t xml:space="preserve"> </w:t>
      </w:r>
    </w:p>
    <w:p w14:paraId="2A783D1C" w14:textId="1EE19F0C" w:rsidR="00EA11B8" w:rsidRPr="00A04C81" w:rsidRDefault="00EA11B8" w:rsidP="00B868A9">
      <w:pPr>
        <w:pStyle w:val="NormalWeb"/>
        <w:shd w:val="clear" w:color="auto" w:fill="FFFFFF"/>
        <w:rPr>
          <w:rFonts w:ascii="Segoe UI" w:hAnsi="Segoe UI" w:cs="Segoe UI"/>
          <w:color w:val="212121"/>
          <w:sz w:val="23"/>
          <w:szCs w:val="23"/>
        </w:rPr>
      </w:pPr>
    </w:p>
    <w:p w14:paraId="13757F72" w14:textId="49D1647E"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highlight w:val="yellow"/>
        </w:rPr>
        <w:t xml:space="preserve">2) Figure 1 is very poor quality and the text is not readable and the images don't show the layers very well. Better photos of the gradients are needed. </w:t>
      </w:r>
      <w:r w:rsidR="00EA11B8" w:rsidRPr="00A04C81">
        <w:rPr>
          <w:rFonts w:ascii="Segoe UI" w:hAnsi="Segoe UI" w:cs="Segoe UI"/>
          <w:b/>
          <w:bCs/>
          <w:color w:val="212121"/>
          <w:sz w:val="23"/>
          <w:szCs w:val="23"/>
          <w:highlight w:val="yellow"/>
        </w:rPr>
        <w:t>Use of a backlight and white background would help.</w:t>
      </w:r>
    </w:p>
    <w:p w14:paraId="271EE23A" w14:textId="7AB6F618"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Thanks for the useful comment. We have improved our photos by using a better camera and a dark background (Fig 1B and 1D). </w:t>
      </w:r>
    </w:p>
    <w:p w14:paraId="6174A061" w14:textId="77777777"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b/>
          <w:bCs/>
          <w:color w:val="212121"/>
          <w:sz w:val="23"/>
          <w:szCs w:val="23"/>
        </w:rPr>
        <w:t>Reviewer #3:</w:t>
      </w:r>
      <w:r w:rsidRPr="00A04C81">
        <w:rPr>
          <w:rFonts w:ascii="Segoe UI" w:hAnsi="Segoe UI" w:cs="Segoe UI"/>
          <w:color w:val="212121"/>
          <w:sz w:val="23"/>
          <w:szCs w:val="23"/>
        </w:rPr>
        <w:br/>
        <w:t>This is a very interesting and important manuscript about neutrophil isolation with few activated cells. However, some aspects need to be taken into consideration.</w:t>
      </w:r>
      <w:r w:rsidRPr="00A04C81">
        <w:rPr>
          <w:rFonts w:ascii="Segoe UI" w:hAnsi="Segoe UI" w:cs="Segoe UI"/>
          <w:color w:val="212121"/>
          <w:sz w:val="23"/>
          <w:szCs w:val="23"/>
        </w:rPr>
        <w:br/>
      </w:r>
      <w:r w:rsidRPr="00A04C81">
        <w:rPr>
          <w:rFonts w:ascii="Segoe UI" w:hAnsi="Segoe UI" w:cs="Segoe UI"/>
          <w:color w:val="212121"/>
          <w:sz w:val="23"/>
          <w:szCs w:val="23"/>
        </w:rPr>
        <w:br/>
        <w:t>Manuscript Summary:</w:t>
      </w:r>
      <w:r w:rsidRPr="00A04C81">
        <w:rPr>
          <w:rFonts w:ascii="Segoe UI" w:hAnsi="Segoe UI" w:cs="Segoe UI"/>
          <w:color w:val="212121"/>
          <w:sz w:val="23"/>
          <w:szCs w:val="23"/>
        </w:rPr>
        <w:br/>
      </w:r>
      <w:r w:rsidRPr="00A04C81">
        <w:rPr>
          <w:rFonts w:ascii="Segoe UI" w:hAnsi="Segoe UI" w:cs="Segoe UI"/>
          <w:color w:val="212121"/>
          <w:sz w:val="23"/>
          <w:szCs w:val="23"/>
          <w:highlight w:val="yellow"/>
        </w:rPr>
        <w:t>The abstract must be rewritten in a better way to avoid redundancy. There is a number 1 with no connection. Please, it is not elegantly written in the abstract to the readers to perform the assay in a correct form.</w:t>
      </w:r>
      <w:r w:rsidRPr="00A04C81">
        <w:rPr>
          <w:rFonts w:ascii="Segoe UI" w:hAnsi="Segoe UI" w:cs="Segoe UI"/>
          <w:color w:val="212121"/>
          <w:sz w:val="23"/>
          <w:szCs w:val="23"/>
        </w:rPr>
        <w:t> </w:t>
      </w:r>
      <w:r w:rsidRPr="00A04C81">
        <w:rPr>
          <w:rFonts w:ascii="Segoe UI" w:hAnsi="Segoe UI" w:cs="Segoe UI"/>
          <w:color w:val="212121"/>
          <w:sz w:val="23"/>
          <w:szCs w:val="23"/>
        </w:rPr>
        <w:br/>
      </w:r>
      <w:r w:rsidRPr="00A04C81">
        <w:rPr>
          <w:rFonts w:ascii="Segoe UI" w:hAnsi="Segoe UI" w:cs="Segoe UI"/>
          <w:color w:val="212121"/>
          <w:sz w:val="23"/>
          <w:szCs w:val="23"/>
        </w:rPr>
        <w:br/>
      </w:r>
      <w:r w:rsidRPr="00A04C81">
        <w:rPr>
          <w:rFonts w:ascii="Segoe UI" w:hAnsi="Segoe UI" w:cs="Segoe UI"/>
          <w:color w:val="212121"/>
          <w:sz w:val="23"/>
          <w:szCs w:val="23"/>
          <w:highlight w:val="yellow"/>
        </w:rPr>
        <w:t>Line 55-56: please rewritten this sentence.</w:t>
      </w:r>
    </w:p>
    <w:p w14:paraId="2BE2F3A8" w14:textId="590AECBA" w:rsidR="00B868A9"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We have rewritten the sentence.</w:t>
      </w:r>
      <w:r w:rsidR="00B868A9" w:rsidRPr="00A04C81">
        <w:rPr>
          <w:rFonts w:ascii="Segoe UI" w:hAnsi="Segoe UI" w:cs="Segoe UI"/>
          <w:color w:val="212121"/>
          <w:sz w:val="23"/>
          <w:szCs w:val="23"/>
        </w:rPr>
        <w:br/>
      </w:r>
      <w:r w:rsidR="00B868A9" w:rsidRPr="00A04C81">
        <w:rPr>
          <w:rFonts w:ascii="Segoe UI" w:hAnsi="Segoe UI" w:cs="Segoe UI"/>
          <w:color w:val="212121"/>
          <w:sz w:val="23"/>
          <w:szCs w:val="23"/>
        </w:rPr>
        <w:br/>
        <w:t>Major Concerns:</w:t>
      </w:r>
      <w:r w:rsidR="00B868A9" w:rsidRPr="00A04C81">
        <w:rPr>
          <w:rFonts w:ascii="Segoe UI" w:hAnsi="Segoe UI" w:cs="Segoe UI"/>
          <w:color w:val="212121"/>
          <w:sz w:val="23"/>
          <w:szCs w:val="23"/>
        </w:rPr>
        <w:br/>
      </w:r>
      <w:r w:rsidR="00B868A9" w:rsidRPr="00A04C81">
        <w:rPr>
          <w:rFonts w:ascii="Segoe UI" w:hAnsi="Segoe UI" w:cs="Segoe UI"/>
          <w:color w:val="212121"/>
          <w:sz w:val="23"/>
          <w:szCs w:val="23"/>
          <w:highlight w:val="yellow"/>
        </w:rPr>
        <w:t>The authors mentioned that the used protocol and with "</w:t>
      </w:r>
      <w:r w:rsidR="00B868A9" w:rsidRPr="00A04C81">
        <w:rPr>
          <w:rFonts w:ascii="Segoe UI" w:hAnsi="Segoe UI" w:cs="Segoe UI"/>
          <w:b/>
          <w:bCs/>
          <w:color w:val="212121"/>
          <w:sz w:val="23"/>
          <w:szCs w:val="23"/>
          <w:highlight w:val="yellow"/>
        </w:rPr>
        <w:t>low-speed centrifugation" is able "to remove platelet contamination"</w:t>
      </w:r>
      <w:r w:rsidR="00B868A9" w:rsidRPr="00A04C81">
        <w:rPr>
          <w:rFonts w:ascii="Segoe UI" w:hAnsi="Segoe UI" w:cs="Segoe UI"/>
          <w:color w:val="212121"/>
          <w:sz w:val="23"/>
          <w:szCs w:val="23"/>
          <w:highlight w:val="yellow"/>
        </w:rPr>
        <w:t xml:space="preserve">. However, this approach was not confirmed like using a platelet cell marker to show this aspect and to confirm the affirmative sentence. The </w:t>
      </w:r>
      <w:r w:rsidR="00B868A9" w:rsidRPr="00A04C81">
        <w:rPr>
          <w:rFonts w:ascii="Segoe UI" w:hAnsi="Segoe UI" w:cs="Segoe UI"/>
          <w:color w:val="212121"/>
          <w:sz w:val="23"/>
          <w:szCs w:val="23"/>
          <w:highlight w:val="yellow"/>
        </w:rPr>
        <w:lastRenderedPageBreak/>
        <w:t>same observation can be conducted when the authors mentioned a few numbers of other polymorphonuclear cells like eosinophils. It is important to use an eosinophil cell marker to show this aspect.</w:t>
      </w:r>
      <w:r w:rsidR="00B868A9" w:rsidRPr="00A04C81">
        <w:rPr>
          <w:rFonts w:ascii="Segoe UI" w:hAnsi="Segoe UI" w:cs="Segoe UI"/>
          <w:color w:val="212121"/>
          <w:sz w:val="23"/>
          <w:szCs w:val="23"/>
        </w:rPr>
        <w:t xml:space="preserve"> </w:t>
      </w:r>
    </w:p>
    <w:p w14:paraId="463B5E8C" w14:textId="77777777"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We thank the reviewer for the useful suggestions and comments. </w:t>
      </w:r>
    </w:p>
    <w:p w14:paraId="681EE7DC" w14:textId="0367F555" w:rsidR="00B868A9"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Low speed centrifugation is commonly used to prepare platelet rich plasma and as been previously described, as for example in the following publications:</w:t>
      </w:r>
    </w:p>
    <w:p w14:paraId="486520A6"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bookmarkStart w:id="0" w:name="_Hlk73537439"/>
      <w:r w:rsidRPr="00A04C81">
        <w:rPr>
          <w:rFonts w:ascii="Times New Roman" w:eastAsia="Times New Roman" w:hAnsi="Times New Roman" w:cs="Times New Roman"/>
          <w:sz w:val="24"/>
          <w:szCs w:val="24"/>
          <w:lang w:eastAsia="en-US"/>
        </w:rPr>
        <w:t xml:space="preserve">Dhurat, R., Sukesh, M., 2014. Principles and Methods of Preparation of Platelet-Rich Plasma: A Review and Author’s Perspective. J Cutan Aesthet Surg 7, 189–197. </w:t>
      </w:r>
      <w:hyperlink r:id="rId6" w:history="1">
        <w:r w:rsidRPr="00A04C81">
          <w:rPr>
            <w:rFonts w:ascii="Times New Roman" w:eastAsia="Times New Roman" w:hAnsi="Times New Roman" w:cs="Times New Roman"/>
            <w:color w:val="0000FF"/>
            <w:sz w:val="24"/>
            <w:szCs w:val="24"/>
            <w:u w:val="single"/>
            <w:lang w:eastAsia="en-US"/>
          </w:rPr>
          <w:t>https://doi.org/10.4103/0974-2077.150734</w:t>
        </w:r>
      </w:hyperlink>
    </w:p>
    <w:p w14:paraId="6AA24D67"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r w:rsidRPr="00A04C81">
        <w:rPr>
          <w:rFonts w:ascii="Times New Roman" w:eastAsia="Times New Roman" w:hAnsi="Times New Roman" w:cs="Times New Roman"/>
          <w:sz w:val="24"/>
          <w:szCs w:val="24"/>
          <w:lang w:eastAsia="en-US"/>
        </w:rPr>
        <w:t xml:space="preserve">Etulain, J., Mena, H.A., Meiss, R.P., Frechtel, G., Gutt, S., Negrotto, S., Schattner, M., 2018. An optimised protocol for platelet-rich plasma preparation to improve its angiogenic and regenerative properties. Sci Rep 8, 1513. </w:t>
      </w:r>
      <w:hyperlink r:id="rId7" w:history="1">
        <w:r w:rsidRPr="00A04C81">
          <w:rPr>
            <w:rFonts w:ascii="Times New Roman" w:eastAsia="Times New Roman" w:hAnsi="Times New Roman" w:cs="Times New Roman"/>
            <w:color w:val="0000FF"/>
            <w:sz w:val="24"/>
            <w:szCs w:val="24"/>
            <w:u w:val="single"/>
            <w:lang w:eastAsia="en-US"/>
          </w:rPr>
          <w:t>https://doi.org/10.1038/s41598-018-19419-6</w:t>
        </w:r>
      </w:hyperlink>
    </w:p>
    <w:bookmarkEnd w:id="0"/>
    <w:p w14:paraId="21C6FB50" w14:textId="3FF24BDD"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These references are now included in the protocol. We have also included figure 2, showing the difference of platelet contamination between low speed and normal speed centrifugation.</w:t>
      </w:r>
    </w:p>
    <w:p w14:paraId="61535A8A" w14:textId="276035EA"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We have also included the staining of eosinophils we commonly use to assess neutrophil purity in our flow cytometry antibody panel in figure 3.</w:t>
      </w:r>
    </w:p>
    <w:p w14:paraId="10B7A6A7" w14:textId="77777777"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highlight w:val="yellow"/>
        </w:rPr>
        <w:t>Both are important observations when we are trying to show the methodology used and standardized are good enough as mentioned: "a neutrophil preparation of high purity with minimal activation when performed correctly".</w:t>
      </w:r>
      <w:r w:rsidRPr="00A04C81">
        <w:rPr>
          <w:rFonts w:ascii="Segoe UI" w:hAnsi="Segoe UI" w:cs="Segoe UI"/>
          <w:color w:val="212121"/>
          <w:sz w:val="23"/>
          <w:szCs w:val="23"/>
        </w:rPr>
        <w:t> </w:t>
      </w:r>
    </w:p>
    <w:p w14:paraId="200891CA" w14:textId="77777777" w:rsidR="00EA11B8" w:rsidRPr="00A04C81" w:rsidRDefault="00EA11B8" w:rsidP="00B868A9">
      <w:pPr>
        <w:pStyle w:val="NormalWeb"/>
        <w:shd w:val="clear" w:color="auto" w:fill="FFFFFF"/>
        <w:rPr>
          <w:rFonts w:ascii="Segoe UI" w:hAnsi="Segoe UI" w:cs="Segoe UI"/>
          <w:color w:val="212121"/>
          <w:sz w:val="23"/>
          <w:szCs w:val="23"/>
        </w:rPr>
      </w:pPr>
    </w:p>
    <w:p w14:paraId="44AE4B89" w14:textId="16B85FA2"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highlight w:val="yellow"/>
        </w:rPr>
        <w:t>Another point observed this protocol was conducted first of all with Lymphoprep. Did the authors try to used Hystopaque?</w:t>
      </w:r>
      <w:r w:rsidRPr="00A04C81">
        <w:rPr>
          <w:rFonts w:ascii="Segoe UI" w:hAnsi="Segoe UI" w:cs="Segoe UI"/>
          <w:color w:val="212121"/>
          <w:sz w:val="23"/>
          <w:szCs w:val="23"/>
        </w:rPr>
        <w:t> </w:t>
      </w:r>
    </w:p>
    <w:p w14:paraId="3A399A66" w14:textId="4BC79B5D"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Histopaque-1077 and Lymphoprep are both commercial solutions of polysaccharides and sodium diatrizoate with a density of 1.077 g/ml. Similar results can be obtained using either solutions. This is now mentioned in the main protocol (line 95).</w:t>
      </w:r>
    </w:p>
    <w:p w14:paraId="24F5BC94" w14:textId="77777777"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highlight w:val="yellow"/>
        </w:rPr>
        <w:t>Where is the panel with the activation marker (CD62L) (figure 2)? The plots need to be better described in the results section.</w:t>
      </w:r>
    </w:p>
    <w:p w14:paraId="5A8B022F" w14:textId="7D4B600F" w:rsidR="00B868A9" w:rsidRPr="00A04C81" w:rsidRDefault="00EA11B8" w:rsidP="00314E84">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 xml:space="preserve">We apologize for the omission. Figure 4 shows the level of CD62L in neutrophils freshly isolated before or after stimulation with the positive control fMLP. </w:t>
      </w:r>
    </w:p>
    <w:p w14:paraId="625C9778" w14:textId="4FB12BDD" w:rsidR="00B868A9" w:rsidRPr="00A04C81" w:rsidRDefault="00B868A9" w:rsidP="00314E84">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lastRenderedPageBreak/>
        <w:t>What was the flow cytometer used? What was the gate strategy? This can be a problem for the reproduction of the protocol "in a correct form" as mentioned in summary.</w:t>
      </w:r>
    </w:p>
    <w:p w14:paraId="345E3E16" w14:textId="77777777" w:rsidR="00314E84" w:rsidRPr="00A04C81" w:rsidRDefault="00EA11B8" w:rsidP="00314E84">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We have improved the description of the gating strategies for all flow cytometry figures (Figure 2, 3,4 and 5), as well as have indicated the equipment used for the flow cytometry sample acquisition.</w:t>
      </w:r>
    </w:p>
    <w:p w14:paraId="698065BE" w14:textId="031F5C0A" w:rsidR="00EA11B8" w:rsidRPr="00A04C81" w:rsidRDefault="00B868A9" w:rsidP="00A206E2">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rPr>
        <w:br/>
      </w:r>
      <w:r w:rsidRPr="00A04C81">
        <w:rPr>
          <w:rFonts w:ascii="Segoe UI" w:hAnsi="Segoe UI" w:cs="Segoe UI"/>
          <w:color w:val="212121"/>
          <w:sz w:val="23"/>
          <w:szCs w:val="23"/>
          <w:highlight w:val="yellow"/>
        </w:rPr>
        <w:t>Line 228-229: The sentence should be moved to the beginning of the Discussion. Here is a disconnected sentence.</w:t>
      </w:r>
      <w:r w:rsidRPr="00A04C81">
        <w:rPr>
          <w:rFonts w:ascii="Segoe UI" w:hAnsi="Segoe UI" w:cs="Segoe UI"/>
          <w:color w:val="212121"/>
          <w:sz w:val="23"/>
          <w:szCs w:val="23"/>
        </w:rPr>
        <w:t> </w:t>
      </w:r>
      <w:r w:rsidRPr="00A04C81">
        <w:rPr>
          <w:rFonts w:ascii="Segoe UI" w:hAnsi="Segoe UI" w:cs="Segoe UI"/>
          <w:color w:val="212121"/>
          <w:sz w:val="23"/>
          <w:szCs w:val="23"/>
        </w:rPr>
        <w:br/>
      </w:r>
      <w:r w:rsidRPr="00A04C81">
        <w:rPr>
          <w:rFonts w:ascii="Segoe UI" w:hAnsi="Segoe UI" w:cs="Segoe UI"/>
          <w:color w:val="212121"/>
          <w:sz w:val="23"/>
          <w:szCs w:val="23"/>
        </w:rPr>
        <w:br/>
        <w:t>Minor</w:t>
      </w:r>
      <w:r w:rsidR="00A206E2">
        <w:rPr>
          <w:rFonts w:ascii="Segoe UI" w:hAnsi="Segoe UI" w:cs="Segoe UI"/>
          <w:color w:val="212121"/>
          <w:sz w:val="23"/>
          <w:szCs w:val="23"/>
        </w:rPr>
        <w:t xml:space="preserve"> </w:t>
      </w:r>
      <w:r w:rsidRPr="00A04C81">
        <w:rPr>
          <w:rFonts w:ascii="Segoe UI" w:hAnsi="Segoe UI" w:cs="Segoe UI"/>
          <w:color w:val="212121"/>
          <w:sz w:val="23"/>
          <w:szCs w:val="23"/>
        </w:rPr>
        <w:t>Concerns:</w:t>
      </w:r>
      <w:r w:rsidRPr="00A04C81">
        <w:rPr>
          <w:rFonts w:ascii="Segoe UI" w:hAnsi="Segoe UI" w:cs="Segoe UI"/>
          <w:color w:val="212121"/>
          <w:sz w:val="23"/>
          <w:szCs w:val="23"/>
        </w:rPr>
        <w:br/>
      </w:r>
      <w:r w:rsidRPr="00A04C81">
        <w:rPr>
          <w:rFonts w:ascii="Segoe UI" w:hAnsi="Segoe UI" w:cs="Segoe UI"/>
          <w:color w:val="212121"/>
          <w:sz w:val="23"/>
          <w:szCs w:val="23"/>
          <w:highlight w:val="yellow"/>
        </w:rPr>
        <w:t>The photographs are of bad quality and with different backgrounds. Please, try to use white paper behind the tube for a better photograph.</w:t>
      </w:r>
      <w:r w:rsidRPr="00A04C81">
        <w:rPr>
          <w:rFonts w:ascii="Segoe UI" w:hAnsi="Segoe UI" w:cs="Segoe UI"/>
          <w:color w:val="212121"/>
          <w:sz w:val="23"/>
          <w:szCs w:val="23"/>
        </w:rPr>
        <w:br/>
      </w:r>
    </w:p>
    <w:p w14:paraId="7DCC0E6D" w14:textId="657830A3" w:rsidR="00EA11B8" w:rsidRPr="00A04C81" w:rsidRDefault="00EA11B8" w:rsidP="00EA11B8">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Thanks for the suggestion. We have improved our photos by using a better camera and a dark background (Fig 1B and 1D). </w:t>
      </w:r>
    </w:p>
    <w:p w14:paraId="35C8C76F" w14:textId="77777777"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b/>
          <w:bCs/>
          <w:color w:val="212121"/>
          <w:sz w:val="23"/>
          <w:szCs w:val="23"/>
        </w:rPr>
        <w:t>Reviewer #4:</w:t>
      </w:r>
      <w:r w:rsidRPr="00A04C81">
        <w:rPr>
          <w:rFonts w:ascii="Segoe UI" w:hAnsi="Segoe UI" w:cs="Segoe UI"/>
          <w:color w:val="212121"/>
          <w:sz w:val="23"/>
          <w:szCs w:val="23"/>
        </w:rPr>
        <w:br/>
      </w:r>
      <w:r w:rsidRPr="00A04C81">
        <w:rPr>
          <w:rFonts w:ascii="Segoe UI" w:hAnsi="Segoe UI" w:cs="Segoe UI"/>
          <w:color w:val="212121"/>
          <w:sz w:val="23"/>
          <w:szCs w:val="23"/>
          <w:highlight w:val="yellow"/>
        </w:rPr>
        <w:t>The manuscript by Hsu and colleagues describes a classical method to isolate human granulocytes from buffy coats or blood, i.e., based on density gradient centrifugation followed by red blood cells (RBC) sedimentation and RBC osmotic lysis. The various steps listed for the procedure are clearly explained, with crucial issues well highlighted along the protocol. The major concern about this manuscript is that, by quickly searching for methods for neutrophil isolation already published in JOVE, I found at least three studies describing similar protocols (doi: 10.3791/745; doi: 10.3791/53846; doi: 10.3791/52687) which were not even discussed by the authors.</w:t>
      </w:r>
      <w:r w:rsidRPr="00A04C81">
        <w:rPr>
          <w:rFonts w:ascii="Segoe UI" w:hAnsi="Segoe UI" w:cs="Segoe UI"/>
          <w:color w:val="212121"/>
          <w:sz w:val="23"/>
          <w:szCs w:val="23"/>
        </w:rPr>
        <w:br/>
      </w:r>
    </w:p>
    <w:p w14:paraId="455E470E" w14:textId="77777777"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Our method is a revised version of previously published methods, based on the references the reviewer kindly highlighted. These references will be cited, as they should have been in the initial version of this manuscript. Thanks for pointing this important omission.</w:t>
      </w:r>
    </w:p>
    <w:p w14:paraId="4CD8BA2E"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r w:rsidRPr="00A04C81">
        <w:rPr>
          <w:rFonts w:ascii="Times New Roman" w:eastAsia="Times New Roman" w:hAnsi="Times New Roman" w:cs="Times New Roman"/>
          <w:sz w:val="24"/>
          <w:szCs w:val="24"/>
          <w:lang w:eastAsia="en-US"/>
        </w:rPr>
        <w:t xml:space="preserve">Nauseef, W.M., 2014. Isolation of Human Neutrophils from Venous Blood. , in: Quinn, M.T., DeLeo, F.R. (Eds.), Neutrophil Methods and Protocols, Methods in Molecular Biology. Humana Press, Totowa, NJ, pp. 13–18. </w:t>
      </w:r>
      <w:hyperlink r:id="rId8" w:history="1">
        <w:r w:rsidRPr="00A04C81">
          <w:rPr>
            <w:rFonts w:ascii="Times New Roman" w:eastAsia="Times New Roman" w:hAnsi="Times New Roman" w:cs="Times New Roman"/>
            <w:color w:val="0000FF"/>
            <w:sz w:val="24"/>
            <w:szCs w:val="24"/>
            <w:u w:val="single"/>
            <w:lang w:eastAsia="en-US"/>
          </w:rPr>
          <w:t>https://doi.org/10.1007/978-1-62703-845-4_2</w:t>
        </w:r>
      </w:hyperlink>
    </w:p>
    <w:p w14:paraId="316B453D"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p>
    <w:p w14:paraId="7B4BF66B" w14:textId="77777777" w:rsidR="00EA11B8" w:rsidRPr="00A04C81" w:rsidRDefault="00EA11B8" w:rsidP="00EA11B8">
      <w:pPr>
        <w:spacing w:after="0" w:line="240" w:lineRule="auto"/>
        <w:rPr>
          <w:rFonts w:ascii="Times New Roman" w:eastAsia="Times New Roman" w:hAnsi="Times New Roman" w:cs="Times New Roman"/>
          <w:sz w:val="24"/>
          <w:szCs w:val="24"/>
          <w:lang w:eastAsia="en-US"/>
        </w:rPr>
      </w:pPr>
      <w:r w:rsidRPr="00A04C81">
        <w:rPr>
          <w:rFonts w:ascii="Times New Roman" w:eastAsia="Times New Roman" w:hAnsi="Times New Roman" w:cs="Times New Roman"/>
          <w:sz w:val="24"/>
          <w:szCs w:val="24"/>
          <w:lang w:eastAsia="en-US"/>
        </w:rPr>
        <w:t xml:space="preserve">Siemsen, D.W., Malachowa, N., Schepetkin, I.A., Whitney, A.R., Kirpotina, L.N., Lei, B., Deleo, F.R., Quinn, M.T., 2014. Neutrophil isolation from nonhuman species. Methods Mol Biol 1124, 19–37. </w:t>
      </w:r>
      <w:hyperlink r:id="rId9" w:history="1">
        <w:r w:rsidRPr="00A04C81">
          <w:rPr>
            <w:rFonts w:ascii="Times New Roman" w:eastAsia="Times New Roman" w:hAnsi="Times New Roman" w:cs="Times New Roman"/>
            <w:color w:val="0000FF"/>
            <w:sz w:val="24"/>
            <w:szCs w:val="24"/>
            <w:u w:val="single"/>
            <w:lang w:eastAsia="en-US"/>
          </w:rPr>
          <w:t>https://doi.org/10.1007/978-1-62703-845-4_3</w:t>
        </w:r>
      </w:hyperlink>
    </w:p>
    <w:p w14:paraId="2C396F18" w14:textId="77777777"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lastRenderedPageBreak/>
        <w:t xml:space="preserve">We feel that our protocol brings important updates to previously published methods. </w:t>
      </w:r>
    </w:p>
    <w:p w14:paraId="3267A7E3" w14:textId="77777777"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One is that yield is better when RBC sedimentation was performed after centrifugation. We believe that it is due to the activation of monocytes by dextran, as it has been reported by others. However, we believe exploring the mechanisms are beyond the scope of this revise method.</w:t>
      </w:r>
    </w:p>
    <w:p w14:paraId="4DA083D5" w14:textId="6F1EDB87"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The cited references do not provide a detail gating strategy and adequate markers for the precise identification of neutrophils and contaminating cells by flow cytometry. The yield and purity reported in these studies are based on cell counting using an hemacytometer, which is not has accurate as flow cytometry. These works used veinous whole blood. Our results are comparable to the one reported in the works in term of purity, but yields cannot be compared as buffy coats were used for the present work.</w:t>
      </w:r>
    </w:p>
    <w:p w14:paraId="4F025015" w14:textId="2843EE76"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In addition, there are some issues:</w:t>
      </w:r>
      <w:r w:rsidRPr="00A04C81">
        <w:rPr>
          <w:rFonts w:ascii="Segoe UI" w:hAnsi="Segoe UI" w:cs="Segoe UI"/>
          <w:color w:val="212121"/>
          <w:sz w:val="23"/>
          <w:szCs w:val="23"/>
          <w:highlight w:val="yellow"/>
        </w:rPr>
        <w:br/>
        <w:t>- The title is misleading. The current protocol allows the isolation of total granulocytes (neutrophils and eosinophils) and is not specific for neutrophils. The title and the text should be changed accordingly.</w:t>
      </w:r>
    </w:p>
    <w:p w14:paraId="64F91846" w14:textId="651A0FE9"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We believe that the title is appropriate as this type of approach has been described widely in the literature as a proper neutrophil isolation methods, and as contamination by eosinophils is low, as illustrated in figure 3.</w:t>
      </w:r>
    </w:p>
    <w:p w14:paraId="400AA4D9" w14:textId="68C19189" w:rsidR="00EA11B8"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 Authors should specify that, for gene expression and/or protein production studies, their method does not guarantee a sufficient grade of neutrophil purity.</w:t>
      </w:r>
    </w:p>
    <w:p w14:paraId="1E4A93FD" w14:textId="74D7ABB3" w:rsidR="00EA11B8" w:rsidRPr="00A04C81" w:rsidRDefault="00EA11B8" w:rsidP="00EA11B8">
      <w:pPr>
        <w:pStyle w:val="NormalWeb"/>
        <w:shd w:val="clear" w:color="auto" w:fill="FFFFFF"/>
        <w:jc w:val="both"/>
        <w:rPr>
          <w:rFonts w:ascii="Segoe UI" w:hAnsi="Segoe UI" w:cs="Segoe UI"/>
          <w:color w:val="212121"/>
          <w:sz w:val="23"/>
          <w:szCs w:val="23"/>
        </w:rPr>
      </w:pPr>
      <w:r w:rsidRPr="00A04C81">
        <w:rPr>
          <w:rFonts w:ascii="Segoe UI" w:hAnsi="Segoe UI" w:cs="Segoe UI"/>
          <w:color w:val="212121"/>
          <w:sz w:val="23"/>
          <w:szCs w:val="23"/>
        </w:rPr>
        <w:t>Discussion has been modified to highlight the necessity to use ultra-pure neutrophils in gene and protein expression studies. We also discussed to effect of antibody-based isolation methods on neutrophil survival, and possibly on other cell functions (line 243-246 and 249-250).</w:t>
      </w:r>
    </w:p>
    <w:p w14:paraId="412AF70A" w14:textId="7362FAE9"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 The assessment of neutrophil purity is not very accurate and must be implemented. It is essential to extend the antibody panel for flow cytometry analysis proposed by the authors, to also include recognition of monocytes and various DCs, which, together with lymphocytes and eosinophils, could contaminate granulocyte isolation.</w:t>
      </w:r>
    </w:p>
    <w:p w14:paraId="3740B3EE" w14:textId="0C5ACBF4"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 xml:space="preserve">We appreciate the suggestions of the reviewer. We have included the panel of antibody we use to assess cell purity after each isolation. As show in figure 3, most contaminating cells are eosinophils and lymphocytes. Monocyte contamination is usually very low. We do not </w:t>
      </w:r>
      <w:r w:rsidRPr="00A04C81">
        <w:rPr>
          <w:rFonts w:ascii="Segoe UI" w:hAnsi="Segoe UI" w:cs="Segoe UI"/>
          <w:color w:val="212121"/>
          <w:sz w:val="23"/>
          <w:szCs w:val="23"/>
        </w:rPr>
        <w:lastRenderedPageBreak/>
        <w:t xml:space="preserve">believe it is necessary to include markers for the detection of dendritic cells, as they are even scarcer than the other cell populations in the peripheral blood of healthy donors. </w:t>
      </w:r>
    </w:p>
    <w:p w14:paraId="58EDEF0C" w14:textId="77777777" w:rsidR="00EA11B8" w:rsidRPr="00A04C81" w:rsidRDefault="00EA11B8" w:rsidP="00EA11B8">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Hasskamp, J.H., Zapas, J.L., Elias, E.G., 2005. Dendritic cell counts in the peripheral blood of healthy adults. American Journal of Hematology 78, 314–315. https://doi.org/10.1002/ajh.20296</w:t>
      </w:r>
    </w:p>
    <w:p w14:paraId="18392ADD" w14:textId="3AF87587" w:rsidR="00EA11B8" w:rsidRPr="00A04C81" w:rsidRDefault="00EA11B8" w:rsidP="00EA11B8">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Orsini, G., Legitimo, A., Failli, A., Massei, F., Biver, P., Consolini, R., 2012. Enumeration of human peripheral blood dendritic cells throughout the life. International Immunology 24, 347–356. https://doi.org/10.1093/intimm/dxs006</w:t>
      </w:r>
    </w:p>
    <w:p w14:paraId="3C4E32BB" w14:textId="77777777" w:rsidR="00EA11B8" w:rsidRPr="00A04C81" w:rsidRDefault="00EA11B8" w:rsidP="00B868A9">
      <w:pPr>
        <w:pStyle w:val="NormalWeb"/>
        <w:shd w:val="clear" w:color="auto" w:fill="FFFFFF"/>
        <w:rPr>
          <w:rFonts w:ascii="Segoe UI" w:hAnsi="Segoe UI" w:cs="Segoe UI"/>
          <w:color w:val="212121"/>
          <w:sz w:val="23"/>
          <w:szCs w:val="23"/>
        </w:rPr>
      </w:pPr>
    </w:p>
    <w:p w14:paraId="349D1B91" w14:textId="77777777"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 On line 147, authors correctly suggest to use CD62L to measure neutrophil activation. A flow cytometry plot of CD62L expression in resting and activated neutrophils should be shown.</w:t>
      </w:r>
    </w:p>
    <w:p w14:paraId="01098D42" w14:textId="34392BE6" w:rsidR="00EA11B8"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Thanks for the recommendation. We have included figure 4, that shows the expression level of CD62L on freshly isolated neutrophils or after activation using fMLP.</w:t>
      </w:r>
    </w:p>
    <w:p w14:paraId="02720B8A" w14:textId="432517A9"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 On lines 204-206, authors state that, in their hands, neutrophil purification by negative selection has been shown to accelerate neutrophil death and activation. Authors should support this statement adding a reference or showing related data.</w:t>
      </w:r>
    </w:p>
    <w:p w14:paraId="3EA18358" w14:textId="15C908ED" w:rsidR="00B868A9" w:rsidRPr="00A04C81" w:rsidRDefault="00EA11B8"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t>This is correct, a quantification of cell survival following isolation by both methods should have been included. The results of this experiments are now presented in figure 5.</w:t>
      </w:r>
    </w:p>
    <w:p w14:paraId="79BF4CDA" w14:textId="5D257E23" w:rsidR="00B868A9" w:rsidRPr="00A04C81" w:rsidRDefault="00B868A9" w:rsidP="00B868A9">
      <w:pPr>
        <w:pStyle w:val="NormalWeb"/>
        <w:shd w:val="clear" w:color="auto" w:fill="FFFFFF"/>
        <w:rPr>
          <w:rFonts w:ascii="Segoe UI" w:hAnsi="Segoe UI" w:cs="Segoe UI"/>
          <w:color w:val="212121"/>
          <w:sz w:val="23"/>
          <w:szCs w:val="23"/>
        </w:rPr>
      </w:pPr>
      <w:r w:rsidRPr="00A04C81">
        <w:rPr>
          <w:rFonts w:ascii="Segoe UI" w:hAnsi="Segoe UI" w:cs="Segoe UI"/>
          <w:color w:val="212121"/>
          <w:sz w:val="23"/>
          <w:szCs w:val="23"/>
        </w:rPr>
        <w:br/>
      </w:r>
      <w:r w:rsidRPr="00A04C81">
        <w:rPr>
          <w:rFonts w:ascii="Segoe UI" w:hAnsi="Segoe UI" w:cs="Segoe UI"/>
          <w:color w:val="212121"/>
          <w:sz w:val="23"/>
          <w:szCs w:val="23"/>
          <w:highlight w:val="yellow"/>
        </w:rPr>
        <w:t>- Similarly, on lines 136-137, authors state that cells should be kept at a concentration of ~2million cells/ml, as higher density leads to increased cell activation/death. Also in this case, authors should support their statements by adding a reference or showing related results.</w:t>
      </w:r>
    </w:p>
    <w:p w14:paraId="3AF4327E" w14:textId="723E43D9" w:rsidR="00BD1C18" w:rsidRPr="00A04C81" w:rsidRDefault="00EA11B8">
      <w:pPr>
        <w:rPr>
          <w:sz w:val="24"/>
          <w:szCs w:val="24"/>
        </w:rPr>
      </w:pPr>
      <w:r w:rsidRPr="00A04C81">
        <w:rPr>
          <w:sz w:val="24"/>
          <w:szCs w:val="24"/>
        </w:rPr>
        <w:t>A reference reporting the effect of cell density on neutrophil survival has been added (line 168).</w:t>
      </w:r>
    </w:p>
    <w:sectPr w:rsidR="00BD1C18" w:rsidRPr="00A04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NDW0sLA0NDExsrRU0lEKTi0uzszPAykwrAUAEgeiESwAAAA="/>
  </w:docVars>
  <w:rsids>
    <w:rsidRoot w:val="00B868A9"/>
    <w:rsid w:val="00314E84"/>
    <w:rsid w:val="003361F7"/>
    <w:rsid w:val="00366A2A"/>
    <w:rsid w:val="0043071A"/>
    <w:rsid w:val="004904A4"/>
    <w:rsid w:val="007A2FD9"/>
    <w:rsid w:val="007E40DC"/>
    <w:rsid w:val="007F65F9"/>
    <w:rsid w:val="0082091A"/>
    <w:rsid w:val="00A04C81"/>
    <w:rsid w:val="00A206E2"/>
    <w:rsid w:val="00B868A9"/>
    <w:rsid w:val="00BF1A8E"/>
    <w:rsid w:val="00CD7B20"/>
    <w:rsid w:val="00DA7A5E"/>
    <w:rsid w:val="00EA1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EB07"/>
  <w15:chartTrackingRefBased/>
  <w15:docId w15:val="{32A122AD-31D6-4697-8CDF-14441E16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8A9"/>
    <w:rPr>
      <w:b/>
      <w:bCs/>
    </w:rPr>
  </w:style>
  <w:style w:type="character" w:styleId="Hyperlink">
    <w:name w:val="Hyperlink"/>
    <w:basedOn w:val="DefaultParagraphFont"/>
    <w:uiPriority w:val="99"/>
    <w:semiHidden/>
    <w:unhideWhenUsed/>
    <w:rsid w:val="00EA11B8"/>
    <w:rPr>
      <w:color w:val="0000FF"/>
      <w:u w:val="single"/>
    </w:rPr>
  </w:style>
  <w:style w:type="character" w:customStyle="1" w:styleId="citation-doi">
    <w:name w:val="citation-doi"/>
    <w:basedOn w:val="DefaultParagraphFont"/>
    <w:rsid w:val="00EA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578">
      <w:bodyDiv w:val="1"/>
      <w:marLeft w:val="0"/>
      <w:marRight w:val="0"/>
      <w:marTop w:val="0"/>
      <w:marBottom w:val="0"/>
      <w:divBdr>
        <w:top w:val="none" w:sz="0" w:space="0" w:color="auto"/>
        <w:left w:val="none" w:sz="0" w:space="0" w:color="auto"/>
        <w:bottom w:val="none" w:sz="0" w:space="0" w:color="auto"/>
        <w:right w:val="none" w:sz="0" w:space="0" w:color="auto"/>
      </w:divBdr>
      <w:divsChild>
        <w:div w:id="1610353536">
          <w:marLeft w:val="480"/>
          <w:marRight w:val="0"/>
          <w:marTop w:val="0"/>
          <w:marBottom w:val="0"/>
          <w:divBdr>
            <w:top w:val="none" w:sz="0" w:space="0" w:color="auto"/>
            <w:left w:val="none" w:sz="0" w:space="0" w:color="auto"/>
            <w:bottom w:val="none" w:sz="0" w:space="0" w:color="auto"/>
            <w:right w:val="none" w:sz="0" w:space="0" w:color="auto"/>
          </w:divBdr>
          <w:divsChild>
            <w:div w:id="603225835">
              <w:marLeft w:val="0"/>
              <w:marRight w:val="0"/>
              <w:marTop w:val="0"/>
              <w:marBottom w:val="0"/>
              <w:divBdr>
                <w:top w:val="none" w:sz="0" w:space="0" w:color="auto"/>
                <w:left w:val="none" w:sz="0" w:space="0" w:color="auto"/>
                <w:bottom w:val="none" w:sz="0" w:space="0" w:color="auto"/>
                <w:right w:val="none" w:sz="0" w:space="0" w:color="auto"/>
              </w:divBdr>
            </w:div>
            <w:div w:id="5382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0314">
      <w:bodyDiv w:val="1"/>
      <w:marLeft w:val="0"/>
      <w:marRight w:val="0"/>
      <w:marTop w:val="0"/>
      <w:marBottom w:val="0"/>
      <w:divBdr>
        <w:top w:val="none" w:sz="0" w:space="0" w:color="auto"/>
        <w:left w:val="none" w:sz="0" w:space="0" w:color="auto"/>
        <w:bottom w:val="none" w:sz="0" w:space="0" w:color="auto"/>
        <w:right w:val="none" w:sz="0" w:space="0" w:color="auto"/>
      </w:divBdr>
    </w:div>
    <w:div w:id="1316639609">
      <w:bodyDiv w:val="1"/>
      <w:marLeft w:val="0"/>
      <w:marRight w:val="0"/>
      <w:marTop w:val="0"/>
      <w:marBottom w:val="0"/>
      <w:divBdr>
        <w:top w:val="none" w:sz="0" w:space="0" w:color="auto"/>
        <w:left w:val="none" w:sz="0" w:space="0" w:color="auto"/>
        <w:bottom w:val="none" w:sz="0" w:space="0" w:color="auto"/>
        <w:right w:val="none" w:sz="0" w:space="0" w:color="auto"/>
      </w:divBdr>
      <w:divsChild>
        <w:div w:id="1990207903">
          <w:marLeft w:val="480"/>
          <w:marRight w:val="0"/>
          <w:marTop w:val="0"/>
          <w:marBottom w:val="0"/>
          <w:divBdr>
            <w:top w:val="none" w:sz="0" w:space="0" w:color="auto"/>
            <w:left w:val="none" w:sz="0" w:space="0" w:color="auto"/>
            <w:bottom w:val="none" w:sz="0" w:space="0" w:color="auto"/>
            <w:right w:val="none" w:sz="0" w:space="0" w:color="auto"/>
          </w:divBdr>
          <w:divsChild>
            <w:div w:id="1840466904">
              <w:marLeft w:val="0"/>
              <w:marRight w:val="0"/>
              <w:marTop w:val="0"/>
              <w:marBottom w:val="0"/>
              <w:divBdr>
                <w:top w:val="none" w:sz="0" w:space="0" w:color="auto"/>
                <w:left w:val="none" w:sz="0" w:space="0" w:color="auto"/>
                <w:bottom w:val="none" w:sz="0" w:space="0" w:color="auto"/>
                <w:right w:val="none" w:sz="0" w:space="0" w:color="auto"/>
              </w:divBdr>
            </w:div>
            <w:div w:id="6884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5532">
      <w:bodyDiv w:val="1"/>
      <w:marLeft w:val="0"/>
      <w:marRight w:val="0"/>
      <w:marTop w:val="0"/>
      <w:marBottom w:val="0"/>
      <w:divBdr>
        <w:top w:val="none" w:sz="0" w:space="0" w:color="auto"/>
        <w:left w:val="none" w:sz="0" w:space="0" w:color="auto"/>
        <w:bottom w:val="none" w:sz="0" w:space="0" w:color="auto"/>
        <w:right w:val="none" w:sz="0" w:space="0" w:color="auto"/>
      </w:divBdr>
      <w:divsChild>
        <w:div w:id="945306103">
          <w:marLeft w:val="480"/>
          <w:marRight w:val="0"/>
          <w:marTop w:val="0"/>
          <w:marBottom w:val="0"/>
          <w:divBdr>
            <w:top w:val="none" w:sz="0" w:space="0" w:color="auto"/>
            <w:left w:val="none" w:sz="0" w:space="0" w:color="auto"/>
            <w:bottom w:val="none" w:sz="0" w:space="0" w:color="auto"/>
            <w:right w:val="none" w:sz="0" w:space="0" w:color="auto"/>
          </w:divBdr>
          <w:divsChild>
            <w:div w:id="1137065948">
              <w:marLeft w:val="0"/>
              <w:marRight w:val="0"/>
              <w:marTop w:val="0"/>
              <w:marBottom w:val="0"/>
              <w:divBdr>
                <w:top w:val="none" w:sz="0" w:space="0" w:color="auto"/>
                <w:left w:val="none" w:sz="0" w:space="0" w:color="auto"/>
                <w:bottom w:val="none" w:sz="0" w:space="0" w:color="auto"/>
                <w:right w:val="none" w:sz="0" w:space="0" w:color="auto"/>
              </w:divBdr>
            </w:div>
            <w:div w:id="57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62703-845-4_2" TargetMode="External"/><Relationship Id="rId3" Type="http://schemas.openxmlformats.org/officeDocument/2006/relationships/webSettings" Target="webSettings.xml"/><Relationship Id="rId7" Type="http://schemas.openxmlformats.org/officeDocument/2006/relationships/hyperlink" Target="https://doi.org/10.1038/s41598-018-194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0974-2077.150734" TargetMode="External"/><Relationship Id="rId11" Type="http://schemas.openxmlformats.org/officeDocument/2006/relationships/theme" Target="theme/theme1.xml"/><Relationship Id="rId5" Type="http://schemas.openxmlformats.org/officeDocument/2006/relationships/hyperlink" Target="https://doi.org/10.1007/978-1-62703-845-4_3" TargetMode="External"/><Relationship Id="rId10" Type="http://schemas.openxmlformats.org/officeDocument/2006/relationships/fontTable" Target="fontTable.xml"/><Relationship Id="rId4" Type="http://schemas.openxmlformats.org/officeDocument/2006/relationships/hyperlink" Target="https://doi.org/10.1007/978-1-62703-845-4_2" TargetMode="External"/><Relationship Id="rId9" Type="http://schemas.openxmlformats.org/officeDocument/2006/relationships/hyperlink" Target="https://doi.org/10.1007/978-1-62703-845-4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2511</TotalTime>
  <Pages>8</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hsu</dc:creator>
  <cp:keywords/>
  <dc:description/>
  <cp:lastModifiedBy>alan hsu</cp:lastModifiedBy>
  <cp:revision>10</cp:revision>
  <dcterms:created xsi:type="dcterms:W3CDTF">2021-05-20T13:38:00Z</dcterms:created>
  <dcterms:modified xsi:type="dcterms:W3CDTF">2021-06-02T22:21:00Z</dcterms:modified>
</cp:coreProperties>
</file>