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Culture of Primary Oral Keratinocytes from the Adult Mouse Palate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Yen Xuan Ngo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Kenta Haga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Ayako Suzuki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Hiroko Kato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Hiromi Yanagisawa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Kenji Izumi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Aiko Sada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Life Science Center for Survival Dynamics, Tsukuba Advanced Research Alliance (TARA), University of Tsukuba, Tsukuba,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Ph.D. Program in Human Biology, School of Integrative and Global Majors, University of Tsukuba, Tsukuba,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International Research Center for Medical Sciences (IRCMS), Kumamoto University, Kumamoto,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Biomimetics, Faculty of Dentistry and Graduate School of Medical and Dental Sciences, Niigata University, Niigata,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Faculty of Medicine, University of Tsukuba, Tsukuba,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Yen Xuan Ngo</w:t>
        <w:tab/>
        <w:tab/>
      </w:r>
      <w:r>
        <w:rPr>
          <w:rFonts w:ascii="Calibri" w:hAnsi="Calibri" w:cs="Calibri" w:eastAsia="Calibri"/>
          <w:color w:val="auto"/>
          <w:spacing w:val="0"/>
          <w:position w:val="0"/>
          <w:sz w:val="24"/>
          <w:shd w:fill="FFFFFF" w:val="clear"/>
        </w:rPr>
        <w:t xml:space="preserve">s1730546@s.tsukuba.ac.jp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Kenta Haga</w:t>
        <w:tab/>
        <w:tab/>
        <w:t xml:space="preserve">haga@dent.niigata-u.ac.jp</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Ayako Suzuki</w:t>
        <w:tab/>
        <w:tab/>
      </w:r>
      <w:r>
        <w:rPr>
          <w:rFonts w:ascii="Calibri" w:hAnsi="Calibri" w:cs="Calibri" w:eastAsia="Calibri"/>
          <w:color w:val="auto"/>
          <w:spacing w:val="0"/>
          <w:position w:val="0"/>
          <w:sz w:val="24"/>
          <w:shd w:fill="FFFFFF" w:val="clear"/>
        </w:rPr>
        <w:t xml:space="preserve">suzuki-a@dent.niigata-u.ac.jp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Hiroko Kato</w:t>
        <w:tab/>
        <w:tab/>
        <w:t xml:space="preserve">kato-hi@phs.osaka-u.ac.jp</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Hiromi Yanagisawa</w:t>
        <w:tab/>
        <w:tab/>
      </w:r>
      <w:r>
        <w:rPr>
          <w:rFonts w:ascii="Calibri" w:hAnsi="Calibri" w:cs="Calibri" w:eastAsia="Calibri"/>
          <w:color w:val="auto"/>
          <w:spacing w:val="0"/>
          <w:position w:val="0"/>
          <w:sz w:val="24"/>
          <w:shd w:fill="FFFFFF" w:val="clear"/>
        </w:rPr>
        <w:t xml:space="preserve">hkyanagisawa@tara.tsukuba.ac.jp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Kenji Izumi</w:t>
        <w:tab/>
        <w:tab/>
        <w:t xml:space="preserve">izumik@dent.niigata-u.ac.jp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Aiko Sada</w:t>
        <w:tab/>
        <w:tab/>
        <w:tab/>
        <w:t xml:space="preserve">aisada@kumamoto-u.ac.jp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Kenji Izumi</w:t>
        <w:tab/>
        <w:tab/>
        <w:t xml:space="preserve">izumik@dent.niigata-u.ac.jp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Aiko Sada</w:t>
        <w:tab/>
        <w:tab/>
        <w:tab/>
        <w:t xml:space="preserve">aisada@kumamoto-u.ac.jp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stem cells, oral epithelium, oral keratinocyte, mouse keratinocyte, primary cell culture, palate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isolation and culture of oral keratinocytes derived from the adult mouse palate. An evaluation method using immunostaining is also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years, most studies involving keratinocytes have been conducted using human and mouse skin epidermal keratinocytes. Recently, oral keratinocytes have attracted attention because of their unique function and characteristics. They maintain the homeostasis of the oral epithelium and serve as resources for applications in regenerative therapies. However,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that use oral primary keratinocytes from adult mice have been limited due to the lack of an efficient and well-established culture protocol. Here, oral primary keratinocytes were isolated from the palate tissues of adult mice and cultured in a commercial low-calcium medium supplemented with a chelexed-serum. Under these conditions, keratinocytes were maintained in a proliferative or stem cell-like state, and their differentiation was inhibited even after increased passages. Marker expression analysis showed that the cultured oral keratinocytes expressed the basal markers p63, K14, and </w:t>
      </w:r>
      <w:r>
        <w:rPr>
          <w:rFonts w:ascii="Calibri" w:hAnsi="Calibri" w:cs="Calibri" w:eastAsia="Calibri"/>
          <w:color w:val="auto"/>
          <w:spacing w:val="0"/>
          <w:position w:val="0"/>
          <w:sz w:val="24"/>
          <w:shd w:fill="auto" w:val="clear"/>
        </w:rPr>
        <w:t xml:space="preserve">α6-integrin and were negative for the differentiation marker K13 and the fibroblast marker PDGFRα. This method produced viable and culturable cells suitable for downstream applications in the study of oral epithelial stem cell functions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oral epithelium serves as a first barrier in protecting the body from environmental stresses, including chemical or physical damage and bacterial and viral infections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o</w:t>
      </w:r>
      <w:r>
        <w:rPr>
          <w:rFonts w:ascii="Calibri" w:hAnsi="Calibri" w:cs="Calibri" w:eastAsia="Calibri"/>
          <w:color w:val="auto"/>
          <w:spacing w:val="0"/>
          <w:position w:val="0"/>
          <w:sz w:val="24"/>
          <w:shd w:fill="auto" w:val="clear"/>
        </w:rPr>
        <w:t xml:space="preserve">ral mucosa comprises an outer layer of stratified squamous epithelium that consists of keratinocytes and underlying connective tissue called the lamina propria,</w:t>
      </w:r>
      <w:r>
        <w:rPr>
          <w:rFonts w:ascii="Calibri" w:hAnsi="Calibri" w:cs="Calibri" w:eastAsia="Calibri"/>
          <w:color w:val="00B0F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w:t>
      </w:r>
      <w:r>
        <w:rPr>
          <w:rFonts w:ascii="Calibri" w:hAnsi="Calibri" w:cs="Calibri" w:eastAsia="Calibri"/>
          <w:color w:val="000000"/>
          <w:spacing w:val="0"/>
          <w:position w:val="0"/>
          <w:sz w:val="24"/>
          <w:shd w:fill="auto" w:val="clear"/>
        </w:rPr>
        <w:t xml:space="preserve">mainly </w:t>
      </w:r>
      <w:r>
        <w:rPr>
          <w:rFonts w:ascii="Calibri" w:hAnsi="Calibri" w:cs="Calibri" w:eastAsia="Calibri"/>
          <w:color w:val="auto"/>
          <w:spacing w:val="0"/>
          <w:position w:val="0"/>
          <w:sz w:val="24"/>
          <w:shd w:fill="auto" w:val="clear"/>
        </w:rPr>
        <w:t xml:space="preserve">consists of fibroblasts and the extracellular matrix. The mouse oral mucosa can be broadly divided into three subtypes: masticatory (hard palate and gingiva), specialized (dorsal tongue), and lining (buccal mucosa, ventral tongue, soft palate, lips) mucosa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oral epithelium is keratinized in the masticatory and specialized mucosa and non-keratinized in the lining mucosa. Despite its anatomical </w:t>
      </w:r>
      <w:r>
        <w:rPr>
          <w:rFonts w:ascii="Calibri" w:hAnsi="Calibri" w:cs="Calibri" w:eastAsia="Calibri"/>
          <w:color w:val="000000"/>
          <w:spacing w:val="0"/>
          <w:position w:val="0"/>
          <w:sz w:val="24"/>
          <w:shd w:fill="auto" w:val="clear"/>
        </w:rPr>
        <w:t xml:space="preserve">location</w:t>
      </w:r>
      <w:r>
        <w:rPr>
          <w:rFonts w:ascii="Calibri" w:hAnsi="Calibri" w:cs="Calibri" w:eastAsia="Calibri"/>
          <w:color w:val="auto"/>
          <w:spacing w:val="0"/>
          <w:position w:val="0"/>
          <w:sz w:val="24"/>
          <w:shd w:fill="auto" w:val="clear"/>
        </w:rPr>
        <w:t xml:space="preserve">, the oral epithelium is similar to the skin epidermis in that it consists of tightly packed epithelial cells with varying degrees of differentiation: basal layers containing undifferentiated cells; spinous, granular, and cornified layers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form keratinized epithelium, or </w:t>
      </w:r>
      <w:r>
        <w:rPr>
          <w:rFonts w:ascii="Calibri" w:hAnsi="Calibri" w:cs="Calibri" w:eastAsia="Calibri"/>
          <w:color w:val="000000"/>
          <w:spacing w:val="0"/>
          <w:position w:val="0"/>
          <w:sz w:val="24"/>
          <w:shd w:fill="auto" w:val="clear"/>
        </w:rPr>
        <w:t xml:space="preserve">intermediate</w:t>
      </w:r>
      <w:r>
        <w:rPr>
          <w:rFonts w:ascii="Calibri" w:hAnsi="Calibri" w:cs="Calibri" w:eastAsia="Calibri"/>
          <w:color w:val="auto"/>
          <w:spacing w:val="0"/>
          <w:position w:val="0"/>
          <w:sz w:val="24"/>
          <w:shd w:fill="auto" w:val="clear"/>
        </w:rPr>
        <w:t xml:space="preserve"> and superficial layers that form non-keratinized epithelium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Transgenic mouse models have facilitated the study of oral epithelial stem cells' cellular and molecular features in the palate, buccal mucosa, tongue, and gingiva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most of these studies primarily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mouse experiments. </w:t>
      </w:r>
      <w:r>
        <w:rPr>
          <w:rFonts w:ascii="Calibri" w:hAnsi="Calibri" w:cs="Calibri" w:eastAsia="Calibri"/>
          <w:color w:val="000000"/>
          <w:spacing w:val="0"/>
          <w:position w:val="0"/>
          <w:sz w:val="24"/>
          <w:shd w:fill="auto" w:val="clear"/>
        </w:rPr>
        <w:t xml:space="preserve">Cell </w:t>
      </w:r>
      <w:r>
        <w:rPr>
          <w:rFonts w:ascii="Calibri" w:hAnsi="Calibri" w:cs="Calibri" w:eastAsia="Calibri"/>
          <w:color w:val="auto"/>
          <w:spacing w:val="0"/>
          <w:position w:val="0"/>
          <w:sz w:val="24"/>
          <w:shd w:fill="auto" w:val="clear"/>
        </w:rPr>
        <w:t xml:space="preserve">culture systems were not typically employed owing to a lack of established and efficient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system can be used for the molecular and biochemical analysis of stem cell regulators, cell-based assays, and drug screening. Currently, protocols for the culture of primary keratinocytes of the skin epidermis have been developed, in which basal keratinocytes can be successfully isolated and cultured for </w:t>
      </w:r>
      <w:r>
        <w:rPr>
          <w:rFonts w:ascii="Calibri" w:hAnsi="Calibri" w:cs="Calibri" w:eastAsia="Calibri"/>
          <w:color w:val="000000"/>
          <w:spacing w:val="0"/>
          <w:position w:val="0"/>
          <w:sz w:val="24"/>
          <w:shd w:fill="auto" w:val="clear"/>
        </w:rPr>
        <w:t xml:space="preserve">clinical and research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1980, Hennings et al. showed that a low calcium concentration (</w:t>
      </w:r>
      <w:r>
        <w:rPr>
          <w:rFonts w:ascii="Calibri" w:hAnsi="Calibri" w:cs="Calibri" w:eastAsia="Calibri"/>
          <w:color w:val="000000"/>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0.09 mM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culture medium facilitated proliferation and maintained cells in an undifferentiated state. A higher level of calcium promoted cell differentiation and reduced proliferation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Subsequently, culture methodologies for neonatal and adult murine epidermal keratinocytes have been established and widely applied to numerous mouse models with different genetic backgrounds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Although skin and oral </w:t>
      </w:r>
      <w:r>
        <w:rPr>
          <w:rFonts w:ascii="Calibri" w:hAnsi="Calibri" w:cs="Calibri" w:eastAsia="Calibri"/>
          <w:color w:val="000000"/>
          <w:spacing w:val="0"/>
          <w:position w:val="0"/>
          <w:sz w:val="24"/>
          <w:shd w:fill="auto" w:val="clear"/>
        </w:rPr>
        <w:t xml:space="preserve">epithelia </w:t>
      </w:r>
      <w:r>
        <w:rPr>
          <w:rFonts w:ascii="Calibri" w:hAnsi="Calibri" w:cs="Calibri" w:eastAsia="Calibri"/>
          <w:color w:val="auto"/>
          <w:spacing w:val="0"/>
          <w:position w:val="0"/>
          <w:sz w:val="24"/>
          <w:shd w:fill="auto" w:val="clear"/>
        </w:rPr>
        <w:t xml:space="preserve">share common characteristics, they also show intrinsic differences, e.g., in their keratinization status, turnover rate, gene expression, and wound healing ability</w:t>
      </w:r>
      <w:r>
        <w:rPr>
          <w:rFonts w:ascii="Calibri" w:hAnsi="Calibri" w:cs="Calibri" w:eastAsia="Calibri"/>
          <w:color w:val="auto"/>
          <w:spacing w:val="0"/>
          <w:position w:val="0"/>
          <w:sz w:val="24"/>
          <w:shd w:fill="auto" w:val="clear"/>
          <w:vertAlign w:val="superscript"/>
        </w:rPr>
        <w:t xml:space="preserve">3,11,20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human oral keratinocyte </w:t>
      </w:r>
      <w:r>
        <w:rPr>
          <w:rFonts w:ascii="Calibri" w:hAnsi="Calibri" w:cs="Calibri" w:eastAsia="Calibri"/>
          <w:color w:val="000000"/>
          <w:spacing w:val="0"/>
          <w:position w:val="0"/>
          <w:sz w:val="24"/>
          <w:shd w:fill="auto" w:val="clear"/>
        </w:rPr>
        <w:t xml:space="preserve">culture has been successfully performed</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publications on mouse oral keratinocyte culture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are limited du</w:t>
      </w:r>
      <w:r>
        <w:rPr>
          <w:rFonts w:ascii="Calibri" w:hAnsi="Calibri" w:cs="Calibri" w:eastAsia="Calibri"/>
          <w:color w:val="auto"/>
          <w:spacing w:val="0"/>
          <w:position w:val="0"/>
          <w:sz w:val="24"/>
          <w:shd w:fill="auto" w:val="clear"/>
        </w:rPr>
        <w:t xml:space="preserve">e to the small size of the target tissue and the distinct characteristics of the cells compared to skin epidermal keratinocytes. This protocol describes the isolation and long-term culture techniques of mouse primary oral keratinocytes.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according to the Institutional Animal Experiment Committee guidelines at Kumamoto University and the University of Tsukuba.</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reagents and culture media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40 mL of keratinocyte culture medium containing 60 &amp;#181;M of calcium and 600 &amp;#181;L of antibiotic-antimycotic solution. Prepare 20 mL of 0.025% trypsin and 400 &amp;#181;L of antibiotic-antimycotic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the trypsin inhibition solution at room temperature and keep it at 4 &amp;#176;C until use in step 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isolation reagent is prepared for the tissue isolation of five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prepare the culture media, take 500 mL of medium and add 5 mL of a growth supplement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(hereafter referred to as complete medium) and 20% calcium-depleted chelexed-fetal bovine serum (FBS)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(hereafter referred to as chelexed-FBS).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Dissection of palate tissue from adult mouse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Sacrifice an adult C57BL/6J mouse (either male or female) by cervical dislocation in compliance with the facility's regulations relating to animal welfare.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Remove the hair around the mouth with a shaver. Using scissors, cut from the cheek toward the jaw, on both sides.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mouse needs to be anesthetized before sacrifice. An anesthetic mixture of medetomidine, midazolam, and butorphanol is used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forceps to open the mouth wide and absorb any blood using a cotton swab. To disinfect the palate, wipe the inside of the mouth with a cotton swab containing 10% povidone-iodine.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To harvest the mouse palate, first, use a surgical scalpel blade to make a full-thickness marginal incision along the palate side of the maxillary teeth. Then, carefully dissect the entire palate using a raspatorium.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raspatorium is a tool used to elevate a mucoperiosteal flap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Quickly transfer the palate tissue to a 15 mL tube containing 4 mL of complete medium + antibiotic-antimycotic solution. Keep the tissues on ice until ready for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collection from multiple mice, palate tissues may be kept on ice for up to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Pretreatment of palate tissue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In a laminar flow hood, transfer tissues to a 60 mm dish containing 4 mL of complete medium + antibiotic-antimycotic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Using short, blunt forceps and a scalpel blade, gently remove any blood from the tissues. Wash tissues 10 times in complete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Transfer tissues to a 35 mm dish containing 4 mL of 0.025% trypsin + antibiotic-antimycotic solution, with the epithelial surface facing down.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epithelial surface, which curves inward, should be soaked in the trypsin solution; the lamina propria should face up. The tissue should be flattened as much as possible to be incubated entirely in the trypsin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Incubate tissues in 0.025% trypsin for ~16 h at room temperature in the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Collection and culture of primary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Using one pair of blunt forceps, remove tissue from trypsin solution (in the 35 mm dish) and transfer to trypsin inhibitor solution in a 60 mm dish (4 mL per dish) with the epithelial surface facing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Using forceps to hold onto the edge of the palate, gently scrape the epithelial layer off the underlying lamina propria using a scalpel blade.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Connective tissue is not digested by trypsin, so it does not peel off during scraping.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To collect the maximum amount of epithelial cells from tissues, transfer the tissue into another 60 mm dish with 4 mL complete medium and repeat the scraping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avoid scraping the tissue with the blade's tip; use the blade's edge instead. Scraping is performed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per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Place a sterile 100 &amp;#181;m cell strainer on the top of a 50 mL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a sterile pipette, transfer 2 mL of trypsin solution (from step 4.1) into the strainer to wet its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Using a pipette, mix the cell suspension in the 60 mm dish (from steps 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4.3) a few times and filter cells through the 100 &amp;#181;m cell strainer prepared in steps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4.5.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Count the number of cells using a hemocytometer. Prepare 15 &amp;#181;L of trypan blue solution and add 15 &amp;#181;L of cell suspension (step 4.6). Transfer 10 &amp;#181;L of the cell-trypan blue mix to a hemocytometer and count the number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piece of mouse palate can yield up to 1 million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While counting, centrifuge the tube (from step 4.6) at 100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Aspirate the supernatant with a pipette. Add 2 mL of complete medium + chelexed-FBS to the tube. Resuspend the cell pellet by triturating several times using a 5 mL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Plate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from one mouse into one well of a 24-well plate pre-coated with Collagen Type I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Incubate the cells at 37 &amp;#176;C for 2 days without changing the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Two days after seeding, replace half of the culture medium with the complete medium + chelexed-FBS. Check the cell morphology under the microscope. Feed cells with complete medium + chelexed-FBS every 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seeding, cells of different sizes will be observed. Approximately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after seeding, keratinocytes with a cobblestone morphology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can be observed. It will take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weeks of culture before the first passage can be conducted and a subsequent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weeks is necessary before the cells are ready for the second and third passages. After that, cells will grow faster and may be prepared for cryopreservation. Cells can be re-plated to one well (of a 24-well plate) and a 6-well plate in the first and second passage, respectively. The subsequent passage will be dependent on the cell growth and density. A cell split ratio of 1:2 or 1:3 can be used after the third passage.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Keratinocyte passage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Collect 2 mL of the supernatant from the culture dish and dispense into a 15 mL conical tube (on ice). Wash the cells with sterile 1x PBS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cells reach approximately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confluency, they are ready for passage.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1 mL of 0.05% trypsin-EDTA to the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Incubate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min at 37 &amp;#176;C; check after 5 min to see whether the cells detach from the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Neutralize the reaction using 1 mL of trypsin inhibition solution and 2 mL of complete culture medium + chelexed-FBS by gentle pipetting. Next, transfer the cell suspension into the same 15 mL conical tube as in step 5.1.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Centrifuge the cell suspension at 100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5 min at 4 &amp;#176;C. Aspirate the supernatant with a pipette and resuspend the cell pellet in 1 mL of complete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Count the cells using a hemocytometer. Next, plate 1 mL of the cell suspension into a new 24- or 6-well culture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of the cells from the early passages can be frozen in a mixture of 70% complete culture medium + 20% chelexed-FBS + 10% DMSO.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cryovials of cells can be collected from one confluent culture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Cryopreservation and recovery of keratinocytes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Cell freezing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Grow keratinocytes to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allow cells to overgrow, as this could reduce their proliferation status and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Treat the keratinocytes in the dish with 0.05% trypsin-EDTA, as described in steps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Count the keratinocytes using a hemocytometer. Prepare cryovials based on calculated cell numbers to allow for the transfer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to each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Centrifuge the cell suspension at 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 pellet in a 10 mL solution of 10% DMSO + 20% chelexed-FBS + 70% complete culture medium (9 mL of complete medium + chelexed-FBS and 1 mL of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Dispense the cells into cryovials at 1 mL of suspension per vial. Place the vials in a cryogenic storage container overnight at -80 &amp;#176;C. Transfer the vials to a liquid nitrogen tank the following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Cell recovery</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Remove a cryovial from the liquid nitrogen tank and partially thaw at room temperature. In a 15 mL tube, mix 1 mL of the cell suspension with 3 mL of complete culture medium + chelexed-FBS.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Centrifuge the mixture for 5 min at 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Discard the supernatant and resuspend the pellet in 1 mL of complete culture medium + chelexed-FBS.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Plate the cell suspensions into new 6 cm Collagen I-coated culture dishes. Replace the culture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and passage the cells once confluent.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Immunofluorescent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Culture oral keratinocytes on square coverslips (22 mm x 22 mm) in 6-well plates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Fix keratinocytes in a solution of 4% paraformaldehyde (PFA) and PBS for 20 min at room temperature before washing three times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Permeabilize cells in a solution of 0.1% Triton in PBS. Incubate cells in blocking reagent (2.5% goat serum, 2.5% donkey serum) for 1 h at room temperature, followed by overnight incubation with primary antibodies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Primary antibodies were used at the following dilutions: rabbit anti-K14 (1:1000), rat </w:t>
      </w:r>
      <w:r>
        <w:rPr>
          <w:rFonts w:ascii="Calibri" w:hAnsi="Calibri" w:cs="Calibri" w:eastAsia="Calibri"/>
          <w:color w:val="auto"/>
          <w:spacing w:val="0"/>
          <w:position w:val="0"/>
          <w:sz w:val="24"/>
          <w:shd w:fill="auto" w:val="clear"/>
        </w:rPr>
        <w:t xml:space="preserve">α6-integrin (1:100), rabbit anti-p63 (1:500), rabbit anti-K13 (1:100), and goat anti-PDGFRα (1:100).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Wash samples in a solution of 0.1% Triton in PBS, followed by incubation with secondary antibodies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secondary antibodies (Alexa 488 or 555) were used at a 1:300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Counterstain all samples with Hoechst solution for 10 min and mount cells onto glass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Hoechst solution is used to stain the nuclei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Perform sample imaging using a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brightness and contrast are adjusted to equal intensity using image editing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the dissection process and isolation of oral keratinocytes from the adult mouse palate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Dissociated oral keratinocytes were collected from the adult mouse palate and cultured in a </w:t>
      </w:r>
      <w:r>
        <w:rPr>
          <w:rFonts w:ascii="Calibri" w:hAnsi="Calibri" w:cs="Calibri" w:eastAsia="Calibri"/>
          <w:color w:val="auto"/>
          <w:spacing w:val="0"/>
          <w:position w:val="0"/>
          <w:sz w:val="24"/>
          <w:shd w:fill="auto" w:val="clear"/>
        </w:rPr>
        <w:t xml:space="preserve">customized</w:t>
      </w:r>
      <w:r>
        <w:rPr>
          <w:rFonts w:ascii="Calibri" w:hAnsi="Calibri" w:cs="Calibri" w:eastAsia="Calibri"/>
          <w:color w:val="000000"/>
          <w:spacing w:val="0"/>
          <w:position w:val="0"/>
          <w:sz w:val="24"/>
          <w:shd w:fill="auto" w:val="clear"/>
        </w:rPr>
        <w:t xml:space="preserve"> 20% low-calcium chelexed-FBS formulation. The mouse palate consists of the hard palate and the soft palate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procedure for the isolation of mouse oral keratinocytes is summarized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palate tissue is dissected and transferred to a media containing an antibiotic-antimycotic solution before being incubated in 0.025% trypsin solution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overnight. The following day, the palate tissue is treated with trypsin inhibitor solution and complete culture medium in equal volumes. Subsequently, the tissues are scraped using a surgical scalpel blade to collect oral keratinocytes. The cell suspension is filtered through a 100 &amp;#181;m cell strainer and centrifuged. The cells are then seeded in Collagen I-coated 24-well plates containing 2 mL of complete culture medium + chelexed-FBS.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of the successful isolation of mouse oral keratinocytes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Primary oral keratinocytes grew as a monolayer and displayed a cobblestone morphology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Small keratinocyte colonies were visible at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grew larger and formed tight colonies at 1 week of incubation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Keratinocyte colonies displayed the typical morphological features of basal keratinocytes, indicating their healthy conditions. Human oral keratinocytes remained undifferentiated for several passages in the complete culture medium containing 0.06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16,28</w:t>
      </w:r>
      <w:r>
        <w:rPr>
          <w:rFonts w:ascii="Calibri" w:hAnsi="Calibri" w:cs="Calibri" w:eastAsia="Calibri"/>
          <w:color w:val="auto"/>
          <w:spacing w:val="0"/>
          <w:position w:val="0"/>
          <w:sz w:val="24"/>
          <w:shd w:fill="auto" w:val="clear"/>
        </w:rPr>
        <w:t xml:space="preserve">. The first passage was performed approximately 2 weeks from the initial plating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At later passages, keratinocytes exhibited stable growth with a shorter period of culture (</w:t>
      </w:r>
      <w:r>
        <w:rPr>
          <w:rFonts w:ascii="Calibri" w:hAnsi="Calibri" w:cs="Calibri" w:eastAsia="Calibri"/>
          <w:b/>
          <w:color w:val="auto"/>
          <w:spacing w:val="0"/>
          <w:position w:val="0"/>
          <w:sz w:val="24"/>
          <w:shd w:fill="auto" w:val="clear"/>
        </w:rPr>
        <w:t xml:space="preserve">Figure 2E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Keratinocytes stopped growing if significant fibroblasts contamination occurred during the isolation process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Isolated mouse oral keratinocytes express basal keratinocyte markers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the status of primary oral keratinocytes, immunostaining was performed using the basal cell markers Keratin 14 (K14) and </w:t>
      </w:r>
      <w:r>
        <w:rPr>
          <w:rFonts w:ascii="Calibri" w:hAnsi="Calibri" w:cs="Calibri" w:eastAsia="Calibri"/>
          <w:color w:val="auto"/>
          <w:spacing w:val="0"/>
          <w:position w:val="0"/>
          <w:sz w:val="24"/>
          <w:shd w:fill="auto" w:val="clear"/>
        </w:rPr>
        <w:t xml:space="preserve">α6-integrin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K14 and α6-integrin were expressed in keratinocytes after culturing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cells were also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stained with stem cell marker p63 to confirm their stemness. Early passage (passage 4) and late passage (passage 7) cells showed uniform expression of p63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In contrast, keratinocytes treated with high calcium (1.2 mM induction for 2 days) exhibited decreased p63 expression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indicating that high calcium treatment suppresses stem cell-related genes in primary keratinocytes as previously reported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differentiation marker Keratin 13 (K13) showed rare or no expression in both early and late passages and significant expression under high calcium treatment (</w:t>
      </w:r>
      <w:r>
        <w:rPr>
          <w:rFonts w:ascii="Calibri" w:hAnsi="Calibri" w:cs="Calibri" w:eastAsia="Calibri"/>
          <w:b/>
          <w:color w:val="auto"/>
          <w:spacing w:val="0"/>
          <w:position w:val="0"/>
          <w:sz w:val="24"/>
          <w:shd w:fill="auto" w:val="clear"/>
        </w:rPr>
        <w:t xml:space="preserve">Figure 3F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To test the possibility of fibroblast contamination in the keratinocyte culture, staining using the fibroblast marker PDGFR</w:t>
      </w:r>
      <w:r>
        <w:rPr>
          <w:rFonts w:ascii="Calibri" w:hAnsi="Calibri" w:cs="Calibri" w:eastAsia="Calibri"/>
          <w:color w:val="auto"/>
          <w:spacing w:val="0"/>
          <w:position w:val="0"/>
          <w:sz w:val="24"/>
          <w:shd w:fill="auto" w:val="clear"/>
        </w:rPr>
        <w:t xml:space="preserve">α was performed with the same set of keratinocytes compared with mouse embryonic fibroblast (MEFs). There was no expression of PDGFRα in the keratinocyte culture, compared with the high expression observed in MEF cells (</w:t>
      </w:r>
      <w:r>
        <w:rPr>
          <w:rFonts w:ascii="Calibri" w:hAnsi="Calibri" w:cs="Calibri" w:eastAsia="Calibri"/>
          <w:b/>
          <w:color w:val="auto"/>
          <w:spacing w:val="0"/>
          <w:position w:val="0"/>
          <w:sz w:val="24"/>
          <w:shd w:fill="auto" w:val="clear"/>
        </w:rPr>
        <w:t xml:space="preserve">Figure 3I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3L</w:t>
      </w:r>
      <w:r>
        <w:rPr>
          <w:rFonts w:ascii="Calibri" w:hAnsi="Calibri" w:cs="Calibri" w:eastAsia="Calibri"/>
          <w:color w:val="auto"/>
          <w:spacing w:val="0"/>
          <w:position w:val="0"/>
          <w:sz w:val="24"/>
          <w:shd w:fill="auto" w:val="clear"/>
        </w:rPr>
        <w:t xml:space="preserve">). These results indicated that this protocol could successfully isolate basal keratinocytes and maintain these cells in the undifferentiated state.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the dissection procedure and isolation of mouse oral keratinocytes.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mouse oral cavity.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Instruments used to dissect the palate and isolate mouse oral keratinocytes.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Brightfield image of the mouse palate. Scale bar: 100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Summary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results of the successful isolation of mouse oral keratinocytes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Time-course images of cultured primary oral keratinocytes at 3 days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5 days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 week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2 weeks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of culture after isolation. Morphologies of mouse oral keratinocytes after the first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second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third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passages are shown.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Example of fibroblast contamination in mouse oral keratinocyte culture. Scale bar: 400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Isolated mouse oral keratinocytes express basal keratinocyte markers.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immunofluorescent staining of K14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red) and </w:t>
      </w:r>
      <w:r>
        <w:rPr>
          <w:rFonts w:ascii="Calibri" w:hAnsi="Calibri" w:cs="Calibri" w:eastAsia="Calibri"/>
          <w:color w:val="auto"/>
          <w:spacing w:val="0"/>
          <w:position w:val="0"/>
          <w:sz w:val="24"/>
          <w:shd w:fill="auto" w:val="clear"/>
        </w:rPr>
        <w:t xml:space="preserve">α6-integrin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green) in passage 4.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immunofluorescent staining of p63 (green) in passage 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passage 7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high calcium treatment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Immunostaining images of K13 (green) in passage 4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passage 7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high calcium treatment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Immunostaining images of PDGFR</w:t>
      </w:r>
      <w:r>
        <w:rPr>
          <w:rFonts w:ascii="Calibri" w:hAnsi="Calibri" w:cs="Calibri" w:eastAsia="Calibri"/>
          <w:color w:val="auto"/>
          <w:spacing w:val="0"/>
          <w:position w:val="0"/>
          <w:sz w:val="24"/>
          <w:shd w:fill="auto" w:val="clear"/>
        </w:rPr>
        <w:t xml:space="preserve">α (red) in passage 4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passage 7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high calcium treatment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and MEFs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Nuclei are stained with Hoechst (blue). Scale bars: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keratinocytes isolated from human or mouse skin epidermis have been utilized for many years in research and clinical applications</w:t>
      </w:r>
      <w:r>
        <w:rPr>
          <w:rFonts w:ascii="Calibri" w:hAnsi="Calibri" w:cs="Calibri" w:eastAsia="Calibri"/>
          <w:color w:val="000000"/>
          <w:spacing w:val="0"/>
          <w:position w:val="0"/>
          <w:sz w:val="24"/>
          <w:shd w:fill="auto" w:val="clear"/>
          <w:vertAlign w:val="superscript"/>
        </w:rPr>
        <w:t xml:space="preserve">12,13,15,18,27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By contrast, few protocols have been established to isolate and culture primary oral keratinocytes from adult mice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present study used a commercial complete culture medium and chelexed-FBS to maintain keratinocytes in a proliferative or stem cell-like state. This culture system can be employed in molecular and biochemical assays to further understand the features of oral epithelial stem cells and their related diseases.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critical steps are included in this protocol. Firstly, the trypsin concentration and the incubation time are essential in producing viable cells for subsequent cultures. We consistently used 0.025% trypsin solutions and 16 h incubation periods in the chamber hood at room temperature. If not incubated for a sufficient length of time, keratinocytes would not properly dissociate from the tissue, resulting in a lower final cell yield. Secondly, gentle pipetting of the cell suspension on the second day notably affects cell viability. Scraping should gently start from the epithelial side and not exceed 10 min per tissue sample. Finally, the first isolated cell suspension contains fibroblasts and other cell types; these unwanted cells will usually begin to </w:t>
      </w:r>
      <w:r>
        <w:rPr>
          <w:rFonts w:ascii="Calibri" w:hAnsi="Calibri" w:cs="Calibri" w:eastAsia="Calibri"/>
          <w:color w:val="auto"/>
          <w:spacing w:val="0"/>
          <w:position w:val="0"/>
          <w:sz w:val="24"/>
          <w:shd w:fill="auto" w:val="clear"/>
        </w:rPr>
        <w:t xml:space="preserve">disappear in </w:t>
      </w:r>
      <w:r>
        <w:rPr>
          <w:rFonts w:ascii="Calibri" w:hAnsi="Calibri" w:cs="Calibri" w:eastAsia="Calibri"/>
          <w:color w:val="000000"/>
          <w:spacing w:val="0"/>
          <w:position w:val="0"/>
          <w:sz w:val="24"/>
          <w:shd w:fill="auto" w:val="clear"/>
        </w:rPr>
        <w:t xml:space="preserve">subsequent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Potential limitations were identified during cell isolation and culture. In rare cases, fibroblasts may be contaminated during the isolation process, and the fibroblasts may inhibit the growth of keratinocytes in subsequent passages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It is necessary to select a commercial medium that contains a fibroblast growth inhibitor to eliminate such contamination in the culture. Because the mouse palate and other oral mucosa have relatively small sizes, the initial cell yield from one mouse may be low. Therefore, the entire culture period of this protocol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until the cryopreservation stage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is longer than that for primary skin keratinocytes. Isolated oral keratinocytes are best used within 10 passages, as more extended culture periods could change the cell properties and lower the number of stem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method showed that mouse oral keratinocytes exhibited a tightly packed, cobblestone morphology and formed monolayer colonies under proliferative conditions. They also showed high expression of the basal markers </w:t>
      </w:r>
      <w:r>
        <w:rPr>
          <w:rFonts w:ascii="Calibri" w:hAnsi="Calibri" w:cs="Calibri" w:eastAsia="Calibri"/>
          <w:color w:val="000000"/>
          <w:spacing w:val="0"/>
          <w:position w:val="0"/>
          <w:sz w:val="24"/>
          <w:shd w:fill="auto" w:val="clear"/>
        </w:rPr>
        <w:t xml:space="preserve">α6-integrin, K14, and stem cell marker p63. In future studies, in addition to immunofluorescence staining, RNA-sequencing, RT-PCR, and western blot analyses will be used to verify the cellular heterogeneity and purity of oral keratinocytes, which will further enhance our understanding of the nature of these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passages, oral keratinocytes were stable enough to be used in further functional experiments. Importantly, this culture protocol can be combined with transgenic mouse lines, including gene knockout, Cre-loxP, and tet-inducible systems, and can also be used in cellular and molecular assays. Thus, the present protocol provides researchers with a fundamental and efficient method that could be used to understand oral keratinocyte stem cell biology further.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Grant-in-Aid for Scientific Research (B) (20H03266) (to A.S.), Grant-in-Aid for Early-Career Scientists (18K14709) (to A.S.), AMED under Grant Number JP21gm6110016 and 21bm0704067 (to A.S.), and research grants from the Takeda Science Foundation (to A.S.). We thank the Center for Animal Resources and Development at Kumamoto University and the Animal Resource Center at the University of Tsukuba for their excellent mouse care. We thank the IRCMS core facility at Kumamoto University for its support in confocal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Presland, R. B., Jurevic, R. J. Making sense of the epithelial barrier: what molecular biology and genetics tell us about the functions of oral mucosal and epidermal tissues. </w:t>
      </w:r>
      <w:r>
        <w:rPr>
          <w:rFonts w:ascii="Calibri" w:hAnsi="Calibri" w:cs="Calibri" w:eastAsia="Calibri"/>
          <w:i/>
          <w:color w:val="auto"/>
          <w:spacing w:val="0"/>
          <w:position w:val="0"/>
          <w:sz w:val="24"/>
          <w:shd w:fill="auto" w:val="clear"/>
        </w:rPr>
        <w:t xml:space="preserve">Journal of Dental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Squier, C. A., Kremer, M. J. Biology of oral mucosa and esophagus. </w:t>
      </w:r>
      <w:r>
        <w:rPr>
          <w:rFonts w:ascii="Calibri" w:hAnsi="Calibri" w:cs="Calibri" w:eastAsia="Calibri"/>
          <w:i/>
          <w:color w:val="auto"/>
          <w:spacing w:val="0"/>
          <w:position w:val="0"/>
          <w:sz w:val="24"/>
          <w:shd w:fill="auto" w:val="clear"/>
        </w:rPr>
        <w:t xml:space="preserve">Journal of the National Cancer Institute Monographs</w:t>
      </w:r>
      <w:r>
        <w:rPr>
          <w:rFonts w:ascii="Calibri" w:hAnsi="Calibri" w:cs="Calibri" w:eastAsia="Calibri"/>
          <w:color w:val="auto"/>
          <w:spacing w:val="0"/>
          <w:position w:val="0"/>
          <w:sz w:val="24"/>
          <w:shd w:fill="auto" w:val="clear"/>
        </w:rPr>
        <w:t xml:space="preserve">. (29),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Jones, K. B., Klein, O. D. Oral epithelial stem cells in tissue maintenance and disease: the first steps in a long journey.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Winning, T. A., Townsend, G. C. Oral mucosal embryology and histology. </w:t>
      </w:r>
      <w:r>
        <w:rPr>
          <w:rFonts w:ascii="Calibri" w:hAnsi="Calibri" w:cs="Calibri" w:eastAsia="Calibri"/>
          <w:i/>
          <w:color w:val="auto"/>
          <w:spacing w:val="0"/>
          <w:position w:val="0"/>
          <w:sz w:val="24"/>
          <w:shd w:fill="auto" w:val="clear"/>
        </w:rPr>
        <w:t xml:space="preserve">Clinics in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Asaka, T., Akiyama, M., Kitagawa, Y., Shimizu, H. Higher density of label-retaining cells in gingival epithelium. </w:t>
      </w:r>
      <w:r>
        <w:rPr>
          <w:rFonts w:ascii="Calibri" w:hAnsi="Calibri" w:cs="Calibri" w:eastAsia="Calibri"/>
          <w:i/>
          <w:color w:val="auto"/>
          <w:spacing w:val="0"/>
          <w:position w:val="0"/>
          <w:sz w:val="24"/>
          <w:shd w:fill="auto" w:val="clear"/>
        </w:rPr>
        <w:t xml:space="preserve">Journal of Dermatological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Bickenbach, J. R. Identification and behavior of label-retaining cells in oral mucosa and skin.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Spec No C</w:t>
      </w:r>
      <w:r>
        <w:rPr>
          <w:rFonts w:ascii="Calibri" w:hAnsi="Calibri" w:cs="Calibri" w:eastAsia="Calibri"/>
          <w:color w:val="auto"/>
          <w:spacing w:val="0"/>
          <w:position w:val="0"/>
          <w:sz w:val="24"/>
          <w:shd w:fill="auto" w:val="clear"/>
        </w:rPr>
        <w:t xml:space="preserve">, 1611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Bickenbach, J. R., Mackenzie, I. C. Identification and localization of label-retaining cells in hamster epithelia.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(6), 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Byrd,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Heterogeneity within stratified epithelial stem cell populations maintains the oral mucosa in response to physiological stress.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e816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Jones, K.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clonal analysis and single-cell transcriptomics reveal division kinetics, hierarchy, and fate of oral epithelial progenitor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e188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Willberg, J., Syrjanen, S., Hormia, M. Junctional epithelium in rats is characterized by slow cell proliferation. </w:t>
      </w:r>
      <w:r>
        <w:rPr>
          <w:rFonts w:ascii="Calibri" w:hAnsi="Calibri" w:cs="Calibri" w:eastAsia="Calibri"/>
          <w:i/>
          <w:color w:val="auto"/>
          <w:spacing w:val="0"/>
          <w:position w:val="0"/>
          <w:sz w:val="24"/>
          <w:shd w:fill="auto" w:val="clear"/>
        </w:rPr>
        <w:t xml:space="preserve">Journal of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Tanaka,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stem cells that maintain and regenerate lingual keratinized epithelial cells.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Compton,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Skin regenerated from cultured epithelial autografts on full-thickness burn wounds from 6 days to 5 years after grafting. A light, electron microscopic and immunohistochemical study.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Gallico, G. G., 3rd, O'Connor, N. E., Compton, C. C., Kehinde, O., Green, H. Permanent coverage of large burn wounds with autologous cultured human epithelium.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(7),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Guo,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Building a microphysiological skin model from induced pluripotent stem cells. </w:t>
      </w:r>
      <w:r>
        <w:rPr>
          <w:rFonts w:ascii="Calibri" w:hAnsi="Calibri" w:cs="Calibri" w:eastAsia="Calibri"/>
          <w:i/>
          <w:color w:val="auto"/>
          <w:spacing w:val="0"/>
          <w:position w:val="0"/>
          <w:sz w:val="24"/>
          <w:shd w:fill="auto" w:val="clear"/>
        </w:rPr>
        <w:t xml:space="preserve">Stem Cell Research &amp;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Suppl 1</w:t>
      </w:r>
      <w:r>
        <w:rPr>
          <w:rFonts w:ascii="Calibri" w:hAnsi="Calibri" w:cs="Calibri" w:eastAsia="Calibri"/>
          <w:color w:val="auto"/>
          <w:spacing w:val="0"/>
          <w:position w:val="0"/>
          <w:sz w:val="24"/>
          <w:shd w:fill="auto" w:val="clear"/>
        </w:rPr>
        <w:t xml:space="preserve">, S2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Oconnor, N. E., Mulliken, J. B., Banksschlegel, S., Kehinde, O., Green, H. Grafting of burns with cultured epithelium prepared from autologous epidermal-cells.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(8211),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Hennings,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Calcium regulation of growth and differentiation of mouse epidermal cells in culture.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Caldelari, R., Suter, M. M., Baumann, D., De Bruin, A., Muller, E. Long-term culture of murine epidermal keratinocytes.</w:t>
      </w:r>
      <w:r>
        <w:rPr>
          <w:rFonts w:ascii="Calibri" w:hAnsi="Calibri" w:cs="Calibri" w:eastAsia="Calibri"/>
          <w:i/>
          <w:color w:val="auto"/>
          <w:spacing w:val="0"/>
          <w:position w:val="0"/>
          <w:sz w:val="24"/>
          <w:shd w:fill="auto" w:val="clear"/>
        </w:rPr>
        <w:t xml:space="preserv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 1064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Lichti, U., Anders, J., Yuspa, S. H. Isolation and short-term culture of primary keratinocytes, hair follicle populations and dermal cells from newborn mice and keratinocytes from adult mice for in vitro analysis and for grafting to immunodeficient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Yano, S., Okochi, H. Long-term culture of adult murine epidermal keratinocytes. </w:t>
      </w:r>
      <w:r>
        <w:rPr>
          <w:rFonts w:ascii="Calibri" w:hAnsi="Calibri" w:cs="Calibri" w:eastAsia="Calibri"/>
          <w:i/>
          <w:color w:val="auto"/>
          <w:spacing w:val="0"/>
          <w:position w:val="0"/>
          <w:sz w:val="24"/>
          <w:shd w:fill="auto" w:val="clear"/>
        </w:rPr>
        <w:t xml:space="preserve">British Journal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Iglesias-Bartolome,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Transcriptional signature primes human oral mucosa for rapid wound healing.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Papagerakis,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Oral epithelial stem cells - implications in normal development and cancer metastasis.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Szpaderska, A. M., Zuckerman, J. D., DiPietro, L. A. Differential injury responses in oral mucosal and cutaneous wounds.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(8), 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Positional differences in the wound transcriptome of skin and oral mucosa.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Chen, L., Gajendrareddy, P. K., DiPietro, L. A. Differential expression of HIF-1alpha in skin and mucosal wounds.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(9),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Simoes,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microRNA profile underlies the divergent healing responses in skin and oral mucosal wounds.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7160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Turabelidze,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Intrinsic differences between oral and skin keratinocytes.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e101480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Aasen, T., Izpisua Belmonte, J. C. Isolation and cultivation of human keratinocytes from skin or plucked hair for the generation of induced pluripotent stem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Izumi, K., Tobita, T., Feinberg, S. E. Isolation of human oral keratinocyte progenitor/stem cells.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Liu,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simplified and efficient method to isolate primary human keratinocytes from adult skin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Hatakeyama,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of gingival epithelial cell lines from transgenic mice harboring temperature sensitive simian virus 40 large T-antigen gene. </w:t>
      </w:r>
      <w:r>
        <w:rPr>
          <w:rFonts w:ascii="Calibri" w:hAnsi="Calibri" w:cs="Calibri" w:eastAsia="Calibri"/>
          <w:i/>
          <w:color w:val="auto"/>
          <w:spacing w:val="0"/>
          <w:position w:val="0"/>
          <w:sz w:val="24"/>
          <w:shd w:fill="auto" w:val="clear"/>
        </w:rPr>
        <w:t xml:space="preserve">Journal of Oral Pathology &amp;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Ookura,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Fibroblast and epidermal growth factors modulate proliferation and neural cell adhesion molecule expression in epithelial cells derived from the adult mouse tongue. </w:t>
      </w:r>
      <w:r>
        <w:rPr>
          <w:rFonts w:ascii="Calibri" w:hAnsi="Calibri" w:cs="Calibri" w:eastAsia="Calibri"/>
          <w:i/>
          <w:color w:val="auto"/>
          <w:spacing w:val="0"/>
          <w:position w:val="0"/>
          <w:sz w:val="24"/>
          <w:shd w:fill="auto" w:val="clear"/>
        </w:rPr>
        <w:t xml:space="preserve">In Vitro Cellular &amp; Developmental Biology - Animal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Parikh, N., Nagarajan, P., Sei-ichi, M., Sinha, S., Garrett-Sinha, L. A. Isolation and characterization of an immortalized oral keratinocyte cell line of mouse origin.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 1091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Brennan, J. K., Mansky, J., Roberts, G., Lichtman, M. A. Improved methods for reducing calcium and magnesium concentrations in tissue culture medium: application to studies of lymphoblast proliferation in vitro.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Cerqueira, M. T., Frias, A. M., Reis, R. L., Marques, A. P. Interfollicular epidermal stem cells: boosting and rescuing from adult skin.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