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Burn Injury-induced Pain and Depression-Like Behavior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Jae-Gyun Choi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Dong-Wook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Jaehyuk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Miae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Sheu-Ran Choi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Jin Bong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Hyun-Woo Kim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and Medical Science, College of Medicine and Brain Research Institute, Chungnam National University, Daejeon 35015,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Pharmacology, Catholic Kwandong University College of Medicine, Gangneung 25601, South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Jae-Gyun Choi</w:t>
        <w:tab/>
        <w:tab/>
        <w:t xml:space="preserve">(godnworbs@o.cnu.ac.kr)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Dong-Wook Kang</w:t>
        <w:tab/>
        <w:t xml:space="preserve">(ehddy1313@o.cnu.ac.kr)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Jaehyuk Kim</w:t>
        <w:tab/>
        <w:tab/>
        <w:t xml:space="preserve">(kimjaegur08@o.cnu.ac.kr)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Miae Lee</w:t>
        <w:tab/>
        <w:tab/>
        <w:t xml:space="preserve">(miae@cnu.ac.kr)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Sheu-Ran Choi</w:t>
        <w:tab/>
        <w:tab/>
        <w:t xml:space="preserve">(srchoi@cku.ac.kr)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Bong Park</w:t>
        <w:tab/>
        <w:tab/>
        <w:t xml:space="preserve">(jinbong@cnu.ac.kr)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Hyun-Woo Kim</w:t>
        <w:tab/>
        <w:t xml:space="preserve">(kim0827@cnu.ac.kr)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Hyun-Woo Kim</w:t>
        <w:tab/>
        <w:t xml:space="preserve">(kim0827@cnu.ac.kr)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transient scald injury (65 &amp;#176;C &amp;plusmn; 0.5 &amp;#176;C, 3 s) of one hind paw decreases the threshold (g) to von Frey filament stimulation of the ipsilateral side and alters gait pattern. Besides, burn injury induces depression-like behavior in the forced swimming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Scalding water is the most common cause of burn injury in both elderly and young populations. It is one of the major clinical challenges because of the high mortality and sequelae in low- and middle-income countries. Burns frequently induce intense spontaneous pain and persistent allodynia as well as life-threatening problem. More importantly, excessive pain is often accompanied by depression, which may significantly decrease the quality of life. This article shows how to develop an animal model for the study of burn-induced pain and depression-like behavior. After anesthesia, burn injury was induced by dipping one hind paw of the mouse into hot water (65 &amp;#176;C &amp;plusmn; 0.5 &amp;#176;C) for 3 s. The von Frey test and automated gait analysis were performed every 2 days after burn injury. In addition, depression-like behavior was examined using the forced swimming test, and the rota-rod test was performed to differentiate the abnormal motor function after burn injury. The main purpose of this study is to describe the development of an animal model for the study of burn injury-induced pain and depression-like behavior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damage, such as burn and trauma, is generally associated with the co-occurrence of acute pain. Burn injuries and trauma-related symptoms are an estimated 1,80,000 deaths every year are caused by burns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vast majority occur in low- and middle-income countries from different types of burns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According to a worldwide report, burns are common in children and account for about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hospitalized patients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specific injuries are even more serious as they can occur in everyday life, such as boiling or bathing water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Although acute pain can be resolved spontaneously after recovery from tissue damage in most cases, it may be possible to become chronic due to abnormal changes in the nervous system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it has been suggested that acute pain can induce a depressed mood, and chronic pain can cause anxiety and depression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coexistence of pain and depression makes it more difficult to treat the patient. Depression also tends to increase pain sensitivity, which is likely to induce more intense depression and pain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Complications of pain and depression are shown in animal models of peripheral inflammation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detailed mechanisms underlying pain-induced depression are not well known until now</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Thus, it is necessary to develop more effective treatments for burns to alleviate the side effects and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present study was designed to develop an animal model to study burn injury-induced acute pain and depression-like behavior in mice. For this, burn injury-related abnormal tactile sensitivity, altered gait pattern, and depression-like behavior were measured. In addition, this study attempts to validate the model using NSAIDs.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were reviewed and approved by the Institutional Animal Care and Use Committee at Chungnam National University in South Korea, and then conducted based on the ethical guidelines of the International Association for the Study of Pain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Induction of scalding burn injury on the hind paw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House the male ICR mice weighing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g in light and temperature-controlled room (12/12 h light-dark cycle, 22.5 &amp;#176;C &amp;plusmn; 2.5 &amp;#176;C) with a humidity of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Allow the animal free access to food and water, and acclimatize for at least 1 week before starting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animals were group-housed to exclude variables such as isolation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Assign the mice randomly to the experimental or control group and conduct blind experiments using animal numbers as codes.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 the day of burn induction, anesthetize the mouse by intraperitoneal (i.p.) injection of 300 &amp;#181;L of alfaxalone at a dose of 10 mg/kg. </w:t>
      </w:r>
      <w:r>
        <w:rPr>
          <w:rFonts w:ascii="Calibri" w:hAnsi="Calibri" w:cs="Calibri" w:eastAsia="Calibri"/>
          <w:color w:val="auto"/>
          <w:spacing w:val="0"/>
          <w:position w:val="0"/>
          <w:sz w:val="24"/>
          <w:shd w:fill="FFFF00" w:val="clear"/>
        </w:rPr>
        <w:t xml:space="preserve">Wear a surgical gown, gloves, and mask while performing the burn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After deeply anesthetizing the mouse, disinfect around the right hind paw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lack of response to pinch stimulation applied to the hind toes or tail to confirm the state of deep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Apply an ophthalmic ointment to the eyes to prevent corneal drying after induction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Immerse the right hind paw of the deeply anesthetized mouse in hot water at 65 &amp;#176;C &amp;plusmn; 0.5 &amp;#176;C for 3 s. Make a mark on the ankle of each mouse before immersing the hind paw in hot water to maintain consistency in the burned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After induction of burns, bring the mice in a clean home cage and place them on a heating pad until the animals recover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analgesic agent, acetaminophen (200 mg/kg), was administered intraperitoneally once daily for 7 days starting from the day of burn injury (Only Burn + Acetaminophen group). The Burn group was treated with saline as vehicle control. The experiment was performed according to the method described in a previous study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Measurement of mechanical allodynia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Bring the mice to the behavioral testing room and let them acclimatize at least for 30 min prior to the test. Wear a surgical gown, gloves, and mask while performing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mice into a square box (diameter: 13 cm, height: 12 cm) on a metal mesh floor (mesh size: 0.7 cm x 0.7 cm) and let them acclimatize for at least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Assess the mechanical threshold of the hind paw using the ascending stimulus method</w:t>
      </w:r>
      <w:r>
        <w:rPr>
          <w:rFonts w:ascii="Calibri" w:hAnsi="Calibri" w:cs="Calibri" w:eastAsia="Calibri"/>
          <w:color w:val="auto"/>
          <w:spacing w:val="0"/>
          <w:position w:val="0"/>
          <w:sz w:val="24"/>
          <w:shd w:fill="FFFF00" w:val="clear"/>
          <w:vertAlign w:val="superscript"/>
        </w:rPr>
        <w:t xml:space="preserve">19,20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Gently poke a series of von Frey filaments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s intervals to stimulate the hind plantar. Obtain the baseline values on the day before burn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0.16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 g von Frey filaments were used in the test to measure the paw withdrawal threshold in all animals, respectively. The paw withdrawal response test was started with the lowest bending force of von Frey filament (0.16 g in this protocol). If there was no response, then a filament with the next bending force was applied.</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 five trials to evaluate mechanical thresholds for each ipsilateral (injured) hind paw.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bending force of von Frey filament that produces response more than three times of the five trials in each animal was expressed as paw withdrawal threshold (PWT, g). Mechanical thresholds were measured a day before and at 1, 3, 5, and 7 days after burn injury. Analgesic effect was assessed 1 h after administration of the acetaminophen in the animal.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Automated gait analysis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Acclimate the mice in the gait analysis system once daily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from 5 days before the burn injury. Wear a surgical gown, gloves, and mask while performing gait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the day of the test, bring the mice to the behavioral test room and acclimatize them for at least 30 min before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Perform acclimation and gait analysis tests in a dark environment. Set the conditions of the program menu as follows.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After running the program, click on the </w:t>
      </w:r>
      <w:r>
        <w:rPr>
          <w:rFonts w:ascii="Calibri" w:hAnsi="Calibri" w:cs="Calibri" w:eastAsia="Calibri"/>
          <w:b/>
          <w:color w:val="auto"/>
          <w:spacing w:val="0"/>
          <w:position w:val="0"/>
          <w:sz w:val="24"/>
          <w:shd w:fill="FFFF00" w:val="clear"/>
        </w:rPr>
        <w:t xml:space="preserve">Create New Experiment</w:t>
      </w:r>
      <w:r>
        <w:rPr>
          <w:rFonts w:ascii="Calibri" w:hAnsi="Calibri" w:cs="Calibri" w:eastAsia="Calibri"/>
          <w:color w:val="auto"/>
          <w:spacing w:val="0"/>
          <w:position w:val="0"/>
          <w:sz w:val="24"/>
          <w:shd w:fill="FFFF00" w:val="clear"/>
        </w:rPr>
        <w:t xml:space="preserve"> menu to designate the folder to save the data.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After designation, set the maximum running time to 5 s and maximum allowed speed variations to 50%.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Select a registered camera and set the walkway length to 30 cm in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of the program.</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On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tab of the program menu, select </w:t>
      </w:r>
      <w:r>
        <w:rPr>
          <w:rFonts w:ascii="Calibri" w:hAnsi="Calibri" w:cs="Calibri" w:eastAsia="Calibri"/>
          <w:b/>
          <w:color w:val="auto"/>
          <w:spacing w:val="0"/>
          <w:position w:val="0"/>
          <w:sz w:val="24"/>
          <w:shd w:fill="FFFF00" w:val="clear"/>
        </w:rPr>
        <w:t xml:space="preserve">Open Acquisition</w:t>
      </w:r>
      <w:r>
        <w:rPr>
          <w:rFonts w:ascii="Calibri" w:hAnsi="Calibri" w:cs="Calibri" w:eastAsia="Calibri"/>
          <w:color w:val="auto"/>
          <w:spacing w:val="0"/>
          <w:position w:val="0"/>
          <w:sz w:val="24"/>
          <w:shd w:fill="FFFF00"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Based on the status messages, click on the </w:t>
      </w:r>
      <w:r>
        <w:rPr>
          <w:rFonts w:ascii="Calibri" w:hAnsi="Calibri" w:cs="Calibri" w:eastAsia="Calibri"/>
          <w:b/>
          <w:color w:val="auto"/>
          <w:spacing w:val="0"/>
          <w:position w:val="0"/>
          <w:sz w:val="24"/>
          <w:shd w:fill="FFFF00" w:val="clear"/>
        </w:rPr>
        <w:t xml:space="preserve">Snap Background</w:t>
      </w:r>
      <w:r>
        <w:rPr>
          <w:rFonts w:ascii="Calibri" w:hAnsi="Calibri" w:cs="Calibri" w:eastAsia="Calibri"/>
          <w:color w:val="auto"/>
          <w:spacing w:val="0"/>
          <w:position w:val="0"/>
          <w:sz w:val="24"/>
          <w:shd w:fill="FFFF00" w:val="clear"/>
        </w:rPr>
        <w:t xml:space="preserve"> button to acquire a background image of an empty walkway.</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Click on the </w:t>
      </w:r>
      <w:r>
        <w:rPr>
          <w:rFonts w:ascii="Calibri" w:hAnsi="Calibri" w:cs="Calibri" w:eastAsia="Calibri"/>
          <w:b/>
          <w:color w:val="auto"/>
          <w:spacing w:val="0"/>
          <w:position w:val="0"/>
          <w:sz w:val="24"/>
          <w:shd w:fill="FFFF00" w:val="clear"/>
        </w:rPr>
        <w:t xml:space="preserve">Start Acquisition</w:t>
      </w:r>
      <w:r>
        <w:rPr>
          <w:rFonts w:ascii="Calibri" w:hAnsi="Calibri" w:cs="Calibri" w:eastAsia="Calibri"/>
          <w:color w:val="auto"/>
          <w:spacing w:val="0"/>
          <w:position w:val="0"/>
          <w:sz w:val="24"/>
          <w:shd w:fill="FFFF00" w:val="clear"/>
        </w:rPr>
        <w:t xml:space="preserve"> button, and then place the mouse at the entrance of the left-right traversable walkway. The recording will automatically start following the free movement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animal’s gait has been successfully recorded and all footsteps have been detected, it will be marked as Compliant Run with a green icon. If the software does not detect any footsteps, a red icon is displayed, in which case it is recommended to perform the recording again. The authors recommend collecting and analyzing at least five successful compliant runs performed with similar running speeds.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On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tab of the program menu, select </w:t>
      </w:r>
      <w:r>
        <w:rPr>
          <w:rFonts w:ascii="Calibri" w:hAnsi="Calibri" w:cs="Calibri" w:eastAsia="Calibri"/>
          <w:b/>
          <w:color w:val="auto"/>
          <w:spacing w:val="0"/>
          <w:position w:val="0"/>
          <w:sz w:val="24"/>
          <w:shd w:fill="FFFF00" w:val="clear"/>
        </w:rPr>
        <w:t xml:space="preserve">Classify Runs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selecting the data obtained from the successful compliance run above, go to the video analysis screen where the gait patterns of the mice were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Select the run to be analyzed and click on the </w:t>
      </w:r>
      <w:r>
        <w:rPr>
          <w:rFonts w:ascii="Calibri" w:hAnsi="Calibri" w:cs="Calibri" w:eastAsia="Calibri"/>
          <w:b/>
          <w:color w:val="auto"/>
          <w:spacing w:val="0"/>
          <w:position w:val="0"/>
          <w:sz w:val="24"/>
          <w:shd w:fill="FFFF00" w:val="clear"/>
        </w:rPr>
        <w:t xml:space="preserve">Auto Classify</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performing automatic classification, remove nose, genital recognition, and the misrecognition of paws to junk data in each run, and then analyze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statistical parameters are automatically analyzed and saved in the program, and raw data values can be found in the experimenter’s analysis menu. Automatic gait analysis was performed before and at 1, 3, 5, and 7 days after burn injury. The evaluation was performed 30 min after acetaminophen administration in the Burn + Acetaminophen group and 30 min after saline treatment in the Burn group. This experiment was performed according to the method described in the previous studies</w:t>
      </w:r>
      <w:r>
        <w:rPr>
          <w:rFonts w:ascii="Calibri" w:hAnsi="Calibri" w:cs="Calibri" w:eastAsia="Calibri"/>
          <w:color w:val="auto"/>
          <w:spacing w:val="0"/>
          <w:position w:val="0"/>
          <w:sz w:val="24"/>
          <w:shd w:fill="auto" w:val="clear"/>
          <w:vertAlign w:val="superscript"/>
        </w:rPr>
        <w:t xml:space="preserve">4,21,22</w:t>
      </w:r>
      <w:r>
        <w:rPr>
          <w:rFonts w:ascii="Calibri" w:hAnsi="Calibri" w:cs="Calibri" w:eastAsia="Calibri"/>
          <w:color w:val="auto"/>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Measurement of depression-like behavior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Despair-based behavior, immobility time in the water was measured by the forced swimming test.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1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Bring the mice to the behavioral test room and acclimatize them for at least 30 min before the test. Wear a surgical gown, gloves, and mask while performing the forced swimming test.</w:t>
      </w:r>
    </w:p>
    <w:p>
      <w:pPr>
        <w:spacing w:before="0" w:after="0" w:line="240"/>
        <w:ind w:right="0" w:left="0" w:firstLine="16"/>
        <w:jc w:val="both"/>
        <w:rPr>
          <w:rFonts w:ascii="Calibri" w:hAnsi="Calibri" w:cs="Calibri" w:eastAsia="Calibri"/>
          <w:color w:val="auto"/>
          <w:spacing w:val="0"/>
          <w:position w:val="0"/>
          <w:sz w:val="24"/>
          <w:shd w:fill="FFFF00" w:val="clear"/>
        </w:rPr>
      </w:pPr>
    </w:p>
    <w:p>
      <w:pPr>
        <w:spacing w:before="0" w:after="0" w:line="240"/>
        <w:ind w:right="0" w:left="0" w:firstLine="1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Put the mouse into a clear plexiglass cylinder (10 cm x 25 cm) containing 15 cm of water (25 &amp;#176;C &amp;plusmn; 0.5 &amp;#176;C) for 15 min.</w:t>
      </w:r>
    </w:p>
    <w:p>
      <w:pPr>
        <w:spacing w:before="0" w:after="0" w:line="240"/>
        <w:ind w:right="0" w:left="0" w:firstLine="16"/>
        <w:jc w:val="both"/>
        <w:rPr>
          <w:rFonts w:ascii="Calibri" w:hAnsi="Calibri" w:cs="Calibri" w:eastAsia="Calibri"/>
          <w:color w:val="auto"/>
          <w:spacing w:val="0"/>
          <w:position w:val="0"/>
          <w:sz w:val="24"/>
          <w:shd w:fill="FFFF00" w:val="clear"/>
        </w:rPr>
      </w:pPr>
    </w:p>
    <w:p>
      <w:pPr>
        <w:spacing w:before="0" w:after="0" w:line="240"/>
        <w:ind w:right="0" w:left="0" w:firstLine="1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24 h, put the mouse into the cylinder of the same conditions and measure the immobility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6"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Immobility time was measured for 5 min of test time, and the time whenever mice stopped climbing or swimming and just floated to keep their head above the water surface was recorded. The forced swimming test was performed on day 7 after the burn injury. The evaluation was performed 1 h after acetaminophen administration in the Burn + Acetaminophen group, and 1 h after saline treatment in the Burn group. The experiment was performed according to the method described in previous studies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Measurement of normal motor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rota-rod test was performed to differentiate the abnormal motor function after burn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Bring the mice to the behavioral test room and acclimatize them for at least 30 min before the test. Wear a surgical gown, gloves, and mask while performing the forced swimming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animals on a rolling cylindrical platform (5.7 cm wide; 3 cm diameter) suspended 16 cm above the bottom of the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Allow each animal to train once a day on a rota-rod for at least 5 days prior to induction of burn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Perform the rota-rod test every 20 min for 2 h after drug administration. Set the cut-off time to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Measure the duration of time the mouse runs on a rotating rod at the constant speed of 15 revolutions per minute without falling.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rota-rod test was performed 7 days after the induction of burn injury. The evaluation was performed immediately after acetaminophen administration in the Burn + Acetaminophen group and after saline treatment in the Burn group. Alfaxalone was used as a positive control for experimentally treated drugs in this test. During the rotarod test, the duration of time the mouse runs on the rotating rod without falling is measured. The experiment was performed according to the method described in previous studies</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minimize animal suffering and reduce the number of animals used per the Three Rs (Replacement, Reduction, and Refinement) guidelines, this study was designed with the minimum number of animals for the collection of significant data established through preliminary experiment. In this study, behavioral experiments were independently conducted twice as follows. The gait analysis, mechanical allodynia, and depression-like behavior tests were conducted with Control (n = 5), Burn (n = 7; vehicle control; saline), and Burn + Acetaminophen (n = 7) groups. In the rota-rod test, Control (n = 3), Burn (n = 4; vehicle control; saline), Burn + Acetaminophen (n = 4), Positive control (n = 4; Alfaxalone) groups were designed. Alfaxalone is a type of neuroactive steroid and anesthetic that is currently used in veterinary medicine as an injectable general anesthetic inducer. In this study, alfaxalone was used in animal anesthesia for burn induction and used as a positive control drug for motor impairments in the rota-rod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were expressed as mean &amp;plusmn; S.E.M. In addition, experimental data obtained at different times were analyzed independently. Pain behavioral responses were calculated as the area under the curve (AUC). Two-way repeated measures ANOVA was performed to determine differences in the data from mechanical allodynia test, gait analysis, and rota-rod test over time. Dunnett’s test was used for Post-hoc analysis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among the experimental groups. Immobility time data obtained from the forced swimming test was analyzed using the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the two means.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less than 0.05 were considered significant. GraphPad Prism 6.0 software was used to analyze this statistical validity. All statistical analysis procedures were performed blindly in relation to the experimental conditions. A figure illustrating the burn injury-induced tissue damage is shown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Time-course changes in the paw withdrawal threshold (PWT, g) after burn injury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PWT (g) of burn injury-induced mice was decreased 1 day after burn-induction and sustained for 7 days compared with that of the control group. Acetaminophen administration (200 mg/kg, i.p., once daily for 7 days starting from the day of burn-induction) significantly reduced the burn-induced decrease in PWT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 p &amp;lt; 0.01 versus Burn group). In addition, the AUC analysis (for 7 days) showed that acetaminophen administration significantly decreased the burn injury-induced mechanical allodynia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 p &amp;lt; 0.001 versus Control group, ** p &amp;lt; 0.01 versus Burn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the hind paw print area after burn injury over time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Burn injury significantly reduced the ipsilateral hind paw print area from the day after induction and persisted for 7 days. The hind paw print area was significantly improved by administering acetaminophen (200 mg/kg, i.p., once daily for 7 days starting from the day of burn-induction) compared with the vehicle-treated group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p &amp;lt; 0.05 and ** p &amp;lt; 0.01 versus Burn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course changes in a single stance after burn injury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Burn injury reduced the single stance (%) of the ipsilateral hind paw 1 day after burn-induction, and this reduction was maintained for 7 days. The hind paw single stance was improved by acetaminophen administration (200 mg/kg, i.p., once daily for 7 days starting from the day of burn-induction) compared with the vehicle-treated group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 p &amp;lt; 0.05 versus Burn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the immobility time obtained from the forced swimming test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Immobility times of the burn injury-induced mice were increased 7 days after burn induction as compared with that of the control group. In burn injury-induced mice, acetaminophen administration (200 mg/kg, i.p., once daily for 7 days starting from the day of burn induction) significantly reduced the burn injury-induced increase in immobility time (** p &amp;lt; 0.01 and *** p &amp;lt; 0.001 versus Burn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normal motor function was assessed based on the changes in running time on the rota-rod,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Running times of the burn injury-induced mice did not change at 7 days after burn induction compared with that of the control group. By contrast, the running times of alfaxalone-treated mice (positive control) were significantly decreased during about 60 min. This result indicates that a burn injury used in this study does not cause motor impairment (*** p &amp;lt; 0.001 versus Burn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Mechanical allodynia assessed by von Frey test in burn injury-induced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paw withdrawal threshold (PWT, g) in the ipsilateral hind paw of mice was decreased 1 day after burn injury and sustained for 7 days as compared with the Control group. Acetaminophen administration (200 mg/kg, i.p., once daily for 7 days starting from the day of burn induction) significantly reduced the burn injury-induced mechanical allodynia.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PWT was analyzed as the area under the curve (AUC). Arrows indicate the day of drug administration. *** p &amp;lt; 0.001 versus Control group, ** p &amp;lt; 0.01 versus Burn group. Two-way repeated measures ANOVA was performed to determine overall effects in the time-course of the von Frey test. Post-hoc analysis was performed using Dunnett’s test in order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Paw print area obtained from automated gait analysis in burn injury-induced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both the ipsilateral and contralateral hind paws of mice were captured by the gait analysis software. The contact size of the paw is reduced after burn injury compared to that of the Control group. This reduction was partially recovered by administering acetaminophen (200 mg/kg, i.p., once daily for 7 days starting from the day of burn induction). White rectangles indicate the hind paws analyzed by the software,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graph shows the time course changes in the paw print area (%). Data are calculated as the percent of changes in the print area between the ipsilateral (right) and contralateral (left) hind paws (e.g., the value of 50% indicates the same paw print areas in the right and left hind paws). Arrows indicate the day of drug administration. * p &amp;lt; 0.05 and ** p &amp;lt; 0.01 versus Burn group. Two-way repeated measures ANOVA was performed to determine overall effects in the time-course of the print area on gait analysis. Post-hoc analysis was performed using Dunnett’s test in order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Single stance obtained from automated gait analysis in burn injury-induced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a single stance were captured by the gait analysis software. Different colors indicated the stance of each paw: blue, right front paw; pink, right hind paw; yellow, left front paw; green, left hind paw. The single stance of the ipsilateral hind paw was shortened after burn injury. This change was partially recovered by administering acetaminophen (200 mg/kg, i.p., once daily for 7 days starting from the day of burn induction).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graph shows time-course changes in the single stance (%). Data are summarized as a line graph after calculating the percent of changes in single stance between the ipsilateral (right) and contralateral (left) hind paws (e.g., the value of 50% indicates the same single stance in the right and left hind paws). Arrows indicate the day of drug administration. * p &amp;lt; 0.05 versus Burn group. Two-way repeated measures ANOVA was performed to determine overall effects in the time-course of single stance on gait analysis. Post-hoc analysis was performed using Dunnett’s test in order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immobility time of the forced swimming test in burn injury-induced mice</w:t>
      </w:r>
      <w:r>
        <w:rPr>
          <w:rFonts w:ascii="Calibri" w:hAnsi="Calibri" w:cs="Calibri" w:eastAsia="Calibri"/>
          <w:color w:val="auto"/>
          <w:spacing w:val="0"/>
          <w:position w:val="0"/>
          <w:sz w:val="24"/>
          <w:shd w:fill="auto" w:val="clear"/>
        </w:rPr>
        <w:t xml:space="preserve">. Immobility times of the burn injury-induced mice were increased 7 days after burn induction as compared with that of the Control group. In burn injury-induced mice, acetaminophen administration (200 mg/kg, i.p., once daily for 7 days starting from the day of burn induction) significantly alleviated burn injury-induced enhanced immobility time.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 &amp;lt; 0.001 versus Control group, ** p &amp;lt; 0.01 versus Burn group. One-way repeated measures ANOVA was  performed to determine overall effects in the time-course of the forced swimming test. Post-hoc analysis was performed using Dunnett’s test in order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normal motor function assessment based on the changes in running time of the rota-rod test in burn injury-induced mice.</w:t>
      </w:r>
      <w:r>
        <w:rPr>
          <w:rFonts w:ascii="Calibri" w:hAnsi="Calibri" w:cs="Calibri" w:eastAsia="Calibri"/>
          <w:color w:val="auto"/>
          <w:spacing w:val="0"/>
          <w:position w:val="0"/>
          <w:sz w:val="24"/>
          <w:shd w:fill="auto" w:val="clear"/>
        </w:rPr>
        <w:t xml:space="preserve"> There was no change in running times of the burn injury-induced mice at 7 days after burn induction as compared with those of Control and acetaminophen-treated burn injury groups. However, the running time of alfaxalone-treated mice (Positive control) was significantly decreased to ~60 s. This result indicates that a burn injury used in this study does not cause motor impairment.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 &amp;lt; 0.001 versus Burn group. Two-way repeated measures ANOVA was performed to determine overall effects in the time-course of the rota-rod test. Post-hoc analysis was performed using Dunnett’s test in order to determine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Changes in tissue damage over time after induction of burns.</w:t>
      </w:r>
      <w:r>
        <w:rPr>
          <w:rFonts w:ascii="Calibri" w:hAnsi="Calibri" w:cs="Calibri" w:eastAsia="Calibri"/>
          <w:color w:val="auto"/>
          <w:spacing w:val="0"/>
          <w:position w:val="0"/>
          <w:sz w:val="24"/>
          <w:shd w:fill="auto" w:val="clear"/>
        </w:rPr>
        <w:t xml:space="preserve"> After the scalding burn induction, significant tissue damage was observed, which increased gradually over time. In this study, Acetaminophen, used as a positive control drug, has shown a protective effect on tissue damages.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scalding burn is a kind of thermal burn that is caused by heated liquids. It has been suggested that first- or second-degree burns occur in most cases, but long-term contact with heat sources can cause third-degree burns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present study, burn injury was induced by exposing the right hind paw of mice into hot water at 65 &amp;#176;C for 3 s</w:t>
      </w:r>
      <w:r>
        <w:rPr>
          <w:rFonts w:ascii="Calibri" w:hAnsi="Calibri" w:cs="Calibri" w:eastAsia="Calibri"/>
          <w:color w:val="auto"/>
          <w:spacing w:val="0"/>
          <w:position w:val="0"/>
          <w:sz w:val="24"/>
          <w:shd w:fill="auto" w:val="clear"/>
          <w:vertAlign w:val="superscript"/>
        </w:rPr>
        <w:t xml:space="preserve">4,26</w:t>
      </w:r>
      <w:r>
        <w:rPr>
          <w:rFonts w:ascii="Calibri" w:hAnsi="Calibri" w:cs="Calibri" w:eastAsia="Calibri"/>
          <w:color w:val="auto"/>
          <w:spacing w:val="0"/>
          <w:position w:val="0"/>
          <w:sz w:val="24"/>
          <w:shd w:fill="auto" w:val="clear"/>
        </w:rPr>
        <w:t xml:space="preserve">. Tissue damage was detected in the burn-injured paw, which shows common symptoms of burns such as redness, peeling of the skin, and swelling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allodynia measurement is a commonly used pain response identification method in animal pain models and was measured using von-Frey filaments in this study. The ascending stimulus method with the von Frey filaments is used to determine the mechanical threshold required to induce an animal’s paw withdrawal response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 experiment started with the filament with the least stimulus. The bending force of the filament responding to a set number (three times in this protocol) was obtained as a paw withdrawal threshold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 analysis of rodents during free walking is used to study Parkinson’s disease or limb movements and position changes in sensory-motor impairment models, including spinal cord injury and stroke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gait analysis system automatically analyzes various gait parameters, including paw intensity, paw print, stance phase, etc. Alterations of parameters that the gait analysis system can analyze can be used as pain-related indicators in the gait analysis of pain animal models. Therefore, gait analysis may be used as an experimental method to non-invasively quantify spontaneous pain in animal models</w:t>
      </w:r>
      <w:r>
        <w:rPr>
          <w:rFonts w:ascii="Calibri" w:hAnsi="Calibri" w:cs="Calibri" w:eastAsia="Calibri"/>
          <w:color w:val="auto"/>
          <w:spacing w:val="0"/>
          <w:position w:val="0"/>
          <w:sz w:val="24"/>
          <w:shd w:fill="auto" w:val="clear"/>
          <w:vertAlign w:val="superscript"/>
        </w:rPr>
        <w:t xml:space="preserve">4,21,22</w:t>
      </w:r>
      <w:r>
        <w:rPr>
          <w:rFonts w:ascii="Calibri" w:hAnsi="Calibri" w:cs="Calibri" w:eastAsia="Calibri"/>
          <w:color w:val="auto"/>
          <w:spacing w:val="0"/>
          <w:position w:val="0"/>
          <w:sz w:val="24"/>
          <w:shd w:fill="auto" w:val="clear"/>
        </w:rPr>
        <w:t xml:space="preserve">. Based on previous findings that gait parameters were decreased on the pain-induced side in animal models of pain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this presented protocol quantified each gait parameter as the ratio of the burn-induced ipsilateral and contralateral side. In this protocol, paw print area and single stance data were converted into the rate of changes between ipsilateral (injured) and contralateral (non-injured) hind paws. The value of 50% means that the paw print size and the time to reach the floor are the same in both the ipsilateral and contralateral, while the value less than 50% indicates that these parameters are decreased in the burn-induced ipsilateral hind paw. The percentage changes between the ipsilateral and contralateral hind paws were used for obtaining all the data (i.e., normal mice showed ~50%, which means that the ipsilateral: contralateral ratio was 50:50). In normal animals, the parameters related to each hind limb appear the same on both sides when walking freely. However, the analysis of this protocol is focused on the fact that the parameters on the ipsilateral side decrease after pain induction. In addition, there is individual variation in each animal; accurate data may not be obtained when the raw data is analyzed as is. Therefore, each gait parameter value was converted into a ratio to obtain more accurate results during analysis. The present study has shown that the print area size and the single stance time of the ipsilateral hind paw were reduced after burn injury, and this reduction was restored by repeated intraperitoneal acetaminophen administration. These changes coincided with a similar pattern of time-course changes in pain behaviors after burn injury and drug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controversial, the forced swim test is the most commonly used method to study the behavior of depressed rodents. The animals attempt to escape from the container full of water but eventually do not move, inducing despair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it is argued that immobility is difficult to evaluate as a measure of depression because this test is associated with endurance as well as feelings of despair. To support the results of the forced swimming experiment, other methods of evaluating depression, such as the tail suspension test, novelty-suppressed feeding test, and sucrose consumption test, may be considered</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In the present study, immobilization time was increased after burn injury, and this increase was restored by acetaminophen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of this study were designed to establish a model of acute pain accompanying depression-like behavior after burn injury. The depression-like behavior in this study may be the secondary effects of physical impairment and changes in thermal sensitivity after burn injury</w:t>
      </w:r>
      <w:r>
        <w:rPr>
          <w:rFonts w:ascii="Calibri" w:hAnsi="Calibri" w:cs="Calibri" w:eastAsia="Calibri"/>
          <w:color w:val="auto"/>
          <w:spacing w:val="0"/>
          <w:position w:val="0"/>
          <w:sz w:val="24"/>
          <w:shd w:fill="auto" w:val="clear"/>
          <w:vertAlign w:val="superscript"/>
        </w:rPr>
        <w:t xml:space="preserve">15,32,33</w:t>
      </w:r>
      <w:r>
        <w:rPr>
          <w:rFonts w:ascii="Calibri" w:hAnsi="Calibri" w:cs="Calibri" w:eastAsia="Calibri"/>
          <w:color w:val="auto"/>
          <w:spacing w:val="0"/>
          <w:position w:val="0"/>
          <w:sz w:val="24"/>
          <w:shd w:fill="auto" w:val="clear"/>
        </w:rPr>
        <w:t xml:space="preserve">. The results could suggest that mice with induced acute pain after burn injury exhibited depression-like behavior. It has been shown to improve pain response and consequent depression-like behaviors by experimentally treated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rota-rod test is a performance test based on a rotational load that is generally forcibly applied to rodents with athletic activity. The test measures parameters such as running time and endurance. Some of the test features include, among others, the effects of an experimental drug or the balance of subjects in the neuropathic pain model, grip strength, and motor coordination assessment</w:t>
      </w:r>
      <w:r>
        <w:rPr>
          <w:rFonts w:ascii="Calibri" w:hAnsi="Calibri" w:cs="Calibri" w:eastAsia="Calibri"/>
          <w:color w:val="auto"/>
          <w:spacing w:val="0"/>
          <w:position w:val="0"/>
          <w:sz w:val="24"/>
          <w:shd w:fill="auto" w:val="clear"/>
          <w:vertAlign w:val="superscript"/>
        </w:rPr>
        <w:t xml:space="preserve">22,25,34</w:t>
      </w:r>
      <w:r>
        <w:rPr>
          <w:rFonts w:ascii="Calibri" w:hAnsi="Calibri" w:cs="Calibri" w:eastAsia="Calibri"/>
          <w:color w:val="auto"/>
          <w:spacing w:val="0"/>
          <w:position w:val="0"/>
          <w:sz w:val="24"/>
          <w:shd w:fill="auto" w:val="clear"/>
        </w:rPr>
        <w:t xml:space="preserve">. As shown in the results of this study, there was no change in the rota-rod running times following burn injury or acetaminophen treatment compared with that of the control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the development of an animal model for studying burn injury-induced pain and depression-like behavior in mice. In this regard, this study has shown that scalding burn injuries induced mechanical allodynia, alterations of gait parameters, and depression-like behavior such as immobility time. This model is suitable for research on the various aspects and outcomes of burn pain and its treatment and is expected to bring important information to this research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Chungnam National University and the National Research Foundation of Korea (NRF) grant funded by the government of Korea (NRF-2019R1A6A3A01093963 and NRF-2021R1F1A1062509).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Peck, M. D. Epidemiology of burns throughout the World. Part II: intentional burns in adults.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(2012).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Tracy, L. M., Cleland, H. Pain assessment following burn injury in Australia and New Zealand: Variation in practice and its association on in-hospital outcomes. </w:t>
      </w:r>
      <w:r>
        <w:rPr>
          <w:rFonts w:ascii="Calibri" w:hAnsi="Calibri" w:cs="Calibri" w:eastAsia="Calibri"/>
          <w:i/>
          <w:color w:val="auto"/>
          <w:spacing w:val="0"/>
          <w:position w:val="0"/>
          <w:sz w:val="24"/>
          <w:shd w:fill="auto" w:val="clear"/>
        </w:rPr>
        <w:t xml:space="preserve">Australasian Emergency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Montgomery, R. K. Pain management in burn injury. </w:t>
      </w:r>
      <w:r>
        <w:rPr>
          <w:rFonts w:ascii="Calibri" w:hAnsi="Calibri" w:cs="Calibri" w:eastAsia="Calibri"/>
          <w:i/>
          <w:color w:val="auto"/>
          <w:spacing w:val="0"/>
          <w:position w:val="0"/>
          <w:sz w:val="24"/>
          <w:shd w:fill="auto" w:val="clear"/>
        </w:rPr>
        <w:t xml:space="preserve">Critical Care Nursing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(2004).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Kang, D. W., Choi, J. G. Bee venom reduces burn-induced pain via the suppression of peripheral and central substance P expression in mice. </w:t>
      </w:r>
      <w:r>
        <w:rPr>
          <w:rFonts w:ascii="Calibri" w:hAnsi="Calibri" w:cs="Calibri" w:eastAsia="Calibri"/>
          <w:i/>
          <w:color w:val="auto"/>
          <w:spacing w:val="0"/>
          <w:position w:val="0"/>
          <w:sz w:val="24"/>
          <w:shd w:fill="auto" w:val="clear"/>
        </w:rPr>
        <w:t xml:space="preserve">Journal of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e9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Abdi, S., Zhou, Y. Management of pain after burn injury. </w:t>
      </w:r>
      <w:r>
        <w:rPr>
          <w:rFonts w:ascii="Calibri" w:hAnsi="Calibri" w:cs="Calibri" w:eastAsia="Calibri"/>
          <w:i/>
          <w:color w:val="auto"/>
          <w:spacing w:val="0"/>
          <w:position w:val="0"/>
          <w:sz w:val="24"/>
          <w:shd w:fill="auto" w:val="clear"/>
        </w:rPr>
        <w:t xml:space="preserve">Current Opinion in Anaesthesiology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(2002).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Ullrich, P. M., Askay, S. W. Pain, depression, and physical functioning following burn injury. </w:t>
      </w:r>
      <w:r>
        <w:rPr>
          <w:rFonts w:ascii="Calibri" w:hAnsi="Calibri" w:cs="Calibri" w:eastAsia="Calibri"/>
          <w:i/>
          <w:color w:val="auto"/>
          <w:spacing w:val="0"/>
          <w:position w:val="0"/>
          <w:sz w:val="24"/>
          <w:shd w:fill="auto" w:val="clear"/>
        </w:rPr>
        <w:t xml:space="preserve">Rehabilitation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(2009).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Patwa, S., Benson, C. A. Spinal cord motor neuron plasticity accompanies second-degree burn injury and chronic pain.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 e14288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Michaelides A, Zis P. Depression, anxiety and acute pain: links and management challenges. </w:t>
      </w:r>
      <w:r>
        <w:rPr>
          <w:rFonts w:ascii="Calibri" w:hAnsi="Calibri" w:cs="Calibri" w:eastAsia="Calibri"/>
          <w:i/>
          <w:color w:val="auto"/>
          <w:spacing w:val="0"/>
          <w:position w:val="0"/>
          <w:sz w:val="24"/>
          <w:shd w:fill="auto" w:val="clear"/>
        </w:rPr>
        <w:t xml:space="preserve">Postgraduate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(7),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Doan, L., Manders, T., Wang, J. Neuroplasticity underlying the comorbidity of pain and depression.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504691 (2015).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Vachon-Presseau, E., Centeno, M. V. The emotional brain as a predictor and amplifier of chronic pain.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(2016).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Apkarian, A. V., Baliki, M. N. Predicting transition to chronic pain.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Yin, W., Mei, L. A Central amygdala-ventrolateral periaqueductal gray matter pathway for pain in a mouse model of depression-like behavior.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Deng, Y. T., Zhao, M. G., Xu, T. J. Gentiopicroside abrogates lipopolysaccharide-induced depressive-like behavior in mice through tryptophan-degrading pathway. </w:t>
      </w:r>
      <w:r>
        <w:rPr>
          <w:rFonts w:ascii="Calibri" w:hAnsi="Calibri" w:cs="Calibri" w:eastAsia="Calibri"/>
          <w:i/>
          <w:color w:val="auto"/>
          <w:spacing w:val="0"/>
          <w:position w:val="0"/>
          <w:sz w:val="24"/>
          <w:shd w:fill="auto" w:val="clear"/>
        </w:rPr>
        <w:t xml:space="preserve">Metabolic Brain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1420 (2018).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G. F., Wang, J. Acute single dose of ketamine relieves mechanical allodynia and consequent depression-like behaviors in a rat model.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631</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Edwards, R. R., Smith, M. T. Symptoms of depression and anxiety as unique predictors of pain-related outcomes following burn injury. </w:t>
      </w:r>
      <w:r>
        <w:rPr>
          <w:rFonts w:ascii="Calibri" w:hAnsi="Calibri" w:cs="Calibri" w:eastAsia="Calibri"/>
          <w:i/>
          <w:color w:val="auto"/>
          <w:spacing w:val="0"/>
          <w:position w:val="0"/>
          <w:sz w:val="24"/>
          <w:shd w:fill="auto" w:val="clear"/>
        </w:rPr>
        <w:t xml:space="preserve">Annals of Behavioral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(2007).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Pincus, T., Vlaeyen, J. W. Cognitive-behavioral therapy and psychosocial factors in low back pain: directions for the future.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E133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E138 (2002).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Laumet, G., Edralin, J. D. CD3(+) T cells are critical for the resolution of comorbid inflammatory pain and depression-like behavior. </w:t>
      </w:r>
      <w:r>
        <w:rPr>
          <w:rFonts w:ascii="Calibri" w:hAnsi="Calibri" w:cs="Calibri" w:eastAsia="Calibri"/>
          <w:i/>
          <w:color w:val="auto"/>
          <w:spacing w:val="0"/>
          <w:position w:val="0"/>
          <w:sz w:val="24"/>
          <w:shd w:fill="auto" w:val="clear"/>
        </w:rPr>
        <w:t xml:space="preserve">Neurobiology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100043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Zimmermann, M. Ethical guidelines for investigations of experimental pain in conscious animals.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(1983).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Deuis, J. R., Dvorakova, L. S. Methods used to evaluate pain behaviors in rodents.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284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Scholz, J., Broom, D. C. Blocking caspase activity prevents transsynaptic neuronal apoptosis and the loss of inhibition in lamina II of the dorsal horn after peripheral nerve injury.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(32), 7317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7323 (2005).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Kang, D. W., Choi, J. G. Automated gait analysis in mice with chronic constriction injury.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56402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Kang, D. W., Moon, J. Y. Antinociceptive profile of levo-tetrahydropalmatine in acute and chronic pain mice models: Role of spinal sigma-1 receptor.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37850 (2016).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Huang, W., Chen, Z. Piperine potentiates the antidepressant-like effect of trans-resveratrol: involvement of monoaminergic system. </w:t>
      </w:r>
      <w:r>
        <w:rPr>
          <w:rFonts w:ascii="Calibri" w:hAnsi="Calibri" w:cs="Calibri" w:eastAsia="Calibri"/>
          <w:i/>
          <w:color w:val="auto"/>
          <w:spacing w:val="0"/>
          <w:position w:val="0"/>
          <w:sz w:val="24"/>
          <w:shd w:fill="auto" w:val="clear"/>
        </w:rPr>
        <w:t xml:space="preserve">Metabolic Brain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Can, A., Dao, D. T. The mouse forced swim test.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e3638 (2012).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Choi, J. G., Kang, S. Y. Antinociceptive effect of Cyperi rhizoma and Corydalis tuber extracts on neuropathic pain in rats. </w:t>
      </w:r>
      <w:r>
        <w:rPr>
          <w:rFonts w:ascii="Calibri" w:hAnsi="Calibri" w:cs="Calibri" w:eastAsia="Calibri"/>
          <w:i/>
          <w:color w:val="auto"/>
          <w:spacing w:val="0"/>
          <w:position w:val="0"/>
          <w:sz w:val="24"/>
          <w:shd w:fill="auto" w:val="clear"/>
        </w:rPr>
        <w:t xml:space="preserve">Korean Journal of Physiology &amp;amp;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Mosby’s Dictionary of Medicine, Nursing &amp;amp; Health Professions - Seventh edition</w:t>
      </w:r>
      <w:r>
        <w:rPr>
          <w:rFonts w:ascii="Calibri" w:hAnsi="Calibri" w:cs="Calibri" w:eastAsia="Calibri"/>
          <w:i/>
          <w:color w:val="auto"/>
          <w:spacing w:val="0"/>
          <w:position w:val="0"/>
          <w:sz w:val="24"/>
          <w:shd w:fill="auto" w:val="clear"/>
        </w:rPr>
        <w:t xml:space="preserve">. Nursing Standard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(22), 36. RCN Publishing Company Ltd (2006).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Vandeputte, C., Taymans, J. M. Automated quantitative gait analysis in animal models of movement disorders.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92 (2010).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Isvoranu, G., Manole, E. Gait analysis using animal models of peripheral nerve and spinal cord injuries.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1050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Yankelevitch-Yahav, R., Franko, M. The forced swim test as a model of depressive-like behavior.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52587 (2015).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Yan, H. C., Cao, X. Behavioral animal models of depression. </w:t>
      </w:r>
      <w:r>
        <w:rPr>
          <w:rFonts w:ascii="Calibri" w:hAnsi="Calibri" w:cs="Calibri" w:eastAsia="Calibri"/>
          <w:i/>
          <w:color w:val="auto"/>
          <w:spacing w:val="0"/>
          <w:position w:val="0"/>
          <w:sz w:val="24"/>
          <w:shd w:fill="auto" w:val="clear"/>
        </w:rPr>
        <w:t xml:space="preserve">Neuroscience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(4),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Papp, M., Willner, P. An animal model of anhedonia: attenuation of sucrose consumption and place preference conditioning by chronic unpredictable mild stress.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(1991).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Seminowicz, D. A., Laferriere, A. L. MRI structural brain changes associated with sensory and emotional function in a rat model of long-term neuropathic pain.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(2009).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Yalcin, I., Barthas, F. Emotional consequences of neuropathic pain: insight from preclinical studies.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Choi, J. W., Kang, S. Y. Analgesic effect of electroacupuncture on paclitaxel-induced neuropathic pain via spinal opioidergic and adrenergic mechanisms in mice. </w:t>
      </w:r>
      <w:r>
        <w:rPr>
          <w:rFonts w:ascii="Calibri" w:hAnsi="Calibri" w:cs="Calibri" w:eastAsia="Calibri"/>
          <w:i/>
          <w:color w:val="auto"/>
          <w:spacing w:val="0"/>
          <w:position w:val="0"/>
          <w:sz w:val="24"/>
          <w:shd w:fill="auto" w:val="clear"/>
        </w:rPr>
        <w:t xml:space="preserve">American Journal of Chinese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