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E3568A6" w:rsidR="00F15B22" w:rsidRPr="004D35FC" w:rsidRDefault="00986013" w:rsidP="00A549D6">
      <w:pPr>
        <w:pBdr>
          <w:top w:val="nil"/>
          <w:left w:val="nil"/>
          <w:bottom w:val="nil"/>
          <w:right w:val="nil"/>
          <w:between w:val="nil"/>
        </w:pBdr>
        <w:rPr>
          <w:b/>
        </w:rPr>
      </w:pPr>
      <w:r w:rsidRPr="004D35FC">
        <w:rPr>
          <w:b/>
        </w:rPr>
        <w:t>TITLE</w:t>
      </w:r>
      <w:r w:rsidR="00CE522A">
        <w:rPr>
          <w:b/>
        </w:rPr>
        <w:t>:</w:t>
      </w:r>
    </w:p>
    <w:p w14:paraId="00000002" w14:textId="77777777" w:rsidR="00F15B22" w:rsidRPr="004D35FC" w:rsidRDefault="00986013" w:rsidP="00A549D6">
      <w:pPr>
        <w:rPr>
          <w:bCs/>
        </w:rPr>
      </w:pPr>
      <w:r w:rsidRPr="004D35FC">
        <w:rPr>
          <w:bCs/>
        </w:rPr>
        <w:t>Burn Injury-induced Pain and Depression-Like Behavior in Mice</w:t>
      </w:r>
    </w:p>
    <w:p w14:paraId="00000003" w14:textId="77777777" w:rsidR="00F15B22" w:rsidRPr="004D35FC" w:rsidRDefault="00F15B22" w:rsidP="00A549D6">
      <w:pPr>
        <w:rPr>
          <w:bCs/>
        </w:rPr>
      </w:pPr>
    </w:p>
    <w:p w14:paraId="00000004" w14:textId="21FC70D6" w:rsidR="00F15B22" w:rsidRPr="004D35FC" w:rsidRDefault="00986013" w:rsidP="00A549D6">
      <w:pPr>
        <w:rPr>
          <w:b/>
        </w:rPr>
      </w:pPr>
      <w:r w:rsidRPr="004D35FC">
        <w:rPr>
          <w:b/>
        </w:rPr>
        <w:t>AUTHORS AND AFFILIATIONS:</w:t>
      </w:r>
    </w:p>
    <w:p w14:paraId="00000005" w14:textId="4C6B4FA2" w:rsidR="00F15B22" w:rsidRPr="003A13F2" w:rsidRDefault="00986013" w:rsidP="00A549D6">
      <w:pPr>
        <w:rPr>
          <w:bCs/>
        </w:rPr>
      </w:pPr>
      <w:r w:rsidRPr="004D35FC">
        <w:rPr>
          <w:bCs/>
        </w:rPr>
        <w:t>Jae-Gyun Choi</w:t>
      </w:r>
      <w:r w:rsidRPr="004D35FC">
        <w:rPr>
          <w:bCs/>
          <w:vertAlign w:val="superscript"/>
        </w:rPr>
        <w:t>1*</w:t>
      </w:r>
      <w:r w:rsidRPr="004D35FC">
        <w:rPr>
          <w:bCs/>
        </w:rPr>
        <w:t>, Dong-Wook Kang</w:t>
      </w:r>
      <w:r w:rsidRPr="004D35FC">
        <w:rPr>
          <w:bCs/>
          <w:vertAlign w:val="superscript"/>
        </w:rPr>
        <w:t>1*</w:t>
      </w:r>
      <w:r w:rsidRPr="004D35FC">
        <w:rPr>
          <w:bCs/>
        </w:rPr>
        <w:t>, Jaehyuk Kim</w:t>
      </w:r>
      <w:r w:rsidRPr="004D35FC">
        <w:rPr>
          <w:bCs/>
          <w:vertAlign w:val="superscript"/>
        </w:rPr>
        <w:t>1</w:t>
      </w:r>
      <w:r w:rsidRPr="004D35FC">
        <w:rPr>
          <w:bCs/>
        </w:rPr>
        <w:t xml:space="preserve">, </w:t>
      </w:r>
      <w:r w:rsidR="00944BCD" w:rsidRPr="004D35FC">
        <w:rPr>
          <w:bCs/>
          <w:lang w:eastAsia="ko-KR"/>
        </w:rPr>
        <w:t>Miae Lee</w:t>
      </w:r>
      <w:r w:rsidR="00944BCD" w:rsidRPr="004D35FC">
        <w:rPr>
          <w:bCs/>
          <w:vertAlign w:val="superscript"/>
        </w:rPr>
        <w:t>1</w:t>
      </w:r>
      <w:r w:rsidR="00944BCD" w:rsidRPr="004D35FC">
        <w:rPr>
          <w:bCs/>
        </w:rPr>
        <w:t>,</w:t>
      </w:r>
      <w:r w:rsidR="00944BCD" w:rsidRPr="004D35FC">
        <w:rPr>
          <w:bCs/>
          <w:lang w:eastAsia="ko-KR"/>
        </w:rPr>
        <w:t xml:space="preserve"> </w:t>
      </w:r>
      <w:r w:rsidRPr="004D35FC">
        <w:rPr>
          <w:bCs/>
        </w:rPr>
        <w:t>Sheu-Ran Choi</w:t>
      </w:r>
      <w:r w:rsidRPr="004D35FC">
        <w:rPr>
          <w:bCs/>
          <w:vertAlign w:val="superscript"/>
        </w:rPr>
        <w:t>2</w:t>
      </w:r>
      <w:r w:rsidRPr="004D35FC">
        <w:rPr>
          <w:bCs/>
        </w:rPr>
        <w:t>, Jin Bong Park</w:t>
      </w:r>
      <w:r w:rsidRPr="004D35FC">
        <w:rPr>
          <w:bCs/>
          <w:vertAlign w:val="superscript"/>
        </w:rPr>
        <w:t>1</w:t>
      </w:r>
      <w:r w:rsidRPr="004D35FC">
        <w:rPr>
          <w:bCs/>
        </w:rPr>
        <w:t>, Hyun-Woo Kim</w:t>
      </w:r>
      <w:r w:rsidRPr="004D35FC">
        <w:rPr>
          <w:bCs/>
          <w:vertAlign w:val="superscript"/>
        </w:rPr>
        <w:t>1</w:t>
      </w:r>
    </w:p>
    <w:p w14:paraId="544223AB" w14:textId="77777777" w:rsidR="00D65DB3" w:rsidRPr="003A13F2" w:rsidRDefault="00D65DB3" w:rsidP="00A549D6">
      <w:pPr>
        <w:rPr>
          <w:bCs/>
        </w:rPr>
      </w:pPr>
    </w:p>
    <w:p w14:paraId="00000006" w14:textId="77777777" w:rsidR="00F15B22" w:rsidRPr="004D35FC" w:rsidRDefault="00986013" w:rsidP="00A549D6">
      <w:pPr>
        <w:rPr>
          <w:bCs/>
        </w:rPr>
      </w:pPr>
      <w:bookmarkStart w:id="0" w:name="_Hlk82380191"/>
      <w:r w:rsidRPr="004D35FC">
        <w:rPr>
          <w:bCs/>
          <w:vertAlign w:val="superscript"/>
        </w:rPr>
        <w:t>1</w:t>
      </w:r>
      <w:r w:rsidRPr="004D35FC">
        <w:rPr>
          <w:bCs/>
        </w:rPr>
        <w:t>Department of Physiology and Medical Science, College of Medicine and Brain Research Institute, Chungnam National University, Daejeon 35015, South Korea</w:t>
      </w:r>
    </w:p>
    <w:bookmarkEnd w:id="0"/>
    <w:p w14:paraId="00000007" w14:textId="77777777" w:rsidR="00F15B22" w:rsidRPr="004D35FC" w:rsidRDefault="00986013" w:rsidP="00A549D6">
      <w:pPr>
        <w:rPr>
          <w:bCs/>
        </w:rPr>
      </w:pPr>
      <w:r w:rsidRPr="004D35FC">
        <w:rPr>
          <w:bCs/>
          <w:vertAlign w:val="superscript"/>
        </w:rPr>
        <w:t>2</w:t>
      </w:r>
      <w:r w:rsidRPr="004D35FC">
        <w:rPr>
          <w:bCs/>
        </w:rPr>
        <w:t>Department of Pharmacology, Catholic Kwandong University College of Medicine, Gangneung 25601, South Korea</w:t>
      </w:r>
    </w:p>
    <w:p w14:paraId="00000008" w14:textId="77777777" w:rsidR="00F15B22" w:rsidRPr="004D35FC" w:rsidRDefault="00F15B22" w:rsidP="00A549D6">
      <w:pPr>
        <w:rPr>
          <w:bCs/>
        </w:rPr>
      </w:pPr>
    </w:p>
    <w:p w14:paraId="00000009" w14:textId="20A1F594" w:rsidR="00F15B22" w:rsidRPr="004D35FC" w:rsidRDefault="00986013" w:rsidP="00A549D6">
      <w:pPr>
        <w:rPr>
          <w:bCs/>
        </w:rPr>
      </w:pPr>
      <w:r w:rsidRPr="004D35FC">
        <w:rPr>
          <w:bCs/>
          <w:vertAlign w:val="superscript"/>
        </w:rPr>
        <w:t>*</w:t>
      </w:r>
      <w:r w:rsidRPr="004D35FC">
        <w:rPr>
          <w:bCs/>
        </w:rPr>
        <w:t>These authors contributed equally to this study.</w:t>
      </w:r>
    </w:p>
    <w:p w14:paraId="0056F08F" w14:textId="446042A1" w:rsidR="00D65DB3" w:rsidRPr="004D35FC" w:rsidRDefault="00D65DB3" w:rsidP="00A549D6">
      <w:pPr>
        <w:rPr>
          <w:bCs/>
        </w:rPr>
      </w:pPr>
    </w:p>
    <w:p w14:paraId="3BE8FFF1" w14:textId="5F9E9D76" w:rsidR="00D65DB3" w:rsidRPr="004D35FC" w:rsidRDefault="00D65DB3" w:rsidP="00A549D6">
      <w:pPr>
        <w:rPr>
          <w:bCs/>
        </w:rPr>
      </w:pPr>
      <w:r w:rsidRPr="004D35FC">
        <w:rPr>
          <w:bCs/>
        </w:rPr>
        <w:t>Email addresses of co-authors:</w:t>
      </w:r>
    </w:p>
    <w:p w14:paraId="290488F6" w14:textId="55455130" w:rsidR="00D65DB3" w:rsidRPr="003A13F2" w:rsidRDefault="00D65DB3" w:rsidP="00A549D6">
      <w:pPr>
        <w:rPr>
          <w:bCs/>
        </w:rPr>
      </w:pPr>
      <w:bookmarkStart w:id="1" w:name="_Hlk82380124"/>
      <w:r w:rsidRPr="004D35FC">
        <w:rPr>
          <w:bCs/>
        </w:rPr>
        <w:t>Jae-Gyun Choi</w:t>
      </w:r>
      <w:r w:rsidRPr="004D35FC">
        <w:rPr>
          <w:bCs/>
        </w:rPr>
        <w:tab/>
      </w:r>
      <w:r w:rsidRPr="004D35FC">
        <w:rPr>
          <w:bCs/>
        </w:rPr>
        <w:tab/>
        <w:t>(godnworbs@o.cnu.ac.kr)</w:t>
      </w:r>
      <w:bookmarkEnd w:id="1"/>
    </w:p>
    <w:p w14:paraId="0F203B1B" w14:textId="1DB23A1E" w:rsidR="00D65DB3" w:rsidRPr="003A13F2" w:rsidRDefault="00D65DB3" w:rsidP="00A549D6">
      <w:pPr>
        <w:rPr>
          <w:bCs/>
        </w:rPr>
      </w:pPr>
      <w:r w:rsidRPr="004D35FC">
        <w:rPr>
          <w:bCs/>
        </w:rPr>
        <w:t>Dong-Wook Kang</w:t>
      </w:r>
      <w:r w:rsidRPr="004D35FC">
        <w:rPr>
          <w:bCs/>
        </w:rPr>
        <w:tab/>
        <w:t>(ehddy1313@o.cnu.ac.kr)</w:t>
      </w:r>
    </w:p>
    <w:p w14:paraId="4543CB7F" w14:textId="51FD9144" w:rsidR="00D65DB3" w:rsidRPr="004D35FC" w:rsidRDefault="00D65DB3" w:rsidP="00A549D6">
      <w:pPr>
        <w:rPr>
          <w:bCs/>
        </w:rPr>
      </w:pPr>
      <w:r w:rsidRPr="004D35FC">
        <w:rPr>
          <w:bCs/>
        </w:rPr>
        <w:t>Jaehyuk Kim</w:t>
      </w:r>
      <w:r w:rsidRPr="004D35FC">
        <w:rPr>
          <w:bCs/>
        </w:rPr>
        <w:tab/>
      </w:r>
      <w:r w:rsidRPr="004D35FC">
        <w:rPr>
          <w:bCs/>
        </w:rPr>
        <w:tab/>
        <w:t>(kimjaegur08@o.cnu.ac.kr)</w:t>
      </w:r>
    </w:p>
    <w:p w14:paraId="18DF37FC" w14:textId="616CEAF1" w:rsidR="00944BCD" w:rsidRPr="004D35FC" w:rsidRDefault="00944BCD" w:rsidP="00A549D6">
      <w:pPr>
        <w:rPr>
          <w:bCs/>
        </w:rPr>
      </w:pPr>
      <w:r w:rsidRPr="004D35FC">
        <w:rPr>
          <w:bCs/>
          <w:lang w:eastAsia="ko-KR"/>
        </w:rPr>
        <w:t>Miae Lee</w:t>
      </w:r>
      <w:r w:rsidR="00CE522A">
        <w:rPr>
          <w:bCs/>
          <w:lang w:eastAsia="ko-KR"/>
        </w:rPr>
        <w:tab/>
      </w:r>
      <w:r w:rsidR="00CE522A">
        <w:rPr>
          <w:bCs/>
          <w:lang w:eastAsia="ko-KR"/>
        </w:rPr>
        <w:tab/>
      </w:r>
      <w:r w:rsidRPr="004D35FC">
        <w:rPr>
          <w:bCs/>
          <w:lang w:eastAsia="ko-KR"/>
        </w:rPr>
        <w:t>(miae@cnu.ac.kr)</w:t>
      </w:r>
    </w:p>
    <w:p w14:paraId="24206E42" w14:textId="0DF8B25C" w:rsidR="00D65DB3" w:rsidRPr="004D35FC" w:rsidRDefault="00D65DB3" w:rsidP="00A549D6">
      <w:pPr>
        <w:rPr>
          <w:bCs/>
        </w:rPr>
      </w:pPr>
      <w:r w:rsidRPr="004D35FC">
        <w:rPr>
          <w:bCs/>
        </w:rPr>
        <w:t>Sheu-Ran Choi</w:t>
      </w:r>
      <w:r w:rsidRPr="004D35FC">
        <w:rPr>
          <w:bCs/>
        </w:rPr>
        <w:tab/>
      </w:r>
      <w:r w:rsidRPr="004D35FC">
        <w:rPr>
          <w:bCs/>
        </w:rPr>
        <w:tab/>
        <w:t>(srchoi@cku.ac.kr)</w:t>
      </w:r>
    </w:p>
    <w:p w14:paraId="7EC60811" w14:textId="00B74EF8" w:rsidR="00D65DB3" w:rsidRPr="004D35FC" w:rsidRDefault="00D65DB3" w:rsidP="00A549D6">
      <w:pPr>
        <w:rPr>
          <w:bCs/>
        </w:rPr>
      </w:pPr>
      <w:r w:rsidRPr="004D35FC">
        <w:rPr>
          <w:bCs/>
        </w:rPr>
        <w:t>Jin Bong Park</w:t>
      </w:r>
      <w:r w:rsidRPr="004D35FC">
        <w:rPr>
          <w:bCs/>
        </w:rPr>
        <w:tab/>
      </w:r>
      <w:r w:rsidRPr="004D35FC">
        <w:rPr>
          <w:bCs/>
        </w:rPr>
        <w:tab/>
        <w:t>(jinbong@cnu.ac.kr)</w:t>
      </w:r>
    </w:p>
    <w:p w14:paraId="3C8DC8FC" w14:textId="1D4EEC74" w:rsidR="00D65DB3" w:rsidRPr="003A13F2" w:rsidRDefault="00D65DB3" w:rsidP="00A549D6">
      <w:pPr>
        <w:rPr>
          <w:bCs/>
        </w:rPr>
      </w:pPr>
      <w:r w:rsidRPr="004D35FC">
        <w:rPr>
          <w:bCs/>
        </w:rPr>
        <w:t>Hyun-Woo Kim</w:t>
      </w:r>
      <w:r w:rsidRPr="004D35FC">
        <w:rPr>
          <w:bCs/>
        </w:rPr>
        <w:tab/>
        <w:t>(kim0827@cnu.ac.kr)</w:t>
      </w:r>
    </w:p>
    <w:p w14:paraId="30F5ADDC" w14:textId="2EA492D4" w:rsidR="00D65DB3" w:rsidRPr="004D35FC" w:rsidRDefault="00D65DB3" w:rsidP="00A549D6">
      <w:pPr>
        <w:rPr>
          <w:bCs/>
        </w:rPr>
      </w:pPr>
    </w:p>
    <w:p w14:paraId="7AA1ADF2" w14:textId="6AF2B2BA" w:rsidR="00D65DB3" w:rsidRPr="004D35FC" w:rsidRDefault="00D65DB3" w:rsidP="00A549D6">
      <w:pPr>
        <w:rPr>
          <w:bCs/>
        </w:rPr>
      </w:pPr>
      <w:r w:rsidRPr="004D35FC">
        <w:rPr>
          <w:bCs/>
        </w:rPr>
        <w:t>Corresponding author:</w:t>
      </w:r>
    </w:p>
    <w:p w14:paraId="62C6F808" w14:textId="77777777" w:rsidR="00D65DB3" w:rsidRPr="003A13F2" w:rsidRDefault="00D65DB3" w:rsidP="00A549D6">
      <w:pPr>
        <w:rPr>
          <w:bCs/>
        </w:rPr>
      </w:pPr>
      <w:r w:rsidRPr="004D35FC">
        <w:rPr>
          <w:bCs/>
        </w:rPr>
        <w:t>Hyun-Woo Kim</w:t>
      </w:r>
      <w:r w:rsidRPr="004D35FC">
        <w:rPr>
          <w:bCs/>
        </w:rPr>
        <w:tab/>
        <w:t>(kim0827@cnu.ac.kr)</w:t>
      </w:r>
    </w:p>
    <w:p w14:paraId="0000000A" w14:textId="77777777" w:rsidR="00F15B22" w:rsidRPr="004D35FC" w:rsidRDefault="00F15B22" w:rsidP="00A549D6">
      <w:pPr>
        <w:pBdr>
          <w:top w:val="nil"/>
          <w:left w:val="nil"/>
          <w:bottom w:val="nil"/>
          <w:right w:val="nil"/>
          <w:between w:val="nil"/>
        </w:pBdr>
        <w:rPr>
          <w:bCs/>
        </w:rPr>
      </w:pPr>
    </w:p>
    <w:p w14:paraId="0000000B" w14:textId="2A7E0036" w:rsidR="00F15B22" w:rsidRPr="004D35FC" w:rsidRDefault="00986013" w:rsidP="00A549D6">
      <w:pPr>
        <w:rPr>
          <w:b/>
        </w:rPr>
      </w:pPr>
      <w:r w:rsidRPr="004D35FC">
        <w:rPr>
          <w:b/>
        </w:rPr>
        <w:t>SUMMARY:</w:t>
      </w:r>
    </w:p>
    <w:p w14:paraId="0000000C" w14:textId="51A23D1E" w:rsidR="00F15B22" w:rsidRPr="004D35FC" w:rsidRDefault="00986013" w:rsidP="00A549D6">
      <w:pPr>
        <w:rPr>
          <w:bCs/>
        </w:rPr>
      </w:pPr>
      <w:r w:rsidRPr="004D35FC">
        <w:rPr>
          <w:bCs/>
        </w:rPr>
        <w:t xml:space="preserve">A transient scald injury (65 </w:t>
      </w:r>
      <w:r w:rsidR="00A35364" w:rsidRPr="004D35FC">
        <w:rPr>
          <w:bCs/>
        </w:rPr>
        <w:t xml:space="preserve">°C </w:t>
      </w:r>
      <w:r w:rsidRPr="004D35FC">
        <w:rPr>
          <w:bCs/>
        </w:rPr>
        <w:t xml:space="preserve">± 0.5 °C, 3 s) of one hind paw decreases </w:t>
      </w:r>
      <w:r w:rsidR="00A35364" w:rsidRPr="004D35FC">
        <w:rPr>
          <w:bCs/>
        </w:rPr>
        <w:t xml:space="preserve">the </w:t>
      </w:r>
      <w:r w:rsidRPr="004D35FC">
        <w:rPr>
          <w:bCs/>
        </w:rPr>
        <w:t>threshold (g) to von Frey filament stimulation of the ipsilateral side and alters gait pattern. Besides, burn injury induces depression-like behavior in the forced swimming test.</w:t>
      </w:r>
    </w:p>
    <w:p w14:paraId="0000000D" w14:textId="77777777" w:rsidR="00F15B22" w:rsidRPr="004D35FC" w:rsidRDefault="00F15B22" w:rsidP="00A549D6">
      <w:pPr>
        <w:rPr>
          <w:bCs/>
        </w:rPr>
      </w:pPr>
    </w:p>
    <w:p w14:paraId="0000000E" w14:textId="3EDAD73B" w:rsidR="00F15B22" w:rsidRPr="004D35FC" w:rsidRDefault="00986013" w:rsidP="00A549D6">
      <w:pPr>
        <w:rPr>
          <w:b/>
        </w:rPr>
      </w:pPr>
      <w:r w:rsidRPr="004D35FC">
        <w:rPr>
          <w:b/>
        </w:rPr>
        <w:t>ABSTRACT:</w:t>
      </w:r>
    </w:p>
    <w:p w14:paraId="0000000F" w14:textId="7F05BD00" w:rsidR="00F15B22" w:rsidRPr="004D35FC" w:rsidRDefault="00986013" w:rsidP="00A549D6">
      <w:pPr>
        <w:rPr>
          <w:bCs/>
        </w:rPr>
      </w:pPr>
      <w:r w:rsidRPr="004D35FC">
        <w:rPr>
          <w:bCs/>
        </w:rPr>
        <w:t xml:space="preserve">Scalding water is the most common cause of burn injury </w:t>
      </w:r>
      <w:r w:rsidR="00A35364" w:rsidRPr="004D35FC">
        <w:rPr>
          <w:bCs/>
        </w:rPr>
        <w:t>in both elderly and young populations. I</w:t>
      </w:r>
      <w:r w:rsidRPr="004D35FC">
        <w:rPr>
          <w:bCs/>
        </w:rPr>
        <w:t xml:space="preserve">t is one of the major clinical challenges because of the high mortality and sequelae in low- and middle-income countries. Burns frequently induce intense spontaneous pain and persistent allodynia as well as life-threatening problem. More importantly, excessive pain is often accompanied by depression, which may significantly decrease </w:t>
      </w:r>
      <w:r w:rsidR="00A35364" w:rsidRPr="004D35FC">
        <w:rPr>
          <w:bCs/>
        </w:rPr>
        <w:t xml:space="preserve">the </w:t>
      </w:r>
      <w:r w:rsidRPr="004D35FC">
        <w:rPr>
          <w:bCs/>
        </w:rPr>
        <w:t xml:space="preserve">quality of life. This article shows how to develop an animal model for the study of burn-induced pain and depression-like behavior. After anesthesia, burn injury was induced by dipping one hind paw of </w:t>
      </w:r>
      <w:r w:rsidR="00A35364" w:rsidRPr="004D35FC">
        <w:rPr>
          <w:bCs/>
        </w:rPr>
        <w:t xml:space="preserve">the </w:t>
      </w:r>
      <w:r w:rsidRPr="004D35FC">
        <w:rPr>
          <w:bCs/>
        </w:rPr>
        <w:t xml:space="preserve">mouse into hot water (65 </w:t>
      </w:r>
      <w:r w:rsidR="00A35364" w:rsidRPr="004D35FC">
        <w:rPr>
          <w:bCs/>
        </w:rPr>
        <w:t xml:space="preserve">°C </w:t>
      </w:r>
      <w:r w:rsidRPr="004D35FC">
        <w:rPr>
          <w:bCs/>
        </w:rPr>
        <w:t xml:space="preserve">± 0.5 °C) for 3 s. The von Frey test and automated gait analysis were performed every </w:t>
      </w:r>
      <w:r w:rsidR="00CE522A">
        <w:rPr>
          <w:bCs/>
        </w:rPr>
        <w:t>2</w:t>
      </w:r>
      <w:r w:rsidR="00CE522A" w:rsidRPr="004D35FC">
        <w:rPr>
          <w:bCs/>
        </w:rPr>
        <w:t xml:space="preserve"> </w:t>
      </w:r>
      <w:r w:rsidRPr="004D35FC">
        <w:rPr>
          <w:bCs/>
        </w:rPr>
        <w:t>days after burn injury. In addition, depression-like behavior was examined using the forced swimming test, and the rota-rod test was performed to differentiate the abnormal motor function after burn injury. The main purpose of this study is to describe the development of an animal model for the study of burn injury-induced pain and depression-like behavior in mice.</w:t>
      </w:r>
    </w:p>
    <w:p w14:paraId="00000010" w14:textId="77777777" w:rsidR="00F15B22" w:rsidRPr="004D35FC" w:rsidRDefault="00F15B22" w:rsidP="00A549D6">
      <w:pPr>
        <w:rPr>
          <w:bCs/>
        </w:rPr>
      </w:pPr>
    </w:p>
    <w:p w14:paraId="00000011" w14:textId="1A30B3FF" w:rsidR="00F15B22" w:rsidRPr="004D35FC" w:rsidRDefault="00986013" w:rsidP="00A549D6">
      <w:pPr>
        <w:rPr>
          <w:b/>
        </w:rPr>
      </w:pPr>
      <w:r w:rsidRPr="004D35FC">
        <w:rPr>
          <w:b/>
        </w:rPr>
        <w:t>INTRODUCTION:</w:t>
      </w:r>
    </w:p>
    <w:p w14:paraId="00000012" w14:textId="5975EF03" w:rsidR="00F15B22" w:rsidRPr="004D35FC" w:rsidRDefault="00986013" w:rsidP="00A549D6">
      <w:pPr>
        <w:rPr>
          <w:bCs/>
        </w:rPr>
      </w:pPr>
      <w:r w:rsidRPr="004D35FC">
        <w:rPr>
          <w:bCs/>
        </w:rPr>
        <w:t xml:space="preserve">Tissue damage, such as burn and trauma, is generally associated with </w:t>
      </w:r>
      <w:r w:rsidR="00A35364" w:rsidRPr="004D35FC">
        <w:rPr>
          <w:bCs/>
        </w:rPr>
        <w:t xml:space="preserve">the </w:t>
      </w:r>
      <w:r w:rsidRPr="004D35FC">
        <w:rPr>
          <w:bCs/>
        </w:rPr>
        <w:t>co-occurrence of acute pain. Burn injuries and trauma-related symptoms are an estimated 1</w:t>
      </w:r>
      <w:r w:rsidR="00CE522A">
        <w:rPr>
          <w:bCs/>
        </w:rPr>
        <w:t>,</w:t>
      </w:r>
      <w:r w:rsidRPr="004D35FC">
        <w:rPr>
          <w:bCs/>
        </w:rPr>
        <w:t>80,000 deaths every year are caused by burns</w:t>
      </w:r>
      <w:r w:rsidR="00CE522A">
        <w:rPr>
          <w:bCs/>
        </w:rPr>
        <w:t>—</w:t>
      </w:r>
      <w:r w:rsidRPr="004D35FC">
        <w:rPr>
          <w:bCs/>
        </w:rPr>
        <w:t>the vast majority occur in low- and middle-income countries from different types of burns</w:t>
      </w:r>
      <w:r w:rsidRPr="004D35FC">
        <w:rPr>
          <w:bCs/>
          <w:vertAlign w:val="superscript"/>
        </w:rPr>
        <w:t>1</w:t>
      </w:r>
      <w:r w:rsidRPr="004D35FC">
        <w:rPr>
          <w:bCs/>
        </w:rPr>
        <w:t>. According to a worldwide report, burns are common in children and account for about 40</w:t>
      </w:r>
      <w:r w:rsidR="00A35364" w:rsidRPr="004D35FC">
        <w:rPr>
          <w:bCs/>
        </w:rPr>
        <w:t>%–</w:t>
      </w:r>
      <w:r w:rsidRPr="004D35FC">
        <w:rPr>
          <w:bCs/>
        </w:rPr>
        <w:t>60% of hospitalized patients</w:t>
      </w:r>
      <w:r w:rsidRPr="004D35FC">
        <w:rPr>
          <w:bCs/>
          <w:vertAlign w:val="superscript"/>
        </w:rPr>
        <w:t>2,3</w:t>
      </w:r>
      <w:r w:rsidRPr="004D35FC">
        <w:rPr>
          <w:bCs/>
        </w:rPr>
        <w:t>. These specific injuries are even more serious as they can occur in everyday life</w:t>
      </w:r>
      <w:r w:rsidR="00A35364" w:rsidRPr="004D35FC">
        <w:rPr>
          <w:bCs/>
        </w:rPr>
        <w:t>,</w:t>
      </w:r>
      <w:r w:rsidRPr="004D35FC">
        <w:rPr>
          <w:bCs/>
        </w:rPr>
        <w:t xml:space="preserve"> such as boiling or bathing water</w:t>
      </w:r>
      <w:r w:rsidRPr="004D35FC">
        <w:rPr>
          <w:bCs/>
          <w:vertAlign w:val="superscript"/>
        </w:rPr>
        <w:t>4,5</w:t>
      </w:r>
      <w:r w:rsidRPr="004D35FC">
        <w:rPr>
          <w:bCs/>
        </w:rPr>
        <w:t>. Although</w:t>
      </w:r>
      <w:r w:rsidR="00A35364" w:rsidRPr="004D35FC">
        <w:rPr>
          <w:bCs/>
        </w:rPr>
        <w:t xml:space="preserve"> acute pain can be resolved spontaneously after recovery from tissue damage in most cases, it may be possible to become chronic due to</w:t>
      </w:r>
      <w:r w:rsidRPr="004D35FC">
        <w:rPr>
          <w:bCs/>
        </w:rPr>
        <w:t xml:space="preserve"> abnormal changes in the nervous system</w:t>
      </w:r>
      <w:r w:rsidRPr="004D35FC">
        <w:rPr>
          <w:bCs/>
          <w:vertAlign w:val="superscript"/>
        </w:rPr>
        <w:t>6,7</w:t>
      </w:r>
      <w:r w:rsidRPr="004D35FC">
        <w:rPr>
          <w:bCs/>
        </w:rPr>
        <w:t>.</w:t>
      </w:r>
    </w:p>
    <w:p w14:paraId="00000013" w14:textId="77777777" w:rsidR="00F15B22" w:rsidRPr="004D35FC" w:rsidRDefault="00F15B22" w:rsidP="00A549D6">
      <w:pPr>
        <w:rPr>
          <w:bCs/>
        </w:rPr>
      </w:pPr>
    </w:p>
    <w:p w14:paraId="00000014" w14:textId="3CC8A1E5" w:rsidR="00F15B22" w:rsidRPr="004D35FC" w:rsidRDefault="005A4BFC" w:rsidP="00A549D6">
      <w:pPr>
        <w:rPr>
          <w:bCs/>
        </w:rPr>
      </w:pPr>
      <w:bookmarkStart w:id="2" w:name="_Hlk82349636"/>
      <w:r w:rsidRPr="004D35FC">
        <w:rPr>
          <w:bCs/>
        </w:rPr>
        <w:t xml:space="preserve">Recently, it has been suggested that acute pain can induce </w:t>
      </w:r>
      <w:r w:rsidR="00A35364" w:rsidRPr="004D35FC">
        <w:rPr>
          <w:bCs/>
        </w:rPr>
        <w:t xml:space="preserve">a </w:t>
      </w:r>
      <w:r w:rsidRPr="004D35FC">
        <w:rPr>
          <w:bCs/>
        </w:rPr>
        <w:t>depressed mood</w:t>
      </w:r>
      <w:r w:rsidR="00A35364" w:rsidRPr="004D35FC">
        <w:rPr>
          <w:bCs/>
        </w:rPr>
        <w:t>,</w:t>
      </w:r>
      <w:r w:rsidRPr="004D35FC">
        <w:rPr>
          <w:bCs/>
        </w:rPr>
        <w:t xml:space="preserve"> and chronic pain </w:t>
      </w:r>
      <w:r w:rsidR="00CE522A">
        <w:rPr>
          <w:bCs/>
        </w:rPr>
        <w:t xml:space="preserve">can </w:t>
      </w:r>
      <w:r w:rsidRPr="004D35FC">
        <w:rPr>
          <w:bCs/>
        </w:rPr>
        <w:t>cause anxiety and depression</w:t>
      </w:r>
      <w:r w:rsidR="00986013" w:rsidRPr="004D35FC">
        <w:rPr>
          <w:bCs/>
          <w:vertAlign w:val="superscript"/>
        </w:rPr>
        <w:t>8</w:t>
      </w:r>
      <w:r w:rsidR="00A35364" w:rsidRPr="004D35FC">
        <w:rPr>
          <w:bCs/>
          <w:vertAlign w:val="superscript"/>
        </w:rPr>
        <w:t>–</w:t>
      </w:r>
      <w:r w:rsidRPr="004D35FC">
        <w:rPr>
          <w:bCs/>
          <w:vertAlign w:val="superscript"/>
        </w:rPr>
        <w:t>11</w:t>
      </w:r>
      <w:r w:rsidR="00986013" w:rsidRPr="004D35FC">
        <w:rPr>
          <w:bCs/>
        </w:rPr>
        <w:t>. The coexistence of pain and depression makes it more difficult to treat the patient. Depression also tends to increase pain sensitivity, which is likely to induce more intense depression and pain</w:t>
      </w:r>
      <w:r w:rsidR="00986013" w:rsidRPr="004D35FC">
        <w:rPr>
          <w:bCs/>
          <w:vertAlign w:val="superscript"/>
        </w:rPr>
        <w:t>1</w:t>
      </w:r>
      <w:r w:rsidR="0003519C" w:rsidRPr="004D35FC">
        <w:rPr>
          <w:bCs/>
          <w:vertAlign w:val="superscript"/>
        </w:rPr>
        <w:t>2</w:t>
      </w:r>
      <w:r w:rsidR="00986013" w:rsidRPr="004D35FC">
        <w:rPr>
          <w:bCs/>
        </w:rPr>
        <w:t>. Complications of pain and depression are shown in animal models of peripheral inflammation</w:t>
      </w:r>
      <w:r w:rsidR="00986013" w:rsidRPr="004D35FC">
        <w:rPr>
          <w:bCs/>
          <w:vertAlign w:val="superscript"/>
        </w:rPr>
        <w:t>1</w:t>
      </w:r>
      <w:r w:rsidR="0003519C" w:rsidRPr="004D35FC">
        <w:rPr>
          <w:bCs/>
          <w:vertAlign w:val="superscript"/>
        </w:rPr>
        <w:t>3</w:t>
      </w:r>
      <w:r w:rsidR="00A35364" w:rsidRPr="004D35FC">
        <w:rPr>
          <w:bCs/>
          <w:vertAlign w:val="superscript"/>
        </w:rPr>
        <w:t>–</w:t>
      </w:r>
      <w:r w:rsidR="00942C41" w:rsidRPr="004D35FC">
        <w:rPr>
          <w:bCs/>
          <w:vertAlign w:val="superscript"/>
        </w:rPr>
        <w:t>16</w:t>
      </w:r>
      <w:r w:rsidR="00986013" w:rsidRPr="004D35FC">
        <w:rPr>
          <w:bCs/>
        </w:rPr>
        <w:t>. The detailed mechanisms underlying pain-induced depression are not well known until now</w:t>
      </w:r>
      <w:r w:rsidR="00986013" w:rsidRPr="004D35FC">
        <w:rPr>
          <w:bCs/>
          <w:vertAlign w:val="superscript"/>
        </w:rPr>
        <w:t>1</w:t>
      </w:r>
      <w:r w:rsidR="00942C41" w:rsidRPr="004D35FC">
        <w:rPr>
          <w:bCs/>
          <w:vertAlign w:val="superscript"/>
        </w:rPr>
        <w:t>7</w:t>
      </w:r>
      <w:r w:rsidR="00986013" w:rsidRPr="004D35FC">
        <w:rPr>
          <w:bCs/>
        </w:rPr>
        <w:t>. Thus, it is necessary to develop more effective treatments for burns to alleviate the side effects and symptoms.</w:t>
      </w:r>
    </w:p>
    <w:p w14:paraId="00000015" w14:textId="77777777" w:rsidR="00F15B22" w:rsidRPr="004D35FC" w:rsidRDefault="00F15B22" w:rsidP="00A549D6">
      <w:pPr>
        <w:rPr>
          <w:bCs/>
        </w:rPr>
      </w:pPr>
    </w:p>
    <w:p w14:paraId="00000016" w14:textId="743517C8" w:rsidR="00F15B22" w:rsidRPr="004D35FC" w:rsidRDefault="00986013" w:rsidP="00A549D6">
      <w:pPr>
        <w:rPr>
          <w:bCs/>
        </w:rPr>
      </w:pPr>
      <w:r w:rsidRPr="004D35FC">
        <w:rPr>
          <w:bCs/>
        </w:rPr>
        <w:t xml:space="preserve">Thus, the present study was designed to develop an animal model </w:t>
      </w:r>
      <w:r w:rsidR="00A35364" w:rsidRPr="004D35FC">
        <w:rPr>
          <w:bCs/>
        </w:rPr>
        <w:t>to study</w:t>
      </w:r>
      <w:r w:rsidRPr="004D35FC">
        <w:rPr>
          <w:bCs/>
        </w:rPr>
        <w:t xml:space="preserve"> burn injury-induced</w:t>
      </w:r>
      <w:r w:rsidR="0003519C" w:rsidRPr="004D35FC">
        <w:rPr>
          <w:bCs/>
        </w:rPr>
        <w:t xml:space="preserve"> acute</w:t>
      </w:r>
      <w:r w:rsidRPr="004D35FC">
        <w:rPr>
          <w:bCs/>
        </w:rPr>
        <w:t xml:space="preserve"> pain and depression-like behavior in mice. For this, burn injury-related abnormal tactile sensitivity, altered gait pattern</w:t>
      </w:r>
      <w:r w:rsidR="00A35364" w:rsidRPr="004D35FC">
        <w:rPr>
          <w:bCs/>
        </w:rPr>
        <w:t>,</w:t>
      </w:r>
      <w:r w:rsidRPr="004D35FC">
        <w:rPr>
          <w:bCs/>
        </w:rPr>
        <w:t xml:space="preserve"> and depression-like behavior were measured. In addition, this study attempts to validate the model using NSAIDs.</w:t>
      </w:r>
    </w:p>
    <w:bookmarkEnd w:id="2"/>
    <w:p w14:paraId="00000017" w14:textId="77777777" w:rsidR="00F15B22" w:rsidRPr="004D35FC" w:rsidRDefault="00F15B22" w:rsidP="00A549D6">
      <w:pPr>
        <w:rPr>
          <w:bCs/>
        </w:rPr>
      </w:pPr>
    </w:p>
    <w:p w14:paraId="00000018" w14:textId="4E29440B" w:rsidR="00F15B22" w:rsidRPr="004D35FC" w:rsidRDefault="00986013" w:rsidP="00A549D6">
      <w:pPr>
        <w:rPr>
          <w:b/>
        </w:rPr>
      </w:pPr>
      <w:r w:rsidRPr="004D35FC">
        <w:rPr>
          <w:b/>
        </w:rPr>
        <w:t>PROTOCOL:</w:t>
      </w:r>
    </w:p>
    <w:p w14:paraId="0788DE20" w14:textId="77777777" w:rsidR="00A549D6" w:rsidRPr="004D35FC" w:rsidRDefault="00A549D6" w:rsidP="00A549D6">
      <w:pPr>
        <w:rPr>
          <w:bCs/>
        </w:rPr>
      </w:pPr>
    </w:p>
    <w:p w14:paraId="00000019" w14:textId="2024278D" w:rsidR="00F15B22" w:rsidRPr="004D35FC" w:rsidRDefault="00986013" w:rsidP="0014466A">
      <w:pPr>
        <w:rPr>
          <w:bCs/>
        </w:rPr>
      </w:pPr>
      <w:r w:rsidRPr="004D35FC">
        <w:rPr>
          <w:bCs/>
        </w:rPr>
        <w:t>All experimental protocols were reviewed and approved by the Institutional Animal Care and Use Committee at Chungnam National University in South Korea</w:t>
      </w:r>
      <w:r w:rsidR="00CE522A">
        <w:rPr>
          <w:bCs/>
        </w:rPr>
        <w:t>,</w:t>
      </w:r>
      <w:r w:rsidRPr="004D35FC">
        <w:rPr>
          <w:bCs/>
        </w:rPr>
        <w:t xml:space="preserve"> and then conducted based on the ethical guidelines of the International Association for the Study of Pain</w:t>
      </w:r>
      <w:r w:rsidRPr="004D35FC">
        <w:rPr>
          <w:bCs/>
          <w:vertAlign w:val="superscript"/>
        </w:rPr>
        <w:t>1</w:t>
      </w:r>
      <w:r w:rsidR="00942C41" w:rsidRPr="004D35FC">
        <w:rPr>
          <w:bCs/>
          <w:vertAlign w:val="superscript"/>
        </w:rPr>
        <w:t>8</w:t>
      </w:r>
      <w:r w:rsidRPr="004D35FC">
        <w:rPr>
          <w:bCs/>
        </w:rPr>
        <w:t>.</w:t>
      </w:r>
    </w:p>
    <w:p w14:paraId="0000001A" w14:textId="77777777" w:rsidR="00F15B22" w:rsidRPr="004D35FC" w:rsidRDefault="00F15B22" w:rsidP="00A549D6">
      <w:pPr>
        <w:pBdr>
          <w:top w:val="nil"/>
          <w:left w:val="nil"/>
          <w:bottom w:val="nil"/>
          <w:right w:val="nil"/>
          <w:between w:val="nil"/>
        </w:pBdr>
        <w:rPr>
          <w:b/>
        </w:rPr>
      </w:pPr>
    </w:p>
    <w:p w14:paraId="0000001B" w14:textId="4E7D6AC9" w:rsidR="00F15B22" w:rsidRPr="004D35FC" w:rsidRDefault="00986013" w:rsidP="00A549D6">
      <w:pPr>
        <w:pStyle w:val="ListParagraph"/>
        <w:numPr>
          <w:ilvl w:val="0"/>
          <w:numId w:val="2"/>
        </w:numPr>
        <w:ind w:left="0" w:firstLine="0"/>
        <w:rPr>
          <w:b/>
          <w:color w:val="auto"/>
          <w:highlight w:val="yellow"/>
        </w:rPr>
      </w:pPr>
      <w:r w:rsidRPr="004D35FC">
        <w:rPr>
          <w:b/>
          <w:color w:val="auto"/>
          <w:highlight w:val="yellow"/>
        </w:rPr>
        <w:t xml:space="preserve">Induction of </w:t>
      </w:r>
      <w:r w:rsidR="0089277E" w:rsidRPr="004D35FC">
        <w:rPr>
          <w:b/>
          <w:color w:val="auto"/>
          <w:highlight w:val="yellow"/>
        </w:rPr>
        <w:t>scalding burn injury on the hind paw</w:t>
      </w:r>
    </w:p>
    <w:p w14:paraId="0000001C" w14:textId="77777777" w:rsidR="00F15B22" w:rsidRPr="003A13F2" w:rsidRDefault="00F15B22" w:rsidP="003A13F2">
      <w:pPr>
        <w:pBdr>
          <w:top w:val="nil"/>
          <w:left w:val="nil"/>
          <w:bottom w:val="nil"/>
          <w:right w:val="nil"/>
          <w:between w:val="nil"/>
        </w:pBdr>
        <w:rPr>
          <w:bCs/>
          <w:highlight w:val="yellow"/>
        </w:rPr>
      </w:pPr>
    </w:p>
    <w:p w14:paraId="1B71F097" w14:textId="260DFFA0" w:rsidR="00A35364" w:rsidRPr="004D35FC" w:rsidRDefault="00986013" w:rsidP="00A549D6">
      <w:pPr>
        <w:pStyle w:val="ListParagraph"/>
        <w:numPr>
          <w:ilvl w:val="1"/>
          <w:numId w:val="2"/>
        </w:numPr>
        <w:pBdr>
          <w:top w:val="nil"/>
          <w:left w:val="nil"/>
          <w:bottom w:val="nil"/>
          <w:right w:val="nil"/>
          <w:between w:val="nil"/>
        </w:pBdr>
        <w:ind w:left="0" w:firstLine="0"/>
        <w:rPr>
          <w:bCs/>
          <w:color w:val="auto"/>
          <w:highlight w:val="yellow"/>
        </w:rPr>
      </w:pPr>
      <w:r w:rsidRPr="004D35FC">
        <w:rPr>
          <w:bCs/>
          <w:color w:val="auto"/>
          <w:highlight w:val="yellow"/>
        </w:rPr>
        <w:t xml:space="preserve">House the male ICR mice weighing 20–25 g in light and </w:t>
      </w:r>
      <w:r w:rsidR="00A549D6" w:rsidRPr="004D35FC">
        <w:rPr>
          <w:bCs/>
          <w:color w:val="auto"/>
          <w:highlight w:val="yellow"/>
        </w:rPr>
        <w:t>temperature-controlled</w:t>
      </w:r>
      <w:r w:rsidRPr="004D35FC">
        <w:rPr>
          <w:bCs/>
          <w:color w:val="auto"/>
          <w:highlight w:val="yellow"/>
        </w:rPr>
        <w:t xml:space="preserve"> room (12/12 h light-dark cycle, 22.5</w:t>
      </w:r>
      <w:r w:rsidR="0089277E" w:rsidRPr="004D35FC">
        <w:rPr>
          <w:bCs/>
          <w:color w:val="auto"/>
          <w:highlight w:val="yellow"/>
        </w:rPr>
        <w:t xml:space="preserve"> °C</w:t>
      </w:r>
      <w:r w:rsidRPr="004D35FC">
        <w:rPr>
          <w:bCs/>
          <w:color w:val="auto"/>
          <w:highlight w:val="yellow"/>
        </w:rPr>
        <w:t xml:space="preserve"> ± 2.5 °C) with a humidity of 40</w:t>
      </w:r>
      <w:r w:rsidR="0089277E" w:rsidRPr="004D35FC">
        <w:rPr>
          <w:bCs/>
          <w:color w:val="auto"/>
          <w:highlight w:val="yellow"/>
        </w:rPr>
        <w:t>%</w:t>
      </w:r>
      <w:r w:rsidRPr="004D35FC">
        <w:rPr>
          <w:bCs/>
          <w:color w:val="auto"/>
          <w:highlight w:val="yellow"/>
        </w:rPr>
        <w:t>–60%.</w:t>
      </w:r>
    </w:p>
    <w:p w14:paraId="3A9017A4" w14:textId="77777777" w:rsidR="00A35364" w:rsidRPr="004D35FC" w:rsidRDefault="00A35364" w:rsidP="00A35364">
      <w:pPr>
        <w:pStyle w:val="ListParagraph"/>
        <w:pBdr>
          <w:top w:val="nil"/>
          <w:left w:val="nil"/>
          <w:bottom w:val="nil"/>
          <w:right w:val="nil"/>
          <w:between w:val="nil"/>
        </w:pBdr>
        <w:ind w:left="0"/>
        <w:rPr>
          <w:bCs/>
          <w:color w:val="auto"/>
          <w:highlight w:val="yellow"/>
        </w:rPr>
      </w:pPr>
    </w:p>
    <w:p w14:paraId="0000001D" w14:textId="151CE3DD" w:rsidR="00F15B22" w:rsidRPr="004D35FC" w:rsidRDefault="00986013" w:rsidP="00A549D6">
      <w:pPr>
        <w:pStyle w:val="ListParagraph"/>
        <w:numPr>
          <w:ilvl w:val="1"/>
          <w:numId w:val="2"/>
        </w:numPr>
        <w:pBdr>
          <w:top w:val="nil"/>
          <w:left w:val="nil"/>
          <w:bottom w:val="nil"/>
          <w:right w:val="nil"/>
          <w:between w:val="nil"/>
        </w:pBdr>
        <w:ind w:left="0" w:firstLine="0"/>
        <w:rPr>
          <w:bCs/>
          <w:color w:val="auto"/>
          <w:highlight w:val="yellow"/>
        </w:rPr>
      </w:pPr>
      <w:r w:rsidRPr="004D35FC">
        <w:rPr>
          <w:bCs/>
          <w:color w:val="auto"/>
          <w:highlight w:val="yellow"/>
        </w:rPr>
        <w:t xml:space="preserve">Allow </w:t>
      </w:r>
      <w:r w:rsidR="00CE522A">
        <w:rPr>
          <w:bCs/>
          <w:color w:val="auto"/>
          <w:highlight w:val="yellow"/>
        </w:rPr>
        <w:t xml:space="preserve">the </w:t>
      </w:r>
      <w:r w:rsidRPr="004D35FC">
        <w:rPr>
          <w:bCs/>
          <w:color w:val="auto"/>
          <w:highlight w:val="yellow"/>
        </w:rPr>
        <w:t>animal free access to food and water, and acclimatize for at least 1 week before starting the experiment.</w:t>
      </w:r>
    </w:p>
    <w:p w14:paraId="20342355" w14:textId="0CF7944C" w:rsidR="00280508" w:rsidRPr="004D35FC" w:rsidRDefault="00280508" w:rsidP="00A549D6">
      <w:pPr>
        <w:pBdr>
          <w:top w:val="nil"/>
          <w:left w:val="nil"/>
          <w:bottom w:val="nil"/>
          <w:right w:val="nil"/>
          <w:between w:val="nil"/>
        </w:pBdr>
        <w:rPr>
          <w:bCs/>
        </w:rPr>
      </w:pPr>
    </w:p>
    <w:p w14:paraId="1100EE58" w14:textId="021467D5" w:rsidR="00291DF8" w:rsidRPr="004D35FC" w:rsidRDefault="00291DF8" w:rsidP="00A549D6">
      <w:pPr>
        <w:pBdr>
          <w:top w:val="nil"/>
          <w:left w:val="nil"/>
          <w:bottom w:val="nil"/>
          <w:right w:val="nil"/>
          <w:between w:val="nil"/>
        </w:pBdr>
        <w:rPr>
          <w:rFonts w:eastAsia="Calibri"/>
          <w:bCs/>
        </w:rPr>
      </w:pPr>
      <w:r w:rsidRPr="004D35FC">
        <w:rPr>
          <w:bCs/>
        </w:rPr>
        <w:t xml:space="preserve">NOTE: </w:t>
      </w:r>
      <w:r w:rsidR="00091BE7" w:rsidRPr="004D35FC">
        <w:rPr>
          <w:rFonts w:eastAsia="Calibri"/>
          <w:bCs/>
        </w:rPr>
        <w:t xml:space="preserve">All </w:t>
      </w:r>
      <w:r w:rsidR="00CE522A">
        <w:rPr>
          <w:rFonts w:eastAsia="Calibri"/>
          <w:bCs/>
        </w:rPr>
        <w:t xml:space="preserve">the </w:t>
      </w:r>
      <w:r w:rsidR="00091BE7" w:rsidRPr="004D35FC">
        <w:rPr>
          <w:rFonts w:eastAsia="Calibri"/>
          <w:bCs/>
        </w:rPr>
        <w:t>animals were group-housed to exclude variables such as isolation stress.</w:t>
      </w:r>
    </w:p>
    <w:p w14:paraId="70A44963" w14:textId="77777777" w:rsidR="00291DF8" w:rsidRPr="004D35FC" w:rsidRDefault="00291DF8" w:rsidP="00A549D6">
      <w:pPr>
        <w:pBdr>
          <w:top w:val="nil"/>
          <w:left w:val="nil"/>
          <w:bottom w:val="nil"/>
          <w:right w:val="nil"/>
          <w:between w:val="nil"/>
        </w:pBdr>
        <w:rPr>
          <w:bCs/>
        </w:rPr>
      </w:pPr>
    </w:p>
    <w:p w14:paraId="0000001E" w14:textId="5B7237CE" w:rsidR="00F15B22" w:rsidRPr="004D35FC" w:rsidRDefault="00986013" w:rsidP="00A549D6">
      <w:pPr>
        <w:pStyle w:val="ListParagraph"/>
        <w:numPr>
          <w:ilvl w:val="1"/>
          <w:numId w:val="2"/>
        </w:numPr>
        <w:pBdr>
          <w:top w:val="nil"/>
          <w:left w:val="nil"/>
          <w:bottom w:val="nil"/>
          <w:right w:val="nil"/>
          <w:between w:val="nil"/>
        </w:pBdr>
        <w:ind w:left="0" w:firstLine="0"/>
        <w:rPr>
          <w:bCs/>
          <w:color w:val="auto"/>
          <w:highlight w:val="yellow"/>
        </w:rPr>
      </w:pPr>
      <w:r w:rsidRPr="004D35FC">
        <w:rPr>
          <w:rFonts w:eastAsia="Calibri"/>
          <w:bCs/>
          <w:color w:val="auto"/>
          <w:highlight w:val="yellow"/>
        </w:rPr>
        <w:t xml:space="preserve">Assign </w:t>
      </w:r>
      <w:r w:rsidRPr="004D35FC">
        <w:rPr>
          <w:bCs/>
          <w:color w:val="auto"/>
          <w:highlight w:val="yellow"/>
        </w:rPr>
        <w:t>the</w:t>
      </w:r>
      <w:r w:rsidRPr="004D35FC">
        <w:rPr>
          <w:rFonts w:eastAsia="Calibri"/>
          <w:bCs/>
          <w:color w:val="auto"/>
          <w:highlight w:val="yellow"/>
        </w:rPr>
        <w:t xml:space="preserve"> mice randomly </w:t>
      </w:r>
      <w:r w:rsidR="0089277E" w:rsidRPr="004D35FC">
        <w:rPr>
          <w:rFonts w:eastAsia="Calibri"/>
          <w:bCs/>
          <w:color w:val="auto"/>
          <w:highlight w:val="yellow"/>
        </w:rPr>
        <w:t xml:space="preserve">to </w:t>
      </w:r>
      <w:r w:rsidR="00A35364" w:rsidRPr="004D35FC">
        <w:rPr>
          <w:rFonts w:eastAsia="Calibri"/>
          <w:bCs/>
          <w:color w:val="auto"/>
          <w:highlight w:val="yellow"/>
        </w:rPr>
        <w:t xml:space="preserve">the </w:t>
      </w:r>
      <w:r w:rsidRPr="004D35FC">
        <w:rPr>
          <w:rFonts w:eastAsia="Calibri"/>
          <w:bCs/>
          <w:color w:val="auto"/>
          <w:highlight w:val="yellow"/>
        </w:rPr>
        <w:t xml:space="preserve">experimental or control group and conduct </w:t>
      </w:r>
      <w:r w:rsidR="0089277E" w:rsidRPr="004D35FC">
        <w:rPr>
          <w:rFonts w:eastAsia="Calibri"/>
          <w:bCs/>
          <w:color w:val="auto"/>
          <w:highlight w:val="yellow"/>
        </w:rPr>
        <w:t xml:space="preserve">blind </w:t>
      </w:r>
      <w:r w:rsidRPr="004D35FC">
        <w:rPr>
          <w:rFonts w:eastAsia="Calibri"/>
          <w:bCs/>
          <w:color w:val="auto"/>
          <w:highlight w:val="yellow"/>
        </w:rPr>
        <w:t>experiment</w:t>
      </w:r>
      <w:r w:rsidR="0089277E" w:rsidRPr="004D35FC">
        <w:rPr>
          <w:rFonts w:eastAsia="Calibri"/>
          <w:bCs/>
          <w:color w:val="auto"/>
          <w:highlight w:val="yellow"/>
        </w:rPr>
        <w:t>s</w:t>
      </w:r>
      <w:r w:rsidRPr="004D35FC">
        <w:rPr>
          <w:rFonts w:eastAsia="Calibri"/>
          <w:bCs/>
          <w:color w:val="auto"/>
          <w:highlight w:val="yellow"/>
        </w:rPr>
        <w:t xml:space="preserve"> using animal numbers as code</w:t>
      </w:r>
      <w:r w:rsidR="0089277E" w:rsidRPr="004D35FC">
        <w:rPr>
          <w:rFonts w:eastAsia="Calibri"/>
          <w:bCs/>
          <w:color w:val="auto"/>
          <w:highlight w:val="yellow"/>
        </w:rPr>
        <w:t>s</w:t>
      </w:r>
      <w:r w:rsidRPr="004D35FC">
        <w:rPr>
          <w:rFonts w:eastAsia="Calibri"/>
          <w:bCs/>
          <w:color w:val="auto"/>
          <w:highlight w:val="yellow"/>
        </w:rPr>
        <w:t>.</w:t>
      </w:r>
    </w:p>
    <w:p w14:paraId="5F5C691F" w14:textId="77777777" w:rsidR="00280508" w:rsidRPr="004D35FC" w:rsidRDefault="00280508" w:rsidP="00A549D6">
      <w:pPr>
        <w:pBdr>
          <w:top w:val="nil"/>
          <w:left w:val="nil"/>
          <w:bottom w:val="nil"/>
          <w:right w:val="nil"/>
          <w:between w:val="nil"/>
        </w:pBdr>
        <w:rPr>
          <w:bCs/>
        </w:rPr>
      </w:pPr>
    </w:p>
    <w:p w14:paraId="0000001F" w14:textId="5E98F280" w:rsidR="00F15B22" w:rsidRPr="004D35FC" w:rsidRDefault="00986013" w:rsidP="00A549D6">
      <w:pPr>
        <w:pStyle w:val="ListParagraph"/>
        <w:numPr>
          <w:ilvl w:val="1"/>
          <w:numId w:val="2"/>
        </w:numPr>
        <w:pBdr>
          <w:top w:val="nil"/>
          <w:left w:val="nil"/>
          <w:bottom w:val="nil"/>
          <w:right w:val="nil"/>
          <w:between w:val="nil"/>
        </w:pBdr>
        <w:ind w:left="0" w:firstLine="0"/>
        <w:rPr>
          <w:bCs/>
          <w:color w:val="auto"/>
        </w:rPr>
      </w:pPr>
      <w:r w:rsidRPr="004D35FC">
        <w:rPr>
          <w:rFonts w:eastAsia="Calibri"/>
          <w:bCs/>
          <w:color w:val="auto"/>
        </w:rPr>
        <w:t xml:space="preserve">On </w:t>
      </w:r>
      <w:r w:rsidRPr="004D35FC">
        <w:rPr>
          <w:bCs/>
          <w:color w:val="auto"/>
        </w:rPr>
        <w:t>the</w:t>
      </w:r>
      <w:r w:rsidRPr="004D35FC">
        <w:rPr>
          <w:rFonts w:eastAsia="Calibri"/>
          <w:bCs/>
          <w:color w:val="auto"/>
        </w:rPr>
        <w:t xml:space="preserve"> day of burn induction, anesthetize the mouse by intraperitoneal (i.p.) injection of </w:t>
      </w:r>
      <w:r w:rsidRPr="004D35FC">
        <w:rPr>
          <w:rFonts w:eastAsia="Calibri"/>
          <w:bCs/>
          <w:color w:val="auto"/>
        </w:rPr>
        <w:lastRenderedPageBreak/>
        <w:t xml:space="preserve">300 µL </w:t>
      </w:r>
      <w:r w:rsidR="0089277E" w:rsidRPr="004D35FC">
        <w:rPr>
          <w:rFonts w:eastAsia="Calibri"/>
          <w:bCs/>
          <w:color w:val="auto"/>
        </w:rPr>
        <w:t xml:space="preserve">of </w:t>
      </w:r>
      <w:r w:rsidRPr="004D35FC">
        <w:rPr>
          <w:rFonts w:eastAsia="Calibri"/>
          <w:bCs/>
          <w:color w:val="auto"/>
        </w:rPr>
        <w:t xml:space="preserve">alfaxalone at a dose of 10 mg/kg. </w:t>
      </w:r>
      <w:r w:rsidRPr="004D35FC">
        <w:rPr>
          <w:rFonts w:eastAsia="Calibri"/>
          <w:bCs/>
          <w:color w:val="auto"/>
          <w:highlight w:val="yellow"/>
        </w:rPr>
        <w:t>Wear a surgical gown, gloves, and mask while performing the burn induction.</w:t>
      </w:r>
    </w:p>
    <w:p w14:paraId="00000020" w14:textId="63E00D86" w:rsidR="00F15B22" w:rsidRPr="004D35FC" w:rsidRDefault="00F15B22" w:rsidP="00A549D6">
      <w:pPr>
        <w:pBdr>
          <w:top w:val="nil"/>
          <w:left w:val="nil"/>
          <w:bottom w:val="nil"/>
          <w:right w:val="nil"/>
          <w:between w:val="nil"/>
        </w:pBdr>
        <w:rPr>
          <w:bCs/>
          <w:highlight w:val="yellow"/>
        </w:rPr>
      </w:pPr>
    </w:p>
    <w:p w14:paraId="2A4B1F7B" w14:textId="64E25477" w:rsidR="00F970E8" w:rsidRPr="004D35FC" w:rsidRDefault="00986013" w:rsidP="0089277E">
      <w:pPr>
        <w:pStyle w:val="ListParagraph"/>
        <w:numPr>
          <w:ilvl w:val="1"/>
          <w:numId w:val="2"/>
        </w:numPr>
        <w:pBdr>
          <w:top w:val="nil"/>
          <w:left w:val="nil"/>
          <w:bottom w:val="nil"/>
          <w:right w:val="nil"/>
          <w:between w:val="nil"/>
        </w:pBdr>
        <w:ind w:left="0" w:firstLine="0"/>
        <w:rPr>
          <w:bCs/>
          <w:color w:val="auto"/>
          <w:highlight w:val="yellow"/>
        </w:rPr>
      </w:pPr>
      <w:r w:rsidRPr="004D35FC">
        <w:rPr>
          <w:bCs/>
          <w:color w:val="auto"/>
          <w:highlight w:val="yellow"/>
        </w:rPr>
        <w:t>After</w:t>
      </w:r>
      <w:r w:rsidRPr="004D35FC">
        <w:rPr>
          <w:rFonts w:eastAsia="Calibri"/>
          <w:bCs/>
          <w:color w:val="auto"/>
          <w:highlight w:val="yellow"/>
        </w:rPr>
        <w:t xml:space="preserve"> deeply anesthetizing the mouse, disinfect around the right hind paw with 70% ethanol.</w:t>
      </w:r>
    </w:p>
    <w:p w14:paraId="5DEF60C4" w14:textId="38EA51A6" w:rsidR="00F970E8" w:rsidRPr="004D35FC" w:rsidRDefault="00F970E8" w:rsidP="00F970E8">
      <w:pPr>
        <w:pBdr>
          <w:top w:val="nil"/>
          <w:left w:val="nil"/>
          <w:bottom w:val="nil"/>
          <w:right w:val="nil"/>
          <w:between w:val="nil"/>
        </w:pBdr>
        <w:rPr>
          <w:bCs/>
        </w:rPr>
      </w:pPr>
    </w:p>
    <w:p w14:paraId="104B269F" w14:textId="024DAD02" w:rsidR="00F970E8" w:rsidRPr="004D35FC" w:rsidRDefault="00F970E8" w:rsidP="00F970E8">
      <w:pPr>
        <w:pBdr>
          <w:top w:val="nil"/>
          <w:left w:val="nil"/>
          <w:bottom w:val="nil"/>
          <w:right w:val="nil"/>
          <w:between w:val="nil"/>
        </w:pBdr>
        <w:rPr>
          <w:rFonts w:eastAsia="Calibri"/>
          <w:bCs/>
        </w:rPr>
      </w:pPr>
      <w:r w:rsidRPr="004D35FC">
        <w:rPr>
          <w:bCs/>
        </w:rPr>
        <w:t xml:space="preserve">NOTE: </w:t>
      </w:r>
      <w:r w:rsidRPr="004D35FC">
        <w:rPr>
          <w:rFonts w:eastAsia="Calibri"/>
          <w:bCs/>
        </w:rPr>
        <w:t>Check the lack of response to pinch stimulation applied to the hind toes or tail to confirm the state of deep anesthesia.</w:t>
      </w:r>
    </w:p>
    <w:p w14:paraId="57250007" w14:textId="77777777" w:rsidR="00F970E8" w:rsidRPr="004D35FC" w:rsidRDefault="00F970E8" w:rsidP="00CF146A">
      <w:pPr>
        <w:pBdr>
          <w:top w:val="nil"/>
          <w:left w:val="nil"/>
          <w:bottom w:val="nil"/>
          <w:right w:val="nil"/>
          <w:between w:val="nil"/>
        </w:pBdr>
        <w:rPr>
          <w:bCs/>
        </w:rPr>
      </w:pPr>
    </w:p>
    <w:p w14:paraId="00000021" w14:textId="78F2E56A" w:rsidR="00F15B22" w:rsidRPr="004D35FC" w:rsidRDefault="0089277E" w:rsidP="0089277E">
      <w:pPr>
        <w:pStyle w:val="ListParagraph"/>
        <w:numPr>
          <w:ilvl w:val="1"/>
          <w:numId w:val="2"/>
        </w:numPr>
        <w:pBdr>
          <w:top w:val="nil"/>
          <w:left w:val="nil"/>
          <w:bottom w:val="nil"/>
          <w:right w:val="nil"/>
          <w:between w:val="nil"/>
        </w:pBdr>
        <w:ind w:left="0" w:firstLine="0"/>
        <w:rPr>
          <w:bCs/>
          <w:color w:val="auto"/>
          <w:highlight w:val="yellow"/>
        </w:rPr>
      </w:pPr>
      <w:r w:rsidRPr="004D35FC">
        <w:rPr>
          <w:bCs/>
          <w:color w:val="auto"/>
          <w:highlight w:val="yellow"/>
        </w:rPr>
        <w:t xml:space="preserve">Apply </w:t>
      </w:r>
      <w:r w:rsidRPr="004D35FC">
        <w:rPr>
          <w:rFonts w:eastAsia="Calibri"/>
          <w:bCs/>
          <w:color w:val="auto"/>
          <w:highlight w:val="yellow"/>
        </w:rPr>
        <w:t>an ophthalmic ointment to the eyes t</w:t>
      </w:r>
      <w:r w:rsidR="00986013" w:rsidRPr="004D35FC">
        <w:rPr>
          <w:rFonts w:eastAsia="Calibri"/>
          <w:bCs/>
          <w:color w:val="auto"/>
          <w:highlight w:val="yellow"/>
        </w:rPr>
        <w:t>o prevent corneal drying after induction of anesthesia.</w:t>
      </w:r>
    </w:p>
    <w:p w14:paraId="2802FC5B" w14:textId="77777777" w:rsidR="00280508" w:rsidRPr="004D35FC" w:rsidRDefault="00280508" w:rsidP="00A549D6">
      <w:pPr>
        <w:pBdr>
          <w:top w:val="nil"/>
          <w:left w:val="nil"/>
          <w:bottom w:val="nil"/>
          <w:right w:val="nil"/>
          <w:between w:val="nil"/>
        </w:pBdr>
        <w:rPr>
          <w:bCs/>
        </w:rPr>
      </w:pPr>
    </w:p>
    <w:p w14:paraId="00000022" w14:textId="7F691688" w:rsidR="00F15B22" w:rsidRPr="004D35FC" w:rsidRDefault="00283C38" w:rsidP="00A549D6">
      <w:pPr>
        <w:pStyle w:val="ListParagraph"/>
        <w:numPr>
          <w:ilvl w:val="1"/>
          <w:numId w:val="2"/>
        </w:numPr>
        <w:pBdr>
          <w:top w:val="nil"/>
          <w:left w:val="nil"/>
          <w:bottom w:val="nil"/>
          <w:right w:val="nil"/>
          <w:between w:val="nil"/>
        </w:pBdr>
        <w:ind w:left="0" w:firstLine="0"/>
        <w:rPr>
          <w:bCs/>
          <w:color w:val="auto"/>
          <w:highlight w:val="yellow"/>
        </w:rPr>
      </w:pPr>
      <w:r w:rsidRPr="004D35FC">
        <w:rPr>
          <w:bCs/>
          <w:color w:val="auto"/>
          <w:highlight w:val="yellow"/>
        </w:rPr>
        <w:t>I</w:t>
      </w:r>
      <w:r w:rsidR="00986013" w:rsidRPr="004D35FC">
        <w:rPr>
          <w:bCs/>
          <w:color w:val="auto"/>
          <w:highlight w:val="yellow"/>
        </w:rPr>
        <w:t>mmerse</w:t>
      </w:r>
      <w:r w:rsidR="00986013" w:rsidRPr="004D35FC">
        <w:rPr>
          <w:rFonts w:eastAsia="Calibri"/>
          <w:bCs/>
          <w:color w:val="auto"/>
          <w:highlight w:val="yellow"/>
        </w:rPr>
        <w:t xml:space="preserve"> the right hind paw of </w:t>
      </w:r>
      <w:r w:rsidR="0089277E" w:rsidRPr="004D35FC">
        <w:rPr>
          <w:rFonts w:eastAsia="Calibri"/>
          <w:bCs/>
          <w:color w:val="auto"/>
          <w:highlight w:val="yellow"/>
        </w:rPr>
        <w:t>the</w:t>
      </w:r>
      <w:r w:rsidR="00986013" w:rsidRPr="004D35FC">
        <w:rPr>
          <w:rFonts w:eastAsia="Calibri"/>
          <w:bCs/>
          <w:color w:val="auto"/>
          <w:highlight w:val="yellow"/>
        </w:rPr>
        <w:t xml:space="preserve"> deeply anesthetized mouse in hot water at 65</w:t>
      </w:r>
      <w:r w:rsidR="0089277E" w:rsidRPr="004D35FC">
        <w:rPr>
          <w:rFonts w:eastAsia="Calibri"/>
          <w:bCs/>
          <w:color w:val="auto"/>
          <w:highlight w:val="yellow"/>
        </w:rPr>
        <w:t xml:space="preserve"> °C</w:t>
      </w:r>
      <w:r w:rsidR="00986013" w:rsidRPr="004D35FC">
        <w:rPr>
          <w:rFonts w:eastAsia="Calibri"/>
          <w:bCs/>
          <w:color w:val="auto"/>
          <w:highlight w:val="yellow"/>
        </w:rPr>
        <w:t xml:space="preserve"> ± 0.5 °C for 3 s. </w:t>
      </w:r>
      <w:r w:rsidR="0022278A" w:rsidRPr="004D35FC">
        <w:rPr>
          <w:rFonts w:eastAsia="Calibri"/>
          <w:bCs/>
          <w:color w:val="auto"/>
          <w:highlight w:val="yellow"/>
        </w:rPr>
        <w:t>Make a m</w:t>
      </w:r>
      <w:r w:rsidRPr="004D35FC">
        <w:rPr>
          <w:rFonts w:eastAsia="Calibri"/>
          <w:bCs/>
          <w:color w:val="auto"/>
          <w:highlight w:val="yellow"/>
        </w:rPr>
        <w:t>ark on the ankle of each mouse before</w:t>
      </w:r>
      <w:r w:rsidR="00986013" w:rsidRPr="004D35FC">
        <w:rPr>
          <w:rFonts w:eastAsia="Calibri"/>
          <w:bCs/>
          <w:color w:val="auto"/>
          <w:highlight w:val="yellow"/>
        </w:rPr>
        <w:t xml:space="preserve"> immers</w:t>
      </w:r>
      <w:r w:rsidRPr="004D35FC">
        <w:rPr>
          <w:rFonts w:eastAsia="Calibri"/>
          <w:bCs/>
          <w:color w:val="auto"/>
          <w:highlight w:val="yellow"/>
        </w:rPr>
        <w:t>ing</w:t>
      </w:r>
      <w:r w:rsidR="00986013" w:rsidRPr="004D35FC">
        <w:rPr>
          <w:rFonts w:eastAsia="Calibri"/>
          <w:bCs/>
          <w:color w:val="auto"/>
          <w:highlight w:val="yellow"/>
        </w:rPr>
        <w:t xml:space="preserve"> the hind paw </w:t>
      </w:r>
      <w:r w:rsidRPr="004D35FC">
        <w:rPr>
          <w:rFonts w:eastAsia="Calibri"/>
          <w:bCs/>
          <w:color w:val="auto"/>
          <w:highlight w:val="yellow"/>
        </w:rPr>
        <w:t>in</w:t>
      </w:r>
      <w:r w:rsidR="00986013" w:rsidRPr="004D35FC">
        <w:rPr>
          <w:rFonts w:eastAsia="Calibri"/>
          <w:bCs/>
          <w:color w:val="auto"/>
          <w:highlight w:val="yellow"/>
        </w:rPr>
        <w:t xml:space="preserve"> hot water to maintain consistency in the burned area.</w:t>
      </w:r>
    </w:p>
    <w:p w14:paraId="5722A0CB" w14:textId="77777777" w:rsidR="00280508" w:rsidRPr="004D35FC" w:rsidRDefault="00280508" w:rsidP="00A549D6">
      <w:pPr>
        <w:pBdr>
          <w:top w:val="nil"/>
          <w:left w:val="nil"/>
          <w:bottom w:val="nil"/>
          <w:right w:val="nil"/>
          <w:between w:val="nil"/>
        </w:pBdr>
        <w:rPr>
          <w:bCs/>
          <w:highlight w:val="yellow"/>
        </w:rPr>
      </w:pPr>
    </w:p>
    <w:p w14:paraId="00000023" w14:textId="1957FC7D" w:rsidR="00F15B22" w:rsidRPr="004D35FC" w:rsidRDefault="00986013" w:rsidP="00A549D6">
      <w:pPr>
        <w:pStyle w:val="ListParagraph"/>
        <w:numPr>
          <w:ilvl w:val="1"/>
          <w:numId w:val="2"/>
        </w:numPr>
        <w:pBdr>
          <w:top w:val="nil"/>
          <w:left w:val="nil"/>
          <w:bottom w:val="nil"/>
          <w:right w:val="nil"/>
          <w:between w:val="nil"/>
        </w:pBdr>
        <w:ind w:left="0" w:firstLine="0"/>
        <w:rPr>
          <w:bCs/>
          <w:color w:val="auto"/>
          <w:highlight w:val="yellow"/>
        </w:rPr>
      </w:pPr>
      <w:r w:rsidRPr="004D35FC">
        <w:rPr>
          <w:bCs/>
          <w:color w:val="auto"/>
          <w:highlight w:val="yellow"/>
        </w:rPr>
        <w:t>After</w:t>
      </w:r>
      <w:r w:rsidRPr="004D35FC">
        <w:rPr>
          <w:rFonts w:eastAsia="Calibri"/>
          <w:bCs/>
          <w:color w:val="auto"/>
          <w:highlight w:val="yellow"/>
        </w:rPr>
        <w:t xml:space="preserve"> </w:t>
      </w:r>
      <w:r w:rsidRPr="004D35FC">
        <w:rPr>
          <w:bCs/>
          <w:color w:val="auto"/>
          <w:highlight w:val="yellow"/>
        </w:rPr>
        <w:t>induction</w:t>
      </w:r>
      <w:r w:rsidRPr="004D35FC">
        <w:rPr>
          <w:rFonts w:eastAsia="Calibri"/>
          <w:bCs/>
          <w:color w:val="auto"/>
          <w:highlight w:val="yellow"/>
        </w:rPr>
        <w:t xml:space="preserve"> of burns, bring the mice in a clean home cage and place them on a heating pad until the animals recover from anesthesia.</w:t>
      </w:r>
    </w:p>
    <w:p w14:paraId="3C6B0FF4" w14:textId="77777777" w:rsidR="00280508" w:rsidRPr="004D35FC" w:rsidRDefault="00280508" w:rsidP="003A13F2">
      <w:pPr>
        <w:pBdr>
          <w:top w:val="nil"/>
          <w:left w:val="nil"/>
          <w:bottom w:val="nil"/>
          <w:right w:val="nil"/>
          <w:between w:val="nil"/>
        </w:pBdr>
        <w:rPr>
          <w:bCs/>
        </w:rPr>
      </w:pPr>
    </w:p>
    <w:p w14:paraId="00000024" w14:textId="795E5BAB" w:rsidR="00F15B22" w:rsidRPr="004D35FC" w:rsidRDefault="00986013" w:rsidP="00A549D6">
      <w:pPr>
        <w:rPr>
          <w:bCs/>
        </w:rPr>
      </w:pPr>
      <w:r w:rsidRPr="004D35FC">
        <w:rPr>
          <w:bCs/>
        </w:rPr>
        <w:t>NOTE: The analgesic agent, acetaminophen (200 mg/kg)</w:t>
      </w:r>
      <w:r w:rsidR="0022278A" w:rsidRPr="004D35FC">
        <w:rPr>
          <w:bCs/>
        </w:rPr>
        <w:t>,</w:t>
      </w:r>
      <w:r w:rsidRPr="004D35FC">
        <w:rPr>
          <w:bCs/>
        </w:rPr>
        <w:t xml:space="preserve"> was administered intraperitoneally once</w:t>
      </w:r>
      <w:r w:rsidR="0022278A" w:rsidRPr="004D35FC">
        <w:rPr>
          <w:bCs/>
        </w:rPr>
        <w:t xml:space="preserve"> </w:t>
      </w:r>
      <w:r w:rsidRPr="004D35FC">
        <w:rPr>
          <w:bCs/>
        </w:rPr>
        <w:t xml:space="preserve">daily for 7 days starting from the day </w:t>
      </w:r>
      <w:r w:rsidR="00CE6071">
        <w:rPr>
          <w:bCs/>
        </w:rPr>
        <w:t>of</w:t>
      </w:r>
      <w:r w:rsidR="00CE6071" w:rsidRPr="004D35FC">
        <w:rPr>
          <w:bCs/>
        </w:rPr>
        <w:t xml:space="preserve"> </w:t>
      </w:r>
      <w:r w:rsidRPr="004D35FC">
        <w:rPr>
          <w:bCs/>
        </w:rPr>
        <w:t xml:space="preserve">burn injury (Only Burn + Acetaminophen group). </w:t>
      </w:r>
      <w:r w:rsidR="0022278A" w:rsidRPr="004D35FC">
        <w:rPr>
          <w:bCs/>
        </w:rPr>
        <w:t>T</w:t>
      </w:r>
      <w:r w:rsidRPr="004D35FC">
        <w:rPr>
          <w:bCs/>
        </w:rPr>
        <w:t xml:space="preserve">he </w:t>
      </w:r>
      <w:r w:rsidR="00CD7F4B">
        <w:rPr>
          <w:bCs/>
        </w:rPr>
        <w:t>B</w:t>
      </w:r>
      <w:r w:rsidR="00CD7F4B" w:rsidRPr="004D35FC">
        <w:rPr>
          <w:bCs/>
        </w:rPr>
        <w:t xml:space="preserve">urn </w:t>
      </w:r>
      <w:r w:rsidRPr="004D35FC">
        <w:rPr>
          <w:bCs/>
        </w:rPr>
        <w:t>group was treated with saline as vehicle control. The experiment was performed according to the method described in a previous study</w:t>
      </w:r>
      <w:r w:rsidRPr="004D35FC">
        <w:rPr>
          <w:bCs/>
          <w:vertAlign w:val="superscript"/>
        </w:rPr>
        <w:t>4</w:t>
      </w:r>
      <w:r w:rsidRPr="004D35FC">
        <w:rPr>
          <w:bCs/>
        </w:rPr>
        <w:t>.</w:t>
      </w:r>
    </w:p>
    <w:p w14:paraId="00000025" w14:textId="77777777" w:rsidR="00F15B22" w:rsidRPr="004D35FC" w:rsidRDefault="00F15B22" w:rsidP="00A549D6">
      <w:pPr>
        <w:rPr>
          <w:b/>
        </w:rPr>
      </w:pPr>
    </w:p>
    <w:p w14:paraId="00000026" w14:textId="30C3EC6E" w:rsidR="00F15B22" w:rsidRPr="004D35FC" w:rsidRDefault="00986013" w:rsidP="00A549D6">
      <w:pPr>
        <w:pStyle w:val="ListParagraph"/>
        <w:numPr>
          <w:ilvl w:val="0"/>
          <w:numId w:val="2"/>
        </w:numPr>
        <w:ind w:left="0" w:firstLine="0"/>
        <w:rPr>
          <w:b/>
          <w:color w:val="auto"/>
          <w:highlight w:val="yellow"/>
        </w:rPr>
      </w:pPr>
      <w:r w:rsidRPr="004D35FC">
        <w:rPr>
          <w:rFonts w:eastAsia="Calibri"/>
          <w:b/>
          <w:color w:val="auto"/>
          <w:highlight w:val="yellow"/>
        </w:rPr>
        <w:t xml:space="preserve">Measurement of </w:t>
      </w:r>
      <w:r w:rsidR="00A56AEA" w:rsidRPr="004D35FC">
        <w:rPr>
          <w:rFonts w:eastAsia="Calibri"/>
          <w:b/>
          <w:color w:val="auto"/>
          <w:highlight w:val="yellow"/>
        </w:rPr>
        <w:t>mechanical allodynia</w:t>
      </w:r>
    </w:p>
    <w:p w14:paraId="00000027" w14:textId="77777777" w:rsidR="00F15B22" w:rsidRPr="004D35FC" w:rsidRDefault="00F15B22" w:rsidP="00A549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highlight w:val="yellow"/>
        </w:rPr>
      </w:pPr>
    </w:p>
    <w:p w14:paraId="00000028" w14:textId="55A4CDBE" w:rsidR="00F15B22" w:rsidRPr="004D35FC" w:rsidRDefault="00986013" w:rsidP="00A549D6">
      <w:pPr>
        <w:pStyle w:val="ListParagraph"/>
        <w:numPr>
          <w:ilvl w:val="1"/>
          <w:numId w:val="2"/>
        </w:numPr>
        <w:pBdr>
          <w:top w:val="nil"/>
          <w:left w:val="nil"/>
          <w:bottom w:val="nil"/>
          <w:right w:val="nil"/>
          <w:between w:val="nil"/>
        </w:pBdr>
        <w:ind w:left="0" w:firstLine="0"/>
        <w:rPr>
          <w:bCs/>
          <w:color w:val="auto"/>
          <w:highlight w:val="yellow"/>
        </w:rPr>
      </w:pPr>
      <w:r w:rsidRPr="004D35FC">
        <w:rPr>
          <w:bCs/>
          <w:color w:val="auto"/>
          <w:highlight w:val="yellow"/>
        </w:rPr>
        <w:t xml:space="preserve">Bring </w:t>
      </w:r>
      <w:r w:rsidR="00A56AEA" w:rsidRPr="004D35FC">
        <w:rPr>
          <w:bCs/>
          <w:color w:val="auto"/>
          <w:highlight w:val="yellow"/>
        </w:rPr>
        <w:t xml:space="preserve">the </w:t>
      </w:r>
      <w:r w:rsidRPr="004D35FC">
        <w:rPr>
          <w:bCs/>
          <w:color w:val="auto"/>
          <w:highlight w:val="yellow"/>
        </w:rPr>
        <w:t>mice to the behavioral testing room and let them acclimatize at least for 30 min</w:t>
      </w:r>
      <w:r w:rsidR="00A56AEA" w:rsidRPr="004D35FC">
        <w:rPr>
          <w:bCs/>
          <w:color w:val="auto"/>
          <w:highlight w:val="yellow"/>
        </w:rPr>
        <w:t xml:space="preserve"> </w:t>
      </w:r>
      <w:r w:rsidRPr="004D35FC">
        <w:rPr>
          <w:bCs/>
          <w:color w:val="auto"/>
          <w:highlight w:val="yellow"/>
        </w:rPr>
        <w:t>prior to the test. Wear a surgical gown, gloves, and mask while performing the test.</w:t>
      </w:r>
    </w:p>
    <w:p w14:paraId="4FDBC786" w14:textId="77777777" w:rsidR="00280508" w:rsidRPr="004D35FC" w:rsidRDefault="00280508" w:rsidP="00A549D6">
      <w:pPr>
        <w:pStyle w:val="ListParagraph"/>
        <w:pBdr>
          <w:top w:val="nil"/>
          <w:left w:val="nil"/>
          <w:bottom w:val="nil"/>
          <w:right w:val="nil"/>
          <w:between w:val="nil"/>
        </w:pBdr>
        <w:ind w:left="0"/>
        <w:rPr>
          <w:bCs/>
          <w:color w:val="auto"/>
          <w:highlight w:val="yellow"/>
        </w:rPr>
      </w:pPr>
    </w:p>
    <w:p w14:paraId="00000029" w14:textId="2D32A937" w:rsidR="00F15B22" w:rsidRPr="004D35FC" w:rsidRDefault="00986013" w:rsidP="00A549D6">
      <w:pPr>
        <w:pStyle w:val="ListParagraph"/>
        <w:numPr>
          <w:ilvl w:val="1"/>
          <w:numId w:val="2"/>
        </w:numPr>
        <w:pBdr>
          <w:top w:val="nil"/>
          <w:left w:val="nil"/>
          <w:bottom w:val="nil"/>
          <w:right w:val="nil"/>
          <w:between w:val="nil"/>
        </w:pBdr>
        <w:ind w:left="0" w:firstLine="0"/>
        <w:rPr>
          <w:bCs/>
          <w:color w:val="auto"/>
          <w:highlight w:val="yellow"/>
        </w:rPr>
      </w:pPr>
      <w:r w:rsidRPr="004D35FC">
        <w:rPr>
          <w:rFonts w:eastAsia="Calibri"/>
          <w:bCs/>
          <w:color w:val="auto"/>
          <w:highlight w:val="yellow"/>
        </w:rPr>
        <w:t xml:space="preserve">Place the mice into a square box (diameter: 13 cm, height: 12 cm) on a metal mesh floor (mesh size: 0.7 cm </w:t>
      </w:r>
      <w:r w:rsidR="00A56AEA" w:rsidRPr="004D35FC">
        <w:rPr>
          <w:rFonts w:eastAsia="Calibri"/>
          <w:bCs/>
          <w:color w:val="auto"/>
          <w:highlight w:val="yellow"/>
        </w:rPr>
        <w:t>x</w:t>
      </w:r>
      <w:r w:rsidRPr="004D35FC">
        <w:rPr>
          <w:rFonts w:eastAsia="Calibri"/>
          <w:bCs/>
          <w:color w:val="auto"/>
          <w:highlight w:val="yellow"/>
        </w:rPr>
        <w:t xml:space="preserve"> 0.7 cm) and let </w:t>
      </w:r>
      <w:r w:rsidR="00CE522A">
        <w:rPr>
          <w:rFonts w:eastAsia="Calibri"/>
          <w:bCs/>
          <w:color w:val="auto"/>
          <w:highlight w:val="yellow"/>
        </w:rPr>
        <w:t xml:space="preserve">them </w:t>
      </w:r>
      <w:r w:rsidR="00253285" w:rsidRPr="004D35FC">
        <w:rPr>
          <w:bCs/>
          <w:color w:val="auto"/>
          <w:highlight w:val="yellow"/>
        </w:rPr>
        <w:t>acclimatize</w:t>
      </w:r>
      <w:r w:rsidRPr="004D35FC">
        <w:rPr>
          <w:rFonts w:eastAsia="Calibri"/>
          <w:bCs/>
          <w:color w:val="auto"/>
          <w:highlight w:val="yellow"/>
        </w:rPr>
        <w:t xml:space="preserve"> for at least 30 min.</w:t>
      </w:r>
    </w:p>
    <w:p w14:paraId="6256184B" w14:textId="77777777" w:rsidR="00280508" w:rsidRPr="004D35FC" w:rsidRDefault="00280508" w:rsidP="00A549D6">
      <w:pPr>
        <w:pBdr>
          <w:top w:val="nil"/>
          <w:left w:val="nil"/>
          <w:bottom w:val="nil"/>
          <w:right w:val="nil"/>
          <w:between w:val="nil"/>
        </w:pBdr>
        <w:rPr>
          <w:bCs/>
          <w:highlight w:val="yellow"/>
        </w:rPr>
      </w:pPr>
    </w:p>
    <w:p w14:paraId="10CA979F" w14:textId="5F7DFDE2" w:rsidR="0022278A" w:rsidRPr="004D35FC" w:rsidRDefault="00986013" w:rsidP="00A549D6">
      <w:pPr>
        <w:pStyle w:val="ListParagraph"/>
        <w:numPr>
          <w:ilvl w:val="1"/>
          <w:numId w:val="2"/>
        </w:numPr>
        <w:pBdr>
          <w:top w:val="nil"/>
          <w:left w:val="nil"/>
          <w:bottom w:val="nil"/>
          <w:right w:val="nil"/>
          <w:between w:val="nil"/>
        </w:pBdr>
        <w:ind w:left="0" w:firstLine="0"/>
        <w:rPr>
          <w:bCs/>
          <w:color w:val="auto"/>
          <w:highlight w:val="yellow"/>
        </w:rPr>
      </w:pPr>
      <w:bookmarkStart w:id="3" w:name="_Hlk82356354"/>
      <w:r w:rsidRPr="004D35FC">
        <w:rPr>
          <w:rFonts w:eastAsia="Calibri"/>
          <w:bCs/>
          <w:color w:val="auto"/>
          <w:highlight w:val="yellow"/>
        </w:rPr>
        <w:t xml:space="preserve">Assess the mechanical threshold of the hind paw using the </w:t>
      </w:r>
      <w:r w:rsidR="009B1FA5" w:rsidRPr="004D35FC">
        <w:rPr>
          <w:rFonts w:eastAsia="Calibri"/>
          <w:bCs/>
          <w:color w:val="auto"/>
          <w:highlight w:val="yellow"/>
        </w:rPr>
        <w:t xml:space="preserve">ascending stimulus </w:t>
      </w:r>
      <w:r w:rsidRPr="004D35FC">
        <w:rPr>
          <w:rFonts w:eastAsia="Calibri"/>
          <w:bCs/>
          <w:color w:val="auto"/>
          <w:highlight w:val="yellow"/>
        </w:rPr>
        <w:t>method</w:t>
      </w:r>
      <w:r w:rsidRPr="004D35FC">
        <w:rPr>
          <w:rFonts w:eastAsia="Calibri"/>
          <w:bCs/>
          <w:color w:val="auto"/>
          <w:highlight w:val="yellow"/>
          <w:vertAlign w:val="superscript"/>
        </w:rPr>
        <w:t>1</w:t>
      </w:r>
      <w:r w:rsidR="00942C41" w:rsidRPr="004D35FC">
        <w:rPr>
          <w:rFonts w:eastAsia="Calibri"/>
          <w:bCs/>
          <w:color w:val="auto"/>
          <w:highlight w:val="yellow"/>
          <w:vertAlign w:val="superscript"/>
        </w:rPr>
        <w:t>9</w:t>
      </w:r>
      <w:r w:rsidRPr="004D35FC">
        <w:rPr>
          <w:rFonts w:eastAsia="Calibri"/>
          <w:bCs/>
          <w:color w:val="auto"/>
          <w:highlight w:val="yellow"/>
          <w:vertAlign w:val="superscript"/>
        </w:rPr>
        <w:t>,</w:t>
      </w:r>
      <w:r w:rsidR="00942C41" w:rsidRPr="004D35FC">
        <w:rPr>
          <w:rFonts w:eastAsia="Calibri"/>
          <w:bCs/>
          <w:color w:val="auto"/>
          <w:highlight w:val="yellow"/>
          <w:vertAlign w:val="superscript"/>
        </w:rPr>
        <w:t>20</w:t>
      </w:r>
      <w:r w:rsidRPr="004D35FC">
        <w:rPr>
          <w:rFonts w:eastAsia="Calibri"/>
          <w:bCs/>
          <w:color w:val="auto"/>
          <w:highlight w:val="yellow"/>
        </w:rPr>
        <w:t>.</w:t>
      </w:r>
    </w:p>
    <w:p w14:paraId="107958AB" w14:textId="77777777" w:rsidR="0022278A" w:rsidRPr="003A13F2" w:rsidRDefault="0022278A" w:rsidP="003A13F2">
      <w:pPr>
        <w:rPr>
          <w:rFonts w:eastAsia="Calibri"/>
          <w:bCs/>
          <w:highlight w:val="yellow"/>
        </w:rPr>
      </w:pPr>
    </w:p>
    <w:p w14:paraId="0000002A" w14:textId="78C62B7E" w:rsidR="00F15B22" w:rsidRPr="004D35FC" w:rsidRDefault="0022278A" w:rsidP="00A549D6">
      <w:pPr>
        <w:pStyle w:val="ListParagraph"/>
        <w:numPr>
          <w:ilvl w:val="1"/>
          <w:numId w:val="2"/>
        </w:numPr>
        <w:pBdr>
          <w:top w:val="nil"/>
          <w:left w:val="nil"/>
          <w:bottom w:val="nil"/>
          <w:right w:val="nil"/>
          <w:between w:val="nil"/>
        </w:pBdr>
        <w:ind w:left="0" w:firstLine="0"/>
        <w:rPr>
          <w:bCs/>
          <w:color w:val="auto"/>
          <w:highlight w:val="yellow"/>
        </w:rPr>
      </w:pPr>
      <w:r w:rsidRPr="004D35FC">
        <w:rPr>
          <w:rFonts w:eastAsia="Calibri"/>
          <w:bCs/>
          <w:color w:val="auto"/>
          <w:highlight w:val="yellow"/>
        </w:rPr>
        <w:t>Gently poke a series of von Frey filaments with 5–8 s intervals to s</w:t>
      </w:r>
      <w:r w:rsidR="00986013" w:rsidRPr="004D35FC">
        <w:rPr>
          <w:rFonts w:eastAsia="Calibri"/>
          <w:bCs/>
          <w:color w:val="auto"/>
          <w:highlight w:val="yellow"/>
        </w:rPr>
        <w:t xml:space="preserve">timulate the hind plantar. Obtain the baseline values on </w:t>
      </w:r>
      <w:r w:rsidRPr="004D35FC">
        <w:rPr>
          <w:rFonts w:eastAsia="Calibri"/>
          <w:bCs/>
          <w:color w:val="auto"/>
          <w:highlight w:val="yellow"/>
        </w:rPr>
        <w:t>the</w:t>
      </w:r>
      <w:r w:rsidR="00986013" w:rsidRPr="004D35FC">
        <w:rPr>
          <w:rFonts w:eastAsia="Calibri"/>
          <w:bCs/>
          <w:color w:val="auto"/>
          <w:highlight w:val="yellow"/>
        </w:rPr>
        <w:t xml:space="preserve"> day before burn induction.</w:t>
      </w:r>
    </w:p>
    <w:p w14:paraId="1C48C89C" w14:textId="77777777" w:rsidR="00280508" w:rsidRPr="004D35FC" w:rsidRDefault="00280508" w:rsidP="00A549D6">
      <w:pPr>
        <w:pBdr>
          <w:top w:val="nil"/>
          <w:left w:val="nil"/>
          <w:bottom w:val="nil"/>
          <w:right w:val="nil"/>
          <w:between w:val="nil"/>
        </w:pBdr>
        <w:rPr>
          <w:bCs/>
        </w:rPr>
      </w:pPr>
    </w:p>
    <w:p w14:paraId="0000002B" w14:textId="75D92622" w:rsidR="00F15B22" w:rsidRPr="004D35FC" w:rsidRDefault="00986013" w:rsidP="00A549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bookmarkStart w:id="4" w:name="_Hlk82358397"/>
      <w:r w:rsidRPr="004D35FC">
        <w:rPr>
          <w:bCs/>
        </w:rPr>
        <w:t>NOTE: The 0.</w:t>
      </w:r>
      <w:r w:rsidR="009B1FA5" w:rsidRPr="004D35FC">
        <w:rPr>
          <w:bCs/>
        </w:rPr>
        <w:t>16</w:t>
      </w:r>
      <w:r w:rsidR="00A56AEA" w:rsidRPr="004D35FC">
        <w:rPr>
          <w:bCs/>
        </w:rPr>
        <w:t>–</w:t>
      </w:r>
      <w:r w:rsidRPr="004D35FC">
        <w:rPr>
          <w:bCs/>
        </w:rPr>
        <w:t>1</w:t>
      </w:r>
      <w:r w:rsidR="009B1FA5" w:rsidRPr="004D35FC">
        <w:rPr>
          <w:bCs/>
        </w:rPr>
        <w:t>.2</w:t>
      </w:r>
      <w:r w:rsidRPr="004D35FC">
        <w:rPr>
          <w:bCs/>
        </w:rPr>
        <w:t xml:space="preserve"> g von Frey filaments were used in the test to measure </w:t>
      </w:r>
      <w:r w:rsidR="0022278A" w:rsidRPr="004D35FC">
        <w:rPr>
          <w:bCs/>
        </w:rPr>
        <w:t xml:space="preserve">the </w:t>
      </w:r>
      <w:r w:rsidRPr="004D35FC">
        <w:rPr>
          <w:bCs/>
        </w:rPr>
        <w:t xml:space="preserve">paw withdrawal threshold in all animals, respectively. </w:t>
      </w:r>
      <w:r w:rsidR="00B8261E" w:rsidRPr="004D35FC">
        <w:rPr>
          <w:bCs/>
        </w:rPr>
        <w:t>The paw withdrawal response test was started with the lowest bending force of von Frey filament (0.16 g in this protocol). If there was no response, then a filament with the next bending force</w:t>
      </w:r>
      <w:r w:rsidR="0022278A" w:rsidRPr="004D35FC">
        <w:rPr>
          <w:bCs/>
        </w:rPr>
        <w:t xml:space="preserve"> was applied</w:t>
      </w:r>
      <w:r w:rsidR="00B8261E" w:rsidRPr="004D35FC">
        <w:rPr>
          <w:bCs/>
        </w:rPr>
        <w:t>.</w:t>
      </w:r>
      <w:bookmarkEnd w:id="4"/>
    </w:p>
    <w:p w14:paraId="13828862" w14:textId="77777777" w:rsidR="00280508" w:rsidRPr="004D35FC" w:rsidRDefault="00280508" w:rsidP="00A549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68876861" w14:textId="10AA0239" w:rsidR="00A56AEA" w:rsidRPr="004D35FC" w:rsidRDefault="00986013" w:rsidP="00A549D6">
      <w:pPr>
        <w:pStyle w:val="ListParagraph"/>
        <w:numPr>
          <w:ilvl w:val="1"/>
          <w:numId w:val="2"/>
        </w:numPr>
        <w:pBdr>
          <w:top w:val="nil"/>
          <w:left w:val="nil"/>
          <w:bottom w:val="nil"/>
          <w:right w:val="nil"/>
          <w:between w:val="nil"/>
        </w:pBdr>
        <w:ind w:left="0" w:firstLine="0"/>
        <w:rPr>
          <w:bCs/>
          <w:color w:val="auto"/>
          <w:highlight w:val="yellow"/>
        </w:rPr>
      </w:pPr>
      <w:r w:rsidRPr="004D35FC">
        <w:rPr>
          <w:rFonts w:eastAsia="Calibri"/>
          <w:bCs/>
          <w:color w:val="auto"/>
          <w:highlight w:val="yellow"/>
        </w:rPr>
        <w:t xml:space="preserve">Perform </w:t>
      </w:r>
      <w:r w:rsidR="00CE522A">
        <w:rPr>
          <w:rFonts w:eastAsia="Calibri"/>
          <w:bCs/>
          <w:color w:val="auto"/>
          <w:highlight w:val="yellow"/>
        </w:rPr>
        <w:t>five</w:t>
      </w:r>
      <w:r w:rsidR="00CE522A" w:rsidRPr="004D35FC">
        <w:rPr>
          <w:rFonts w:eastAsia="Calibri"/>
          <w:bCs/>
          <w:color w:val="auto"/>
          <w:highlight w:val="yellow"/>
        </w:rPr>
        <w:t xml:space="preserve"> </w:t>
      </w:r>
      <w:r w:rsidRPr="004D35FC">
        <w:rPr>
          <w:rFonts w:eastAsia="Calibri"/>
          <w:bCs/>
          <w:color w:val="auto"/>
          <w:highlight w:val="yellow"/>
        </w:rPr>
        <w:t xml:space="preserve">trials to evaluate mechanical thresholds for each ipsilateral (injured) hind </w:t>
      </w:r>
      <w:r w:rsidRPr="004D35FC">
        <w:rPr>
          <w:rFonts w:eastAsia="Calibri"/>
          <w:bCs/>
          <w:color w:val="auto"/>
          <w:highlight w:val="yellow"/>
        </w:rPr>
        <w:lastRenderedPageBreak/>
        <w:t>paw.</w:t>
      </w:r>
    </w:p>
    <w:p w14:paraId="06A049EE" w14:textId="77777777" w:rsidR="007458C2" w:rsidRPr="004D35FC" w:rsidRDefault="007458C2" w:rsidP="00A56AEA">
      <w:pPr>
        <w:pStyle w:val="ListParagraph"/>
        <w:pBdr>
          <w:top w:val="nil"/>
          <w:left w:val="nil"/>
          <w:bottom w:val="nil"/>
          <w:right w:val="nil"/>
          <w:between w:val="nil"/>
        </w:pBdr>
        <w:ind w:left="0"/>
        <w:rPr>
          <w:rFonts w:eastAsia="Calibri"/>
          <w:bCs/>
          <w:color w:val="auto"/>
        </w:rPr>
      </w:pPr>
    </w:p>
    <w:p w14:paraId="0000002D" w14:textId="4EE60939" w:rsidR="00F15B22" w:rsidRPr="004D35FC" w:rsidRDefault="00986013" w:rsidP="00A56AEA">
      <w:pPr>
        <w:pStyle w:val="ListParagraph"/>
        <w:pBdr>
          <w:top w:val="nil"/>
          <w:left w:val="nil"/>
          <w:bottom w:val="nil"/>
          <w:right w:val="nil"/>
          <w:between w:val="nil"/>
        </w:pBdr>
        <w:ind w:left="0"/>
        <w:rPr>
          <w:bCs/>
          <w:color w:val="auto"/>
        </w:rPr>
      </w:pPr>
      <w:r w:rsidRPr="004D35FC">
        <w:rPr>
          <w:rFonts w:eastAsia="Calibri"/>
          <w:bCs/>
          <w:color w:val="auto"/>
        </w:rPr>
        <w:t xml:space="preserve">NOTE: The bending force of von Frey filament that produces response more than </w:t>
      </w:r>
      <w:r w:rsidR="00C85ACA">
        <w:rPr>
          <w:rFonts w:eastAsia="Calibri"/>
          <w:bCs/>
          <w:color w:val="auto"/>
        </w:rPr>
        <w:t>three</w:t>
      </w:r>
      <w:r w:rsidR="00C85ACA" w:rsidRPr="004D35FC">
        <w:rPr>
          <w:rFonts w:eastAsia="Calibri"/>
          <w:bCs/>
          <w:color w:val="auto"/>
        </w:rPr>
        <w:t xml:space="preserve"> </w:t>
      </w:r>
      <w:r w:rsidR="009B1FA5" w:rsidRPr="004D35FC">
        <w:rPr>
          <w:rFonts w:eastAsia="Calibri"/>
          <w:bCs/>
          <w:color w:val="auto"/>
        </w:rPr>
        <w:t>times</w:t>
      </w:r>
      <w:r w:rsidRPr="004D35FC">
        <w:rPr>
          <w:rFonts w:eastAsia="Calibri"/>
          <w:bCs/>
          <w:color w:val="auto"/>
        </w:rPr>
        <w:t xml:space="preserve"> of the </w:t>
      </w:r>
      <w:r w:rsidR="00C85ACA">
        <w:rPr>
          <w:rFonts w:eastAsia="Calibri"/>
          <w:bCs/>
          <w:color w:val="auto"/>
        </w:rPr>
        <w:t>five</w:t>
      </w:r>
      <w:r w:rsidR="00C85ACA" w:rsidRPr="004D35FC">
        <w:rPr>
          <w:rFonts w:eastAsia="Calibri"/>
          <w:bCs/>
          <w:color w:val="auto"/>
        </w:rPr>
        <w:t xml:space="preserve"> </w:t>
      </w:r>
      <w:r w:rsidRPr="004D35FC">
        <w:rPr>
          <w:rFonts w:eastAsia="Calibri"/>
          <w:bCs/>
          <w:color w:val="auto"/>
        </w:rPr>
        <w:t>trials in each animal was expressed as paw withdrawal threshold (PWT, g).</w:t>
      </w:r>
      <w:r w:rsidR="00A56AEA" w:rsidRPr="004D35FC">
        <w:rPr>
          <w:rFonts w:eastAsia="Calibri"/>
          <w:bCs/>
          <w:color w:val="auto"/>
        </w:rPr>
        <w:t xml:space="preserve"> </w:t>
      </w:r>
      <w:r w:rsidRPr="004D35FC">
        <w:rPr>
          <w:bCs/>
          <w:color w:val="auto"/>
        </w:rPr>
        <w:t>Mechanical thresholds were measured a day before and at 1, 3, 5, and 7 days after burn injury. Analgesic effect was assessed 1 h after administration of the acetaminophen in the animal.</w:t>
      </w:r>
      <w:bookmarkEnd w:id="3"/>
    </w:p>
    <w:p w14:paraId="0000002E" w14:textId="77777777" w:rsidR="00F15B22" w:rsidRPr="004D35FC" w:rsidRDefault="00F15B22" w:rsidP="00A549D6">
      <w:pPr>
        <w:rPr>
          <w:b/>
        </w:rPr>
      </w:pPr>
    </w:p>
    <w:p w14:paraId="0000002F" w14:textId="4383FF31" w:rsidR="00F15B22" w:rsidRPr="004D35FC" w:rsidRDefault="00986013" w:rsidP="00A549D6">
      <w:pPr>
        <w:pStyle w:val="ListParagraph"/>
        <w:numPr>
          <w:ilvl w:val="0"/>
          <w:numId w:val="2"/>
        </w:numPr>
        <w:ind w:left="0" w:firstLine="0"/>
        <w:rPr>
          <w:b/>
          <w:color w:val="auto"/>
          <w:highlight w:val="yellow"/>
        </w:rPr>
      </w:pPr>
      <w:r w:rsidRPr="004D35FC">
        <w:rPr>
          <w:rFonts w:eastAsia="Calibri"/>
          <w:b/>
          <w:color w:val="auto"/>
          <w:highlight w:val="yellow"/>
        </w:rPr>
        <w:t xml:space="preserve">Automated </w:t>
      </w:r>
      <w:r w:rsidR="00A56AEA" w:rsidRPr="004D35FC">
        <w:rPr>
          <w:rFonts w:eastAsia="Calibri"/>
          <w:b/>
          <w:color w:val="auto"/>
          <w:highlight w:val="yellow"/>
        </w:rPr>
        <w:t>gait analysis</w:t>
      </w:r>
    </w:p>
    <w:p w14:paraId="00000030" w14:textId="77777777" w:rsidR="00F15B22" w:rsidRPr="004D35FC" w:rsidRDefault="00F15B22" w:rsidP="00A549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highlight w:val="yellow"/>
        </w:rPr>
      </w:pPr>
    </w:p>
    <w:p w14:paraId="00000031" w14:textId="16FA3996" w:rsidR="00F15B22" w:rsidRPr="004D35FC" w:rsidRDefault="00986013" w:rsidP="00A549D6">
      <w:pPr>
        <w:pStyle w:val="ListParagraph"/>
        <w:numPr>
          <w:ilvl w:val="1"/>
          <w:numId w:val="2"/>
        </w:numPr>
        <w:pBdr>
          <w:top w:val="nil"/>
          <w:left w:val="nil"/>
          <w:bottom w:val="nil"/>
          <w:right w:val="nil"/>
          <w:between w:val="nil"/>
        </w:pBdr>
        <w:ind w:left="0" w:firstLine="0"/>
        <w:rPr>
          <w:bCs/>
          <w:color w:val="auto"/>
          <w:highlight w:val="yellow"/>
        </w:rPr>
      </w:pPr>
      <w:r w:rsidRPr="004D35FC">
        <w:rPr>
          <w:rFonts w:eastAsia="Calibri"/>
          <w:bCs/>
          <w:color w:val="auto"/>
          <w:highlight w:val="yellow"/>
        </w:rPr>
        <w:t xml:space="preserve">Acclimate </w:t>
      </w:r>
      <w:r w:rsidR="00A56AEA" w:rsidRPr="004D35FC">
        <w:rPr>
          <w:rFonts w:eastAsia="Calibri"/>
          <w:bCs/>
          <w:color w:val="auto"/>
          <w:highlight w:val="yellow"/>
        </w:rPr>
        <w:t xml:space="preserve">the </w:t>
      </w:r>
      <w:r w:rsidRPr="004D35FC">
        <w:rPr>
          <w:rFonts w:eastAsia="Calibri"/>
          <w:bCs/>
          <w:color w:val="auto"/>
          <w:highlight w:val="yellow"/>
        </w:rPr>
        <w:t>mice in the gait analysis system once daily for 10</w:t>
      </w:r>
      <w:r w:rsidR="0022278A" w:rsidRPr="004D35FC">
        <w:rPr>
          <w:rFonts w:eastAsia="Calibri"/>
          <w:bCs/>
          <w:color w:val="auto"/>
          <w:highlight w:val="yellow"/>
        </w:rPr>
        <w:t>–</w:t>
      </w:r>
      <w:r w:rsidRPr="004D35FC">
        <w:rPr>
          <w:rFonts w:eastAsia="Calibri"/>
          <w:bCs/>
          <w:color w:val="auto"/>
          <w:highlight w:val="yellow"/>
        </w:rPr>
        <w:t>15 min from 5 days before the burn injury. Wear a surgical gown, gloves, and mask while performing gait analysis.</w:t>
      </w:r>
    </w:p>
    <w:p w14:paraId="14F3A692" w14:textId="77777777" w:rsidR="00280508" w:rsidRPr="004D35FC" w:rsidRDefault="00280508" w:rsidP="00A549D6">
      <w:pPr>
        <w:pStyle w:val="ListParagraph"/>
        <w:pBdr>
          <w:top w:val="nil"/>
          <w:left w:val="nil"/>
          <w:bottom w:val="nil"/>
          <w:right w:val="nil"/>
          <w:between w:val="nil"/>
        </w:pBdr>
        <w:ind w:left="0"/>
        <w:rPr>
          <w:bCs/>
          <w:color w:val="auto"/>
          <w:highlight w:val="yellow"/>
        </w:rPr>
      </w:pPr>
    </w:p>
    <w:p w14:paraId="00000032" w14:textId="0D2DA42C" w:rsidR="00F15B22" w:rsidRPr="004D35FC" w:rsidRDefault="00986013" w:rsidP="00A549D6">
      <w:pPr>
        <w:pStyle w:val="ListParagraph"/>
        <w:numPr>
          <w:ilvl w:val="1"/>
          <w:numId w:val="2"/>
        </w:numPr>
        <w:pBdr>
          <w:top w:val="nil"/>
          <w:left w:val="nil"/>
          <w:bottom w:val="nil"/>
          <w:right w:val="nil"/>
          <w:between w:val="nil"/>
        </w:pBdr>
        <w:ind w:left="0" w:firstLine="0"/>
        <w:rPr>
          <w:bCs/>
          <w:color w:val="auto"/>
          <w:highlight w:val="yellow"/>
        </w:rPr>
      </w:pPr>
      <w:r w:rsidRPr="004D35FC">
        <w:rPr>
          <w:rFonts w:eastAsia="Calibri"/>
          <w:bCs/>
          <w:color w:val="auto"/>
          <w:highlight w:val="yellow"/>
        </w:rPr>
        <w:t>On the day</w:t>
      </w:r>
      <w:r w:rsidR="00253285">
        <w:rPr>
          <w:rFonts w:eastAsia="Calibri"/>
          <w:bCs/>
          <w:color w:val="auto"/>
          <w:highlight w:val="yellow"/>
        </w:rPr>
        <w:t xml:space="preserve"> of the test</w:t>
      </w:r>
      <w:r w:rsidRPr="004D35FC">
        <w:rPr>
          <w:rFonts w:eastAsia="Calibri"/>
          <w:bCs/>
          <w:color w:val="auto"/>
          <w:highlight w:val="yellow"/>
        </w:rPr>
        <w:t>, bring</w:t>
      </w:r>
      <w:r w:rsidR="0022278A" w:rsidRPr="004D35FC">
        <w:rPr>
          <w:rFonts w:eastAsia="Calibri"/>
          <w:bCs/>
          <w:color w:val="auto"/>
          <w:highlight w:val="yellow"/>
        </w:rPr>
        <w:t xml:space="preserve"> the</w:t>
      </w:r>
      <w:r w:rsidRPr="004D35FC">
        <w:rPr>
          <w:rFonts w:eastAsia="Calibri"/>
          <w:bCs/>
          <w:color w:val="auto"/>
          <w:highlight w:val="yellow"/>
        </w:rPr>
        <w:t xml:space="preserve"> mice </w:t>
      </w:r>
      <w:r w:rsidR="00A56AEA" w:rsidRPr="004D35FC">
        <w:rPr>
          <w:rFonts w:eastAsia="Calibri"/>
          <w:bCs/>
          <w:color w:val="auto"/>
          <w:highlight w:val="yellow"/>
        </w:rPr>
        <w:t xml:space="preserve">to </w:t>
      </w:r>
      <w:r w:rsidRPr="004D35FC">
        <w:rPr>
          <w:rFonts w:eastAsia="Calibri"/>
          <w:bCs/>
          <w:color w:val="auto"/>
          <w:highlight w:val="yellow"/>
        </w:rPr>
        <w:t>the behavioral test room</w:t>
      </w:r>
      <w:r w:rsidR="00253285">
        <w:rPr>
          <w:rFonts w:eastAsia="Calibri"/>
          <w:bCs/>
          <w:color w:val="auto"/>
          <w:highlight w:val="yellow"/>
        </w:rPr>
        <w:t xml:space="preserve"> and</w:t>
      </w:r>
      <w:r w:rsidRPr="004D35FC">
        <w:rPr>
          <w:rFonts w:eastAsia="Calibri"/>
          <w:bCs/>
          <w:color w:val="auto"/>
          <w:highlight w:val="yellow"/>
        </w:rPr>
        <w:t xml:space="preserve"> </w:t>
      </w:r>
      <w:r w:rsidR="00253285">
        <w:rPr>
          <w:rFonts w:eastAsia="Calibri"/>
          <w:bCs/>
          <w:color w:val="auto"/>
          <w:highlight w:val="yellow"/>
        </w:rPr>
        <w:t>a</w:t>
      </w:r>
      <w:r w:rsidRPr="004D35FC">
        <w:rPr>
          <w:rFonts w:eastAsia="Calibri"/>
          <w:bCs/>
          <w:color w:val="auto"/>
          <w:highlight w:val="yellow"/>
        </w:rPr>
        <w:t>cclimat</w:t>
      </w:r>
      <w:r w:rsidR="00253285">
        <w:rPr>
          <w:rFonts w:eastAsia="Calibri"/>
          <w:bCs/>
          <w:color w:val="auto"/>
          <w:highlight w:val="yellow"/>
        </w:rPr>
        <w:t xml:space="preserve">ize them </w:t>
      </w:r>
      <w:r w:rsidR="00A56AEA" w:rsidRPr="004D35FC">
        <w:rPr>
          <w:rFonts w:eastAsia="Calibri"/>
          <w:bCs/>
          <w:color w:val="auto"/>
          <w:highlight w:val="yellow"/>
        </w:rPr>
        <w:t>for</w:t>
      </w:r>
      <w:r w:rsidRPr="004D35FC">
        <w:rPr>
          <w:rFonts w:eastAsia="Calibri"/>
          <w:bCs/>
          <w:color w:val="auto"/>
          <w:highlight w:val="yellow"/>
        </w:rPr>
        <w:t xml:space="preserve"> at least 30 min before the test.</w:t>
      </w:r>
    </w:p>
    <w:p w14:paraId="73834228" w14:textId="77777777" w:rsidR="00280508" w:rsidRPr="004D35FC" w:rsidRDefault="00280508" w:rsidP="00A549D6">
      <w:pPr>
        <w:pBdr>
          <w:top w:val="nil"/>
          <w:left w:val="nil"/>
          <w:bottom w:val="nil"/>
          <w:right w:val="nil"/>
          <w:between w:val="nil"/>
        </w:pBdr>
        <w:rPr>
          <w:bCs/>
        </w:rPr>
      </w:pPr>
    </w:p>
    <w:p w14:paraId="00000033" w14:textId="07EADA5C" w:rsidR="00F15B22" w:rsidRPr="004D35FC" w:rsidRDefault="00986013" w:rsidP="00A549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4D35FC">
        <w:rPr>
          <w:bCs/>
        </w:rPr>
        <w:t xml:space="preserve">NOTE: </w:t>
      </w:r>
      <w:r w:rsidR="00A56AEA" w:rsidRPr="004D35FC">
        <w:rPr>
          <w:bCs/>
        </w:rPr>
        <w:t>Perform a</w:t>
      </w:r>
      <w:r w:rsidRPr="004D35FC">
        <w:rPr>
          <w:bCs/>
        </w:rPr>
        <w:t>cclimation and gait analysis tests in a dark environment. Set the conditions of the program menu as follows.</w:t>
      </w:r>
    </w:p>
    <w:p w14:paraId="07F394A4" w14:textId="77777777" w:rsidR="00280508" w:rsidRPr="004D35FC" w:rsidRDefault="00280508" w:rsidP="00A549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628128D9" w14:textId="69FCBA54" w:rsidR="0022278A" w:rsidRPr="004D35FC" w:rsidRDefault="00986013" w:rsidP="00A549D6">
      <w:pPr>
        <w:pStyle w:val="ListParagraph"/>
        <w:widowControl/>
        <w:numPr>
          <w:ilvl w:val="2"/>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Cs/>
          <w:color w:val="auto"/>
          <w:highlight w:val="yellow"/>
        </w:rPr>
      </w:pPr>
      <w:r w:rsidRPr="004D35FC">
        <w:rPr>
          <w:bCs/>
          <w:color w:val="auto"/>
          <w:highlight w:val="yellow"/>
        </w:rPr>
        <w:t>After running the program, click</w:t>
      </w:r>
      <w:r w:rsidR="00A56AEA" w:rsidRPr="004D35FC">
        <w:rPr>
          <w:bCs/>
          <w:color w:val="auto"/>
          <w:highlight w:val="yellow"/>
        </w:rPr>
        <w:t xml:space="preserve"> on the</w:t>
      </w:r>
      <w:r w:rsidRPr="004D35FC">
        <w:rPr>
          <w:bCs/>
          <w:color w:val="auto"/>
          <w:highlight w:val="yellow"/>
        </w:rPr>
        <w:t xml:space="preserve"> </w:t>
      </w:r>
      <w:r w:rsidR="008A261B" w:rsidRPr="004D35FC">
        <w:rPr>
          <w:b/>
          <w:color w:val="auto"/>
          <w:highlight w:val="yellow"/>
        </w:rPr>
        <w:t>Create New Experiment</w:t>
      </w:r>
      <w:r w:rsidR="00A56AEA" w:rsidRPr="004D35FC">
        <w:rPr>
          <w:bCs/>
          <w:color w:val="auto"/>
          <w:highlight w:val="yellow"/>
        </w:rPr>
        <w:t xml:space="preserve"> </w:t>
      </w:r>
      <w:r w:rsidRPr="004D35FC">
        <w:rPr>
          <w:bCs/>
          <w:color w:val="auto"/>
          <w:highlight w:val="yellow"/>
        </w:rPr>
        <w:t xml:space="preserve">menu to designate the folder </w:t>
      </w:r>
      <w:r w:rsidR="00A56AEA" w:rsidRPr="004D35FC">
        <w:rPr>
          <w:bCs/>
          <w:color w:val="auto"/>
          <w:highlight w:val="yellow"/>
        </w:rPr>
        <w:t xml:space="preserve">to save </w:t>
      </w:r>
      <w:r w:rsidRPr="004D35FC">
        <w:rPr>
          <w:bCs/>
          <w:color w:val="auto"/>
          <w:highlight w:val="yellow"/>
        </w:rPr>
        <w:t>the data.</w:t>
      </w:r>
    </w:p>
    <w:p w14:paraId="09BAEE07" w14:textId="77777777" w:rsidR="0022278A" w:rsidRPr="004D35FC" w:rsidRDefault="0022278A" w:rsidP="0022278A">
      <w:pPr>
        <w:pStyle w:val="ListParagraph"/>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bCs/>
          <w:color w:val="auto"/>
          <w:highlight w:val="yellow"/>
        </w:rPr>
      </w:pPr>
    </w:p>
    <w:p w14:paraId="00000035" w14:textId="3AABDA09" w:rsidR="00F15B22" w:rsidRPr="004D35FC" w:rsidRDefault="00986013" w:rsidP="00A549D6">
      <w:pPr>
        <w:pStyle w:val="ListParagraph"/>
        <w:widowControl/>
        <w:numPr>
          <w:ilvl w:val="2"/>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Cs/>
          <w:color w:val="auto"/>
          <w:highlight w:val="yellow"/>
        </w:rPr>
      </w:pPr>
      <w:r w:rsidRPr="004D35FC">
        <w:rPr>
          <w:bCs/>
          <w:color w:val="auto"/>
          <w:highlight w:val="yellow"/>
        </w:rPr>
        <w:t>After designation, set the maximum running time to 5 s and maximum allowed speed</w:t>
      </w:r>
      <w:r w:rsidR="00A549D6" w:rsidRPr="004D35FC">
        <w:rPr>
          <w:bCs/>
          <w:color w:val="auto"/>
          <w:highlight w:val="yellow"/>
        </w:rPr>
        <w:t xml:space="preserve"> </w:t>
      </w:r>
      <w:r w:rsidRPr="004D35FC">
        <w:rPr>
          <w:bCs/>
          <w:color w:val="auto"/>
          <w:highlight w:val="yellow"/>
        </w:rPr>
        <w:t>variations</w:t>
      </w:r>
      <w:bookmarkStart w:id="5" w:name="_heading=h.gjdgxs" w:colFirst="0" w:colLast="0"/>
      <w:bookmarkEnd w:id="5"/>
      <w:r w:rsidR="00A549D6" w:rsidRPr="004D35FC">
        <w:rPr>
          <w:bCs/>
          <w:color w:val="auto"/>
          <w:highlight w:val="yellow"/>
        </w:rPr>
        <w:t xml:space="preserve"> </w:t>
      </w:r>
      <w:r w:rsidRPr="004D35FC">
        <w:rPr>
          <w:bCs/>
          <w:color w:val="auto"/>
          <w:highlight w:val="yellow"/>
        </w:rPr>
        <w:t>to 50%.</w:t>
      </w:r>
    </w:p>
    <w:p w14:paraId="0E058CCB" w14:textId="77777777" w:rsidR="00280508" w:rsidRPr="004D35FC" w:rsidRDefault="00280508" w:rsidP="00A549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highlight w:val="yellow"/>
        </w:rPr>
      </w:pPr>
    </w:p>
    <w:p w14:paraId="00000036" w14:textId="35AA8483" w:rsidR="00F15B22" w:rsidRPr="004D35FC" w:rsidRDefault="00986013" w:rsidP="00A549D6">
      <w:pPr>
        <w:pStyle w:val="ListParagraph"/>
        <w:widowControl/>
        <w:numPr>
          <w:ilvl w:val="2"/>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Cs/>
          <w:color w:val="auto"/>
          <w:highlight w:val="yellow"/>
        </w:rPr>
      </w:pPr>
      <w:r w:rsidRPr="004D35FC">
        <w:rPr>
          <w:rFonts w:eastAsia="Calibri"/>
          <w:bCs/>
          <w:color w:val="auto"/>
          <w:highlight w:val="yellow"/>
        </w:rPr>
        <w:t xml:space="preserve">Select a registered camera and set the walkway length to 30 cm in the </w:t>
      </w:r>
      <w:r w:rsidR="008A261B" w:rsidRPr="004D35FC">
        <w:rPr>
          <w:rFonts w:eastAsia="Calibri"/>
          <w:b/>
          <w:color w:val="auto"/>
          <w:highlight w:val="yellow"/>
        </w:rPr>
        <w:t>Setup</w:t>
      </w:r>
      <w:r w:rsidR="008A261B" w:rsidRPr="004D35FC">
        <w:rPr>
          <w:rFonts w:eastAsia="Calibri"/>
          <w:bCs/>
          <w:color w:val="auto"/>
          <w:highlight w:val="yellow"/>
        </w:rPr>
        <w:t xml:space="preserve"> </w:t>
      </w:r>
      <w:r w:rsidRPr="004D35FC">
        <w:rPr>
          <w:rFonts w:eastAsia="Calibri"/>
          <w:bCs/>
          <w:color w:val="auto"/>
          <w:highlight w:val="yellow"/>
        </w:rPr>
        <w:t>tab of the program.</w:t>
      </w:r>
    </w:p>
    <w:p w14:paraId="65E6B425" w14:textId="77777777" w:rsidR="00280508" w:rsidRPr="004D35FC" w:rsidRDefault="00280508" w:rsidP="00A549D6">
      <w:pPr>
        <w:pStyle w:val="ListParagraph"/>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bCs/>
          <w:color w:val="auto"/>
          <w:highlight w:val="yellow"/>
        </w:rPr>
      </w:pPr>
    </w:p>
    <w:p w14:paraId="00000037" w14:textId="368D73FC" w:rsidR="00F15B22" w:rsidRPr="004D35FC" w:rsidRDefault="00F7481F" w:rsidP="00A549D6">
      <w:pPr>
        <w:pStyle w:val="ListParagraph"/>
        <w:widowControl/>
        <w:numPr>
          <w:ilvl w:val="2"/>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Cs/>
          <w:color w:val="auto"/>
          <w:highlight w:val="yellow"/>
        </w:rPr>
      </w:pPr>
      <w:r>
        <w:rPr>
          <w:rFonts w:eastAsia="Calibri"/>
          <w:bCs/>
          <w:color w:val="auto"/>
          <w:highlight w:val="yellow"/>
        </w:rPr>
        <w:t xml:space="preserve">On the </w:t>
      </w:r>
      <w:r w:rsidRPr="004D35FC">
        <w:rPr>
          <w:rFonts w:eastAsia="Calibri"/>
          <w:b/>
          <w:color w:val="auto"/>
          <w:highlight w:val="yellow"/>
        </w:rPr>
        <w:t>Acquire</w:t>
      </w:r>
      <w:r w:rsidRPr="004D35FC">
        <w:rPr>
          <w:rFonts w:eastAsia="Calibri"/>
          <w:bCs/>
          <w:color w:val="auto"/>
          <w:highlight w:val="yellow"/>
        </w:rPr>
        <w:t xml:space="preserve"> tab of the program</w:t>
      </w:r>
      <w:r>
        <w:rPr>
          <w:rFonts w:eastAsia="Calibri"/>
          <w:bCs/>
          <w:color w:val="auto"/>
          <w:highlight w:val="yellow"/>
        </w:rPr>
        <w:t xml:space="preserve"> menu, s</w:t>
      </w:r>
      <w:r w:rsidR="00986013" w:rsidRPr="004D35FC">
        <w:rPr>
          <w:rFonts w:eastAsia="Calibri"/>
          <w:bCs/>
          <w:color w:val="auto"/>
          <w:highlight w:val="yellow"/>
        </w:rPr>
        <w:t xml:space="preserve">elect </w:t>
      </w:r>
      <w:r w:rsidR="008A261B" w:rsidRPr="004D35FC">
        <w:rPr>
          <w:rFonts w:eastAsia="Calibri"/>
          <w:b/>
          <w:color w:val="auto"/>
          <w:highlight w:val="yellow"/>
        </w:rPr>
        <w:t>Open Acquisition</w:t>
      </w:r>
      <w:r w:rsidR="00986013" w:rsidRPr="004D35FC">
        <w:rPr>
          <w:rFonts w:eastAsia="Calibri"/>
          <w:bCs/>
          <w:color w:val="auto"/>
          <w:highlight w:val="yellow"/>
        </w:rPr>
        <w:t>.</w:t>
      </w:r>
    </w:p>
    <w:p w14:paraId="173B92EE" w14:textId="77777777" w:rsidR="00280508" w:rsidRPr="004D35FC" w:rsidRDefault="00280508" w:rsidP="00A549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highlight w:val="yellow"/>
        </w:rPr>
      </w:pPr>
    </w:p>
    <w:p w14:paraId="00000038" w14:textId="528343CC" w:rsidR="00F15B22" w:rsidRPr="004D35FC" w:rsidRDefault="00986013" w:rsidP="00A549D6">
      <w:pPr>
        <w:pStyle w:val="ListParagraph"/>
        <w:widowControl/>
        <w:numPr>
          <w:ilvl w:val="2"/>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Cs/>
          <w:color w:val="auto"/>
          <w:highlight w:val="yellow"/>
        </w:rPr>
      </w:pPr>
      <w:r w:rsidRPr="004D35FC">
        <w:rPr>
          <w:rFonts w:eastAsia="Calibri"/>
          <w:bCs/>
          <w:color w:val="auto"/>
          <w:highlight w:val="yellow"/>
        </w:rPr>
        <w:t>Based on the status messages, click</w:t>
      </w:r>
      <w:r w:rsidR="00A56AEA" w:rsidRPr="004D35FC">
        <w:rPr>
          <w:rFonts w:eastAsia="Calibri"/>
          <w:bCs/>
          <w:color w:val="auto"/>
          <w:highlight w:val="yellow"/>
        </w:rPr>
        <w:t xml:space="preserve"> on</w:t>
      </w:r>
      <w:r w:rsidRPr="004D35FC">
        <w:rPr>
          <w:rFonts w:eastAsia="Calibri"/>
          <w:bCs/>
          <w:color w:val="auto"/>
          <w:highlight w:val="yellow"/>
        </w:rPr>
        <w:t xml:space="preserve"> the </w:t>
      </w:r>
      <w:r w:rsidRPr="004D35FC">
        <w:rPr>
          <w:rFonts w:eastAsia="Calibri"/>
          <w:b/>
          <w:color w:val="auto"/>
          <w:highlight w:val="yellow"/>
        </w:rPr>
        <w:t xml:space="preserve">Snap </w:t>
      </w:r>
      <w:r w:rsidR="008A261B" w:rsidRPr="004D35FC">
        <w:rPr>
          <w:rFonts w:eastAsia="Calibri"/>
          <w:b/>
          <w:color w:val="auto"/>
          <w:highlight w:val="yellow"/>
        </w:rPr>
        <w:t>Background</w:t>
      </w:r>
      <w:r w:rsidR="008A261B" w:rsidRPr="004D35FC">
        <w:rPr>
          <w:rFonts w:eastAsia="Calibri"/>
          <w:bCs/>
          <w:color w:val="auto"/>
          <w:highlight w:val="yellow"/>
        </w:rPr>
        <w:t xml:space="preserve"> </w:t>
      </w:r>
      <w:r w:rsidRPr="004D35FC">
        <w:rPr>
          <w:rFonts w:eastAsia="Calibri"/>
          <w:bCs/>
          <w:color w:val="auto"/>
          <w:highlight w:val="yellow"/>
        </w:rPr>
        <w:t xml:space="preserve">button to </w:t>
      </w:r>
      <w:r w:rsidR="00F7481F">
        <w:rPr>
          <w:rFonts w:eastAsia="Calibri"/>
          <w:bCs/>
          <w:color w:val="auto"/>
          <w:highlight w:val="yellow"/>
        </w:rPr>
        <w:t>acquire</w:t>
      </w:r>
      <w:r w:rsidRPr="004D35FC">
        <w:rPr>
          <w:rFonts w:eastAsia="Calibri"/>
          <w:bCs/>
          <w:color w:val="auto"/>
          <w:highlight w:val="yellow"/>
        </w:rPr>
        <w:t xml:space="preserve"> a background image of an empty walkway.</w:t>
      </w:r>
    </w:p>
    <w:p w14:paraId="5DC0325C" w14:textId="77777777" w:rsidR="00280508" w:rsidRPr="004D35FC" w:rsidRDefault="00280508" w:rsidP="00A549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highlight w:val="yellow"/>
        </w:rPr>
      </w:pPr>
    </w:p>
    <w:p w14:paraId="7B15FC62" w14:textId="1F851491" w:rsidR="00A549D6" w:rsidRPr="004D35FC" w:rsidRDefault="00986013" w:rsidP="00A549D6">
      <w:pPr>
        <w:pStyle w:val="ListParagraph"/>
        <w:numPr>
          <w:ilvl w:val="1"/>
          <w:numId w:val="4"/>
        </w:numPr>
        <w:pBdr>
          <w:top w:val="nil"/>
          <w:left w:val="nil"/>
          <w:bottom w:val="nil"/>
          <w:right w:val="nil"/>
          <w:between w:val="nil"/>
        </w:pBdr>
        <w:ind w:left="0" w:firstLine="0"/>
        <w:rPr>
          <w:bCs/>
          <w:color w:val="auto"/>
          <w:highlight w:val="yellow"/>
        </w:rPr>
      </w:pPr>
      <w:r w:rsidRPr="004D35FC">
        <w:rPr>
          <w:rFonts w:eastAsia="Calibri"/>
          <w:bCs/>
          <w:color w:val="auto"/>
          <w:highlight w:val="yellow"/>
        </w:rPr>
        <w:t xml:space="preserve">Click </w:t>
      </w:r>
      <w:r w:rsidR="00A56AEA" w:rsidRPr="004D35FC">
        <w:rPr>
          <w:rFonts w:eastAsia="Calibri"/>
          <w:bCs/>
          <w:color w:val="auto"/>
          <w:highlight w:val="yellow"/>
        </w:rPr>
        <w:t xml:space="preserve">on </w:t>
      </w:r>
      <w:r w:rsidRPr="004D35FC">
        <w:rPr>
          <w:rFonts w:eastAsia="Calibri"/>
          <w:bCs/>
          <w:color w:val="auto"/>
          <w:highlight w:val="yellow"/>
        </w:rPr>
        <w:t xml:space="preserve">the </w:t>
      </w:r>
      <w:r w:rsidRPr="004D35FC">
        <w:rPr>
          <w:rFonts w:eastAsia="Calibri"/>
          <w:b/>
          <w:color w:val="auto"/>
          <w:highlight w:val="yellow"/>
        </w:rPr>
        <w:t xml:space="preserve">Start </w:t>
      </w:r>
      <w:r w:rsidR="008A261B" w:rsidRPr="004D35FC">
        <w:rPr>
          <w:rFonts w:eastAsia="Calibri"/>
          <w:b/>
          <w:color w:val="auto"/>
          <w:highlight w:val="yellow"/>
        </w:rPr>
        <w:t>Acquisition</w:t>
      </w:r>
      <w:r w:rsidR="008A261B" w:rsidRPr="004D35FC">
        <w:rPr>
          <w:rFonts w:eastAsia="Calibri"/>
          <w:bCs/>
          <w:color w:val="auto"/>
          <w:highlight w:val="yellow"/>
        </w:rPr>
        <w:t xml:space="preserve"> </w:t>
      </w:r>
      <w:r w:rsidRPr="004D35FC">
        <w:rPr>
          <w:rFonts w:eastAsia="Calibri"/>
          <w:bCs/>
          <w:color w:val="auto"/>
          <w:highlight w:val="yellow"/>
        </w:rPr>
        <w:t>button</w:t>
      </w:r>
      <w:r w:rsidR="00C85ACA">
        <w:rPr>
          <w:rFonts w:eastAsia="Calibri"/>
          <w:bCs/>
          <w:color w:val="auto"/>
          <w:highlight w:val="yellow"/>
        </w:rPr>
        <w:t>,</w:t>
      </w:r>
      <w:r w:rsidRPr="004D35FC">
        <w:rPr>
          <w:rFonts w:eastAsia="Calibri"/>
          <w:bCs/>
          <w:color w:val="auto"/>
          <w:highlight w:val="yellow"/>
        </w:rPr>
        <w:t xml:space="preserve"> and then place the mouse at the entrance of the left-right traversable walkway. The recording will automatically start </w:t>
      </w:r>
      <w:r w:rsidR="0022278A" w:rsidRPr="004D35FC">
        <w:rPr>
          <w:rFonts w:eastAsia="Calibri"/>
          <w:bCs/>
          <w:color w:val="auto"/>
          <w:highlight w:val="yellow"/>
        </w:rPr>
        <w:t>following</w:t>
      </w:r>
      <w:r w:rsidRPr="004D35FC">
        <w:rPr>
          <w:rFonts w:eastAsia="Calibri"/>
          <w:bCs/>
          <w:color w:val="auto"/>
          <w:highlight w:val="yellow"/>
        </w:rPr>
        <w:t xml:space="preserve"> the free movement of the mouse.</w:t>
      </w:r>
    </w:p>
    <w:p w14:paraId="17D70777" w14:textId="77777777" w:rsidR="00A549D6" w:rsidRPr="004D35FC" w:rsidRDefault="00A549D6" w:rsidP="00A549D6">
      <w:pPr>
        <w:pStyle w:val="ListParagraph"/>
        <w:pBdr>
          <w:top w:val="nil"/>
          <w:left w:val="nil"/>
          <w:bottom w:val="nil"/>
          <w:right w:val="nil"/>
          <w:between w:val="nil"/>
        </w:pBdr>
        <w:ind w:left="0"/>
        <w:rPr>
          <w:bCs/>
          <w:color w:val="auto"/>
        </w:rPr>
      </w:pPr>
    </w:p>
    <w:p w14:paraId="00000039" w14:textId="7DBC18C0" w:rsidR="00F15B22" w:rsidRPr="004D35FC" w:rsidRDefault="00986013" w:rsidP="00A549D6">
      <w:pPr>
        <w:pStyle w:val="ListParagraph"/>
        <w:pBdr>
          <w:top w:val="nil"/>
          <w:left w:val="nil"/>
          <w:bottom w:val="nil"/>
          <w:right w:val="nil"/>
          <w:between w:val="nil"/>
        </w:pBdr>
        <w:ind w:left="0"/>
        <w:rPr>
          <w:bCs/>
          <w:color w:val="auto"/>
        </w:rPr>
      </w:pPr>
      <w:r w:rsidRPr="004D35FC">
        <w:rPr>
          <w:rFonts w:eastAsia="Calibri"/>
          <w:bCs/>
          <w:color w:val="auto"/>
        </w:rPr>
        <w:t>NOTE: If the animal</w:t>
      </w:r>
      <w:r w:rsidR="0022278A" w:rsidRPr="004D35FC">
        <w:rPr>
          <w:rFonts w:eastAsia="Calibri"/>
          <w:bCs/>
          <w:color w:val="auto"/>
        </w:rPr>
        <w:t>’</w:t>
      </w:r>
      <w:r w:rsidRPr="004D35FC">
        <w:rPr>
          <w:rFonts w:eastAsia="Calibri"/>
          <w:bCs/>
          <w:color w:val="auto"/>
        </w:rPr>
        <w:t xml:space="preserve">s gait has been successfully recorded and all footsteps have been detected, it will be marked as </w:t>
      </w:r>
      <w:r w:rsidR="008A261B" w:rsidRPr="004D35FC">
        <w:rPr>
          <w:rFonts w:eastAsia="Calibri"/>
          <w:bCs/>
          <w:color w:val="auto"/>
        </w:rPr>
        <w:t>Compliant Run</w:t>
      </w:r>
      <w:r w:rsidRPr="004D35FC">
        <w:rPr>
          <w:rFonts w:eastAsia="Calibri"/>
          <w:bCs/>
          <w:color w:val="auto"/>
        </w:rPr>
        <w:t xml:space="preserve"> with a green icon. If the software does not detect any footsteps, a red icon is displayed, in which case it is recommended to perform the recording again. The authors recommend collecting and analyzing at least five successful compliant runs performed with similar running speeds.</w:t>
      </w:r>
    </w:p>
    <w:p w14:paraId="4BDDA293" w14:textId="77777777" w:rsidR="00280508" w:rsidRPr="004D35FC" w:rsidRDefault="00280508" w:rsidP="00A549D6">
      <w:pPr>
        <w:pStyle w:val="ListParagraph"/>
        <w:pBdr>
          <w:top w:val="nil"/>
          <w:left w:val="nil"/>
          <w:bottom w:val="nil"/>
          <w:right w:val="nil"/>
          <w:between w:val="nil"/>
        </w:pBdr>
        <w:ind w:left="0"/>
        <w:rPr>
          <w:bCs/>
          <w:color w:val="auto"/>
        </w:rPr>
      </w:pPr>
    </w:p>
    <w:p w14:paraId="66977537" w14:textId="340E80A7" w:rsidR="00A56AEA" w:rsidRPr="004D35FC" w:rsidRDefault="00F7481F" w:rsidP="00A549D6">
      <w:pPr>
        <w:pStyle w:val="ListParagraph"/>
        <w:numPr>
          <w:ilvl w:val="1"/>
          <w:numId w:val="4"/>
        </w:numPr>
        <w:pBdr>
          <w:top w:val="nil"/>
          <w:left w:val="nil"/>
          <w:bottom w:val="nil"/>
          <w:right w:val="nil"/>
          <w:between w:val="nil"/>
        </w:pBdr>
        <w:ind w:left="0" w:firstLine="0"/>
        <w:rPr>
          <w:bCs/>
          <w:color w:val="auto"/>
          <w:highlight w:val="yellow"/>
        </w:rPr>
      </w:pPr>
      <w:r>
        <w:rPr>
          <w:rFonts w:eastAsia="Calibri"/>
          <w:bCs/>
          <w:color w:val="auto"/>
          <w:highlight w:val="yellow"/>
        </w:rPr>
        <w:t>O</w:t>
      </w:r>
      <w:r w:rsidRPr="004D35FC">
        <w:rPr>
          <w:rFonts w:eastAsia="Calibri"/>
          <w:bCs/>
          <w:color w:val="auto"/>
          <w:highlight w:val="yellow"/>
        </w:rPr>
        <w:t xml:space="preserve">n the </w:t>
      </w:r>
      <w:r w:rsidRPr="004D35FC">
        <w:rPr>
          <w:rFonts w:eastAsia="Calibri"/>
          <w:b/>
          <w:color w:val="auto"/>
          <w:highlight w:val="yellow"/>
        </w:rPr>
        <w:t>Acquire</w:t>
      </w:r>
      <w:r w:rsidRPr="004D35FC">
        <w:rPr>
          <w:rFonts w:eastAsia="Calibri"/>
          <w:bCs/>
          <w:color w:val="auto"/>
          <w:highlight w:val="yellow"/>
        </w:rPr>
        <w:t xml:space="preserve"> tab of the program menu</w:t>
      </w:r>
      <w:r>
        <w:rPr>
          <w:rFonts w:eastAsia="Calibri"/>
          <w:bCs/>
          <w:color w:val="auto"/>
          <w:highlight w:val="yellow"/>
        </w:rPr>
        <w:t>,</w:t>
      </w:r>
      <w:r w:rsidRPr="004D35FC">
        <w:rPr>
          <w:rFonts w:eastAsia="Calibri"/>
          <w:bCs/>
          <w:color w:val="auto"/>
          <w:highlight w:val="yellow"/>
        </w:rPr>
        <w:t xml:space="preserve"> </w:t>
      </w:r>
      <w:r>
        <w:rPr>
          <w:rFonts w:eastAsia="Calibri"/>
          <w:bCs/>
          <w:color w:val="auto"/>
          <w:highlight w:val="yellow"/>
        </w:rPr>
        <w:t>s</w:t>
      </w:r>
      <w:r w:rsidR="00986013" w:rsidRPr="004D35FC">
        <w:rPr>
          <w:rFonts w:eastAsia="Calibri"/>
          <w:bCs/>
          <w:color w:val="auto"/>
          <w:highlight w:val="yellow"/>
        </w:rPr>
        <w:t xml:space="preserve">elect </w:t>
      </w:r>
      <w:r w:rsidR="008A261B" w:rsidRPr="004D35FC">
        <w:rPr>
          <w:rFonts w:eastAsia="Calibri"/>
          <w:b/>
          <w:color w:val="auto"/>
          <w:highlight w:val="yellow"/>
        </w:rPr>
        <w:t>Classify Runs</w:t>
      </w:r>
      <w:r w:rsidR="00986013" w:rsidRPr="004D35FC">
        <w:rPr>
          <w:rFonts w:eastAsia="Calibri"/>
          <w:bCs/>
          <w:color w:val="auto"/>
          <w:highlight w:val="yellow"/>
        </w:rPr>
        <w:t>.</w:t>
      </w:r>
    </w:p>
    <w:p w14:paraId="2D5889EF" w14:textId="77777777" w:rsidR="00A56AEA" w:rsidRPr="004D35FC" w:rsidRDefault="00A56AEA" w:rsidP="00A56AEA">
      <w:pPr>
        <w:pStyle w:val="ListParagraph"/>
        <w:pBdr>
          <w:top w:val="nil"/>
          <w:left w:val="nil"/>
          <w:bottom w:val="nil"/>
          <w:right w:val="nil"/>
          <w:between w:val="nil"/>
        </w:pBdr>
        <w:ind w:left="0"/>
        <w:rPr>
          <w:rFonts w:eastAsia="Calibri"/>
          <w:bCs/>
          <w:color w:val="auto"/>
        </w:rPr>
      </w:pPr>
    </w:p>
    <w:p w14:paraId="0000003A" w14:textId="4BA6352D" w:rsidR="00F15B22" w:rsidRPr="004D35FC" w:rsidRDefault="00986013" w:rsidP="00A56AEA">
      <w:pPr>
        <w:pStyle w:val="ListParagraph"/>
        <w:pBdr>
          <w:top w:val="nil"/>
          <w:left w:val="nil"/>
          <w:bottom w:val="nil"/>
          <w:right w:val="nil"/>
          <w:between w:val="nil"/>
        </w:pBdr>
        <w:ind w:left="0"/>
        <w:rPr>
          <w:bCs/>
          <w:color w:val="auto"/>
        </w:rPr>
      </w:pPr>
      <w:r w:rsidRPr="004D35FC">
        <w:rPr>
          <w:rFonts w:eastAsia="Calibri"/>
          <w:bCs/>
          <w:color w:val="auto"/>
        </w:rPr>
        <w:lastRenderedPageBreak/>
        <w:t xml:space="preserve">NOTE: After selecting the data obtained from </w:t>
      </w:r>
      <w:r w:rsidR="00A56AEA" w:rsidRPr="004D35FC">
        <w:rPr>
          <w:rFonts w:eastAsia="Calibri"/>
          <w:bCs/>
          <w:color w:val="auto"/>
        </w:rPr>
        <w:t xml:space="preserve">the </w:t>
      </w:r>
      <w:r w:rsidRPr="004D35FC">
        <w:rPr>
          <w:rFonts w:eastAsia="Calibri"/>
          <w:bCs/>
          <w:color w:val="auto"/>
        </w:rPr>
        <w:t>successful compliance run above, go to the video analysis screen where the gait patterns of the mice were recorded.</w:t>
      </w:r>
    </w:p>
    <w:p w14:paraId="3D89F20D" w14:textId="77777777" w:rsidR="00280508" w:rsidRPr="004D35FC" w:rsidRDefault="00280508" w:rsidP="00A549D6">
      <w:pPr>
        <w:pBdr>
          <w:top w:val="nil"/>
          <w:left w:val="nil"/>
          <w:bottom w:val="nil"/>
          <w:right w:val="nil"/>
          <w:between w:val="nil"/>
        </w:pBdr>
        <w:rPr>
          <w:bCs/>
        </w:rPr>
      </w:pPr>
    </w:p>
    <w:p w14:paraId="23D83441" w14:textId="2B6A46BC" w:rsidR="00A56AEA" w:rsidRPr="004D35FC" w:rsidRDefault="00986013" w:rsidP="00A549D6">
      <w:pPr>
        <w:pStyle w:val="ListParagraph"/>
        <w:numPr>
          <w:ilvl w:val="1"/>
          <w:numId w:val="4"/>
        </w:numPr>
        <w:pBdr>
          <w:top w:val="nil"/>
          <w:left w:val="nil"/>
          <w:bottom w:val="nil"/>
          <w:right w:val="nil"/>
          <w:between w:val="nil"/>
        </w:pBdr>
        <w:ind w:left="0" w:firstLine="0"/>
        <w:rPr>
          <w:bCs/>
          <w:color w:val="auto"/>
          <w:highlight w:val="yellow"/>
        </w:rPr>
      </w:pPr>
      <w:r w:rsidRPr="004D35FC">
        <w:rPr>
          <w:rFonts w:eastAsia="Calibri"/>
          <w:bCs/>
          <w:color w:val="auto"/>
          <w:highlight w:val="yellow"/>
        </w:rPr>
        <w:t xml:space="preserve">Select the run to be analyzed and click </w:t>
      </w:r>
      <w:r w:rsidR="00F7481F">
        <w:rPr>
          <w:rFonts w:eastAsia="Calibri"/>
          <w:bCs/>
          <w:color w:val="auto"/>
          <w:highlight w:val="yellow"/>
        </w:rPr>
        <w:t xml:space="preserve">on </w:t>
      </w:r>
      <w:r w:rsidRPr="004D35FC">
        <w:rPr>
          <w:rFonts w:eastAsia="Calibri"/>
          <w:bCs/>
          <w:color w:val="auto"/>
          <w:highlight w:val="yellow"/>
        </w:rPr>
        <w:t xml:space="preserve">the </w:t>
      </w:r>
      <w:r w:rsidRPr="004D35FC">
        <w:rPr>
          <w:rFonts w:eastAsia="Calibri"/>
          <w:b/>
          <w:color w:val="auto"/>
          <w:highlight w:val="yellow"/>
        </w:rPr>
        <w:t xml:space="preserve">Auto </w:t>
      </w:r>
      <w:r w:rsidR="008A261B" w:rsidRPr="004D35FC">
        <w:rPr>
          <w:rFonts w:eastAsia="Calibri"/>
          <w:b/>
          <w:color w:val="auto"/>
          <w:highlight w:val="yellow"/>
        </w:rPr>
        <w:t>Classify</w:t>
      </w:r>
      <w:r w:rsidR="008A261B" w:rsidRPr="004D35FC">
        <w:rPr>
          <w:rFonts w:eastAsia="Calibri"/>
          <w:bCs/>
          <w:color w:val="auto"/>
          <w:highlight w:val="yellow"/>
        </w:rPr>
        <w:t xml:space="preserve"> </w:t>
      </w:r>
      <w:r w:rsidRPr="004D35FC">
        <w:rPr>
          <w:rFonts w:eastAsia="Calibri"/>
          <w:bCs/>
          <w:color w:val="auto"/>
          <w:highlight w:val="yellow"/>
        </w:rPr>
        <w:t>button.</w:t>
      </w:r>
    </w:p>
    <w:p w14:paraId="37EFF66D" w14:textId="77777777" w:rsidR="007A54BD" w:rsidRPr="004D35FC" w:rsidRDefault="007A54BD" w:rsidP="00CF146A">
      <w:pPr>
        <w:pStyle w:val="ListParagraph"/>
        <w:pBdr>
          <w:top w:val="nil"/>
          <w:left w:val="nil"/>
          <w:bottom w:val="nil"/>
          <w:right w:val="nil"/>
          <w:between w:val="nil"/>
        </w:pBdr>
        <w:ind w:left="0"/>
        <w:rPr>
          <w:bCs/>
          <w:color w:val="auto"/>
        </w:rPr>
      </w:pPr>
    </w:p>
    <w:p w14:paraId="4F1CBFBA" w14:textId="6FBD944B" w:rsidR="007A54BD" w:rsidRPr="004D35FC" w:rsidRDefault="007A54BD" w:rsidP="00A549D6">
      <w:pPr>
        <w:pStyle w:val="ListParagraph"/>
        <w:numPr>
          <w:ilvl w:val="1"/>
          <w:numId w:val="4"/>
        </w:numPr>
        <w:pBdr>
          <w:top w:val="nil"/>
          <w:left w:val="nil"/>
          <w:bottom w:val="nil"/>
          <w:right w:val="nil"/>
          <w:between w:val="nil"/>
        </w:pBdr>
        <w:ind w:left="0" w:firstLine="0"/>
        <w:rPr>
          <w:bCs/>
          <w:color w:val="auto"/>
          <w:highlight w:val="yellow"/>
        </w:rPr>
      </w:pPr>
      <w:r w:rsidRPr="004D35FC">
        <w:rPr>
          <w:bCs/>
          <w:color w:val="auto"/>
          <w:highlight w:val="yellow"/>
        </w:rPr>
        <w:t xml:space="preserve">After performing automatic classification, </w:t>
      </w:r>
      <w:r w:rsidR="0022278A" w:rsidRPr="004D35FC">
        <w:rPr>
          <w:bCs/>
          <w:color w:val="auto"/>
          <w:highlight w:val="yellow"/>
        </w:rPr>
        <w:t xml:space="preserve">remove </w:t>
      </w:r>
      <w:r w:rsidRPr="004D35FC">
        <w:rPr>
          <w:bCs/>
          <w:color w:val="auto"/>
          <w:highlight w:val="yellow"/>
        </w:rPr>
        <w:t>nose, genital recognition</w:t>
      </w:r>
      <w:r w:rsidR="0022278A" w:rsidRPr="004D35FC">
        <w:rPr>
          <w:bCs/>
          <w:color w:val="auto"/>
          <w:highlight w:val="yellow"/>
        </w:rPr>
        <w:t>,</w:t>
      </w:r>
      <w:r w:rsidRPr="004D35FC">
        <w:rPr>
          <w:bCs/>
          <w:color w:val="auto"/>
          <w:highlight w:val="yellow"/>
        </w:rPr>
        <w:t xml:space="preserve"> and the misrecognition of paws to junk data in each run</w:t>
      </w:r>
      <w:r w:rsidR="00C85ACA">
        <w:rPr>
          <w:bCs/>
          <w:color w:val="auto"/>
          <w:highlight w:val="yellow"/>
        </w:rPr>
        <w:t>,</w:t>
      </w:r>
      <w:r w:rsidRPr="004D35FC">
        <w:rPr>
          <w:bCs/>
          <w:color w:val="auto"/>
          <w:highlight w:val="yellow"/>
        </w:rPr>
        <w:t xml:space="preserve"> and then analyze the data.</w:t>
      </w:r>
    </w:p>
    <w:p w14:paraId="5261DDDE" w14:textId="77777777" w:rsidR="007A54BD" w:rsidRPr="004D35FC" w:rsidRDefault="007A54BD" w:rsidP="00A56AEA">
      <w:pPr>
        <w:pStyle w:val="ListParagraph"/>
        <w:pBdr>
          <w:top w:val="nil"/>
          <w:left w:val="nil"/>
          <w:bottom w:val="nil"/>
          <w:right w:val="nil"/>
          <w:between w:val="nil"/>
        </w:pBdr>
        <w:ind w:left="0"/>
        <w:rPr>
          <w:rFonts w:eastAsia="Calibri"/>
          <w:bCs/>
          <w:color w:val="auto"/>
        </w:rPr>
      </w:pPr>
    </w:p>
    <w:p w14:paraId="0000003C" w14:textId="3855CE53" w:rsidR="00F15B22" w:rsidRPr="004D35FC" w:rsidRDefault="00986013" w:rsidP="0022278A">
      <w:pPr>
        <w:pStyle w:val="ListParagraph"/>
        <w:pBdr>
          <w:top w:val="nil"/>
          <w:left w:val="nil"/>
          <w:bottom w:val="nil"/>
          <w:right w:val="nil"/>
          <w:between w:val="nil"/>
        </w:pBdr>
        <w:ind w:left="0"/>
        <w:rPr>
          <w:bCs/>
          <w:color w:val="auto"/>
        </w:rPr>
      </w:pPr>
      <w:r w:rsidRPr="004D35FC">
        <w:rPr>
          <w:rFonts w:eastAsia="Calibri"/>
          <w:bCs/>
          <w:color w:val="auto"/>
        </w:rPr>
        <w:t>NOTE: All statistical parameters are automatically analyzed and saved in the program, and raw data values can be found in the experimenter</w:t>
      </w:r>
      <w:r w:rsidR="0022278A" w:rsidRPr="004D35FC">
        <w:rPr>
          <w:rFonts w:eastAsia="Calibri"/>
          <w:bCs/>
          <w:color w:val="auto"/>
        </w:rPr>
        <w:t>’</w:t>
      </w:r>
      <w:r w:rsidRPr="004D35FC">
        <w:rPr>
          <w:rFonts w:eastAsia="Calibri"/>
          <w:bCs/>
          <w:color w:val="auto"/>
        </w:rPr>
        <w:t xml:space="preserve">s analysis menu. </w:t>
      </w:r>
      <w:r w:rsidRPr="004D35FC">
        <w:rPr>
          <w:bCs/>
          <w:color w:val="auto"/>
        </w:rPr>
        <w:t xml:space="preserve">Automatic gait analysis was performed before and at 1, 3, 5, and 7 days after burn injury. </w:t>
      </w:r>
      <w:r w:rsidR="0022278A" w:rsidRPr="004D35FC">
        <w:rPr>
          <w:bCs/>
          <w:color w:val="auto"/>
        </w:rPr>
        <w:t>The e</w:t>
      </w:r>
      <w:r w:rsidRPr="004D35FC">
        <w:rPr>
          <w:bCs/>
          <w:color w:val="auto"/>
        </w:rPr>
        <w:t>valuation was performed 30 min after acetaminophen administration in the Burn + Acetaminophen group</w:t>
      </w:r>
      <w:r w:rsidR="0022278A" w:rsidRPr="004D35FC">
        <w:rPr>
          <w:bCs/>
          <w:color w:val="auto"/>
        </w:rPr>
        <w:t xml:space="preserve"> and 30 min after saline treatment in</w:t>
      </w:r>
      <w:r w:rsidRPr="004D35FC">
        <w:rPr>
          <w:bCs/>
          <w:color w:val="auto"/>
        </w:rPr>
        <w:t xml:space="preserve"> </w:t>
      </w:r>
      <w:r w:rsidR="0022278A" w:rsidRPr="004D35FC">
        <w:rPr>
          <w:bCs/>
          <w:color w:val="auto"/>
        </w:rPr>
        <w:t>t</w:t>
      </w:r>
      <w:r w:rsidRPr="004D35FC">
        <w:rPr>
          <w:bCs/>
          <w:color w:val="auto"/>
        </w:rPr>
        <w:t xml:space="preserve">he </w:t>
      </w:r>
      <w:r w:rsidR="00CD7F4B">
        <w:rPr>
          <w:bCs/>
          <w:color w:val="auto"/>
        </w:rPr>
        <w:t>B</w:t>
      </w:r>
      <w:r w:rsidR="00CD7F4B" w:rsidRPr="004D35FC">
        <w:rPr>
          <w:bCs/>
          <w:color w:val="auto"/>
        </w:rPr>
        <w:t xml:space="preserve">urn </w:t>
      </w:r>
      <w:r w:rsidRPr="004D35FC">
        <w:rPr>
          <w:bCs/>
          <w:color w:val="auto"/>
        </w:rPr>
        <w:t>group</w:t>
      </w:r>
      <w:r w:rsidR="0022278A" w:rsidRPr="004D35FC">
        <w:rPr>
          <w:bCs/>
          <w:color w:val="auto"/>
        </w:rPr>
        <w:t>.</w:t>
      </w:r>
      <w:r w:rsidRPr="004D35FC">
        <w:rPr>
          <w:bCs/>
          <w:color w:val="auto"/>
        </w:rPr>
        <w:t xml:space="preserve"> This experiment was performed according to the method described in </w:t>
      </w:r>
      <w:r w:rsidR="0022278A" w:rsidRPr="004D35FC">
        <w:rPr>
          <w:bCs/>
          <w:color w:val="auto"/>
        </w:rPr>
        <w:t xml:space="preserve">the </w:t>
      </w:r>
      <w:r w:rsidRPr="004D35FC">
        <w:rPr>
          <w:bCs/>
          <w:color w:val="auto"/>
        </w:rPr>
        <w:t>previous studies</w:t>
      </w:r>
      <w:r w:rsidRPr="004D35FC">
        <w:rPr>
          <w:bCs/>
          <w:color w:val="auto"/>
          <w:vertAlign w:val="superscript"/>
        </w:rPr>
        <w:t>4,</w:t>
      </w:r>
      <w:r w:rsidR="00942C41" w:rsidRPr="004D35FC">
        <w:rPr>
          <w:bCs/>
          <w:color w:val="auto"/>
          <w:vertAlign w:val="superscript"/>
        </w:rPr>
        <w:t>21</w:t>
      </w:r>
      <w:r w:rsidRPr="004D35FC">
        <w:rPr>
          <w:bCs/>
          <w:color w:val="auto"/>
          <w:vertAlign w:val="superscript"/>
        </w:rPr>
        <w:t>,</w:t>
      </w:r>
      <w:r w:rsidR="0003519C" w:rsidRPr="004D35FC">
        <w:rPr>
          <w:bCs/>
          <w:color w:val="auto"/>
          <w:vertAlign w:val="superscript"/>
        </w:rPr>
        <w:t>2</w:t>
      </w:r>
      <w:r w:rsidR="00942C41" w:rsidRPr="004D35FC">
        <w:rPr>
          <w:bCs/>
          <w:color w:val="auto"/>
          <w:vertAlign w:val="superscript"/>
        </w:rPr>
        <w:t>2</w:t>
      </w:r>
      <w:r w:rsidRPr="004D35FC">
        <w:rPr>
          <w:bCs/>
          <w:color w:val="auto"/>
        </w:rPr>
        <w:t>.</w:t>
      </w:r>
    </w:p>
    <w:p w14:paraId="0000003D" w14:textId="77777777" w:rsidR="00F15B22" w:rsidRPr="004D35FC" w:rsidRDefault="00F15B22" w:rsidP="00A549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highlight w:val="yellow"/>
        </w:rPr>
      </w:pPr>
    </w:p>
    <w:p w14:paraId="0000003E" w14:textId="46A30923" w:rsidR="00F15B22" w:rsidRPr="004D35FC" w:rsidRDefault="00986013" w:rsidP="00A549D6">
      <w:pPr>
        <w:pStyle w:val="ListParagraph"/>
        <w:numPr>
          <w:ilvl w:val="0"/>
          <w:numId w:val="4"/>
        </w:numPr>
        <w:ind w:left="0" w:firstLine="0"/>
        <w:rPr>
          <w:b/>
          <w:color w:val="auto"/>
          <w:highlight w:val="yellow"/>
        </w:rPr>
      </w:pPr>
      <w:r w:rsidRPr="004D35FC">
        <w:rPr>
          <w:b/>
          <w:color w:val="auto"/>
          <w:highlight w:val="yellow"/>
        </w:rPr>
        <w:t>Measurement</w:t>
      </w:r>
      <w:r w:rsidRPr="004D35FC">
        <w:rPr>
          <w:rFonts w:eastAsia="Calibri"/>
          <w:b/>
          <w:color w:val="auto"/>
          <w:highlight w:val="yellow"/>
        </w:rPr>
        <w:t xml:space="preserve"> of </w:t>
      </w:r>
      <w:r w:rsidR="00A56AEA" w:rsidRPr="004D35FC">
        <w:rPr>
          <w:rFonts w:eastAsia="Calibri"/>
          <w:b/>
          <w:color w:val="auto"/>
          <w:highlight w:val="yellow"/>
        </w:rPr>
        <w:t>depression-like behavior</w:t>
      </w:r>
    </w:p>
    <w:p w14:paraId="0000003F" w14:textId="77777777" w:rsidR="00F15B22" w:rsidRPr="004D35FC" w:rsidRDefault="00F15B22" w:rsidP="003A13F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00000040" w14:textId="76C46985" w:rsidR="00F15B22" w:rsidRPr="004D35FC" w:rsidRDefault="00A56AEA" w:rsidP="00A549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4D35FC">
        <w:rPr>
          <w:bCs/>
        </w:rPr>
        <w:t xml:space="preserve">NOTE: </w:t>
      </w:r>
      <w:r w:rsidR="00986013" w:rsidRPr="004D35FC">
        <w:rPr>
          <w:bCs/>
        </w:rPr>
        <w:t>Despair</w:t>
      </w:r>
      <w:r w:rsidR="0022278A" w:rsidRPr="004D35FC">
        <w:rPr>
          <w:bCs/>
        </w:rPr>
        <w:t>-</w:t>
      </w:r>
      <w:r w:rsidR="00986013" w:rsidRPr="004D35FC">
        <w:rPr>
          <w:bCs/>
        </w:rPr>
        <w:t xml:space="preserve">based behavior, immobility time in </w:t>
      </w:r>
      <w:r w:rsidR="0022278A" w:rsidRPr="004D35FC">
        <w:rPr>
          <w:bCs/>
        </w:rPr>
        <w:t xml:space="preserve">the </w:t>
      </w:r>
      <w:r w:rsidR="00986013" w:rsidRPr="004D35FC">
        <w:rPr>
          <w:bCs/>
        </w:rPr>
        <w:t>water was measured by the forced swimming test.</w:t>
      </w:r>
    </w:p>
    <w:p w14:paraId="00000041" w14:textId="77777777" w:rsidR="00F15B22" w:rsidRPr="004D35FC" w:rsidRDefault="00F15B22" w:rsidP="003A13F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00000042" w14:textId="2AFFD785" w:rsidR="00F15B22" w:rsidRPr="004D35FC" w:rsidRDefault="00986013" w:rsidP="00A549D6">
      <w:pPr>
        <w:pStyle w:val="ListParagraph"/>
        <w:numPr>
          <w:ilvl w:val="1"/>
          <w:numId w:val="6"/>
        </w:numPr>
        <w:pBdr>
          <w:top w:val="nil"/>
          <w:left w:val="nil"/>
          <w:bottom w:val="nil"/>
          <w:right w:val="nil"/>
          <w:between w:val="nil"/>
        </w:pBdr>
        <w:ind w:left="0" w:firstLine="16"/>
        <w:rPr>
          <w:bCs/>
          <w:color w:val="auto"/>
          <w:highlight w:val="yellow"/>
        </w:rPr>
      </w:pPr>
      <w:r w:rsidRPr="004D35FC">
        <w:rPr>
          <w:bCs/>
          <w:color w:val="auto"/>
          <w:highlight w:val="yellow"/>
        </w:rPr>
        <w:t xml:space="preserve">Bring </w:t>
      </w:r>
      <w:r w:rsidR="00A56AEA" w:rsidRPr="004D35FC">
        <w:rPr>
          <w:bCs/>
          <w:color w:val="auto"/>
          <w:highlight w:val="yellow"/>
        </w:rPr>
        <w:t xml:space="preserve">the </w:t>
      </w:r>
      <w:r w:rsidRPr="004D35FC">
        <w:rPr>
          <w:bCs/>
          <w:color w:val="auto"/>
          <w:highlight w:val="yellow"/>
        </w:rPr>
        <w:t xml:space="preserve">mice to the behavioral test room and </w:t>
      </w:r>
      <w:r w:rsidR="00253285">
        <w:rPr>
          <w:rFonts w:eastAsia="Calibri"/>
          <w:bCs/>
          <w:color w:val="auto"/>
          <w:highlight w:val="yellow"/>
        </w:rPr>
        <w:t>a</w:t>
      </w:r>
      <w:r w:rsidR="00253285" w:rsidRPr="004D35FC">
        <w:rPr>
          <w:rFonts w:eastAsia="Calibri"/>
          <w:bCs/>
          <w:color w:val="auto"/>
          <w:highlight w:val="yellow"/>
        </w:rPr>
        <w:t>cclimat</w:t>
      </w:r>
      <w:r w:rsidR="00253285">
        <w:rPr>
          <w:rFonts w:eastAsia="Calibri"/>
          <w:bCs/>
          <w:color w:val="auto"/>
          <w:highlight w:val="yellow"/>
        </w:rPr>
        <w:t xml:space="preserve">ize them </w:t>
      </w:r>
      <w:r w:rsidR="0022278A" w:rsidRPr="004D35FC">
        <w:rPr>
          <w:bCs/>
          <w:color w:val="auto"/>
          <w:highlight w:val="yellow"/>
        </w:rPr>
        <w:t xml:space="preserve">for </w:t>
      </w:r>
      <w:r w:rsidRPr="004D35FC">
        <w:rPr>
          <w:bCs/>
          <w:color w:val="auto"/>
          <w:highlight w:val="yellow"/>
        </w:rPr>
        <w:t>at least 30 min before the test. Wear a surgical gown, gloves, and mask while performing the forced swimming test.</w:t>
      </w:r>
    </w:p>
    <w:p w14:paraId="0CDBF447" w14:textId="77777777" w:rsidR="00280508" w:rsidRPr="004D35FC" w:rsidRDefault="00280508" w:rsidP="00A549D6">
      <w:pPr>
        <w:pStyle w:val="ListParagraph"/>
        <w:pBdr>
          <w:top w:val="nil"/>
          <w:left w:val="nil"/>
          <w:bottom w:val="nil"/>
          <w:right w:val="nil"/>
          <w:between w:val="nil"/>
        </w:pBdr>
        <w:ind w:left="0" w:firstLine="16"/>
        <w:rPr>
          <w:bCs/>
          <w:color w:val="auto"/>
          <w:highlight w:val="yellow"/>
        </w:rPr>
      </w:pPr>
    </w:p>
    <w:p w14:paraId="00000043" w14:textId="51FA028E" w:rsidR="00F15B22" w:rsidRPr="004D35FC" w:rsidRDefault="00986013" w:rsidP="00A549D6">
      <w:pPr>
        <w:pStyle w:val="ListParagraph"/>
        <w:numPr>
          <w:ilvl w:val="1"/>
          <w:numId w:val="6"/>
        </w:numPr>
        <w:pBdr>
          <w:top w:val="nil"/>
          <w:left w:val="nil"/>
          <w:bottom w:val="nil"/>
          <w:right w:val="nil"/>
          <w:between w:val="nil"/>
        </w:pBdr>
        <w:ind w:left="0" w:firstLine="16"/>
        <w:rPr>
          <w:bCs/>
          <w:color w:val="auto"/>
          <w:highlight w:val="yellow"/>
        </w:rPr>
      </w:pPr>
      <w:r w:rsidRPr="004D35FC">
        <w:rPr>
          <w:rFonts w:eastAsia="Calibri"/>
          <w:bCs/>
          <w:color w:val="auto"/>
          <w:highlight w:val="yellow"/>
        </w:rPr>
        <w:t xml:space="preserve">Put the mouse into a clear plexiglass cylinder (10 cm </w:t>
      </w:r>
      <w:r w:rsidR="00C85ACA">
        <w:rPr>
          <w:rFonts w:eastAsia="Calibri"/>
          <w:bCs/>
          <w:color w:val="auto"/>
          <w:highlight w:val="yellow"/>
        </w:rPr>
        <w:t>x</w:t>
      </w:r>
      <w:r w:rsidRPr="004D35FC">
        <w:rPr>
          <w:rFonts w:eastAsia="Calibri"/>
          <w:bCs/>
          <w:color w:val="auto"/>
          <w:highlight w:val="yellow"/>
        </w:rPr>
        <w:t xml:space="preserve"> 25 cm) containing 15 cm of water (25</w:t>
      </w:r>
      <w:r w:rsidR="00A56AEA" w:rsidRPr="004D35FC">
        <w:rPr>
          <w:rFonts w:eastAsia="Calibri"/>
          <w:bCs/>
          <w:color w:val="auto"/>
          <w:highlight w:val="yellow"/>
        </w:rPr>
        <w:t xml:space="preserve"> °C</w:t>
      </w:r>
      <w:r w:rsidRPr="004D35FC">
        <w:rPr>
          <w:rFonts w:eastAsia="Calibri"/>
          <w:bCs/>
          <w:color w:val="auto"/>
          <w:highlight w:val="yellow"/>
        </w:rPr>
        <w:t xml:space="preserve"> ± 0.5 °C) for 15 min.</w:t>
      </w:r>
    </w:p>
    <w:p w14:paraId="2BDD22BC" w14:textId="77777777" w:rsidR="00280508" w:rsidRPr="004D35FC" w:rsidRDefault="00280508" w:rsidP="00A549D6">
      <w:pPr>
        <w:pBdr>
          <w:top w:val="nil"/>
          <w:left w:val="nil"/>
          <w:bottom w:val="nil"/>
          <w:right w:val="nil"/>
          <w:between w:val="nil"/>
        </w:pBdr>
        <w:ind w:firstLine="16"/>
        <w:rPr>
          <w:bCs/>
          <w:highlight w:val="yellow"/>
        </w:rPr>
      </w:pPr>
    </w:p>
    <w:p w14:paraId="485B6612" w14:textId="7F40E862" w:rsidR="00A56AEA" w:rsidRPr="004D35FC" w:rsidRDefault="00A56AEA" w:rsidP="00A549D6">
      <w:pPr>
        <w:pStyle w:val="ListParagraph"/>
        <w:numPr>
          <w:ilvl w:val="1"/>
          <w:numId w:val="6"/>
        </w:numPr>
        <w:pBdr>
          <w:top w:val="nil"/>
          <w:left w:val="nil"/>
          <w:bottom w:val="nil"/>
          <w:right w:val="nil"/>
          <w:between w:val="nil"/>
        </w:pBdr>
        <w:ind w:left="0" w:firstLine="16"/>
        <w:rPr>
          <w:bCs/>
          <w:color w:val="auto"/>
          <w:highlight w:val="yellow"/>
        </w:rPr>
      </w:pPr>
      <w:r w:rsidRPr="004D35FC">
        <w:rPr>
          <w:rFonts w:eastAsia="Calibri"/>
          <w:bCs/>
          <w:color w:val="auto"/>
          <w:highlight w:val="yellow"/>
        </w:rPr>
        <w:t>After 24 h</w:t>
      </w:r>
      <w:r w:rsidR="00986013" w:rsidRPr="004D35FC">
        <w:rPr>
          <w:rFonts w:eastAsia="Calibri"/>
          <w:bCs/>
          <w:color w:val="auto"/>
          <w:highlight w:val="yellow"/>
        </w:rPr>
        <w:t>, put the mouse into the cylinder of the same conditions and measure the immobility time.</w:t>
      </w:r>
    </w:p>
    <w:p w14:paraId="54EC57D0" w14:textId="77777777" w:rsidR="00A56AEA" w:rsidRPr="003A13F2" w:rsidRDefault="00A56AEA" w:rsidP="003A13F2">
      <w:pPr>
        <w:rPr>
          <w:rFonts w:eastAsia="Calibri"/>
          <w:bCs/>
        </w:rPr>
      </w:pPr>
    </w:p>
    <w:p w14:paraId="00000045" w14:textId="4ED90A6A" w:rsidR="00F15B22" w:rsidRPr="004D35FC" w:rsidRDefault="00986013" w:rsidP="00A56AEA">
      <w:pPr>
        <w:pStyle w:val="ListParagraph"/>
        <w:pBdr>
          <w:top w:val="nil"/>
          <w:left w:val="nil"/>
          <w:bottom w:val="nil"/>
          <w:right w:val="nil"/>
          <w:between w:val="nil"/>
        </w:pBdr>
        <w:ind w:left="16"/>
        <w:rPr>
          <w:bCs/>
          <w:color w:val="auto"/>
        </w:rPr>
      </w:pPr>
      <w:r w:rsidRPr="004D35FC">
        <w:rPr>
          <w:rFonts w:eastAsia="Calibri"/>
          <w:bCs/>
          <w:color w:val="auto"/>
        </w:rPr>
        <w:t>NOTE: Immobility time was measured for 5 min of test time, and the time whenever mice stopped climbing or swimming and just floated to keep their head above the water surface was recorded.</w:t>
      </w:r>
      <w:r w:rsidR="00A56AEA" w:rsidRPr="004D35FC">
        <w:rPr>
          <w:rFonts w:eastAsia="Calibri"/>
          <w:bCs/>
          <w:color w:val="auto"/>
        </w:rPr>
        <w:t xml:space="preserve"> </w:t>
      </w:r>
      <w:r w:rsidRPr="004D35FC">
        <w:rPr>
          <w:bCs/>
          <w:color w:val="auto"/>
        </w:rPr>
        <w:t xml:space="preserve">The forced swimming test was performed </w:t>
      </w:r>
      <w:r w:rsidR="0022278A" w:rsidRPr="004D35FC">
        <w:rPr>
          <w:bCs/>
          <w:color w:val="auto"/>
        </w:rPr>
        <w:t>on</w:t>
      </w:r>
      <w:r w:rsidRPr="004D35FC">
        <w:rPr>
          <w:bCs/>
          <w:color w:val="auto"/>
        </w:rPr>
        <w:t xml:space="preserve"> day 7 after </w:t>
      </w:r>
      <w:r w:rsidR="0022278A" w:rsidRPr="004D35FC">
        <w:rPr>
          <w:bCs/>
          <w:color w:val="auto"/>
        </w:rPr>
        <w:t xml:space="preserve">the </w:t>
      </w:r>
      <w:r w:rsidRPr="004D35FC">
        <w:rPr>
          <w:bCs/>
          <w:color w:val="auto"/>
        </w:rPr>
        <w:t xml:space="preserve">burn injury. </w:t>
      </w:r>
      <w:r w:rsidR="0022278A" w:rsidRPr="004D35FC">
        <w:rPr>
          <w:bCs/>
          <w:color w:val="auto"/>
        </w:rPr>
        <w:t>The e</w:t>
      </w:r>
      <w:r w:rsidRPr="004D35FC">
        <w:rPr>
          <w:bCs/>
          <w:color w:val="auto"/>
        </w:rPr>
        <w:t>valuation was performed 1 h after acetaminophen administration in the Burn + Acetaminophen group</w:t>
      </w:r>
      <w:r w:rsidR="0022278A" w:rsidRPr="004D35FC">
        <w:rPr>
          <w:bCs/>
          <w:color w:val="auto"/>
        </w:rPr>
        <w:t>, and 1 h after saline treatment in t</w:t>
      </w:r>
      <w:r w:rsidRPr="004D35FC">
        <w:rPr>
          <w:bCs/>
          <w:color w:val="auto"/>
        </w:rPr>
        <w:t xml:space="preserve">he </w:t>
      </w:r>
      <w:r w:rsidR="00CD7F4B">
        <w:rPr>
          <w:bCs/>
          <w:color w:val="auto"/>
        </w:rPr>
        <w:t>B</w:t>
      </w:r>
      <w:r w:rsidR="00CD7F4B" w:rsidRPr="004D35FC">
        <w:rPr>
          <w:bCs/>
          <w:color w:val="auto"/>
        </w:rPr>
        <w:t xml:space="preserve">urn </w:t>
      </w:r>
      <w:r w:rsidRPr="004D35FC">
        <w:rPr>
          <w:bCs/>
          <w:color w:val="auto"/>
        </w:rPr>
        <w:t>group</w:t>
      </w:r>
      <w:r w:rsidR="0022278A" w:rsidRPr="004D35FC">
        <w:rPr>
          <w:bCs/>
          <w:color w:val="auto"/>
        </w:rPr>
        <w:t>.</w:t>
      </w:r>
      <w:r w:rsidRPr="004D35FC">
        <w:rPr>
          <w:bCs/>
          <w:color w:val="auto"/>
        </w:rPr>
        <w:t xml:space="preserve"> The experiment was performed according to the method described in previous studies</w:t>
      </w:r>
      <w:r w:rsidR="0003519C" w:rsidRPr="004D35FC">
        <w:rPr>
          <w:bCs/>
          <w:color w:val="auto"/>
          <w:vertAlign w:val="superscript"/>
        </w:rPr>
        <w:t>2</w:t>
      </w:r>
      <w:r w:rsidR="006D1F49" w:rsidRPr="004D35FC">
        <w:rPr>
          <w:bCs/>
          <w:color w:val="auto"/>
          <w:vertAlign w:val="superscript"/>
        </w:rPr>
        <w:t>3</w:t>
      </w:r>
      <w:r w:rsidRPr="004D35FC">
        <w:rPr>
          <w:bCs/>
          <w:color w:val="auto"/>
          <w:vertAlign w:val="superscript"/>
        </w:rPr>
        <w:t>,2</w:t>
      </w:r>
      <w:r w:rsidR="006D1F49" w:rsidRPr="004D35FC">
        <w:rPr>
          <w:bCs/>
          <w:color w:val="auto"/>
          <w:vertAlign w:val="superscript"/>
        </w:rPr>
        <w:t>4</w:t>
      </w:r>
      <w:r w:rsidRPr="004D35FC">
        <w:rPr>
          <w:bCs/>
          <w:color w:val="auto"/>
        </w:rPr>
        <w:t>.</w:t>
      </w:r>
    </w:p>
    <w:p w14:paraId="00000046" w14:textId="77777777" w:rsidR="00F15B22" w:rsidRPr="004D35FC" w:rsidRDefault="00F15B22" w:rsidP="00A549D6">
      <w:pPr>
        <w:rPr>
          <w:b/>
          <w:highlight w:val="yellow"/>
        </w:rPr>
      </w:pPr>
    </w:p>
    <w:p w14:paraId="00000047" w14:textId="15A527F1" w:rsidR="00F15B22" w:rsidRPr="004D35FC" w:rsidRDefault="00986013" w:rsidP="00A549D6">
      <w:pPr>
        <w:pStyle w:val="ListParagraph"/>
        <w:numPr>
          <w:ilvl w:val="0"/>
          <w:numId w:val="6"/>
        </w:numPr>
        <w:ind w:left="0" w:firstLine="0"/>
        <w:rPr>
          <w:b/>
          <w:color w:val="auto"/>
          <w:highlight w:val="yellow"/>
        </w:rPr>
      </w:pPr>
      <w:r w:rsidRPr="004D35FC">
        <w:rPr>
          <w:b/>
          <w:color w:val="auto"/>
          <w:highlight w:val="yellow"/>
        </w:rPr>
        <w:t>Measurement</w:t>
      </w:r>
      <w:r w:rsidRPr="004D35FC">
        <w:rPr>
          <w:rFonts w:eastAsia="Calibri"/>
          <w:b/>
          <w:color w:val="auto"/>
          <w:highlight w:val="yellow"/>
        </w:rPr>
        <w:t xml:space="preserve"> of </w:t>
      </w:r>
      <w:r w:rsidR="00A56AEA" w:rsidRPr="004D35FC">
        <w:rPr>
          <w:rFonts w:eastAsia="Calibri"/>
          <w:b/>
          <w:color w:val="auto"/>
          <w:highlight w:val="yellow"/>
        </w:rPr>
        <w:t>normal motor function</w:t>
      </w:r>
    </w:p>
    <w:p w14:paraId="00000048" w14:textId="77777777" w:rsidR="00F15B22" w:rsidRPr="004D35FC" w:rsidRDefault="00F15B22" w:rsidP="003A13F2">
      <w:pPr>
        <w:rPr>
          <w:bCs/>
        </w:rPr>
      </w:pPr>
    </w:p>
    <w:p w14:paraId="00000049" w14:textId="59F3E03A" w:rsidR="00F15B22" w:rsidRPr="004D35FC" w:rsidRDefault="00A56AEA" w:rsidP="00A549D6">
      <w:pPr>
        <w:rPr>
          <w:bCs/>
        </w:rPr>
      </w:pPr>
      <w:r w:rsidRPr="004D35FC">
        <w:rPr>
          <w:bCs/>
        </w:rPr>
        <w:t xml:space="preserve">NOTE: </w:t>
      </w:r>
      <w:r w:rsidR="00986013" w:rsidRPr="004D35FC">
        <w:rPr>
          <w:bCs/>
        </w:rPr>
        <w:t>The rota-rod test was performed to differentiate the abnormal motor function after burn injury.</w:t>
      </w:r>
    </w:p>
    <w:p w14:paraId="0000004A" w14:textId="77777777" w:rsidR="00F15B22" w:rsidRPr="004D35FC" w:rsidRDefault="00F15B22" w:rsidP="003A13F2">
      <w:pPr>
        <w:pBdr>
          <w:top w:val="nil"/>
          <w:left w:val="nil"/>
          <w:bottom w:val="nil"/>
          <w:right w:val="nil"/>
          <w:between w:val="nil"/>
        </w:pBdr>
        <w:rPr>
          <w:bCs/>
        </w:rPr>
      </w:pPr>
    </w:p>
    <w:p w14:paraId="0000004B" w14:textId="33FBDCC0" w:rsidR="00F15B22" w:rsidRPr="004D35FC" w:rsidRDefault="00986013" w:rsidP="00A549D6">
      <w:pPr>
        <w:pStyle w:val="ListParagraph"/>
        <w:numPr>
          <w:ilvl w:val="1"/>
          <w:numId w:val="5"/>
        </w:numPr>
        <w:pBdr>
          <w:top w:val="nil"/>
          <w:left w:val="nil"/>
          <w:bottom w:val="nil"/>
          <w:right w:val="nil"/>
          <w:between w:val="nil"/>
        </w:pBdr>
        <w:ind w:left="0" w:firstLine="0"/>
        <w:rPr>
          <w:bCs/>
          <w:color w:val="auto"/>
          <w:highlight w:val="yellow"/>
        </w:rPr>
      </w:pPr>
      <w:r w:rsidRPr="004D35FC">
        <w:rPr>
          <w:bCs/>
          <w:color w:val="auto"/>
          <w:highlight w:val="yellow"/>
        </w:rPr>
        <w:t xml:space="preserve">Bring </w:t>
      </w:r>
      <w:r w:rsidR="00A56AEA" w:rsidRPr="004D35FC">
        <w:rPr>
          <w:bCs/>
          <w:color w:val="auto"/>
          <w:highlight w:val="yellow"/>
        </w:rPr>
        <w:t xml:space="preserve">the </w:t>
      </w:r>
      <w:r w:rsidRPr="004D35FC">
        <w:rPr>
          <w:bCs/>
          <w:color w:val="auto"/>
          <w:highlight w:val="yellow"/>
        </w:rPr>
        <w:t xml:space="preserve">mice to the behavioral test room and </w:t>
      </w:r>
      <w:r w:rsidR="00253285">
        <w:rPr>
          <w:rFonts w:eastAsia="Calibri"/>
          <w:bCs/>
          <w:color w:val="auto"/>
          <w:highlight w:val="yellow"/>
        </w:rPr>
        <w:t>a</w:t>
      </w:r>
      <w:r w:rsidR="00253285" w:rsidRPr="004D35FC">
        <w:rPr>
          <w:rFonts w:eastAsia="Calibri"/>
          <w:bCs/>
          <w:color w:val="auto"/>
          <w:highlight w:val="yellow"/>
        </w:rPr>
        <w:t>cclimat</w:t>
      </w:r>
      <w:r w:rsidR="00253285">
        <w:rPr>
          <w:rFonts w:eastAsia="Calibri"/>
          <w:bCs/>
          <w:color w:val="auto"/>
          <w:highlight w:val="yellow"/>
        </w:rPr>
        <w:t xml:space="preserve">ize them </w:t>
      </w:r>
      <w:r w:rsidR="0022278A" w:rsidRPr="004D35FC">
        <w:rPr>
          <w:bCs/>
          <w:color w:val="auto"/>
          <w:highlight w:val="yellow"/>
        </w:rPr>
        <w:t xml:space="preserve">for </w:t>
      </w:r>
      <w:r w:rsidRPr="004D35FC">
        <w:rPr>
          <w:bCs/>
          <w:color w:val="auto"/>
          <w:highlight w:val="yellow"/>
        </w:rPr>
        <w:t>at least 30 min before the test. Wear a surgical gown, gloves, and mask while performing the forced swimming test.</w:t>
      </w:r>
    </w:p>
    <w:p w14:paraId="2915BB32" w14:textId="77777777" w:rsidR="00280508" w:rsidRPr="004D35FC" w:rsidRDefault="00280508" w:rsidP="00A549D6">
      <w:pPr>
        <w:pBdr>
          <w:top w:val="nil"/>
          <w:left w:val="nil"/>
          <w:bottom w:val="nil"/>
          <w:right w:val="nil"/>
          <w:between w:val="nil"/>
        </w:pBdr>
        <w:rPr>
          <w:bCs/>
          <w:highlight w:val="yellow"/>
        </w:rPr>
      </w:pPr>
    </w:p>
    <w:p w14:paraId="5FEEEFE3" w14:textId="781FFFE5" w:rsidR="0022278A" w:rsidRPr="004D35FC" w:rsidRDefault="00986013" w:rsidP="00A549D6">
      <w:pPr>
        <w:pStyle w:val="ListParagraph"/>
        <w:numPr>
          <w:ilvl w:val="1"/>
          <w:numId w:val="5"/>
        </w:numPr>
        <w:pBdr>
          <w:top w:val="nil"/>
          <w:left w:val="nil"/>
          <w:bottom w:val="nil"/>
          <w:right w:val="nil"/>
          <w:between w:val="nil"/>
        </w:pBdr>
        <w:ind w:left="0" w:firstLine="0"/>
        <w:rPr>
          <w:bCs/>
          <w:color w:val="auto"/>
          <w:highlight w:val="yellow"/>
        </w:rPr>
      </w:pPr>
      <w:r w:rsidRPr="004D35FC">
        <w:rPr>
          <w:rFonts w:eastAsia="Calibri"/>
          <w:bCs/>
          <w:color w:val="auto"/>
          <w:highlight w:val="yellow"/>
        </w:rPr>
        <w:lastRenderedPageBreak/>
        <w:t>Place the animals on a rolling cylindrical platform (5.7 cm wide; 3 cm diameter) suspended 16 cm above the bottom of the apparatus.</w:t>
      </w:r>
    </w:p>
    <w:p w14:paraId="6C355B18" w14:textId="77777777" w:rsidR="0022278A" w:rsidRPr="003A13F2" w:rsidRDefault="0022278A" w:rsidP="003A13F2">
      <w:pPr>
        <w:rPr>
          <w:rFonts w:eastAsia="Calibri"/>
          <w:bCs/>
          <w:highlight w:val="yellow"/>
        </w:rPr>
      </w:pPr>
    </w:p>
    <w:p w14:paraId="0000004C" w14:textId="2277907E" w:rsidR="00F15B22" w:rsidRPr="004D35FC" w:rsidRDefault="00986013" w:rsidP="00A549D6">
      <w:pPr>
        <w:pStyle w:val="ListParagraph"/>
        <w:numPr>
          <w:ilvl w:val="1"/>
          <w:numId w:val="5"/>
        </w:numPr>
        <w:pBdr>
          <w:top w:val="nil"/>
          <w:left w:val="nil"/>
          <w:bottom w:val="nil"/>
          <w:right w:val="nil"/>
          <w:between w:val="nil"/>
        </w:pBdr>
        <w:ind w:left="0" w:firstLine="0"/>
        <w:rPr>
          <w:bCs/>
          <w:color w:val="auto"/>
          <w:highlight w:val="yellow"/>
        </w:rPr>
      </w:pPr>
      <w:r w:rsidRPr="004D35FC">
        <w:rPr>
          <w:rFonts w:eastAsia="Calibri"/>
          <w:bCs/>
          <w:color w:val="auto"/>
          <w:highlight w:val="yellow"/>
        </w:rPr>
        <w:t>Allow each animal to train once a day on a rota-rod for at least 5 days prior to induction of burn injury.</w:t>
      </w:r>
    </w:p>
    <w:p w14:paraId="1B734427" w14:textId="77777777" w:rsidR="00280508" w:rsidRPr="004D35FC" w:rsidRDefault="00280508" w:rsidP="00A549D6">
      <w:pPr>
        <w:pBdr>
          <w:top w:val="nil"/>
          <w:left w:val="nil"/>
          <w:bottom w:val="nil"/>
          <w:right w:val="nil"/>
          <w:between w:val="nil"/>
        </w:pBdr>
        <w:rPr>
          <w:bCs/>
          <w:highlight w:val="yellow"/>
        </w:rPr>
      </w:pPr>
    </w:p>
    <w:p w14:paraId="0000004D" w14:textId="171682DD" w:rsidR="00F15B22" w:rsidRPr="004D35FC" w:rsidRDefault="00986013" w:rsidP="00A549D6">
      <w:pPr>
        <w:pStyle w:val="ListParagraph"/>
        <w:numPr>
          <w:ilvl w:val="1"/>
          <w:numId w:val="5"/>
        </w:numPr>
        <w:pBdr>
          <w:top w:val="nil"/>
          <w:left w:val="nil"/>
          <w:bottom w:val="nil"/>
          <w:right w:val="nil"/>
          <w:between w:val="nil"/>
        </w:pBdr>
        <w:ind w:left="0" w:firstLine="0"/>
        <w:rPr>
          <w:bCs/>
          <w:color w:val="auto"/>
          <w:highlight w:val="yellow"/>
        </w:rPr>
      </w:pPr>
      <w:r w:rsidRPr="004D35FC">
        <w:rPr>
          <w:rFonts w:eastAsia="Calibri"/>
          <w:bCs/>
          <w:color w:val="auto"/>
          <w:highlight w:val="yellow"/>
        </w:rPr>
        <w:t>Perform the rota-rod test every 20 min for 2 h after drug administration. Set the cut-off time to 2 min.</w:t>
      </w:r>
    </w:p>
    <w:p w14:paraId="55A71799" w14:textId="77777777" w:rsidR="00280508" w:rsidRPr="004D35FC" w:rsidRDefault="00280508" w:rsidP="00A549D6">
      <w:pPr>
        <w:pBdr>
          <w:top w:val="nil"/>
          <w:left w:val="nil"/>
          <w:bottom w:val="nil"/>
          <w:right w:val="nil"/>
          <w:between w:val="nil"/>
        </w:pBdr>
        <w:rPr>
          <w:bCs/>
          <w:highlight w:val="yellow"/>
        </w:rPr>
      </w:pPr>
    </w:p>
    <w:p w14:paraId="0000004E" w14:textId="4598A93F" w:rsidR="00F15B22" w:rsidRPr="004D35FC" w:rsidRDefault="00986013" w:rsidP="00A549D6">
      <w:pPr>
        <w:pStyle w:val="ListParagraph"/>
        <w:numPr>
          <w:ilvl w:val="1"/>
          <w:numId w:val="5"/>
        </w:numPr>
        <w:pBdr>
          <w:top w:val="nil"/>
          <w:left w:val="nil"/>
          <w:bottom w:val="nil"/>
          <w:right w:val="nil"/>
          <w:between w:val="nil"/>
        </w:pBdr>
        <w:ind w:left="0" w:firstLine="0"/>
        <w:rPr>
          <w:bCs/>
          <w:color w:val="auto"/>
          <w:highlight w:val="yellow"/>
        </w:rPr>
      </w:pPr>
      <w:r w:rsidRPr="004D35FC">
        <w:rPr>
          <w:rFonts w:eastAsia="Calibri"/>
          <w:bCs/>
          <w:color w:val="auto"/>
          <w:highlight w:val="yellow"/>
        </w:rPr>
        <w:t xml:space="preserve">Measure the </w:t>
      </w:r>
      <w:r w:rsidR="0022278A" w:rsidRPr="004D35FC">
        <w:rPr>
          <w:rFonts w:eastAsia="Calibri"/>
          <w:bCs/>
          <w:color w:val="auto"/>
          <w:highlight w:val="yellow"/>
        </w:rPr>
        <w:t>duration</w:t>
      </w:r>
      <w:r w:rsidRPr="004D35FC">
        <w:rPr>
          <w:rFonts w:eastAsia="Calibri"/>
          <w:bCs/>
          <w:color w:val="auto"/>
          <w:highlight w:val="yellow"/>
        </w:rPr>
        <w:t xml:space="preserve"> of time the mouse runs on a rotating rod at the constant speed of 15 revolutions per minute without falling.</w:t>
      </w:r>
    </w:p>
    <w:p w14:paraId="0BA6B7AF" w14:textId="77777777" w:rsidR="002D4136" w:rsidRPr="004D35FC" w:rsidRDefault="002D4136" w:rsidP="00A549D6">
      <w:pPr>
        <w:pBdr>
          <w:top w:val="nil"/>
          <w:left w:val="nil"/>
          <w:bottom w:val="nil"/>
          <w:right w:val="nil"/>
          <w:between w:val="nil"/>
        </w:pBdr>
        <w:rPr>
          <w:bCs/>
        </w:rPr>
      </w:pPr>
    </w:p>
    <w:p w14:paraId="0000004F" w14:textId="777155A7" w:rsidR="00F15B22" w:rsidRPr="004D35FC" w:rsidRDefault="00986013" w:rsidP="00A549D6">
      <w:pPr>
        <w:pBdr>
          <w:top w:val="nil"/>
          <w:left w:val="nil"/>
          <w:bottom w:val="nil"/>
          <w:right w:val="nil"/>
          <w:between w:val="nil"/>
        </w:pBdr>
        <w:rPr>
          <w:bCs/>
        </w:rPr>
      </w:pPr>
      <w:r w:rsidRPr="004D35FC">
        <w:rPr>
          <w:bCs/>
        </w:rPr>
        <w:t xml:space="preserve">NOTE: The rota-rod test was performed 7 days after the induction of burn injury. </w:t>
      </w:r>
      <w:r w:rsidR="00A56AEA" w:rsidRPr="004D35FC">
        <w:rPr>
          <w:bCs/>
        </w:rPr>
        <w:t xml:space="preserve">The evaluation </w:t>
      </w:r>
      <w:r w:rsidRPr="004D35FC">
        <w:rPr>
          <w:bCs/>
        </w:rPr>
        <w:t>was performed immediately after acetaminophen administration in the Burn + Acetaminophen group</w:t>
      </w:r>
      <w:r w:rsidR="0022278A" w:rsidRPr="004D35FC">
        <w:rPr>
          <w:bCs/>
        </w:rPr>
        <w:t xml:space="preserve"> and after saline treatment in</w:t>
      </w:r>
      <w:r w:rsidRPr="004D35FC">
        <w:rPr>
          <w:bCs/>
        </w:rPr>
        <w:t xml:space="preserve"> </w:t>
      </w:r>
      <w:r w:rsidR="0022278A" w:rsidRPr="004D35FC">
        <w:rPr>
          <w:bCs/>
        </w:rPr>
        <w:t>t</w:t>
      </w:r>
      <w:r w:rsidRPr="004D35FC">
        <w:rPr>
          <w:bCs/>
        </w:rPr>
        <w:t xml:space="preserve">he </w:t>
      </w:r>
      <w:r w:rsidR="00CD7F4B">
        <w:rPr>
          <w:bCs/>
        </w:rPr>
        <w:t>B</w:t>
      </w:r>
      <w:r w:rsidR="00CD7F4B" w:rsidRPr="004D35FC">
        <w:rPr>
          <w:bCs/>
        </w:rPr>
        <w:t xml:space="preserve">urn </w:t>
      </w:r>
      <w:r w:rsidRPr="004D35FC">
        <w:rPr>
          <w:bCs/>
        </w:rPr>
        <w:t>group. Alfaxalone was used as a positive control for experimentally treated drugs in this test. During the rotarod test, the</w:t>
      </w:r>
      <w:r w:rsidR="003A13F2">
        <w:rPr>
          <w:bCs/>
        </w:rPr>
        <w:t xml:space="preserve"> duration of</w:t>
      </w:r>
      <w:r w:rsidRPr="004D35FC">
        <w:rPr>
          <w:bCs/>
        </w:rPr>
        <w:t xml:space="preserve"> time</w:t>
      </w:r>
      <w:r w:rsidR="0022278A" w:rsidRPr="004D35FC">
        <w:rPr>
          <w:bCs/>
        </w:rPr>
        <w:t xml:space="preserve"> </w:t>
      </w:r>
      <w:r w:rsidR="003A13F2">
        <w:rPr>
          <w:bCs/>
        </w:rPr>
        <w:t xml:space="preserve">the mouse runs on the rotating rod without falling </w:t>
      </w:r>
      <w:r w:rsidR="0022278A" w:rsidRPr="004D35FC">
        <w:rPr>
          <w:bCs/>
        </w:rPr>
        <w:t>is</w:t>
      </w:r>
      <w:r w:rsidRPr="004D35FC">
        <w:rPr>
          <w:bCs/>
        </w:rPr>
        <w:t xml:space="preserve"> </w:t>
      </w:r>
      <w:r w:rsidR="003A13F2" w:rsidRPr="004D35FC">
        <w:rPr>
          <w:bCs/>
        </w:rPr>
        <w:t>measur</w:t>
      </w:r>
      <w:r w:rsidR="003A13F2">
        <w:rPr>
          <w:bCs/>
        </w:rPr>
        <w:t>ed</w:t>
      </w:r>
      <w:r w:rsidRPr="004D35FC">
        <w:rPr>
          <w:bCs/>
        </w:rPr>
        <w:t>. The experiment was performed according to the method described in previous studies</w:t>
      </w:r>
      <w:r w:rsidR="0003519C" w:rsidRPr="004D35FC">
        <w:rPr>
          <w:bCs/>
          <w:vertAlign w:val="superscript"/>
        </w:rPr>
        <w:t>2</w:t>
      </w:r>
      <w:r w:rsidR="00942C41" w:rsidRPr="004D35FC">
        <w:rPr>
          <w:bCs/>
          <w:vertAlign w:val="superscript"/>
        </w:rPr>
        <w:t>2</w:t>
      </w:r>
      <w:r w:rsidRPr="004D35FC">
        <w:rPr>
          <w:bCs/>
          <w:vertAlign w:val="superscript"/>
        </w:rPr>
        <w:t>,2</w:t>
      </w:r>
      <w:r w:rsidR="00942C41" w:rsidRPr="004D35FC">
        <w:rPr>
          <w:bCs/>
          <w:vertAlign w:val="superscript"/>
        </w:rPr>
        <w:t>5</w:t>
      </w:r>
      <w:r w:rsidRPr="004D35FC">
        <w:rPr>
          <w:bCs/>
        </w:rPr>
        <w:t>.</w:t>
      </w:r>
    </w:p>
    <w:p w14:paraId="00000050" w14:textId="77777777" w:rsidR="00F15B22" w:rsidRPr="004D35FC" w:rsidRDefault="00F15B22" w:rsidP="00A549D6">
      <w:pPr>
        <w:pBdr>
          <w:top w:val="nil"/>
          <w:left w:val="nil"/>
          <w:bottom w:val="nil"/>
          <w:right w:val="nil"/>
          <w:between w:val="nil"/>
        </w:pBdr>
        <w:rPr>
          <w:bCs/>
        </w:rPr>
      </w:pPr>
    </w:p>
    <w:p w14:paraId="00000051" w14:textId="2F4ABFC1" w:rsidR="00F15B22" w:rsidRPr="004D35FC" w:rsidRDefault="00986013" w:rsidP="00A549D6">
      <w:pPr>
        <w:pBdr>
          <w:top w:val="nil"/>
          <w:left w:val="nil"/>
          <w:bottom w:val="nil"/>
          <w:right w:val="nil"/>
          <w:between w:val="nil"/>
        </w:pBdr>
        <w:rPr>
          <w:b/>
        </w:rPr>
      </w:pPr>
      <w:r w:rsidRPr="004D35FC">
        <w:rPr>
          <w:b/>
        </w:rPr>
        <w:t>REPRESENTATIVE RESULTS:</w:t>
      </w:r>
    </w:p>
    <w:p w14:paraId="4B3E982B" w14:textId="3A8CB240" w:rsidR="00A35364" w:rsidRPr="004D35FC" w:rsidRDefault="00A35364" w:rsidP="00A549D6">
      <w:pPr>
        <w:pBdr>
          <w:top w:val="nil"/>
          <w:left w:val="nil"/>
          <w:bottom w:val="nil"/>
          <w:right w:val="nil"/>
          <w:between w:val="nil"/>
        </w:pBdr>
        <w:rPr>
          <w:bCs/>
        </w:rPr>
      </w:pPr>
      <w:bookmarkStart w:id="6" w:name="_Hlk82352691"/>
      <w:r w:rsidRPr="004D35FC">
        <w:rPr>
          <w:bCs/>
        </w:rPr>
        <w:t xml:space="preserve">In order to minimize animal suffering and reduce the number of animals used per the Three Rs (Replacement, Reduction, and Refinement) guidelines, this study was designed with the minimum number of animals </w:t>
      </w:r>
      <w:r w:rsidR="0022278A" w:rsidRPr="004D35FC">
        <w:rPr>
          <w:bCs/>
        </w:rPr>
        <w:t xml:space="preserve">for the collection of </w:t>
      </w:r>
      <w:r w:rsidRPr="004D35FC">
        <w:rPr>
          <w:bCs/>
        </w:rPr>
        <w:t>significant data established through preliminary experiment. In this study, behavioral experiments were independently conducted twice as follows. The gait analysis, mechanical allodynia, and depression-like behavior tests were conducted with Control (n = 5), Burn (n = 7; vehicle control; saline), and Burn + Acetaminophen (n = 7) groups. In the rota-rod test, Control (n = 3), Burn (n = 4; vehicle control; saline), Burn + Acetaminophen (n = 4), Positive control (n = 4; Alfaxalone) groups were designed.</w:t>
      </w:r>
      <w:bookmarkEnd w:id="6"/>
      <w:r w:rsidRPr="004D35FC">
        <w:rPr>
          <w:bCs/>
        </w:rPr>
        <w:t xml:space="preserve"> Alfaxalone is a type of neuroactive steroid and anesthetic that is currently used in veterinary medicine as an injectable general anesthetic inducer. In this study, alfaxalone was </w:t>
      </w:r>
      <w:r w:rsidR="0022278A" w:rsidRPr="004D35FC">
        <w:rPr>
          <w:bCs/>
        </w:rPr>
        <w:t>used in animal anesthesia for burn induction and</w:t>
      </w:r>
      <w:r w:rsidRPr="004D35FC">
        <w:rPr>
          <w:bCs/>
        </w:rPr>
        <w:t xml:space="preserve"> used as a positive control drug for motor impairments in the rota-rod test.</w:t>
      </w:r>
    </w:p>
    <w:p w14:paraId="27F9AE82" w14:textId="77777777" w:rsidR="00A35364" w:rsidRPr="004D35FC" w:rsidRDefault="00A35364" w:rsidP="00A549D6">
      <w:pPr>
        <w:pBdr>
          <w:top w:val="nil"/>
          <w:left w:val="nil"/>
          <w:bottom w:val="nil"/>
          <w:right w:val="nil"/>
          <w:between w:val="nil"/>
        </w:pBdr>
        <w:rPr>
          <w:b/>
        </w:rPr>
      </w:pPr>
    </w:p>
    <w:p w14:paraId="00000052" w14:textId="4D265ECE" w:rsidR="00F15B22" w:rsidRPr="004D35FC" w:rsidRDefault="00986013" w:rsidP="00A549D6">
      <w:pPr>
        <w:rPr>
          <w:bCs/>
        </w:rPr>
      </w:pPr>
      <w:r w:rsidRPr="004D35FC">
        <w:rPr>
          <w:bCs/>
        </w:rPr>
        <w:t xml:space="preserve">Data were expressed as mean ± S.E.M. In addition, experimental data obtained at different times were analyzed independently. Pain behavioral responses </w:t>
      </w:r>
      <w:r w:rsidR="0022278A" w:rsidRPr="004D35FC">
        <w:rPr>
          <w:bCs/>
        </w:rPr>
        <w:t xml:space="preserve">were </w:t>
      </w:r>
      <w:r w:rsidRPr="004D35FC">
        <w:rPr>
          <w:bCs/>
        </w:rPr>
        <w:t xml:space="preserve">calculated as the area under the curve (AUC). </w:t>
      </w:r>
      <w:r w:rsidR="002C5A08">
        <w:rPr>
          <w:bCs/>
        </w:rPr>
        <w:t>Two-way r</w:t>
      </w:r>
      <w:r w:rsidR="002C5A08" w:rsidRPr="004D35FC">
        <w:rPr>
          <w:bCs/>
        </w:rPr>
        <w:t xml:space="preserve">epeated measures ANOVA </w:t>
      </w:r>
      <w:r w:rsidR="002C5A08">
        <w:rPr>
          <w:bCs/>
        </w:rPr>
        <w:t xml:space="preserve">was </w:t>
      </w:r>
      <w:r w:rsidRPr="004D35FC">
        <w:rPr>
          <w:bCs/>
        </w:rPr>
        <w:t xml:space="preserve">performed to determine differences in the data from mechanical allodynia test, gait analysis, and rota-rod test over time. </w:t>
      </w:r>
      <w:r w:rsidR="002C5A08" w:rsidRPr="004D35FC">
        <w:rPr>
          <w:bCs/>
        </w:rPr>
        <w:t>Dunnett’s test</w:t>
      </w:r>
      <w:r w:rsidR="002C5A08">
        <w:rPr>
          <w:bCs/>
        </w:rPr>
        <w:t xml:space="preserve"> was used for </w:t>
      </w:r>
      <w:r w:rsidRPr="004D35FC">
        <w:rPr>
          <w:bCs/>
        </w:rPr>
        <w:t xml:space="preserve">Post-hoc analysis </w:t>
      </w:r>
      <w:r w:rsidR="0089277E" w:rsidRPr="004D35FC">
        <w:rPr>
          <w:bCs/>
        </w:rPr>
        <w:t>to</w:t>
      </w:r>
      <w:r w:rsidRPr="004D35FC">
        <w:rPr>
          <w:bCs/>
        </w:rPr>
        <w:t xml:space="preserve"> determine the </w:t>
      </w:r>
      <w:r w:rsidRPr="004D35FC">
        <w:rPr>
          <w:bCs/>
          <w:i/>
        </w:rPr>
        <w:t>P</w:t>
      </w:r>
      <w:r w:rsidRPr="004D35FC">
        <w:rPr>
          <w:bCs/>
        </w:rPr>
        <w:t>-value among the experimental groups. Immobility time data obtained from the forced swimming test was analyze</w:t>
      </w:r>
      <w:r w:rsidR="0022278A" w:rsidRPr="004D35FC">
        <w:rPr>
          <w:bCs/>
        </w:rPr>
        <w:t>d</w:t>
      </w:r>
      <w:r w:rsidRPr="004D35FC">
        <w:rPr>
          <w:bCs/>
        </w:rPr>
        <w:t xml:space="preserve"> using the </w:t>
      </w:r>
      <w:r w:rsidR="0089277E" w:rsidRPr="004D35FC">
        <w:rPr>
          <w:bCs/>
        </w:rPr>
        <w:t>student’s</w:t>
      </w:r>
      <w:r w:rsidRPr="004D35FC">
        <w:rPr>
          <w:bCs/>
        </w:rPr>
        <w:t xml:space="preserve"> </w:t>
      </w:r>
      <w:r w:rsidRPr="003A13F2">
        <w:rPr>
          <w:bCs/>
          <w:i/>
          <w:iCs/>
        </w:rPr>
        <w:t>t</w:t>
      </w:r>
      <w:r w:rsidRPr="004D35FC">
        <w:rPr>
          <w:bCs/>
        </w:rPr>
        <w:t xml:space="preserve">-test </w:t>
      </w:r>
      <w:r w:rsidR="0022278A" w:rsidRPr="004D35FC">
        <w:rPr>
          <w:bCs/>
        </w:rPr>
        <w:t>to compare</w:t>
      </w:r>
      <w:r w:rsidRPr="004D35FC">
        <w:rPr>
          <w:bCs/>
        </w:rPr>
        <w:t xml:space="preserve"> the two means. </w:t>
      </w:r>
      <w:r w:rsidRPr="004D35FC">
        <w:rPr>
          <w:bCs/>
          <w:i/>
        </w:rPr>
        <w:t>P</w:t>
      </w:r>
      <w:r w:rsidRPr="004D35FC">
        <w:rPr>
          <w:bCs/>
        </w:rPr>
        <w:t xml:space="preserve">-values less than 0.05 were considered significant. GraphPad Prism 6.0 </w:t>
      </w:r>
      <w:r w:rsidR="0022278A" w:rsidRPr="004D35FC">
        <w:rPr>
          <w:bCs/>
        </w:rPr>
        <w:t>s</w:t>
      </w:r>
      <w:r w:rsidRPr="004D35FC">
        <w:rPr>
          <w:bCs/>
        </w:rPr>
        <w:t xml:space="preserve">oftware was used to analyze </w:t>
      </w:r>
      <w:r w:rsidR="0089277E" w:rsidRPr="004D35FC">
        <w:rPr>
          <w:bCs/>
        </w:rPr>
        <w:t>this statistical validity</w:t>
      </w:r>
      <w:r w:rsidRPr="004D35FC">
        <w:rPr>
          <w:bCs/>
        </w:rPr>
        <w:t xml:space="preserve">. All statistical analysis procedures were performed blindly in relation to the experimental conditions. A figure illustrating the burn injury-induced tissue damage is shown in </w:t>
      </w:r>
      <w:r w:rsidRPr="004D35FC">
        <w:rPr>
          <w:b/>
        </w:rPr>
        <w:t xml:space="preserve">Supplementary </w:t>
      </w:r>
      <w:r w:rsidR="008A261B" w:rsidRPr="004D35FC">
        <w:rPr>
          <w:b/>
        </w:rPr>
        <w:t>F</w:t>
      </w:r>
      <w:r w:rsidRPr="004D35FC">
        <w:rPr>
          <w:b/>
        </w:rPr>
        <w:t>igure 1</w:t>
      </w:r>
      <w:r w:rsidRPr="004D35FC">
        <w:rPr>
          <w:bCs/>
        </w:rPr>
        <w:t>.</w:t>
      </w:r>
    </w:p>
    <w:p w14:paraId="00000053" w14:textId="77777777" w:rsidR="00F15B22" w:rsidRPr="004D35FC" w:rsidRDefault="00F15B22" w:rsidP="00A549D6">
      <w:pPr>
        <w:rPr>
          <w:bCs/>
        </w:rPr>
      </w:pPr>
    </w:p>
    <w:p w14:paraId="00000054" w14:textId="51EFDD01" w:rsidR="00F15B22" w:rsidRPr="004D35FC" w:rsidRDefault="00986013" w:rsidP="00A549D6">
      <w:pPr>
        <w:rPr>
          <w:bCs/>
        </w:rPr>
      </w:pPr>
      <w:r w:rsidRPr="004D35FC">
        <w:rPr>
          <w:bCs/>
        </w:rPr>
        <w:t>Time</w:t>
      </w:r>
      <w:r w:rsidR="0022278A" w:rsidRPr="004D35FC">
        <w:rPr>
          <w:bCs/>
        </w:rPr>
        <w:t>-</w:t>
      </w:r>
      <w:r w:rsidRPr="004D35FC">
        <w:rPr>
          <w:bCs/>
        </w:rPr>
        <w:t xml:space="preserve">course changes in the paw withdrawal threshold (PWT, g) after burn injury are shown in </w:t>
      </w:r>
      <w:r w:rsidRPr="004D35FC">
        <w:rPr>
          <w:b/>
        </w:rPr>
        <w:lastRenderedPageBreak/>
        <w:t>Figure 1</w:t>
      </w:r>
      <w:r w:rsidRPr="004D35FC">
        <w:rPr>
          <w:bCs/>
        </w:rPr>
        <w:t>. The PWT (g) of burn injury-induced mice was decreased 1 day after burn</w:t>
      </w:r>
      <w:r w:rsidR="0022278A" w:rsidRPr="004D35FC">
        <w:rPr>
          <w:bCs/>
        </w:rPr>
        <w:t>-</w:t>
      </w:r>
      <w:r w:rsidRPr="004D35FC">
        <w:rPr>
          <w:bCs/>
        </w:rPr>
        <w:t>induction and sustained for 7 days compared with that of the control group. Acetaminophen administration (200 mg/kg, i.p., once</w:t>
      </w:r>
      <w:r w:rsidR="0022278A" w:rsidRPr="004D35FC">
        <w:rPr>
          <w:bCs/>
        </w:rPr>
        <w:t xml:space="preserve"> </w:t>
      </w:r>
      <w:r w:rsidRPr="004D35FC">
        <w:rPr>
          <w:bCs/>
        </w:rPr>
        <w:t xml:space="preserve">daily for 7 days starting from the day </w:t>
      </w:r>
      <w:r w:rsidR="0022278A" w:rsidRPr="004D35FC">
        <w:rPr>
          <w:bCs/>
        </w:rPr>
        <w:t>of</w:t>
      </w:r>
      <w:r w:rsidRPr="004D35FC">
        <w:rPr>
          <w:bCs/>
        </w:rPr>
        <w:t xml:space="preserve"> burn</w:t>
      </w:r>
      <w:r w:rsidR="0022278A" w:rsidRPr="004D35FC">
        <w:rPr>
          <w:bCs/>
        </w:rPr>
        <w:t>-</w:t>
      </w:r>
      <w:r w:rsidRPr="004D35FC">
        <w:rPr>
          <w:bCs/>
        </w:rPr>
        <w:t>induction) significantly reduced the burn-induced decrease in PWT (</w:t>
      </w:r>
      <w:r w:rsidRPr="004D35FC">
        <w:rPr>
          <w:b/>
        </w:rPr>
        <w:t>Figure 1A</w:t>
      </w:r>
      <w:r w:rsidRPr="00C85ACA">
        <w:rPr>
          <w:bCs/>
        </w:rPr>
        <w:t xml:space="preserve">, </w:t>
      </w:r>
      <w:r w:rsidR="0022278A" w:rsidRPr="00A35245">
        <w:rPr>
          <w:bCs/>
        </w:rPr>
        <w:t>**</w:t>
      </w:r>
      <w:r w:rsidR="0022278A" w:rsidRPr="004D35FC">
        <w:rPr>
          <w:bCs/>
        </w:rPr>
        <w:t xml:space="preserve"> </w:t>
      </w:r>
      <w:r w:rsidRPr="004D35FC">
        <w:rPr>
          <w:bCs/>
        </w:rPr>
        <w:t>p &lt;</w:t>
      </w:r>
      <w:r w:rsidR="0022278A" w:rsidRPr="004D35FC">
        <w:rPr>
          <w:bCs/>
        </w:rPr>
        <w:t xml:space="preserve"> </w:t>
      </w:r>
      <w:r w:rsidRPr="004D35FC">
        <w:rPr>
          <w:bCs/>
        </w:rPr>
        <w:t xml:space="preserve">0.01 versus </w:t>
      </w:r>
      <w:r w:rsidR="00CD7F4B">
        <w:rPr>
          <w:bCs/>
        </w:rPr>
        <w:t>B</w:t>
      </w:r>
      <w:r w:rsidR="00CD7F4B" w:rsidRPr="004D35FC">
        <w:rPr>
          <w:bCs/>
        </w:rPr>
        <w:t xml:space="preserve">urn </w:t>
      </w:r>
      <w:r w:rsidRPr="004D35FC">
        <w:rPr>
          <w:bCs/>
        </w:rPr>
        <w:t>group). In addition, the AUC analysis (for 7 days) showed that acetaminophen administration significantly decreased the burn injury-induced mechanical allodynia (</w:t>
      </w:r>
      <w:r w:rsidRPr="004D35FC">
        <w:rPr>
          <w:b/>
        </w:rPr>
        <w:t>Figure 1B</w:t>
      </w:r>
      <w:r w:rsidRPr="004D35FC">
        <w:rPr>
          <w:bCs/>
        </w:rPr>
        <w:t>, ***</w:t>
      </w:r>
      <w:r w:rsidR="0022278A" w:rsidRPr="004D35FC">
        <w:rPr>
          <w:bCs/>
        </w:rPr>
        <w:t xml:space="preserve"> </w:t>
      </w:r>
      <w:r w:rsidRPr="004D35FC">
        <w:rPr>
          <w:bCs/>
        </w:rPr>
        <w:t>p &lt; 0.001 versus Control group, **</w:t>
      </w:r>
      <w:r w:rsidR="0022278A" w:rsidRPr="004D35FC">
        <w:rPr>
          <w:bCs/>
        </w:rPr>
        <w:t xml:space="preserve"> </w:t>
      </w:r>
      <w:r w:rsidRPr="004D35FC">
        <w:rPr>
          <w:bCs/>
        </w:rPr>
        <w:t>p &lt; 0.01 versus Burn group).</w:t>
      </w:r>
    </w:p>
    <w:p w14:paraId="00000055" w14:textId="77777777" w:rsidR="00F15B22" w:rsidRPr="004D35FC" w:rsidRDefault="00F15B22" w:rsidP="00A549D6">
      <w:pPr>
        <w:rPr>
          <w:bCs/>
        </w:rPr>
      </w:pPr>
    </w:p>
    <w:p w14:paraId="00000056" w14:textId="7D51F5B1" w:rsidR="00F15B22" w:rsidRPr="004D35FC" w:rsidRDefault="00986013" w:rsidP="00A549D6">
      <w:pPr>
        <w:rPr>
          <w:bCs/>
        </w:rPr>
      </w:pPr>
      <w:r w:rsidRPr="004D35FC">
        <w:rPr>
          <w:bCs/>
        </w:rPr>
        <w:t xml:space="preserve">Changes in the hind paw print area after burn injury over time are shown in </w:t>
      </w:r>
      <w:r w:rsidRPr="004D35FC">
        <w:rPr>
          <w:b/>
        </w:rPr>
        <w:t>Figure 2</w:t>
      </w:r>
      <w:r w:rsidRPr="004D35FC">
        <w:rPr>
          <w:bCs/>
        </w:rPr>
        <w:t xml:space="preserve">. Burn injury significantly reduced the ipsilateral hind paw print area from the day after induction and persisted for 7 days. The hind paw print area was significantly improved by </w:t>
      </w:r>
      <w:r w:rsidR="0022278A" w:rsidRPr="004D35FC">
        <w:rPr>
          <w:bCs/>
        </w:rPr>
        <w:t xml:space="preserve">administering </w:t>
      </w:r>
      <w:r w:rsidRPr="004D35FC">
        <w:rPr>
          <w:bCs/>
        </w:rPr>
        <w:t>acetaminophen (200 mg/kg, i.p., once</w:t>
      </w:r>
      <w:r w:rsidR="0022278A" w:rsidRPr="004D35FC">
        <w:rPr>
          <w:bCs/>
        </w:rPr>
        <w:t xml:space="preserve"> </w:t>
      </w:r>
      <w:r w:rsidRPr="004D35FC">
        <w:rPr>
          <w:bCs/>
        </w:rPr>
        <w:t xml:space="preserve">daily for 7 days starting from the day </w:t>
      </w:r>
      <w:r w:rsidR="0022278A" w:rsidRPr="004D35FC">
        <w:rPr>
          <w:bCs/>
        </w:rPr>
        <w:t>of</w:t>
      </w:r>
      <w:r w:rsidRPr="004D35FC">
        <w:rPr>
          <w:bCs/>
        </w:rPr>
        <w:t xml:space="preserve"> burn</w:t>
      </w:r>
      <w:r w:rsidR="0022278A" w:rsidRPr="004D35FC">
        <w:rPr>
          <w:bCs/>
        </w:rPr>
        <w:t>-</w:t>
      </w:r>
      <w:r w:rsidRPr="004D35FC">
        <w:rPr>
          <w:bCs/>
        </w:rPr>
        <w:t xml:space="preserve">induction) compared with </w:t>
      </w:r>
      <w:r w:rsidR="0022278A" w:rsidRPr="004D35FC">
        <w:rPr>
          <w:bCs/>
        </w:rPr>
        <w:t xml:space="preserve">the </w:t>
      </w:r>
      <w:r w:rsidRPr="004D35FC">
        <w:rPr>
          <w:bCs/>
        </w:rPr>
        <w:t>vehicle-treated</w:t>
      </w:r>
      <w:r w:rsidR="0022278A" w:rsidRPr="004D35FC">
        <w:rPr>
          <w:bCs/>
        </w:rPr>
        <w:t xml:space="preserve"> group</w:t>
      </w:r>
      <w:r w:rsidRPr="004D35FC">
        <w:rPr>
          <w:bCs/>
        </w:rPr>
        <w:t xml:space="preserve"> (</w:t>
      </w:r>
      <w:r w:rsidRPr="004D35FC">
        <w:rPr>
          <w:b/>
        </w:rPr>
        <w:t>Figure 2A</w:t>
      </w:r>
      <w:r w:rsidR="008A261B" w:rsidRPr="004D35FC">
        <w:rPr>
          <w:bCs/>
        </w:rPr>
        <w:t>,</w:t>
      </w:r>
      <w:r w:rsidRPr="004D35FC">
        <w:rPr>
          <w:b/>
        </w:rPr>
        <w:t>B</w:t>
      </w:r>
      <w:r w:rsidRPr="004D35FC">
        <w:rPr>
          <w:bCs/>
        </w:rPr>
        <w:t>, *</w:t>
      </w:r>
      <w:r w:rsidR="0022278A" w:rsidRPr="004D35FC">
        <w:rPr>
          <w:bCs/>
        </w:rPr>
        <w:t xml:space="preserve"> </w:t>
      </w:r>
      <w:r w:rsidRPr="004D35FC">
        <w:rPr>
          <w:bCs/>
        </w:rPr>
        <w:t>p &lt;</w:t>
      </w:r>
      <w:r w:rsidR="0022278A" w:rsidRPr="004D35FC">
        <w:rPr>
          <w:bCs/>
        </w:rPr>
        <w:t xml:space="preserve"> </w:t>
      </w:r>
      <w:r w:rsidRPr="004D35FC">
        <w:rPr>
          <w:bCs/>
        </w:rPr>
        <w:t>0.05 and **</w:t>
      </w:r>
      <w:r w:rsidR="0022278A" w:rsidRPr="004D35FC">
        <w:rPr>
          <w:bCs/>
        </w:rPr>
        <w:t xml:space="preserve"> </w:t>
      </w:r>
      <w:r w:rsidRPr="004D35FC">
        <w:rPr>
          <w:bCs/>
        </w:rPr>
        <w:t>p &lt;</w:t>
      </w:r>
      <w:r w:rsidR="0022278A" w:rsidRPr="004D35FC">
        <w:rPr>
          <w:bCs/>
        </w:rPr>
        <w:t xml:space="preserve"> </w:t>
      </w:r>
      <w:r w:rsidRPr="004D35FC">
        <w:rPr>
          <w:bCs/>
        </w:rPr>
        <w:t>0.01 versus Burn group).</w:t>
      </w:r>
    </w:p>
    <w:p w14:paraId="00000057" w14:textId="77777777" w:rsidR="00F15B22" w:rsidRPr="004D35FC" w:rsidRDefault="00F15B22" w:rsidP="00A549D6">
      <w:pPr>
        <w:rPr>
          <w:bCs/>
        </w:rPr>
      </w:pPr>
    </w:p>
    <w:p w14:paraId="00000058" w14:textId="6BC3C14C" w:rsidR="00F15B22" w:rsidRPr="004D35FC" w:rsidRDefault="00986013" w:rsidP="00A549D6">
      <w:pPr>
        <w:rPr>
          <w:bCs/>
        </w:rPr>
      </w:pPr>
      <w:r w:rsidRPr="004D35FC">
        <w:rPr>
          <w:bCs/>
        </w:rPr>
        <w:t xml:space="preserve">Time course changes in a single stance after burn injury are shown in </w:t>
      </w:r>
      <w:r w:rsidRPr="004D35FC">
        <w:rPr>
          <w:b/>
        </w:rPr>
        <w:t>Figure 3</w:t>
      </w:r>
      <w:r w:rsidRPr="004D35FC">
        <w:rPr>
          <w:bCs/>
        </w:rPr>
        <w:t>. Burn injury reduced the single stance (%) of the ipsilateral hind paw 1 day after burn</w:t>
      </w:r>
      <w:r w:rsidR="0022278A" w:rsidRPr="004D35FC">
        <w:rPr>
          <w:bCs/>
        </w:rPr>
        <w:t>-</w:t>
      </w:r>
      <w:r w:rsidRPr="004D35FC">
        <w:rPr>
          <w:bCs/>
        </w:rPr>
        <w:t xml:space="preserve">induction, and this reduction was maintained for 7 days. The hind paw single stance was improved </w:t>
      </w:r>
      <w:r w:rsidR="0022278A" w:rsidRPr="004D35FC">
        <w:rPr>
          <w:bCs/>
        </w:rPr>
        <w:t>by</w:t>
      </w:r>
      <w:r w:rsidRPr="004D35FC">
        <w:rPr>
          <w:bCs/>
        </w:rPr>
        <w:t xml:space="preserve"> acetaminophen administration (200 mg/kg, i.p., once</w:t>
      </w:r>
      <w:r w:rsidR="0022278A" w:rsidRPr="004D35FC">
        <w:rPr>
          <w:bCs/>
        </w:rPr>
        <w:t xml:space="preserve"> </w:t>
      </w:r>
      <w:r w:rsidRPr="004D35FC">
        <w:rPr>
          <w:bCs/>
        </w:rPr>
        <w:t>daily for 7 days starting from the day</w:t>
      </w:r>
      <w:r w:rsidR="0022278A" w:rsidRPr="004D35FC">
        <w:rPr>
          <w:bCs/>
        </w:rPr>
        <w:t xml:space="preserve"> of </w:t>
      </w:r>
      <w:r w:rsidRPr="004D35FC">
        <w:rPr>
          <w:bCs/>
        </w:rPr>
        <w:t>burn</w:t>
      </w:r>
      <w:r w:rsidR="0022278A" w:rsidRPr="004D35FC">
        <w:rPr>
          <w:bCs/>
        </w:rPr>
        <w:t>-</w:t>
      </w:r>
      <w:r w:rsidRPr="004D35FC">
        <w:rPr>
          <w:bCs/>
        </w:rPr>
        <w:t xml:space="preserve">induction) compared with </w:t>
      </w:r>
      <w:r w:rsidR="0022278A" w:rsidRPr="004D35FC">
        <w:rPr>
          <w:bCs/>
        </w:rPr>
        <w:t xml:space="preserve">the </w:t>
      </w:r>
      <w:r w:rsidRPr="004D35FC">
        <w:rPr>
          <w:bCs/>
        </w:rPr>
        <w:t>vehicle-treated</w:t>
      </w:r>
      <w:r w:rsidR="0022278A" w:rsidRPr="004D35FC">
        <w:rPr>
          <w:bCs/>
        </w:rPr>
        <w:t xml:space="preserve"> group</w:t>
      </w:r>
      <w:r w:rsidRPr="004D35FC">
        <w:rPr>
          <w:bCs/>
        </w:rPr>
        <w:t xml:space="preserve"> (</w:t>
      </w:r>
      <w:r w:rsidRPr="004D35FC">
        <w:rPr>
          <w:b/>
        </w:rPr>
        <w:t>Figure 3A</w:t>
      </w:r>
      <w:r w:rsidR="008A261B" w:rsidRPr="004D35FC">
        <w:rPr>
          <w:b/>
        </w:rPr>
        <w:t>,</w:t>
      </w:r>
      <w:r w:rsidRPr="004D35FC">
        <w:rPr>
          <w:b/>
        </w:rPr>
        <w:t>B</w:t>
      </w:r>
      <w:r w:rsidRPr="004D35FC">
        <w:rPr>
          <w:bCs/>
        </w:rPr>
        <w:t>, *</w:t>
      </w:r>
      <w:r w:rsidR="0022278A" w:rsidRPr="004D35FC">
        <w:rPr>
          <w:bCs/>
        </w:rPr>
        <w:t xml:space="preserve"> </w:t>
      </w:r>
      <w:r w:rsidRPr="004D35FC">
        <w:rPr>
          <w:bCs/>
        </w:rPr>
        <w:t>p &lt;</w:t>
      </w:r>
      <w:r w:rsidR="0022278A" w:rsidRPr="004D35FC">
        <w:rPr>
          <w:bCs/>
        </w:rPr>
        <w:t xml:space="preserve"> </w:t>
      </w:r>
      <w:r w:rsidRPr="004D35FC">
        <w:rPr>
          <w:bCs/>
        </w:rPr>
        <w:t>0.05 versus Burn group).</w:t>
      </w:r>
    </w:p>
    <w:p w14:paraId="00000059" w14:textId="77777777" w:rsidR="00F15B22" w:rsidRPr="004D35FC" w:rsidRDefault="00F15B22" w:rsidP="00A549D6">
      <w:pPr>
        <w:rPr>
          <w:bCs/>
        </w:rPr>
      </w:pPr>
    </w:p>
    <w:p w14:paraId="0000005A" w14:textId="4FDB7905" w:rsidR="00F15B22" w:rsidRPr="004D35FC" w:rsidRDefault="00986013" w:rsidP="00A549D6">
      <w:pPr>
        <w:rPr>
          <w:bCs/>
        </w:rPr>
      </w:pPr>
      <w:r w:rsidRPr="004D35FC">
        <w:rPr>
          <w:bCs/>
        </w:rPr>
        <w:t xml:space="preserve">Changes in the immobility time obtained from the forced swimming test are shown in </w:t>
      </w:r>
      <w:r w:rsidRPr="004D35FC">
        <w:rPr>
          <w:b/>
        </w:rPr>
        <w:t>Figure 4</w:t>
      </w:r>
      <w:r w:rsidRPr="004D35FC">
        <w:rPr>
          <w:bCs/>
        </w:rPr>
        <w:t>. Immobility times of</w:t>
      </w:r>
      <w:r w:rsidR="0022278A" w:rsidRPr="004D35FC">
        <w:rPr>
          <w:bCs/>
        </w:rPr>
        <w:t xml:space="preserve"> the</w:t>
      </w:r>
      <w:r w:rsidRPr="004D35FC">
        <w:rPr>
          <w:bCs/>
        </w:rPr>
        <w:t xml:space="preserve"> burn injury-induced mice were increased 7 days after burn induction as compared with that of the control group. In burn injury-induced mice, acetaminophen administration (200 mg/kg, i.p., once</w:t>
      </w:r>
      <w:r w:rsidR="0022278A" w:rsidRPr="004D35FC">
        <w:rPr>
          <w:bCs/>
        </w:rPr>
        <w:t xml:space="preserve"> </w:t>
      </w:r>
      <w:r w:rsidRPr="004D35FC">
        <w:rPr>
          <w:bCs/>
        </w:rPr>
        <w:t>daily for 7 days starting from the day of burn induction) significantly reduced the burn injury-induced increase in immobility time (**</w:t>
      </w:r>
      <w:r w:rsidR="0022278A" w:rsidRPr="004D35FC">
        <w:rPr>
          <w:bCs/>
        </w:rPr>
        <w:t xml:space="preserve"> </w:t>
      </w:r>
      <w:r w:rsidRPr="004D35FC">
        <w:rPr>
          <w:bCs/>
        </w:rPr>
        <w:t>p &lt;</w:t>
      </w:r>
      <w:r w:rsidR="0022278A" w:rsidRPr="004D35FC">
        <w:rPr>
          <w:bCs/>
        </w:rPr>
        <w:t xml:space="preserve"> </w:t>
      </w:r>
      <w:r w:rsidRPr="004D35FC">
        <w:rPr>
          <w:bCs/>
        </w:rPr>
        <w:t>0.01 and ***</w:t>
      </w:r>
      <w:r w:rsidR="0022278A" w:rsidRPr="004D35FC">
        <w:rPr>
          <w:bCs/>
        </w:rPr>
        <w:t xml:space="preserve"> </w:t>
      </w:r>
      <w:r w:rsidRPr="004D35FC">
        <w:rPr>
          <w:bCs/>
        </w:rPr>
        <w:t>p &lt;</w:t>
      </w:r>
      <w:r w:rsidR="0022278A" w:rsidRPr="004D35FC">
        <w:rPr>
          <w:bCs/>
        </w:rPr>
        <w:t xml:space="preserve"> </w:t>
      </w:r>
      <w:r w:rsidRPr="004D35FC">
        <w:rPr>
          <w:bCs/>
        </w:rPr>
        <w:t>0.001 versus Burn group)</w:t>
      </w:r>
      <w:r w:rsidR="00A35245">
        <w:rPr>
          <w:bCs/>
        </w:rPr>
        <w:t>.</w:t>
      </w:r>
    </w:p>
    <w:p w14:paraId="0000005B" w14:textId="77777777" w:rsidR="00F15B22" w:rsidRPr="004D35FC" w:rsidRDefault="00F15B22" w:rsidP="00A549D6">
      <w:pPr>
        <w:rPr>
          <w:bCs/>
        </w:rPr>
      </w:pPr>
    </w:p>
    <w:p w14:paraId="0000005C" w14:textId="31BE8AC3" w:rsidR="00F15B22" w:rsidRPr="004D35FC" w:rsidRDefault="00986013" w:rsidP="00A549D6">
      <w:pPr>
        <w:rPr>
          <w:bCs/>
        </w:rPr>
      </w:pPr>
      <w:r w:rsidRPr="004D35FC">
        <w:rPr>
          <w:bCs/>
        </w:rPr>
        <w:t>The normal motor function was assessed based on the changes in running time on the rota-rod</w:t>
      </w:r>
      <w:r w:rsidR="0022278A" w:rsidRPr="004D35FC">
        <w:rPr>
          <w:bCs/>
        </w:rPr>
        <w:t>,</w:t>
      </w:r>
      <w:r w:rsidRPr="004D35FC">
        <w:rPr>
          <w:bCs/>
        </w:rPr>
        <w:t xml:space="preserve"> as shown in </w:t>
      </w:r>
      <w:r w:rsidRPr="004D35FC">
        <w:rPr>
          <w:b/>
        </w:rPr>
        <w:t>Figure 5</w:t>
      </w:r>
      <w:r w:rsidRPr="004D35FC">
        <w:rPr>
          <w:bCs/>
        </w:rPr>
        <w:t xml:space="preserve">. Running times of </w:t>
      </w:r>
      <w:r w:rsidR="0022278A" w:rsidRPr="004D35FC">
        <w:rPr>
          <w:bCs/>
        </w:rPr>
        <w:t xml:space="preserve">the </w:t>
      </w:r>
      <w:r w:rsidRPr="004D35FC">
        <w:rPr>
          <w:bCs/>
        </w:rPr>
        <w:t xml:space="preserve">burn injury-induced mice did not change at 7 days after burn induction </w:t>
      </w:r>
      <w:r w:rsidR="0022278A" w:rsidRPr="004D35FC">
        <w:rPr>
          <w:bCs/>
        </w:rPr>
        <w:t>compared with that of the</w:t>
      </w:r>
      <w:r w:rsidRPr="004D35FC">
        <w:rPr>
          <w:bCs/>
        </w:rPr>
        <w:t xml:space="preserve"> control group. By contrast, </w:t>
      </w:r>
      <w:r w:rsidR="0022278A" w:rsidRPr="004D35FC">
        <w:rPr>
          <w:bCs/>
        </w:rPr>
        <w:t xml:space="preserve">the </w:t>
      </w:r>
      <w:r w:rsidRPr="004D35FC">
        <w:rPr>
          <w:bCs/>
        </w:rPr>
        <w:t>running times of alfaxalone-treated mice (positive control) were significantly decreased during about 60 min. This result indicates that a burn injury used in this study does not cause motor impairment (***</w:t>
      </w:r>
      <w:r w:rsidR="0022278A" w:rsidRPr="004D35FC">
        <w:rPr>
          <w:bCs/>
        </w:rPr>
        <w:t xml:space="preserve"> </w:t>
      </w:r>
      <w:r w:rsidRPr="004D35FC">
        <w:rPr>
          <w:bCs/>
        </w:rPr>
        <w:t>p &lt;</w:t>
      </w:r>
      <w:r w:rsidR="0022278A" w:rsidRPr="004D35FC">
        <w:rPr>
          <w:bCs/>
        </w:rPr>
        <w:t xml:space="preserve"> </w:t>
      </w:r>
      <w:r w:rsidRPr="004D35FC">
        <w:rPr>
          <w:bCs/>
        </w:rPr>
        <w:t>0.001 versus Burn group)</w:t>
      </w:r>
      <w:r w:rsidR="00A35245">
        <w:rPr>
          <w:bCs/>
        </w:rPr>
        <w:t>.</w:t>
      </w:r>
    </w:p>
    <w:p w14:paraId="0000005D" w14:textId="77777777" w:rsidR="00F15B22" w:rsidRPr="004D35FC" w:rsidRDefault="00F15B22" w:rsidP="00A549D6">
      <w:pPr>
        <w:rPr>
          <w:bCs/>
        </w:rPr>
      </w:pPr>
    </w:p>
    <w:p w14:paraId="0000005E" w14:textId="75DE1B6D" w:rsidR="00F15B22" w:rsidRPr="004D35FC" w:rsidRDefault="00986013" w:rsidP="00A549D6">
      <w:pPr>
        <w:rPr>
          <w:b/>
        </w:rPr>
      </w:pPr>
      <w:r w:rsidRPr="004D35FC">
        <w:rPr>
          <w:b/>
        </w:rPr>
        <w:t>FIGURE AND TABLE LEGENDS:</w:t>
      </w:r>
    </w:p>
    <w:p w14:paraId="0000005F" w14:textId="0000E2F9" w:rsidR="00F15B22" w:rsidRPr="004D35FC" w:rsidRDefault="00986013" w:rsidP="00A549D6">
      <w:pPr>
        <w:rPr>
          <w:bCs/>
        </w:rPr>
      </w:pPr>
      <w:r w:rsidRPr="004D35FC">
        <w:rPr>
          <w:b/>
        </w:rPr>
        <w:t>Figure 1: Mechanical allodynia assessed by von Frey test in burn injury-induced mice</w:t>
      </w:r>
      <w:r w:rsidRPr="004D35FC">
        <w:rPr>
          <w:bCs/>
        </w:rPr>
        <w:t>. (</w:t>
      </w:r>
      <w:r w:rsidRPr="004D35FC">
        <w:rPr>
          <w:b/>
        </w:rPr>
        <w:t>A</w:t>
      </w:r>
      <w:r w:rsidRPr="004D35FC">
        <w:rPr>
          <w:bCs/>
        </w:rPr>
        <w:t>) The paw withdrawal threshold (PWT, g) in the ipsilateral hind paw of mice was decreased 1 day after burn injury and sustained for 7 days as compared with the Control group. Acetaminophen administration (200 mg/kg, i.p., once</w:t>
      </w:r>
      <w:r w:rsidR="0022278A" w:rsidRPr="004D35FC">
        <w:rPr>
          <w:bCs/>
        </w:rPr>
        <w:t xml:space="preserve"> </w:t>
      </w:r>
      <w:r w:rsidRPr="004D35FC">
        <w:rPr>
          <w:bCs/>
        </w:rPr>
        <w:t>daily for 7 days starting from the day of burn induction) significantly reduced the burn injury-induced mechanical allodynia. (</w:t>
      </w:r>
      <w:r w:rsidRPr="004D35FC">
        <w:rPr>
          <w:b/>
        </w:rPr>
        <w:t>B</w:t>
      </w:r>
      <w:r w:rsidRPr="004D35FC">
        <w:rPr>
          <w:bCs/>
        </w:rPr>
        <w:t xml:space="preserve">) The PWT was analyzed as the area under </w:t>
      </w:r>
      <w:r w:rsidR="0022278A" w:rsidRPr="004D35FC">
        <w:rPr>
          <w:bCs/>
        </w:rPr>
        <w:t xml:space="preserve">the </w:t>
      </w:r>
      <w:r w:rsidRPr="004D35FC">
        <w:rPr>
          <w:bCs/>
        </w:rPr>
        <w:t>curve (AUC). Arrows indicate the day of drug administration. ***</w:t>
      </w:r>
      <w:r w:rsidR="0022278A" w:rsidRPr="004D35FC">
        <w:rPr>
          <w:bCs/>
        </w:rPr>
        <w:t xml:space="preserve"> </w:t>
      </w:r>
      <w:r w:rsidRPr="004D35FC">
        <w:rPr>
          <w:bCs/>
        </w:rPr>
        <w:t>p &lt; 0.001 versus Control group, **</w:t>
      </w:r>
      <w:r w:rsidR="0022278A" w:rsidRPr="004D35FC">
        <w:rPr>
          <w:bCs/>
        </w:rPr>
        <w:t xml:space="preserve"> </w:t>
      </w:r>
      <w:r w:rsidRPr="004D35FC">
        <w:rPr>
          <w:bCs/>
        </w:rPr>
        <w:t xml:space="preserve">p &lt; 0.01 versus Burn group. </w:t>
      </w:r>
      <w:bookmarkStart w:id="7" w:name="bookmark=kix.moaq8jytqmbq" w:colFirst="0" w:colLast="0"/>
      <w:bookmarkEnd w:id="7"/>
      <w:r w:rsidR="00E73DA4">
        <w:rPr>
          <w:bCs/>
        </w:rPr>
        <w:t>Two-way r</w:t>
      </w:r>
      <w:r w:rsidR="00E73DA4" w:rsidRPr="004D35FC">
        <w:rPr>
          <w:bCs/>
        </w:rPr>
        <w:t xml:space="preserve">epeated </w:t>
      </w:r>
      <w:r w:rsidRPr="004D35FC">
        <w:rPr>
          <w:bCs/>
        </w:rPr>
        <w:t xml:space="preserve">measures ANOVA </w:t>
      </w:r>
      <w:r w:rsidR="00E73DA4" w:rsidRPr="004D35FC">
        <w:rPr>
          <w:bCs/>
        </w:rPr>
        <w:t>w</w:t>
      </w:r>
      <w:r w:rsidR="00E73DA4">
        <w:rPr>
          <w:bCs/>
        </w:rPr>
        <w:t xml:space="preserve">as </w:t>
      </w:r>
      <w:r w:rsidRPr="004D35FC">
        <w:rPr>
          <w:bCs/>
        </w:rPr>
        <w:lastRenderedPageBreak/>
        <w:t xml:space="preserve">performed to determine overall effects in the time-course of </w:t>
      </w:r>
      <w:r w:rsidR="0022278A" w:rsidRPr="004D35FC">
        <w:rPr>
          <w:bCs/>
        </w:rPr>
        <w:t xml:space="preserve">the </w:t>
      </w:r>
      <w:r w:rsidRPr="004D35FC">
        <w:rPr>
          <w:bCs/>
        </w:rPr>
        <w:t>von Frey test. Post-hoc analysis was performed using Dunnett</w:t>
      </w:r>
      <w:r w:rsidR="0022278A" w:rsidRPr="004D35FC">
        <w:rPr>
          <w:bCs/>
        </w:rPr>
        <w:t>’</w:t>
      </w:r>
      <w:r w:rsidRPr="004D35FC">
        <w:rPr>
          <w:bCs/>
        </w:rPr>
        <w:t xml:space="preserve">s test in order to determine the </w:t>
      </w:r>
      <w:r w:rsidRPr="004D35FC">
        <w:rPr>
          <w:bCs/>
          <w:i/>
        </w:rPr>
        <w:t>P</w:t>
      </w:r>
      <w:r w:rsidRPr="004D35FC">
        <w:rPr>
          <w:bCs/>
        </w:rPr>
        <w:t>-value.</w:t>
      </w:r>
    </w:p>
    <w:p w14:paraId="00000060" w14:textId="77777777" w:rsidR="00F15B22" w:rsidRPr="004D35FC" w:rsidRDefault="00F15B22" w:rsidP="00A549D6">
      <w:pPr>
        <w:rPr>
          <w:bCs/>
        </w:rPr>
      </w:pPr>
    </w:p>
    <w:p w14:paraId="00000061" w14:textId="2C9E7F6A" w:rsidR="00F15B22" w:rsidRPr="004D35FC" w:rsidRDefault="00986013" w:rsidP="00A549D6">
      <w:pPr>
        <w:rPr>
          <w:bCs/>
        </w:rPr>
      </w:pPr>
      <w:r w:rsidRPr="004D35FC">
        <w:rPr>
          <w:b/>
        </w:rPr>
        <w:t>Figure 2: Paw print area obtained from automated gait analysis in burn injury-induced mice</w:t>
      </w:r>
      <w:r w:rsidRPr="004D35FC">
        <w:rPr>
          <w:bCs/>
        </w:rPr>
        <w:t>. (</w:t>
      </w:r>
      <w:r w:rsidRPr="004D35FC">
        <w:rPr>
          <w:b/>
        </w:rPr>
        <w:t>A</w:t>
      </w:r>
      <w:r w:rsidRPr="004D35FC">
        <w:rPr>
          <w:bCs/>
        </w:rPr>
        <w:t xml:space="preserve">) Representative images of both the ipsilateral and contralateral hind paws of mice were captured by </w:t>
      </w:r>
      <w:r w:rsidR="0022278A" w:rsidRPr="004D35FC">
        <w:rPr>
          <w:bCs/>
        </w:rPr>
        <w:t xml:space="preserve">the </w:t>
      </w:r>
      <w:r w:rsidRPr="004D35FC">
        <w:rPr>
          <w:bCs/>
        </w:rPr>
        <w:t xml:space="preserve">gait analysis software. The contact size of </w:t>
      </w:r>
      <w:r w:rsidR="0022278A" w:rsidRPr="004D35FC">
        <w:rPr>
          <w:bCs/>
        </w:rPr>
        <w:t xml:space="preserve">the </w:t>
      </w:r>
      <w:r w:rsidRPr="004D35FC">
        <w:rPr>
          <w:bCs/>
        </w:rPr>
        <w:t xml:space="preserve">paw is reduced after burn injury </w:t>
      </w:r>
      <w:r w:rsidR="0022278A" w:rsidRPr="004D35FC">
        <w:rPr>
          <w:bCs/>
        </w:rPr>
        <w:t>compared to that of the Control group. T</w:t>
      </w:r>
      <w:r w:rsidRPr="004D35FC">
        <w:rPr>
          <w:bCs/>
        </w:rPr>
        <w:t>his reduction was partially recovered by administ</w:t>
      </w:r>
      <w:r w:rsidR="0022278A" w:rsidRPr="004D35FC">
        <w:rPr>
          <w:bCs/>
        </w:rPr>
        <w:t>ering</w:t>
      </w:r>
      <w:r w:rsidRPr="004D35FC">
        <w:rPr>
          <w:bCs/>
        </w:rPr>
        <w:t xml:space="preserve"> acetaminophen (200 mg/kg, i.p., once daily for 7 days starting from the day of burn induction). White rectangles indicate the hind paws analyzed by the software</w:t>
      </w:r>
      <w:r w:rsidR="00B840B3">
        <w:rPr>
          <w:bCs/>
        </w:rPr>
        <w:t>,</w:t>
      </w:r>
      <w:r w:rsidRPr="004D35FC">
        <w:rPr>
          <w:bCs/>
        </w:rPr>
        <w:t xml:space="preserve"> (</w:t>
      </w:r>
      <w:r w:rsidRPr="004D35FC">
        <w:rPr>
          <w:b/>
        </w:rPr>
        <w:t>B</w:t>
      </w:r>
      <w:r w:rsidRPr="004D35FC">
        <w:rPr>
          <w:bCs/>
        </w:rPr>
        <w:t xml:space="preserve">) </w:t>
      </w:r>
      <w:r w:rsidR="00B840B3">
        <w:rPr>
          <w:bCs/>
        </w:rPr>
        <w:t>a</w:t>
      </w:r>
      <w:r w:rsidRPr="004D35FC">
        <w:rPr>
          <w:bCs/>
        </w:rPr>
        <w:t xml:space="preserve"> graph shows the time course changes in the paw print area (%). Data are calculated as the percent of changes in </w:t>
      </w:r>
      <w:r w:rsidR="0022278A" w:rsidRPr="004D35FC">
        <w:rPr>
          <w:bCs/>
        </w:rPr>
        <w:t xml:space="preserve">the </w:t>
      </w:r>
      <w:r w:rsidRPr="004D35FC">
        <w:rPr>
          <w:bCs/>
        </w:rPr>
        <w:t xml:space="preserve">print area between the ipsilateral (right) and contralateral (left) hind paws (e.g., </w:t>
      </w:r>
      <w:r w:rsidR="0022278A" w:rsidRPr="004D35FC">
        <w:rPr>
          <w:bCs/>
        </w:rPr>
        <w:t>t</w:t>
      </w:r>
      <w:r w:rsidRPr="004D35FC">
        <w:rPr>
          <w:bCs/>
        </w:rPr>
        <w:t xml:space="preserve">he value of 50% indicates the same paw print areas in the right and left hind paws). Arrows indicate the day of drug administration. </w:t>
      </w:r>
      <w:r w:rsidRPr="003A13F2">
        <w:rPr>
          <w:bCs/>
        </w:rPr>
        <w:t>*</w:t>
      </w:r>
      <w:r w:rsidR="00B840B3">
        <w:rPr>
          <w:bCs/>
        </w:rPr>
        <w:t xml:space="preserve"> </w:t>
      </w:r>
      <w:r w:rsidRPr="004D35FC">
        <w:rPr>
          <w:bCs/>
        </w:rPr>
        <w:t xml:space="preserve">p &lt; 0.05 and </w:t>
      </w:r>
      <w:r w:rsidRPr="003A13F2">
        <w:rPr>
          <w:bCs/>
        </w:rPr>
        <w:t>**</w:t>
      </w:r>
      <w:r w:rsidR="00B840B3">
        <w:rPr>
          <w:bCs/>
        </w:rPr>
        <w:t xml:space="preserve"> </w:t>
      </w:r>
      <w:r w:rsidRPr="004D35FC">
        <w:rPr>
          <w:bCs/>
        </w:rPr>
        <w:t xml:space="preserve">p &lt; 0.01 versus Burn group. </w:t>
      </w:r>
      <w:r w:rsidR="00E73DA4">
        <w:rPr>
          <w:bCs/>
        </w:rPr>
        <w:t>Two-way r</w:t>
      </w:r>
      <w:r w:rsidR="00E73DA4" w:rsidRPr="004D35FC">
        <w:rPr>
          <w:bCs/>
        </w:rPr>
        <w:t>epeated measures ANOVA w</w:t>
      </w:r>
      <w:r w:rsidR="00E73DA4">
        <w:rPr>
          <w:bCs/>
        </w:rPr>
        <w:t>as</w:t>
      </w:r>
      <w:r w:rsidRPr="004D35FC">
        <w:rPr>
          <w:bCs/>
        </w:rPr>
        <w:t xml:space="preserve"> performed to determine overall effects in the time-course of the print area on gait analysis. Post-hoc analysis was performed using Dunnett</w:t>
      </w:r>
      <w:r w:rsidR="0022278A" w:rsidRPr="004D35FC">
        <w:rPr>
          <w:bCs/>
        </w:rPr>
        <w:t>’</w:t>
      </w:r>
      <w:r w:rsidRPr="004D35FC">
        <w:rPr>
          <w:bCs/>
        </w:rPr>
        <w:t xml:space="preserve">s test in order to determine the </w:t>
      </w:r>
      <w:r w:rsidRPr="004D35FC">
        <w:rPr>
          <w:bCs/>
          <w:i/>
        </w:rPr>
        <w:t>P</w:t>
      </w:r>
      <w:r w:rsidRPr="004D35FC">
        <w:rPr>
          <w:bCs/>
        </w:rPr>
        <w:t>-value.</w:t>
      </w:r>
    </w:p>
    <w:p w14:paraId="00000062" w14:textId="77777777" w:rsidR="00F15B22" w:rsidRPr="004D35FC" w:rsidRDefault="00F15B22" w:rsidP="00A549D6">
      <w:pPr>
        <w:rPr>
          <w:bCs/>
        </w:rPr>
      </w:pPr>
    </w:p>
    <w:p w14:paraId="00000063" w14:textId="05063240" w:rsidR="00F15B22" w:rsidRPr="004D35FC" w:rsidRDefault="00986013" w:rsidP="00A549D6">
      <w:pPr>
        <w:rPr>
          <w:bCs/>
        </w:rPr>
      </w:pPr>
      <w:r w:rsidRPr="004D35FC">
        <w:rPr>
          <w:b/>
        </w:rPr>
        <w:t>Figure 3: Single stance obtained from automated gait analysis in burn injury-induced mice.</w:t>
      </w:r>
      <w:r w:rsidRPr="004D35FC">
        <w:rPr>
          <w:bCs/>
        </w:rPr>
        <w:t xml:space="preserve"> (</w:t>
      </w:r>
      <w:r w:rsidRPr="004D35FC">
        <w:rPr>
          <w:b/>
        </w:rPr>
        <w:t>A</w:t>
      </w:r>
      <w:r w:rsidRPr="004D35FC">
        <w:rPr>
          <w:bCs/>
        </w:rPr>
        <w:t xml:space="preserve">) Representative images of </w:t>
      </w:r>
      <w:r w:rsidR="0022278A" w:rsidRPr="004D35FC">
        <w:rPr>
          <w:bCs/>
        </w:rPr>
        <w:t xml:space="preserve">a </w:t>
      </w:r>
      <w:r w:rsidRPr="004D35FC">
        <w:rPr>
          <w:bCs/>
        </w:rPr>
        <w:t xml:space="preserve">single stance were captured by </w:t>
      </w:r>
      <w:r w:rsidR="0022278A" w:rsidRPr="004D35FC">
        <w:rPr>
          <w:bCs/>
        </w:rPr>
        <w:t xml:space="preserve">the </w:t>
      </w:r>
      <w:r w:rsidRPr="004D35FC">
        <w:rPr>
          <w:bCs/>
        </w:rPr>
        <w:t xml:space="preserve">gait analysis software. </w:t>
      </w:r>
      <w:r w:rsidR="0022278A" w:rsidRPr="004D35FC">
        <w:rPr>
          <w:bCs/>
        </w:rPr>
        <w:t>Different colors indicated the stance of each paw</w:t>
      </w:r>
      <w:r w:rsidRPr="004D35FC">
        <w:rPr>
          <w:bCs/>
        </w:rPr>
        <w:t>: blue, right front paw; pink, right hind paw; yellow, left front paw; green, left hind paw. The single stance of the ipsilateral hind paw was shortened after burn injury</w:t>
      </w:r>
      <w:r w:rsidR="0022278A" w:rsidRPr="004D35FC">
        <w:rPr>
          <w:bCs/>
        </w:rPr>
        <w:t>. T</w:t>
      </w:r>
      <w:r w:rsidRPr="004D35FC">
        <w:rPr>
          <w:bCs/>
        </w:rPr>
        <w:t>his change was partially recovered by administ</w:t>
      </w:r>
      <w:r w:rsidR="0022278A" w:rsidRPr="004D35FC">
        <w:rPr>
          <w:bCs/>
        </w:rPr>
        <w:t>ering</w:t>
      </w:r>
      <w:r w:rsidRPr="004D35FC">
        <w:rPr>
          <w:bCs/>
        </w:rPr>
        <w:t xml:space="preserve"> acetaminophen (200 mg/kg, i.p., once</w:t>
      </w:r>
      <w:r w:rsidR="0022278A" w:rsidRPr="004D35FC">
        <w:rPr>
          <w:bCs/>
        </w:rPr>
        <w:t xml:space="preserve"> </w:t>
      </w:r>
      <w:r w:rsidRPr="004D35FC">
        <w:rPr>
          <w:bCs/>
        </w:rPr>
        <w:t>daily for 7 days starting from the day of burn induction). (</w:t>
      </w:r>
      <w:r w:rsidRPr="004D35FC">
        <w:rPr>
          <w:b/>
        </w:rPr>
        <w:t>B</w:t>
      </w:r>
      <w:r w:rsidRPr="004D35FC">
        <w:rPr>
          <w:bCs/>
        </w:rPr>
        <w:t>) A graph shows time</w:t>
      </w:r>
      <w:r w:rsidR="0022278A" w:rsidRPr="004D35FC">
        <w:rPr>
          <w:bCs/>
        </w:rPr>
        <w:t>-</w:t>
      </w:r>
      <w:r w:rsidRPr="004D35FC">
        <w:rPr>
          <w:bCs/>
        </w:rPr>
        <w:t>course changes in the single stance (%). Data are summarized as a line graph after calculating the percent of changes in single stance between the ipsilateral (right) and contralateral (left) hind paws (</w:t>
      </w:r>
      <w:r w:rsidRPr="004D35FC">
        <w:rPr>
          <w:bCs/>
          <w:iCs/>
        </w:rPr>
        <w:t xml:space="preserve">e.g., </w:t>
      </w:r>
      <w:r w:rsidR="0022278A" w:rsidRPr="004D35FC">
        <w:rPr>
          <w:bCs/>
          <w:iCs/>
        </w:rPr>
        <w:t>t</w:t>
      </w:r>
      <w:r w:rsidRPr="004D35FC">
        <w:rPr>
          <w:bCs/>
          <w:iCs/>
        </w:rPr>
        <w:t>he</w:t>
      </w:r>
      <w:r w:rsidRPr="004D35FC">
        <w:rPr>
          <w:bCs/>
        </w:rPr>
        <w:t xml:space="preserve"> value of 50% indicates the same single stance in the right and left hind paws). Arrows indicate the day of drug administration. *</w:t>
      </w:r>
      <w:r w:rsidR="0022278A" w:rsidRPr="004D35FC">
        <w:rPr>
          <w:bCs/>
        </w:rPr>
        <w:t xml:space="preserve"> </w:t>
      </w:r>
      <w:r w:rsidRPr="004D35FC">
        <w:rPr>
          <w:bCs/>
        </w:rPr>
        <w:t xml:space="preserve">p &lt; 0.05 versus Burn group. </w:t>
      </w:r>
      <w:r w:rsidR="00E73DA4">
        <w:rPr>
          <w:bCs/>
        </w:rPr>
        <w:t>Two-way r</w:t>
      </w:r>
      <w:r w:rsidR="00E73DA4" w:rsidRPr="004D35FC">
        <w:rPr>
          <w:bCs/>
        </w:rPr>
        <w:t>epeated measures ANOVA w</w:t>
      </w:r>
      <w:r w:rsidR="00E73DA4">
        <w:rPr>
          <w:bCs/>
        </w:rPr>
        <w:t>as</w:t>
      </w:r>
      <w:r w:rsidRPr="004D35FC">
        <w:rPr>
          <w:bCs/>
        </w:rPr>
        <w:t xml:space="preserve"> performed to determine overall effects in the time-course of single stance on gait analysis. Post-hoc analysis was performed using Dunnett</w:t>
      </w:r>
      <w:r w:rsidR="0022278A" w:rsidRPr="004D35FC">
        <w:rPr>
          <w:bCs/>
        </w:rPr>
        <w:t>’</w:t>
      </w:r>
      <w:r w:rsidRPr="004D35FC">
        <w:rPr>
          <w:bCs/>
        </w:rPr>
        <w:t xml:space="preserve">s test in order to determine the </w:t>
      </w:r>
      <w:r w:rsidRPr="004D35FC">
        <w:rPr>
          <w:bCs/>
          <w:i/>
        </w:rPr>
        <w:t>P</w:t>
      </w:r>
      <w:r w:rsidRPr="004D35FC">
        <w:rPr>
          <w:bCs/>
        </w:rPr>
        <w:t>-value.</w:t>
      </w:r>
    </w:p>
    <w:p w14:paraId="00000064" w14:textId="77777777" w:rsidR="00F15B22" w:rsidRPr="004D35FC" w:rsidRDefault="00F15B22" w:rsidP="00A549D6">
      <w:pPr>
        <w:rPr>
          <w:bCs/>
        </w:rPr>
      </w:pPr>
    </w:p>
    <w:p w14:paraId="00000065" w14:textId="140A94FD" w:rsidR="00F15B22" w:rsidRPr="004D35FC" w:rsidRDefault="00986013" w:rsidP="00A549D6">
      <w:pPr>
        <w:rPr>
          <w:bCs/>
        </w:rPr>
      </w:pPr>
      <w:bookmarkStart w:id="8" w:name="bookmark=id.1fob9te" w:colFirst="0" w:colLast="0"/>
      <w:bookmarkEnd w:id="8"/>
      <w:r w:rsidRPr="004D35FC">
        <w:rPr>
          <w:b/>
        </w:rPr>
        <w:t>Figure 4: The immobility time of the forced swimming test in burn injury-induced mice</w:t>
      </w:r>
      <w:r w:rsidRPr="004D35FC">
        <w:rPr>
          <w:bCs/>
        </w:rPr>
        <w:t xml:space="preserve">. Immobility times of </w:t>
      </w:r>
      <w:r w:rsidR="0022278A" w:rsidRPr="004D35FC">
        <w:rPr>
          <w:bCs/>
        </w:rPr>
        <w:t xml:space="preserve">the </w:t>
      </w:r>
      <w:r w:rsidRPr="004D35FC">
        <w:rPr>
          <w:bCs/>
        </w:rPr>
        <w:t xml:space="preserve">burn injury-induced mice were increased 7 days after burn induction as compared with that of </w:t>
      </w:r>
      <w:r w:rsidR="0022278A" w:rsidRPr="004D35FC">
        <w:rPr>
          <w:bCs/>
        </w:rPr>
        <w:t xml:space="preserve">the </w:t>
      </w:r>
      <w:r w:rsidRPr="004D35FC">
        <w:rPr>
          <w:bCs/>
        </w:rPr>
        <w:t>Control group. In burn injury-induced mice, acetaminophen administration (200 mg/kg, i.p., once</w:t>
      </w:r>
      <w:r w:rsidR="0022278A" w:rsidRPr="004D35FC">
        <w:rPr>
          <w:bCs/>
        </w:rPr>
        <w:t xml:space="preserve"> </w:t>
      </w:r>
      <w:r w:rsidRPr="004D35FC">
        <w:rPr>
          <w:bCs/>
        </w:rPr>
        <w:t>daily for 7 days starting from the day of burn induction) significantly alleviated burn injury-induced enhanced immobility time. ***</w:t>
      </w:r>
      <w:r w:rsidR="0022278A" w:rsidRPr="004D35FC">
        <w:rPr>
          <w:bCs/>
          <w:vertAlign w:val="superscript"/>
        </w:rPr>
        <w:t xml:space="preserve"> </w:t>
      </w:r>
      <w:r w:rsidRPr="004D35FC">
        <w:rPr>
          <w:bCs/>
        </w:rPr>
        <w:t>p &lt; 0.001 versus Control group, **</w:t>
      </w:r>
      <w:r w:rsidR="0022278A" w:rsidRPr="004D35FC">
        <w:rPr>
          <w:bCs/>
        </w:rPr>
        <w:t xml:space="preserve"> </w:t>
      </w:r>
      <w:r w:rsidRPr="004D35FC">
        <w:rPr>
          <w:bCs/>
        </w:rPr>
        <w:t xml:space="preserve">p &lt; 0.01 versus Burn group. </w:t>
      </w:r>
      <w:r w:rsidR="00E73DA4">
        <w:rPr>
          <w:bCs/>
        </w:rPr>
        <w:t>One-way r</w:t>
      </w:r>
      <w:r w:rsidR="00E73DA4" w:rsidRPr="004D35FC">
        <w:rPr>
          <w:bCs/>
        </w:rPr>
        <w:t>epeated measures ANOVA w</w:t>
      </w:r>
      <w:r w:rsidR="00E73DA4">
        <w:rPr>
          <w:bCs/>
        </w:rPr>
        <w:t xml:space="preserve">as </w:t>
      </w:r>
      <w:r w:rsidRPr="004D35FC">
        <w:rPr>
          <w:bCs/>
        </w:rPr>
        <w:t xml:space="preserve"> performed to determine overall effects in the time-course of the forced swimming test. Post-hoc analysis was performed using </w:t>
      </w:r>
      <w:r w:rsidR="00231DB6" w:rsidRPr="004D35FC">
        <w:rPr>
          <w:bCs/>
        </w:rPr>
        <w:t>Dunnett</w:t>
      </w:r>
      <w:r w:rsidR="0022278A" w:rsidRPr="004D35FC">
        <w:rPr>
          <w:bCs/>
        </w:rPr>
        <w:t>’</w:t>
      </w:r>
      <w:r w:rsidR="00231DB6" w:rsidRPr="004D35FC">
        <w:rPr>
          <w:bCs/>
        </w:rPr>
        <w:t>s</w:t>
      </w:r>
      <w:r w:rsidRPr="004D35FC">
        <w:rPr>
          <w:bCs/>
        </w:rPr>
        <w:t xml:space="preserve"> test in order to determine the </w:t>
      </w:r>
      <w:r w:rsidRPr="004D35FC">
        <w:rPr>
          <w:bCs/>
          <w:i/>
        </w:rPr>
        <w:t>P</w:t>
      </w:r>
      <w:r w:rsidRPr="004D35FC">
        <w:rPr>
          <w:bCs/>
        </w:rPr>
        <w:t>-value.</w:t>
      </w:r>
    </w:p>
    <w:p w14:paraId="00000066" w14:textId="77777777" w:rsidR="00F15B22" w:rsidRPr="004D35FC" w:rsidRDefault="00F15B22" w:rsidP="00A549D6">
      <w:pPr>
        <w:rPr>
          <w:bCs/>
        </w:rPr>
      </w:pPr>
    </w:p>
    <w:p w14:paraId="00000067" w14:textId="099D7BE1" w:rsidR="00F15B22" w:rsidRPr="004D35FC" w:rsidRDefault="00986013" w:rsidP="00A549D6">
      <w:pPr>
        <w:rPr>
          <w:bCs/>
        </w:rPr>
      </w:pPr>
      <w:r w:rsidRPr="004D35FC">
        <w:rPr>
          <w:b/>
        </w:rPr>
        <w:t>Figure 5: The normal motor function assessment based on the changes in running time of the rota-rod test in burn injury-induced mice.</w:t>
      </w:r>
      <w:r w:rsidRPr="004D35FC">
        <w:rPr>
          <w:bCs/>
        </w:rPr>
        <w:t xml:space="preserve"> There was no change in running times of</w:t>
      </w:r>
      <w:r w:rsidR="0022278A" w:rsidRPr="004D35FC">
        <w:rPr>
          <w:bCs/>
        </w:rPr>
        <w:t xml:space="preserve"> the</w:t>
      </w:r>
      <w:r w:rsidRPr="004D35FC">
        <w:rPr>
          <w:bCs/>
        </w:rPr>
        <w:t xml:space="preserve"> burn injury-induced mice at 7 days after burn induction as compared with those of Control and acetaminophen-treated burn injury groups. However, </w:t>
      </w:r>
      <w:r w:rsidR="0022278A" w:rsidRPr="004D35FC">
        <w:rPr>
          <w:bCs/>
        </w:rPr>
        <w:t xml:space="preserve">the </w:t>
      </w:r>
      <w:r w:rsidRPr="004D35FC">
        <w:rPr>
          <w:bCs/>
        </w:rPr>
        <w:t xml:space="preserve">running time of alfaxalone-treated mice (Positive control) was significantly decreased </w:t>
      </w:r>
      <w:r w:rsidR="0022278A" w:rsidRPr="004D35FC">
        <w:rPr>
          <w:bCs/>
        </w:rPr>
        <w:t>to ~</w:t>
      </w:r>
      <w:r w:rsidRPr="004D35FC">
        <w:rPr>
          <w:bCs/>
        </w:rPr>
        <w:t xml:space="preserve">60 </w:t>
      </w:r>
      <w:r w:rsidR="0022278A" w:rsidRPr="004D35FC">
        <w:rPr>
          <w:bCs/>
        </w:rPr>
        <w:t>s</w:t>
      </w:r>
      <w:r w:rsidRPr="004D35FC">
        <w:rPr>
          <w:bCs/>
        </w:rPr>
        <w:t>. This result indicates that a burn injury used in this study does not cause motor impairment. ***</w:t>
      </w:r>
      <w:r w:rsidR="0022278A" w:rsidRPr="004D35FC">
        <w:rPr>
          <w:bCs/>
          <w:vertAlign w:val="superscript"/>
        </w:rPr>
        <w:t xml:space="preserve"> </w:t>
      </w:r>
      <w:r w:rsidRPr="004D35FC">
        <w:rPr>
          <w:bCs/>
        </w:rPr>
        <w:t xml:space="preserve">p &lt; 0.001 versus Burn group. </w:t>
      </w:r>
      <w:r w:rsidR="00E73DA4">
        <w:rPr>
          <w:bCs/>
        </w:rPr>
        <w:t xml:space="preserve">Two-way </w:t>
      </w:r>
      <w:r w:rsidR="00E73DA4">
        <w:rPr>
          <w:bCs/>
        </w:rPr>
        <w:lastRenderedPageBreak/>
        <w:t>r</w:t>
      </w:r>
      <w:r w:rsidR="00E73DA4" w:rsidRPr="004D35FC">
        <w:rPr>
          <w:bCs/>
        </w:rPr>
        <w:t>epeated measures ANOVA w</w:t>
      </w:r>
      <w:r w:rsidR="00E73DA4">
        <w:rPr>
          <w:bCs/>
        </w:rPr>
        <w:t>as</w:t>
      </w:r>
      <w:r w:rsidRPr="004D35FC">
        <w:rPr>
          <w:bCs/>
        </w:rPr>
        <w:t xml:space="preserve"> performed to determine overall effects in the time-course of </w:t>
      </w:r>
      <w:r w:rsidR="0022278A" w:rsidRPr="004D35FC">
        <w:rPr>
          <w:bCs/>
        </w:rPr>
        <w:t xml:space="preserve">the </w:t>
      </w:r>
      <w:r w:rsidRPr="004D35FC">
        <w:rPr>
          <w:bCs/>
        </w:rPr>
        <w:t>rota-rod test. Post-hoc analysis was performed using Dunnett</w:t>
      </w:r>
      <w:r w:rsidR="0022278A" w:rsidRPr="004D35FC">
        <w:rPr>
          <w:bCs/>
        </w:rPr>
        <w:t>’</w:t>
      </w:r>
      <w:r w:rsidRPr="004D35FC">
        <w:rPr>
          <w:bCs/>
        </w:rPr>
        <w:t xml:space="preserve">s test in order to determine the </w:t>
      </w:r>
      <w:r w:rsidRPr="004D35FC">
        <w:rPr>
          <w:bCs/>
          <w:i/>
        </w:rPr>
        <w:t>P</w:t>
      </w:r>
      <w:r w:rsidRPr="004D35FC">
        <w:rPr>
          <w:bCs/>
        </w:rPr>
        <w:t>-value.</w:t>
      </w:r>
    </w:p>
    <w:p w14:paraId="7A24F00C" w14:textId="2EEFD216" w:rsidR="00763CAD" w:rsidRPr="004D35FC" w:rsidRDefault="00763CAD" w:rsidP="00A549D6">
      <w:pPr>
        <w:rPr>
          <w:bCs/>
        </w:rPr>
      </w:pPr>
    </w:p>
    <w:p w14:paraId="415B5C93" w14:textId="052C5F38" w:rsidR="00763CAD" w:rsidRPr="004D35FC" w:rsidRDefault="00763CAD" w:rsidP="00A549D6">
      <w:pPr>
        <w:rPr>
          <w:bCs/>
        </w:rPr>
      </w:pPr>
      <w:r w:rsidRPr="004D35FC">
        <w:rPr>
          <w:b/>
        </w:rPr>
        <w:t>Supplementary Figure 1</w:t>
      </w:r>
      <w:r w:rsidR="008A75CD" w:rsidRPr="004D35FC">
        <w:rPr>
          <w:b/>
        </w:rPr>
        <w:t xml:space="preserve">: </w:t>
      </w:r>
      <w:r w:rsidR="00525144" w:rsidRPr="004D35FC">
        <w:rPr>
          <w:b/>
        </w:rPr>
        <w:t>Changes in tissue damage over time after induction of burns.</w:t>
      </w:r>
      <w:r w:rsidR="00525144" w:rsidRPr="004D35FC">
        <w:rPr>
          <w:bCs/>
        </w:rPr>
        <w:t xml:space="preserve"> After the scalding burn induction, significant tissue damage was observed, which increase</w:t>
      </w:r>
      <w:r w:rsidR="0022278A" w:rsidRPr="004D35FC">
        <w:rPr>
          <w:bCs/>
        </w:rPr>
        <w:t>d</w:t>
      </w:r>
      <w:r w:rsidR="00525144" w:rsidRPr="004D35FC">
        <w:rPr>
          <w:bCs/>
        </w:rPr>
        <w:t xml:space="preserve"> gradually over time. </w:t>
      </w:r>
      <w:r w:rsidR="0022278A" w:rsidRPr="004D35FC">
        <w:rPr>
          <w:bCs/>
        </w:rPr>
        <w:t>In this study, Acetaminophen, used as a positive control drug</w:t>
      </w:r>
      <w:r w:rsidR="00525144" w:rsidRPr="004D35FC">
        <w:rPr>
          <w:bCs/>
        </w:rPr>
        <w:t>, has shown a protective effect on tissue damages.</w:t>
      </w:r>
    </w:p>
    <w:p w14:paraId="00000068" w14:textId="77777777" w:rsidR="00F15B22" w:rsidRPr="004D35FC" w:rsidRDefault="00F15B22" w:rsidP="00A549D6">
      <w:pPr>
        <w:rPr>
          <w:bCs/>
        </w:rPr>
      </w:pPr>
    </w:p>
    <w:p w14:paraId="00000069" w14:textId="78A37E89" w:rsidR="00F15B22" w:rsidRPr="004D35FC" w:rsidRDefault="00986013" w:rsidP="00A549D6">
      <w:pPr>
        <w:rPr>
          <w:b/>
        </w:rPr>
      </w:pPr>
      <w:r w:rsidRPr="004D35FC">
        <w:rPr>
          <w:b/>
        </w:rPr>
        <w:t>DISCUSSION:</w:t>
      </w:r>
    </w:p>
    <w:p w14:paraId="0000006A" w14:textId="10430DD7" w:rsidR="00F15B22" w:rsidRPr="004D35FC" w:rsidRDefault="00986013" w:rsidP="00A549D6">
      <w:pPr>
        <w:rPr>
          <w:bCs/>
        </w:rPr>
      </w:pPr>
      <w:r w:rsidRPr="004D35FC">
        <w:rPr>
          <w:bCs/>
        </w:rPr>
        <w:t xml:space="preserve">The scalding burn is a kind of thermal burn that is caused by heated liquids. It has been suggested that </w:t>
      </w:r>
      <w:r w:rsidR="008530DE">
        <w:rPr>
          <w:bCs/>
        </w:rPr>
        <w:t>first-</w:t>
      </w:r>
      <w:r w:rsidR="008530DE" w:rsidRPr="004D35FC">
        <w:rPr>
          <w:bCs/>
        </w:rPr>
        <w:t xml:space="preserve"> </w:t>
      </w:r>
      <w:r w:rsidRPr="004D35FC">
        <w:rPr>
          <w:bCs/>
        </w:rPr>
        <w:t xml:space="preserve">or </w:t>
      </w:r>
      <w:r w:rsidR="008530DE">
        <w:rPr>
          <w:bCs/>
        </w:rPr>
        <w:t>second</w:t>
      </w:r>
      <w:r w:rsidR="0022278A" w:rsidRPr="004D35FC">
        <w:rPr>
          <w:bCs/>
        </w:rPr>
        <w:t>-</w:t>
      </w:r>
      <w:r w:rsidRPr="004D35FC">
        <w:rPr>
          <w:bCs/>
        </w:rPr>
        <w:t xml:space="preserve">degree burns occur in most cases, but long-term contact with heat sources can cause </w:t>
      </w:r>
      <w:r w:rsidR="008530DE">
        <w:rPr>
          <w:bCs/>
        </w:rPr>
        <w:t>third</w:t>
      </w:r>
      <w:r w:rsidRPr="004D35FC">
        <w:rPr>
          <w:bCs/>
        </w:rPr>
        <w:t>-degree burns</w:t>
      </w:r>
      <w:r w:rsidR="00CC10F6" w:rsidRPr="004D35FC">
        <w:rPr>
          <w:bCs/>
          <w:vertAlign w:val="superscript"/>
        </w:rPr>
        <w:t>26</w:t>
      </w:r>
      <w:r w:rsidRPr="004D35FC">
        <w:rPr>
          <w:bCs/>
        </w:rPr>
        <w:t>. In the present study, burn injury was induced by exposing the right hind paw of mice into hot water at 65 °C for 3 s</w:t>
      </w:r>
      <w:r w:rsidRPr="004D35FC">
        <w:rPr>
          <w:bCs/>
          <w:vertAlign w:val="superscript"/>
        </w:rPr>
        <w:t>4,2</w:t>
      </w:r>
      <w:r w:rsidR="00942C41" w:rsidRPr="004D35FC">
        <w:rPr>
          <w:bCs/>
          <w:vertAlign w:val="superscript"/>
        </w:rPr>
        <w:t>6</w:t>
      </w:r>
      <w:r w:rsidRPr="004D35FC">
        <w:rPr>
          <w:bCs/>
        </w:rPr>
        <w:t xml:space="preserve">. Tissue damage was detected in the burn-injured paw, which shows common symptoms of burns such as redness, peeling of the skin, </w:t>
      </w:r>
      <w:r w:rsidR="003714BD" w:rsidRPr="004D35FC">
        <w:rPr>
          <w:bCs/>
        </w:rPr>
        <w:t xml:space="preserve">and </w:t>
      </w:r>
      <w:r w:rsidRPr="004D35FC">
        <w:rPr>
          <w:bCs/>
        </w:rPr>
        <w:t>swelling</w:t>
      </w:r>
      <w:r w:rsidR="009F7FCA" w:rsidRPr="004D35FC">
        <w:rPr>
          <w:bCs/>
        </w:rPr>
        <w:t xml:space="preserve"> </w:t>
      </w:r>
      <w:r w:rsidRPr="004D35FC">
        <w:rPr>
          <w:bCs/>
        </w:rPr>
        <w:t>(</w:t>
      </w:r>
      <w:r w:rsidRPr="004D35FC">
        <w:rPr>
          <w:b/>
        </w:rPr>
        <w:t xml:space="preserve">Supplementary </w:t>
      </w:r>
      <w:r w:rsidR="0022278A" w:rsidRPr="004D35FC">
        <w:rPr>
          <w:b/>
        </w:rPr>
        <w:t>F</w:t>
      </w:r>
      <w:r w:rsidRPr="004D35FC">
        <w:rPr>
          <w:b/>
        </w:rPr>
        <w:t>igure 1</w:t>
      </w:r>
      <w:r w:rsidRPr="004D35FC">
        <w:rPr>
          <w:bCs/>
        </w:rPr>
        <w:t>)</w:t>
      </w:r>
      <w:r w:rsidRPr="004D35FC">
        <w:rPr>
          <w:bCs/>
          <w:vertAlign w:val="superscript"/>
        </w:rPr>
        <w:t>4</w:t>
      </w:r>
      <w:r w:rsidRPr="004D35FC">
        <w:rPr>
          <w:bCs/>
        </w:rPr>
        <w:t>.</w:t>
      </w:r>
    </w:p>
    <w:p w14:paraId="0000006B" w14:textId="77777777" w:rsidR="00F15B22" w:rsidRPr="004D35FC" w:rsidRDefault="00F15B22" w:rsidP="00A549D6">
      <w:pPr>
        <w:rPr>
          <w:bCs/>
        </w:rPr>
      </w:pPr>
    </w:p>
    <w:p w14:paraId="0000006C" w14:textId="7776BB35" w:rsidR="00F15B22" w:rsidRPr="004D35FC" w:rsidRDefault="00986013" w:rsidP="00A549D6">
      <w:pPr>
        <w:rPr>
          <w:bCs/>
        </w:rPr>
      </w:pPr>
      <w:bookmarkStart w:id="9" w:name="_Hlk82361439"/>
      <w:r w:rsidRPr="004D35FC">
        <w:rPr>
          <w:bCs/>
        </w:rPr>
        <w:t xml:space="preserve">Mechanical allodynia measurement is </w:t>
      </w:r>
      <w:r w:rsidR="0022278A" w:rsidRPr="004D35FC">
        <w:rPr>
          <w:bCs/>
        </w:rPr>
        <w:t>a commonly used pain response identification method</w:t>
      </w:r>
      <w:r w:rsidRPr="004D35FC">
        <w:rPr>
          <w:bCs/>
        </w:rPr>
        <w:t xml:space="preserve"> in animal pain models and was measured using von-Frey filaments in this study. </w:t>
      </w:r>
      <w:r w:rsidR="00BF174B" w:rsidRPr="004D35FC">
        <w:rPr>
          <w:bCs/>
        </w:rPr>
        <w:t>The ascending stimulus method with the von Frey filaments is used to determine the mechanical threshold required to induce an animal</w:t>
      </w:r>
      <w:r w:rsidR="0022278A" w:rsidRPr="004D35FC">
        <w:rPr>
          <w:bCs/>
        </w:rPr>
        <w:t>’</w:t>
      </w:r>
      <w:r w:rsidR="00BF174B" w:rsidRPr="004D35FC">
        <w:rPr>
          <w:bCs/>
        </w:rPr>
        <w:t>s paw withdrawal response</w:t>
      </w:r>
      <w:r w:rsidRPr="004D35FC">
        <w:rPr>
          <w:bCs/>
          <w:vertAlign w:val="superscript"/>
        </w:rPr>
        <w:t>1</w:t>
      </w:r>
      <w:r w:rsidR="00942C41" w:rsidRPr="004D35FC">
        <w:rPr>
          <w:bCs/>
          <w:vertAlign w:val="superscript"/>
        </w:rPr>
        <w:t>9</w:t>
      </w:r>
      <w:r w:rsidRPr="004D35FC">
        <w:rPr>
          <w:bCs/>
          <w:vertAlign w:val="superscript"/>
        </w:rPr>
        <w:t>,</w:t>
      </w:r>
      <w:r w:rsidR="00942C41" w:rsidRPr="004D35FC">
        <w:rPr>
          <w:bCs/>
          <w:vertAlign w:val="superscript"/>
        </w:rPr>
        <w:t>20</w:t>
      </w:r>
      <w:r w:rsidRPr="004D35FC">
        <w:rPr>
          <w:bCs/>
        </w:rPr>
        <w:t xml:space="preserve">. </w:t>
      </w:r>
      <w:r w:rsidR="00BF174B" w:rsidRPr="004D35FC">
        <w:rPr>
          <w:bCs/>
        </w:rPr>
        <w:t>The experiment started with the filament with the least stimulus</w:t>
      </w:r>
      <w:r w:rsidR="0022278A" w:rsidRPr="004D35FC">
        <w:rPr>
          <w:bCs/>
        </w:rPr>
        <w:t>. T</w:t>
      </w:r>
      <w:r w:rsidR="00BF174B" w:rsidRPr="004D35FC">
        <w:rPr>
          <w:bCs/>
        </w:rPr>
        <w:t>he bending force of the filament responding to a set number (</w:t>
      </w:r>
      <w:r w:rsidR="008530DE">
        <w:rPr>
          <w:bCs/>
        </w:rPr>
        <w:t>three</w:t>
      </w:r>
      <w:r w:rsidR="008530DE" w:rsidRPr="004D35FC">
        <w:rPr>
          <w:bCs/>
        </w:rPr>
        <w:t xml:space="preserve"> </w:t>
      </w:r>
      <w:r w:rsidR="00BF174B" w:rsidRPr="004D35FC">
        <w:rPr>
          <w:bCs/>
        </w:rPr>
        <w:t>times in this protocol) was obtained as a paw withdrawal threshold value.</w:t>
      </w:r>
      <w:bookmarkEnd w:id="9"/>
    </w:p>
    <w:p w14:paraId="0000006D" w14:textId="77777777" w:rsidR="00F15B22" w:rsidRPr="004D35FC" w:rsidRDefault="00F15B22" w:rsidP="00A549D6">
      <w:pPr>
        <w:rPr>
          <w:bCs/>
        </w:rPr>
      </w:pPr>
    </w:p>
    <w:p w14:paraId="0000006E" w14:textId="4B4E77DE" w:rsidR="00F15B22" w:rsidRPr="004D35FC" w:rsidRDefault="00986013" w:rsidP="00A549D6">
      <w:pPr>
        <w:rPr>
          <w:bCs/>
        </w:rPr>
      </w:pPr>
      <w:bookmarkStart w:id="10" w:name="_Hlk82362482"/>
      <w:r w:rsidRPr="004D35FC">
        <w:rPr>
          <w:bCs/>
        </w:rPr>
        <w:t>Gait analysis of rodents during free walking is used to study Parkinson</w:t>
      </w:r>
      <w:r w:rsidR="0022278A" w:rsidRPr="004D35FC">
        <w:rPr>
          <w:bCs/>
        </w:rPr>
        <w:t>’</w:t>
      </w:r>
      <w:r w:rsidRPr="004D35FC">
        <w:rPr>
          <w:bCs/>
        </w:rPr>
        <w:t>s disease or limb movements and position changes in sensory-motor impairment models</w:t>
      </w:r>
      <w:r w:rsidR="0022278A" w:rsidRPr="004D35FC">
        <w:rPr>
          <w:bCs/>
        </w:rPr>
        <w:t>,</w:t>
      </w:r>
      <w:r w:rsidRPr="004D35FC">
        <w:rPr>
          <w:bCs/>
        </w:rPr>
        <w:t xml:space="preserve"> including spinal cord injury and stroke</w:t>
      </w:r>
      <w:r w:rsidR="00F959C7" w:rsidRPr="004D35FC">
        <w:rPr>
          <w:bCs/>
          <w:vertAlign w:val="superscript"/>
        </w:rPr>
        <w:t>2</w:t>
      </w:r>
      <w:r w:rsidR="006D1F49" w:rsidRPr="004D35FC">
        <w:rPr>
          <w:bCs/>
          <w:vertAlign w:val="superscript"/>
        </w:rPr>
        <w:t>7</w:t>
      </w:r>
      <w:r w:rsidR="00F959C7" w:rsidRPr="004D35FC">
        <w:rPr>
          <w:bCs/>
          <w:vertAlign w:val="superscript"/>
        </w:rPr>
        <w:t>,2</w:t>
      </w:r>
      <w:r w:rsidR="006D1F49" w:rsidRPr="004D35FC">
        <w:rPr>
          <w:bCs/>
          <w:vertAlign w:val="superscript"/>
        </w:rPr>
        <w:t>8</w:t>
      </w:r>
      <w:r w:rsidRPr="004D35FC">
        <w:rPr>
          <w:bCs/>
        </w:rPr>
        <w:t>.</w:t>
      </w:r>
      <w:bookmarkEnd w:id="10"/>
      <w:r w:rsidRPr="004D35FC">
        <w:rPr>
          <w:bCs/>
        </w:rPr>
        <w:t xml:space="preserve"> </w:t>
      </w:r>
      <w:r w:rsidR="0022278A" w:rsidRPr="004D35FC">
        <w:rPr>
          <w:bCs/>
        </w:rPr>
        <w:t>The g</w:t>
      </w:r>
      <w:r w:rsidRPr="004D35FC">
        <w:rPr>
          <w:bCs/>
        </w:rPr>
        <w:t>ait analysis system automatically analyzes various gait parameters</w:t>
      </w:r>
      <w:r w:rsidR="0022278A" w:rsidRPr="004D35FC">
        <w:rPr>
          <w:bCs/>
        </w:rPr>
        <w:t>,</w:t>
      </w:r>
      <w:r w:rsidRPr="004D35FC">
        <w:rPr>
          <w:bCs/>
        </w:rPr>
        <w:t xml:space="preserve"> including paw intensity, paw print, stance phase, etc. </w:t>
      </w:r>
      <w:bookmarkStart w:id="11" w:name="_Hlk82363345"/>
      <w:r w:rsidR="008443CE" w:rsidRPr="004D35FC">
        <w:rPr>
          <w:bCs/>
        </w:rPr>
        <w:t xml:space="preserve">Alterations of parameters that </w:t>
      </w:r>
      <w:r w:rsidR="0022278A" w:rsidRPr="004D35FC">
        <w:rPr>
          <w:bCs/>
        </w:rPr>
        <w:t>the gait analysis system can analyze</w:t>
      </w:r>
      <w:r w:rsidR="008443CE" w:rsidRPr="004D35FC">
        <w:rPr>
          <w:bCs/>
        </w:rPr>
        <w:t xml:space="preserve"> can be used as pain-related indicators in the gait analysis of pain animal models. Therefore, gait analysis may be used as an experimental method to non-invasively quantify spontaneous pain in animal models</w:t>
      </w:r>
      <w:bookmarkStart w:id="12" w:name="_Hlk82366256"/>
      <w:r w:rsidRPr="004D35FC">
        <w:rPr>
          <w:bCs/>
          <w:vertAlign w:val="superscript"/>
        </w:rPr>
        <w:t>4,</w:t>
      </w:r>
      <w:r w:rsidR="0003519C" w:rsidRPr="004D35FC">
        <w:rPr>
          <w:bCs/>
          <w:vertAlign w:val="superscript"/>
        </w:rPr>
        <w:t>2</w:t>
      </w:r>
      <w:r w:rsidR="008E40E4" w:rsidRPr="004D35FC">
        <w:rPr>
          <w:bCs/>
          <w:vertAlign w:val="superscript"/>
        </w:rPr>
        <w:t>1</w:t>
      </w:r>
      <w:r w:rsidRPr="004D35FC">
        <w:rPr>
          <w:bCs/>
          <w:vertAlign w:val="superscript"/>
        </w:rPr>
        <w:t>,2</w:t>
      </w:r>
      <w:r w:rsidR="008E40E4" w:rsidRPr="004D35FC">
        <w:rPr>
          <w:bCs/>
          <w:vertAlign w:val="superscript"/>
        </w:rPr>
        <w:t>2</w:t>
      </w:r>
      <w:bookmarkEnd w:id="12"/>
      <w:r w:rsidRPr="004D35FC">
        <w:rPr>
          <w:bCs/>
        </w:rPr>
        <w:t>.</w:t>
      </w:r>
      <w:bookmarkEnd w:id="11"/>
      <w:r w:rsidRPr="004D35FC">
        <w:rPr>
          <w:bCs/>
        </w:rPr>
        <w:t xml:space="preserve"> Based on previous findings that gait parameters were decreased on the pain-induced side in animal models of pain</w:t>
      </w:r>
      <w:r w:rsidR="008E40E4" w:rsidRPr="004D35FC">
        <w:rPr>
          <w:bCs/>
          <w:vertAlign w:val="superscript"/>
        </w:rPr>
        <w:t>21</w:t>
      </w:r>
      <w:r w:rsidRPr="004D35FC">
        <w:rPr>
          <w:bCs/>
          <w:vertAlign w:val="superscript"/>
        </w:rPr>
        <w:t>,</w:t>
      </w:r>
      <w:r w:rsidR="0003519C" w:rsidRPr="004D35FC">
        <w:rPr>
          <w:bCs/>
          <w:vertAlign w:val="superscript"/>
        </w:rPr>
        <w:t>2</w:t>
      </w:r>
      <w:r w:rsidR="008E40E4" w:rsidRPr="004D35FC">
        <w:rPr>
          <w:bCs/>
          <w:vertAlign w:val="superscript"/>
        </w:rPr>
        <w:t>2</w:t>
      </w:r>
      <w:r w:rsidRPr="004D35FC">
        <w:rPr>
          <w:bCs/>
        </w:rPr>
        <w:t>, this presented protocol quantified each gait parameter as the ratio of the burn-induced ipsilateral and contralateral side.</w:t>
      </w:r>
      <w:r w:rsidR="007458C2" w:rsidRPr="004D35FC">
        <w:rPr>
          <w:rFonts w:eastAsia="Calibri"/>
          <w:bCs/>
        </w:rPr>
        <w:t xml:space="preserve"> In this protocol, </w:t>
      </w:r>
      <w:r w:rsidR="0022278A" w:rsidRPr="004D35FC">
        <w:rPr>
          <w:rFonts w:eastAsia="Calibri"/>
          <w:bCs/>
        </w:rPr>
        <w:t>paw print area and single stance data</w:t>
      </w:r>
      <w:r w:rsidR="007458C2" w:rsidRPr="004D35FC">
        <w:rPr>
          <w:rFonts w:eastAsia="Calibri"/>
          <w:bCs/>
        </w:rPr>
        <w:t xml:space="preserve"> were converted into the rate of changes between ipsilateral (injured) and contralateral (non-injured) hind paws. The value of 50% means that the paw print size and the time to reach the floor are </w:t>
      </w:r>
      <w:r w:rsidR="0022278A" w:rsidRPr="004D35FC">
        <w:rPr>
          <w:rFonts w:eastAsia="Calibri"/>
          <w:bCs/>
        </w:rPr>
        <w:t xml:space="preserve">the </w:t>
      </w:r>
      <w:r w:rsidR="007458C2" w:rsidRPr="004D35FC">
        <w:rPr>
          <w:rFonts w:eastAsia="Calibri"/>
          <w:bCs/>
        </w:rPr>
        <w:t xml:space="preserve">same in both the ipsilateral and contralateral, while the value less than 50% indicates that these parameters are decreased in the burn-induced ipsilateral hind paw. </w:t>
      </w:r>
      <w:r w:rsidR="00593E99">
        <w:rPr>
          <w:rFonts w:eastAsia="Calibri"/>
          <w:bCs/>
        </w:rPr>
        <w:t>T</w:t>
      </w:r>
      <w:r w:rsidR="007458C2" w:rsidRPr="004D35FC">
        <w:rPr>
          <w:rFonts w:eastAsia="Calibri"/>
          <w:bCs/>
        </w:rPr>
        <w:t>he percentage changes between the ipsilateral and contralateral hind paws</w:t>
      </w:r>
      <w:r w:rsidR="00593E99">
        <w:rPr>
          <w:rFonts w:eastAsia="Calibri"/>
          <w:bCs/>
        </w:rPr>
        <w:t xml:space="preserve"> were used for obtaining all the data</w:t>
      </w:r>
      <w:r w:rsidR="007458C2" w:rsidRPr="004D35FC">
        <w:rPr>
          <w:rFonts w:eastAsia="Calibri"/>
          <w:bCs/>
        </w:rPr>
        <w:t xml:space="preserve"> (i.e., normal mice showed </w:t>
      </w:r>
      <w:r w:rsidR="00593E99">
        <w:rPr>
          <w:rFonts w:eastAsia="Calibri"/>
          <w:bCs/>
        </w:rPr>
        <w:t>~</w:t>
      </w:r>
      <w:r w:rsidR="007458C2" w:rsidRPr="004D35FC">
        <w:rPr>
          <w:rFonts w:eastAsia="Calibri"/>
          <w:bCs/>
        </w:rPr>
        <w:t>50%</w:t>
      </w:r>
      <w:r w:rsidR="00CE6071">
        <w:rPr>
          <w:rFonts w:eastAsia="Calibri"/>
          <w:bCs/>
        </w:rPr>
        <w:t>,</w:t>
      </w:r>
      <w:r w:rsidR="007458C2" w:rsidRPr="004D35FC">
        <w:rPr>
          <w:rFonts w:eastAsia="Calibri"/>
          <w:bCs/>
        </w:rPr>
        <w:t xml:space="preserve"> </w:t>
      </w:r>
      <w:r w:rsidR="00CE6071">
        <w:rPr>
          <w:rFonts w:eastAsia="Calibri"/>
          <w:bCs/>
        </w:rPr>
        <w:t xml:space="preserve">which </w:t>
      </w:r>
      <w:r w:rsidR="007458C2" w:rsidRPr="004D35FC">
        <w:rPr>
          <w:rFonts w:eastAsia="Calibri"/>
          <w:bCs/>
        </w:rPr>
        <w:t xml:space="preserve">means </w:t>
      </w:r>
      <w:r w:rsidR="00593E99">
        <w:rPr>
          <w:rFonts w:eastAsia="Calibri"/>
          <w:bCs/>
        </w:rPr>
        <w:t>that the</w:t>
      </w:r>
      <w:r w:rsidR="007458C2" w:rsidRPr="004D35FC">
        <w:rPr>
          <w:rFonts w:eastAsia="Calibri"/>
          <w:bCs/>
        </w:rPr>
        <w:t xml:space="preserve"> ipsilateral</w:t>
      </w:r>
      <w:r w:rsidR="00593E99">
        <w:rPr>
          <w:rFonts w:eastAsia="Calibri"/>
          <w:bCs/>
        </w:rPr>
        <w:t xml:space="preserve">: </w:t>
      </w:r>
      <w:r w:rsidR="007458C2" w:rsidRPr="004D35FC">
        <w:rPr>
          <w:rFonts w:eastAsia="Calibri"/>
          <w:bCs/>
        </w:rPr>
        <w:t xml:space="preserve">contralateral </w:t>
      </w:r>
      <w:r w:rsidR="00593E99">
        <w:rPr>
          <w:rFonts w:eastAsia="Calibri"/>
          <w:bCs/>
        </w:rPr>
        <w:t xml:space="preserve">ratio </w:t>
      </w:r>
      <w:r w:rsidR="007458C2" w:rsidRPr="004D35FC">
        <w:rPr>
          <w:rFonts w:eastAsia="Calibri"/>
          <w:bCs/>
        </w:rPr>
        <w:t>was 50:50).</w:t>
      </w:r>
      <w:r w:rsidRPr="004D35FC">
        <w:rPr>
          <w:bCs/>
        </w:rPr>
        <w:t xml:space="preserve"> In normal animals, the parameters related to each hind limb appear the same on both sides when walking freely. However, the analysis of this protocol is focused on the fact that the parameters on the ipsilateral side decrease after pain induction. In addition, there is individual variation in each animal</w:t>
      </w:r>
      <w:r w:rsidR="0022278A" w:rsidRPr="004D35FC">
        <w:rPr>
          <w:bCs/>
        </w:rPr>
        <w:t>;</w:t>
      </w:r>
      <w:r w:rsidRPr="004D35FC">
        <w:rPr>
          <w:bCs/>
        </w:rPr>
        <w:t xml:space="preserve"> accurate data may not be obtained when the raw data is analyzed as is. Therefore, each gait </w:t>
      </w:r>
      <w:r w:rsidRPr="004D35FC">
        <w:rPr>
          <w:bCs/>
        </w:rPr>
        <w:lastRenderedPageBreak/>
        <w:t xml:space="preserve">parameter value was converted into a ratio to obtain more accurate results during analysis. The present study has shown that the print area size </w:t>
      </w:r>
      <w:r w:rsidR="0022278A" w:rsidRPr="004D35FC">
        <w:rPr>
          <w:bCs/>
        </w:rPr>
        <w:t>and</w:t>
      </w:r>
      <w:r w:rsidRPr="004D35FC">
        <w:rPr>
          <w:bCs/>
        </w:rPr>
        <w:t xml:space="preserve"> the single stance time of the ipsilateral hind paw were reduced after burn injury, and this reduction was restored by repeated intraperitoneal </w:t>
      </w:r>
      <w:r w:rsidR="0022278A" w:rsidRPr="004D35FC">
        <w:rPr>
          <w:bCs/>
        </w:rPr>
        <w:t xml:space="preserve">acetaminophen </w:t>
      </w:r>
      <w:r w:rsidRPr="004D35FC">
        <w:rPr>
          <w:bCs/>
        </w:rPr>
        <w:t>administration. These changes coincided with a similar pattern of time</w:t>
      </w:r>
      <w:r w:rsidR="0022278A" w:rsidRPr="004D35FC">
        <w:rPr>
          <w:bCs/>
        </w:rPr>
        <w:t>-</w:t>
      </w:r>
      <w:r w:rsidRPr="004D35FC">
        <w:rPr>
          <w:bCs/>
        </w:rPr>
        <w:t>course changes in pain behaviors after burn injury and drug administration.</w:t>
      </w:r>
    </w:p>
    <w:p w14:paraId="0000006F" w14:textId="77777777" w:rsidR="00F15B22" w:rsidRPr="004D35FC" w:rsidRDefault="00F15B22" w:rsidP="00A549D6">
      <w:pPr>
        <w:rPr>
          <w:bCs/>
        </w:rPr>
      </w:pPr>
    </w:p>
    <w:p w14:paraId="00000070" w14:textId="271ADE51" w:rsidR="00F15B22" w:rsidRPr="004D35FC" w:rsidRDefault="00B1074D" w:rsidP="00A549D6">
      <w:pPr>
        <w:rPr>
          <w:bCs/>
        </w:rPr>
      </w:pPr>
      <w:bookmarkStart w:id="13" w:name="_Hlk82368279"/>
      <w:r w:rsidRPr="004D35FC">
        <w:rPr>
          <w:bCs/>
        </w:rPr>
        <w:t>Although controversial, the forced swim test is the most commonly used method to study the behavior of depressed rodents. The animals attempt to escape from the container full of water but eventually do not move, inducing despair</w:t>
      </w:r>
      <w:r w:rsidR="00986013" w:rsidRPr="004D35FC">
        <w:rPr>
          <w:bCs/>
          <w:vertAlign w:val="superscript"/>
        </w:rPr>
        <w:t>2</w:t>
      </w:r>
      <w:r w:rsidR="008E40E4" w:rsidRPr="004D35FC">
        <w:rPr>
          <w:bCs/>
          <w:vertAlign w:val="superscript"/>
        </w:rPr>
        <w:t>9</w:t>
      </w:r>
      <w:r w:rsidR="00986013" w:rsidRPr="004D35FC">
        <w:rPr>
          <w:bCs/>
        </w:rPr>
        <w:t>.</w:t>
      </w:r>
      <w:r w:rsidRPr="004D35FC">
        <w:rPr>
          <w:bCs/>
        </w:rPr>
        <w:t xml:space="preserve"> However, it is argued that immobility is difficult to evaluate as a measure of depression because this test is associated with endurance as well as feelings of despair. </w:t>
      </w:r>
      <w:r w:rsidR="00002529" w:rsidRPr="004D35FC">
        <w:rPr>
          <w:bCs/>
        </w:rPr>
        <w:t>To support the results of the forced swimming experiment, other methods of evaluating depression, such as the tail suspension test, novelty-suppressed feeding test, and sucrose consumption test, may</w:t>
      </w:r>
      <w:r w:rsidR="0022278A" w:rsidRPr="004D35FC">
        <w:rPr>
          <w:bCs/>
        </w:rPr>
        <w:t xml:space="preserve"> </w:t>
      </w:r>
      <w:r w:rsidR="00002529" w:rsidRPr="004D35FC">
        <w:rPr>
          <w:bCs/>
        </w:rPr>
        <w:t>be considered</w:t>
      </w:r>
      <w:r w:rsidR="00002529" w:rsidRPr="004D35FC">
        <w:rPr>
          <w:bCs/>
          <w:vertAlign w:val="superscript"/>
        </w:rPr>
        <w:t>30,31</w:t>
      </w:r>
      <w:r w:rsidR="00002529" w:rsidRPr="004D35FC">
        <w:rPr>
          <w:bCs/>
        </w:rPr>
        <w:t>.</w:t>
      </w:r>
      <w:bookmarkEnd w:id="13"/>
      <w:r w:rsidR="00986013" w:rsidRPr="004D35FC">
        <w:rPr>
          <w:bCs/>
        </w:rPr>
        <w:t xml:space="preserve"> In the present study, immobilization time was increased after burn injury, and this increase was restored by acetaminophen administration.</w:t>
      </w:r>
    </w:p>
    <w:p w14:paraId="00000073" w14:textId="77777777" w:rsidR="00F15B22" w:rsidRPr="004D35FC" w:rsidRDefault="00F15B22" w:rsidP="00A549D6">
      <w:pPr>
        <w:rPr>
          <w:bCs/>
        </w:rPr>
      </w:pPr>
    </w:p>
    <w:p w14:paraId="00000074" w14:textId="7E58127A" w:rsidR="00F15B22" w:rsidRPr="004D35FC" w:rsidRDefault="004C4D25" w:rsidP="00A549D6">
      <w:pPr>
        <w:rPr>
          <w:bCs/>
        </w:rPr>
      </w:pPr>
      <w:bookmarkStart w:id="14" w:name="_Hlk82369263"/>
      <w:bookmarkStart w:id="15" w:name="_Hlk82375687"/>
      <w:r w:rsidRPr="004D35FC">
        <w:rPr>
          <w:bCs/>
        </w:rPr>
        <w:t>The protocol</w:t>
      </w:r>
      <w:r w:rsidR="00F80006" w:rsidRPr="004D35FC">
        <w:rPr>
          <w:bCs/>
        </w:rPr>
        <w:t>s</w:t>
      </w:r>
      <w:r w:rsidRPr="004D35FC">
        <w:rPr>
          <w:bCs/>
        </w:rPr>
        <w:t xml:space="preserve"> </w:t>
      </w:r>
      <w:r w:rsidR="00F80006" w:rsidRPr="004D35FC">
        <w:rPr>
          <w:bCs/>
        </w:rPr>
        <w:t>of</w:t>
      </w:r>
      <w:r w:rsidRPr="004D35FC">
        <w:rPr>
          <w:bCs/>
        </w:rPr>
        <w:t xml:space="preserve"> this study </w:t>
      </w:r>
      <w:r w:rsidR="00F80006" w:rsidRPr="004D35FC">
        <w:rPr>
          <w:bCs/>
        </w:rPr>
        <w:t>were</w:t>
      </w:r>
      <w:r w:rsidRPr="004D35FC">
        <w:rPr>
          <w:bCs/>
        </w:rPr>
        <w:t xml:space="preserve"> designed to establish a model of acute pain accompanying depression-like behavior after burn injury. </w:t>
      </w:r>
      <w:r w:rsidR="00881167" w:rsidRPr="004D35FC">
        <w:rPr>
          <w:bCs/>
        </w:rPr>
        <w:t xml:space="preserve">The </w:t>
      </w:r>
      <w:r w:rsidR="005419B3" w:rsidRPr="004D35FC">
        <w:rPr>
          <w:bCs/>
        </w:rPr>
        <w:t>depressi</w:t>
      </w:r>
      <w:r w:rsidR="005419B3">
        <w:rPr>
          <w:bCs/>
        </w:rPr>
        <w:t>on</w:t>
      </w:r>
      <w:r w:rsidR="00881167" w:rsidRPr="004D35FC">
        <w:rPr>
          <w:bCs/>
        </w:rPr>
        <w:t xml:space="preserve">-like behavior in this study may be </w:t>
      </w:r>
      <w:r w:rsidR="005419B3">
        <w:rPr>
          <w:bCs/>
        </w:rPr>
        <w:t xml:space="preserve">the </w:t>
      </w:r>
      <w:r w:rsidR="00881167" w:rsidRPr="004D35FC">
        <w:rPr>
          <w:bCs/>
        </w:rPr>
        <w:t>secondary effects of physical impairment and changes in thermal sensitivity after</w:t>
      </w:r>
      <w:r w:rsidR="0022278A" w:rsidRPr="004D35FC">
        <w:rPr>
          <w:bCs/>
        </w:rPr>
        <w:t xml:space="preserve"> </w:t>
      </w:r>
      <w:r w:rsidR="00881167" w:rsidRPr="004D35FC">
        <w:rPr>
          <w:bCs/>
        </w:rPr>
        <w:t>burn injury</w:t>
      </w:r>
      <w:r w:rsidR="00905B8D" w:rsidRPr="004D35FC">
        <w:rPr>
          <w:bCs/>
          <w:vertAlign w:val="superscript"/>
        </w:rPr>
        <w:t>15</w:t>
      </w:r>
      <w:r w:rsidR="00986013" w:rsidRPr="004D35FC">
        <w:rPr>
          <w:bCs/>
          <w:vertAlign w:val="superscript"/>
        </w:rPr>
        <w:t>,</w:t>
      </w:r>
      <w:r w:rsidR="00942C41" w:rsidRPr="004D35FC">
        <w:rPr>
          <w:bCs/>
          <w:vertAlign w:val="superscript"/>
        </w:rPr>
        <w:t>3</w:t>
      </w:r>
      <w:r w:rsidR="00905B8D" w:rsidRPr="004D35FC">
        <w:rPr>
          <w:bCs/>
          <w:vertAlign w:val="superscript"/>
        </w:rPr>
        <w:t>2</w:t>
      </w:r>
      <w:r w:rsidR="00986013" w:rsidRPr="004D35FC">
        <w:rPr>
          <w:bCs/>
          <w:vertAlign w:val="superscript"/>
        </w:rPr>
        <w:t>,</w:t>
      </w:r>
      <w:r w:rsidR="00942C41" w:rsidRPr="004D35FC">
        <w:rPr>
          <w:bCs/>
          <w:vertAlign w:val="superscript"/>
        </w:rPr>
        <w:t>3</w:t>
      </w:r>
      <w:r w:rsidR="00905B8D" w:rsidRPr="004D35FC">
        <w:rPr>
          <w:bCs/>
          <w:vertAlign w:val="superscript"/>
        </w:rPr>
        <w:t>3</w:t>
      </w:r>
      <w:r w:rsidR="00986013" w:rsidRPr="004D35FC">
        <w:rPr>
          <w:bCs/>
        </w:rPr>
        <w:t>.</w:t>
      </w:r>
      <w:bookmarkEnd w:id="14"/>
      <w:r w:rsidR="00905B8D" w:rsidRPr="004D35FC">
        <w:rPr>
          <w:bCs/>
        </w:rPr>
        <w:t xml:space="preserve"> </w:t>
      </w:r>
      <w:r w:rsidR="00332BC7" w:rsidRPr="004D35FC">
        <w:rPr>
          <w:bCs/>
        </w:rPr>
        <w:t>The result</w:t>
      </w:r>
      <w:r w:rsidR="0022278A" w:rsidRPr="004D35FC">
        <w:rPr>
          <w:bCs/>
        </w:rPr>
        <w:t xml:space="preserve">s </w:t>
      </w:r>
      <w:r w:rsidR="00332BC7" w:rsidRPr="004D35FC">
        <w:rPr>
          <w:bCs/>
        </w:rPr>
        <w:t>could suggest that mice with induced</w:t>
      </w:r>
      <w:r w:rsidR="00231DB6" w:rsidRPr="004D35FC">
        <w:rPr>
          <w:bCs/>
        </w:rPr>
        <w:t xml:space="preserve"> acute</w:t>
      </w:r>
      <w:r w:rsidR="00332BC7" w:rsidRPr="004D35FC">
        <w:rPr>
          <w:bCs/>
        </w:rPr>
        <w:t xml:space="preserve"> pain after burn injury exhibited depression-like behavior. It has been shown to improve pain response and consequent depression-like behaviors by experimentally treated drugs.</w:t>
      </w:r>
      <w:bookmarkEnd w:id="15"/>
    </w:p>
    <w:p w14:paraId="00000075" w14:textId="1D95E225" w:rsidR="00F15B22" w:rsidRPr="004D35FC" w:rsidRDefault="00F15B22" w:rsidP="00A549D6">
      <w:pPr>
        <w:rPr>
          <w:bCs/>
        </w:rPr>
      </w:pPr>
    </w:p>
    <w:p w14:paraId="5ADDBE8B" w14:textId="3277F169" w:rsidR="00905B8D" w:rsidRPr="004D35FC" w:rsidRDefault="00905B8D" w:rsidP="00905B8D">
      <w:pPr>
        <w:rPr>
          <w:bCs/>
        </w:rPr>
      </w:pPr>
      <w:r w:rsidRPr="004D35FC">
        <w:rPr>
          <w:bCs/>
        </w:rPr>
        <w:t xml:space="preserve">The rota-rod test is a performance test based on a rotational load that is generally forcibly applied to rodents with athletic activity. The test measures parameters such as running time and endurance. Some of the </w:t>
      </w:r>
      <w:r w:rsidR="0022278A" w:rsidRPr="004D35FC">
        <w:rPr>
          <w:bCs/>
        </w:rPr>
        <w:t>test features include, among others,</w:t>
      </w:r>
      <w:r w:rsidRPr="004D35FC">
        <w:rPr>
          <w:bCs/>
        </w:rPr>
        <w:t xml:space="preserve"> the effects of an experimental drug or the balance of subjects in </w:t>
      </w:r>
      <w:r w:rsidR="0022278A" w:rsidRPr="004D35FC">
        <w:rPr>
          <w:bCs/>
        </w:rPr>
        <w:t xml:space="preserve">the </w:t>
      </w:r>
      <w:r w:rsidRPr="004D35FC">
        <w:rPr>
          <w:bCs/>
        </w:rPr>
        <w:t>neuropathic pain model, grip strength</w:t>
      </w:r>
      <w:r w:rsidR="0022278A" w:rsidRPr="004D35FC">
        <w:rPr>
          <w:bCs/>
        </w:rPr>
        <w:t>,</w:t>
      </w:r>
      <w:r w:rsidRPr="004D35FC">
        <w:rPr>
          <w:bCs/>
        </w:rPr>
        <w:t xml:space="preserve"> and motor coordination assessment</w:t>
      </w:r>
      <w:r w:rsidRPr="004D35FC">
        <w:rPr>
          <w:bCs/>
          <w:vertAlign w:val="superscript"/>
        </w:rPr>
        <w:t>22,25,34</w:t>
      </w:r>
      <w:r w:rsidRPr="004D35FC">
        <w:rPr>
          <w:bCs/>
        </w:rPr>
        <w:t xml:space="preserve">. As shown in </w:t>
      </w:r>
      <w:r w:rsidR="0022278A" w:rsidRPr="004D35FC">
        <w:rPr>
          <w:bCs/>
        </w:rPr>
        <w:t xml:space="preserve">the </w:t>
      </w:r>
      <w:r w:rsidRPr="004D35FC">
        <w:rPr>
          <w:bCs/>
        </w:rPr>
        <w:t xml:space="preserve">results of this study, there was no change in the rota-rod running times following burn injury or acetaminophen treatment compared with that of </w:t>
      </w:r>
      <w:r w:rsidR="0022278A" w:rsidRPr="004D35FC">
        <w:rPr>
          <w:bCs/>
        </w:rPr>
        <w:t xml:space="preserve">the </w:t>
      </w:r>
      <w:r w:rsidRPr="004D35FC">
        <w:rPr>
          <w:bCs/>
        </w:rPr>
        <w:t>control group.</w:t>
      </w:r>
    </w:p>
    <w:p w14:paraId="722D8A8D" w14:textId="77777777" w:rsidR="00905B8D" w:rsidRPr="004D35FC" w:rsidRDefault="00905B8D" w:rsidP="00A549D6">
      <w:pPr>
        <w:rPr>
          <w:bCs/>
        </w:rPr>
      </w:pPr>
    </w:p>
    <w:p w14:paraId="00000076" w14:textId="360F01A3" w:rsidR="00F15B22" w:rsidRPr="004D35FC" w:rsidRDefault="00986013" w:rsidP="00A549D6">
      <w:pPr>
        <w:rPr>
          <w:bCs/>
        </w:rPr>
      </w:pPr>
      <w:r w:rsidRPr="004D35FC">
        <w:rPr>
          <w:bCs/>
        </w:rPr>
        <w:t xml:space="preserve">This study demonstrates the development of an animal model for </w:t>
      </w:r>
      <w:r w:rsidR="0022278A" w:rsidRPr="004D35FC">
        <w:rPr>
          <w:bCs/>
        </w:rPr>
        <w:t>studying</w:t>
      </w:r>
      <w:r w:rsidRPr="004D35FC">
        <w:rPr>
          <w:bCs/>
        </w:rPr>
        <w:t xml:space="preserve"> burn injury-induced pain and depression-like behavior in mice. In this regard, this study has shown that scalding burn injuries induced mechanical allodynia, alterations of gait parameters, and depression-like behavior such as immobility time. This model is suitable for research on the various aspects and outcomes of burn pain and its treatment and is expected to bring important information to this research field.</w:t>
      </w:r>
    </w:p>
    <w:p w14:paraId="00000077" w14:textId="77777777" w:rsidR="00F15B22" w:rsidRPr="004D35FC" w:rsidRDefault="00F15B22" w:rsidP="00A549D6">
      <w:pPr>
        <w:rPr>
          <w:bCs/>
        </w:rPr>
      </w:pPr>
    </w:p>
    <w:p w14:paraId="00000078" w14:textId="3E750F81" w:rsidR="00F15B22" w:rsidRPr="004D35FC" w:rsidRDefault="00986013" w:rsidP="00A549D6">
      <w:pPr>
        <w:pBdr>
          <w:top w:val="nil"/>
          <w:left w:val="nil"/>
          <w:bottom w:val="nil"/>
          <w:right w:val="nil"/>
          <w:between w:val="nil"/>
        </w:pBdr>
        <w:rPr>
          <w:b/>
        </w:rPr>
      </w:pPr>
      <w:r w:rsidRPr="004D35FC">
        <w:rPr>
          <w:b/>
        </w:rPr>
        <w:t>ACKNOWLEDGMENTS:</w:t>
      </w:r>
    </w:p>
    <w:p w14:paraId="00000079" w14:textId="1C596361" w:rsidR="00F15B22" w:rsidRPr="004D35FC" w:rsidRDefault="00986013" w:rsidP="00A549D6">
      <w:pPr>
        <w:rPr>
          <w:bCs/>
        </w:rPr>
      </w:pPr>
      <w:r w:rsidRPr="004D35FC">
        <w:rPr>
          <w:bCs/>
        </w:rPr>
        <w:t>This research was supported by the Chungnam National University and the National Research Foundation of Korea (NRF) grant funded by the government</w:t>
      </w:r>
      <w:r w:rsidR="00CE6071">
        <w:rPr>
          <w:bCs/>
        </w:rPr>
        <w:t xml:space="preserve"> of </w:t>
      </w:r>
      <w:r w:rsidR="00CE6071" w:rsidRPr="004D35FC">
        <w:rPr>
          <w:bCs/>
        </w:rPr>
        <w:t>Korea</w:t>
      </w:r>
      <w:r w:rsidRPr="004D35FC">
        <w:rPr>
          <w:bCs/>
        </w:rPr>
        <w:t xml:space="preserve"> (NRF-2019R1A6A3A01093963 and NRF-2021R1F1A1062509).</w:t>
      </w:r>
    </w:p>
    <w:p w14:paraId="0000007A" w14:textId="77777777" w:rsidR="00F15B22" w:rsidRPr="004D35FC" w:rsidRDefault="00F15B22" w:rsidP="00A549D6">
      <w:pPr>
        <w:rPr>
          <w:bCs/>
        </w:rPr>
      </w:pPr>
    </w:p>
    <w:p w14:paraId="0000007B" w14:textId="2BE090D8" w:rsidR="00F15B22" w:rsidRPr="004D35FC" w:rsidRDefault="00986013" w:rsidP="00A549D6">
      <w:pPr>
        <w:pBdr>
          <w:top w:val="nil"/>
          <w:left w:val="nil"/>
          <w:bottom w:val="nil"/>
          <w:right w:val="nil"/>
          <w:between w:val="nil"/>
        </w:pBdr>
        <w:rPr>
          <w:b/>
        </w:rPr>
      </w:pPr>
      <w:r w:rsidRPr="004D35FC">
        <w:rPr>
          <w:b/>
        </w:rPr>
        <w:t>DISCLOSURES:</w:t>
      </w:r>
    </w:p>
    <w:p w14:paraId="0000007C" w14:textId="77777777" w:rsidR="00F15B22" w:rsidRPr="004D35FC" w:rsidRDefault="00986013" w:rsidP="00A549D6">
      <w:pPr>
        <w:rPr>
          <w:bCs/>
        </w:rPr>
      </w:pPr>
      <w:r w:rsidRPr="004D35FC">
        <w:rPr>
          <w:bCs/>
        </w:rPr>
        <w:t>The authors have nothing to disclose.</w:t>
      </w:r>
    </w:p>
    <w:p w14:paraId="0000007D" w14:textId="77777777" w:rsidR="00F15B22" w:rsidRPr="004D35FC" w:rsidRDefault="00F15B22" w:rsidP="00A549D6">
      <w:pPr>
        <w:rPr>
          <w:bCs/>
        </w:rPr>
      </w:pPr>
    </w:p>
    <w:p w14:paraId="0000007E" w14:textId="61218529" w:rsidR="00F15B22" w:rsidRPr="004D35FC" w:rsidRDefault="00986013" w:rsidP="00A549D6">
      <w:pPr>
        <w:rPr>
          <w:b/>
        </w:rPr>
      </w:pPr>
      <w:r w:rsidRPr="004D35FC">
        <w:rPr>
          <w:b/>
        </w:rPr>
        <w:t>REFERENCES:</w:t>
      </w:r>
    </w:p>
    <w:p w14:paraId="0000007F" w14:textId="4E04DA96" w:rsidR="00F15B22" w:rsidRPr="004D35FC" w:rsidRDefault="00986013" w:rsidP="00A549D6">
      <w:pPr>
        <w:pBdr>
          <w:top w:val="nil"/>
          <w:left w:val="nil"/>
          <w:bottom w:val="nil"/>
          <w:right w:val="nil"/>
          <w:between w:val="nil"/>
        </w:pBdr>
        <w:ind w:hanging="11"/>
        <w:rPr>
          <w:bCs/>
        </w:rPr>
      </w:pPr>
      <w:r w:rsidRPr="004D35FC">
        <w:rPr>
          <w:bCs/>
        </w:rPr>
        <w:t>1</w:t>
      </w:r>
      <w:r w:rsidR="00AC1E23">
        <w:rPr>
          <w:bCs/>
        </w:rPr>
        <w:t>.</w:t>
      </w:r>
      <w:r w:rsidRPr="004D35FC">
        <w:rPr>
          <w:bCs/>
        </w:rPr>
        <w:tab/>
        <w:t xml:space="preserve">Peck, M. D. Epidemiology of burns throughout the World. Part II: intentional burns in adults. </w:t>
      </w:r>
      <w:r w:rsidRPr="004D35FC">
        <w:rPr>
          <w:bCs/>
          <w:i/>
        </w:rPr>
        <w:t>Burns</w:t>
      </w:r>
      <w:r w:rsidRPr="003A13F2">
        <w:rPr>
          <w:bCs/>
          <w:iCs/>
        </w:rPr>
        <w:t>.</w:t>
      </w:r>
      <w:r w:rsidRPr="00AC1E23">
        <w:rPr>
          <w:bCs/>
          <w:iCs/>
        </w:rPr>
        <w:t xml:space="preserve"> </w:t>
      </w:r>
      <w:r w:rsidRPr="004D35FC">
        <w:rPr>
          <w:b/>
        </w:rPr>
        <w:t>38</w:t>
      </w:r>
      <w:r w:rsidRPr="004D35FC">
        <w:rPr>
          <w:bCs/>
        </w:rPr>
        <w:t xml:space="preserve"> (5), 630</w:t>
      </w:r>
      <w:r w:rsidR="0022278A" w:rsidRPr="004D35FC">
        <w:rPr>
          <w:bCs/>
        </w:rPr>
        <w:t>–</w:t>
      </w:r>
      <w:r w:rsidRPr="004D35FC">
        <w:rPr>
          <w:bCs/>
        </w:rPr>
        <w:t>637 (2012).</w:t>
      </w:r>
    </w:p>
    <w:p w14:paraId="00000080" w14:textId="6191DD2D" w:rsidR="00F15B22" w:rsidRPr="004D35FC" w:rsidRDefault="00986013" w:rsidP="00A549D6">
      <w:pPr>
        <w:pBdr>
          <w:top w:val="nil"/>
          <w:left w:val="nil"/>
          <w:bottom w:val="nil"/>
          <w:right w:val="nil"/>
          <w:between w:val="nil"/>
        </w:pBdr>
        <w:ind w:hanging="11"/>
        <w:rPr>
          <w:bCs/>
        </w:rPr>
      </w:pPr>
      <w:r w:rsidRPr="004D35FC">
        <w:rPr>
          <w:bCs/>
        </w:rPr>
        <w:t>2</w:t>
      </w:r>
      <w:r w:rsidR="00AC1E23">
        <w:rPr>
          <w:bCs/>
        </w:rPr>
        <w:t>.</w:t>
      </w:r>
      <w:r w:rsidRPr="004D35FC">
        <w:rPr>
          <w:bCs/>
        </w:rPr>
        <w:tab/>
        <w:t xml:space="preserve">Tracy, L. M., Cleland, H. Pain assessment following burn injury in Australia and New Zealand: Variation in practice and its association on in-hospital outcomes. </w:t>
      </w:r>
      <w:r w:rsidRPr="004D35FC">
        <w:rPr>
          <w:bCs/>
          <w:i/>
        </w:rPr>
        <w:t>Australasian Emergency Care</w:t>
      </w:r>
      <w:r w:rsidRPr="003A13F2">
        <w:rPr>
          <w:bCs/>
          <w:iCs/>
        </w:rPr>
        <w:t>.</w:t>
      </w:r>
      <w:r w:rsidRPr="00AC1E23">
        <w:rPr>
          <w:bCs/>
          <w:iCs/>
        </w:rPr>
        <w:t xml:space="preserve"> </w:t>
      </w:r>
      <w:r w:rsidRPr="004D35FC">
        <w:rPr>
          <w:b/>
        </w:rPr>
        <w:t>24</w:t>
      </w:r>
      <w:r w:rsidRPr="004D35FC">
        <w:rPr>
          <w:bCs/>
        </w:rPr>
        <w:t xml:space="preserve"> (1), 73</w:t>
      </w:r>
      <w:r w:rsidR="0022278A" w:rsidRPr="004D35FC">
        <w:rPr>
          <w:bCs/>
        </w:rPr>
        <w:t>–</w:t>
      </w:r>
      <w:r w:rsidRPr="004D35FC">
        <w:rPr>
          <w:bCs/>
        </w:rPr>
        <w:t>79 (2021).</w:t>
      </w:r>
    </w:p>
    <w:p w14:paraId="00000081" w14:textId="45236DE5" w:rsidR="00F15B22" w:rsidRPr="004D35FC" w:rsidRDefault="00986013" w:rsidP="00A549D6">
      <w:pPr>
        <w:pBdr>
          <w:top w:val="nil"/>
          <w:left w:val="nil"/>
          <w:bottom w:val="nil"/>
          <w:right w:val="nil"/>
          <w:between w:val="nil"/>
        </w:pBdr>
        <w:ind w:hanging="11"/>
        <w:rPr>
          <w:bCs/>
        </w:rPr>
      </w:pPr>
      <w:r w:rsidRPr="004D35FC">
        <w:rPr>
          <w:bCs/>
        </w:rPr>
        <w:t>3</w:t>
      </w:r>
      <w:r w:rsidR="00AC1E23">
        <w:rPr>
          <w:bCs/>
        </w:rPr>
        <w:t>.</w:t>
      </w:r>
      <w:r w:rsidRPr="004D35FC">
        <w:rPr>
          <w:bCs/>
        </w:rPr>
        <w:tab/>
        <w:t xml:space="preserve">Montgomery, R. K. Pain management in burn injury. </w:t>
      </w:r>
      <w:r w:rsidRPr="004D35FC">
        <w:rPr>
          <w:bCs/>
          <w:i/>
        </w:rPr>
        <w:t>Critical Care Nursing Clinics of North America</w:t>
      </w:r>
      <w:r w:rsidRPr="003A13F2">
        <w:rPr>
          <w:bCs/>
          <w:iCs/>
        </w:rPr>
        <w:t>.</w:t>
      </w:r>
      <w:r w:rsidRPr="00AC1E23">
        <w:rPr>
          <w:bCs/>
          <w:iCs/>
        </w:rPr>
        <w:t xml:space="preserve"> </w:t>
      </w:r>
      <w:r w:rsidRPr="004D35FC">
        <w:rPr>
          <w:b/>
        </w:rPr>
        <w:t>16</w:t>
      </w:r>
      <w:r w:rsidRPr="004D35FC">
        <w:rPr>
          <w:bCs/>
        </w:rPr>
        <w:t xml:space="preserve"> (1), 39</w:t>
      </w:r>
      <w:r w:rsidR="0022278A" w:rsidRPr="004D35FC">
        <w:rPr>
          <w:bCs/>
        </w:rPr>
        <w:t>–</w:t>
      </w:r>
      <w:r w:rsidRPr="004D35FC">
        <w:rPr>
          <w:bCs/>
        </w:rPr>
        <w:t>49 (2004).</w:t>
      </w:r>
    </w:p>
    <w:p w14:paraId="00000082" w14:textId="219AAFDE" w:rsidR="00F15B22" w:rsidRPr="004D35FC" w:rsidRDefault="00986013" w:rsidP="00A549D6">
      <w:pPr>
        <w:pBdr>
          <w:top w:val="nil"/>
          <w:left w:val="nil"/>
          <w:bottom w:val="nil"/>
          <w:right w:val="nil"/>
          <w:between w:val="nil"/>
        </w:pBdr>
        <w:ind w:hanging="11"/>
        <w:rPr>
          <w:bCs/>
        </w:rPr>
      </w:pPr>
      <w:r w:rsidRPr="004D35FC">
        <w:rPr>
          <w:bCs/>
        </w:rPr>
        <w:t>4</w:t>
      </w:r>
      <w:r w:rsidR="00AC1E23">
        <w:rPr>
          <w:bCs/>
        </w:rPr>
        <w:t>.</w:t>
      </w:r>
      <w:r w:rsidRPr="004D35FC">
        <w:rPr>
          <w:bCs/>
        </w:rPr>
        <w:tab/>
        <w:t xml:space="preserve">Kang, D. W., Choi, J. G. Bee venom reduces burn-induced pain via the suppression of peripheral and central substance P expression in mice. </w:t>
      </w:r>
      <w:r w:rsidRPr="004D35FC">
        <w:rPr>
          <w:bCs/>
          <w:i/>
        </w:rPr>
        <w:t>Journal of Veterinary Science</w:t>
      </w:r>
      <w:r w:rsidRPr="003A13F2">
        <w:rPr>
          <w:bCs/>
          <w:iCs/>
        </w:rPr>
        <w:t>.</w:t>
      </w:r>
      <w:r w:rsidRPr="00AC1E23">
        <w:rPr>
          <w:bCs/>
          <w:iCs/>
        </w:rPr>
        <w:t xml:space="preserve"> </w:t>
      </w:r>
      <w:r w:rsidRPr="004D35FC">
        <w:rPr>
          <w:b/>
        </w:rPr>
        <w:t>22</w:t>
      </w:r>
      <w:r w:rsidRPr="004D35FC">
        <w:rPr>
          <w:bCs/>
        </w:rPr>
        <w:t xml:space="preserve"> (1), e9 (2021).</w:t>
      </w:r>
    </w:p>
    <w:p w14:paraId="00000083" w14:textId="71D36AE0" w:rsidR="00F15B22" w:rsidRPr="004D35FC" w:rsidRDefault="00986013" w:rsidP="00A549D6">
      <w:pPr>
        <w:pBdr>
          <w:top w:val="nil"/>
          <w:left w:val="nil"/>
          <w:bottom w:val="nil"/>
          <w:right w:val="nil"/>
          <w:between w:val="nil"/>
        </w:pBdr>
        <w:ind w:hanging="11"/>
        <w:rPr>
          <w:bCs/>
        </w:rPr>
      </w:pPr>
      <w:r w:rsidRPr="004D35FC">
        <w:rPr>
          <w:bCs/>
        </w:rPr>
        <w:t>5</w:t>
      </w:r>
      <w:r w:rsidR="00AC1E23">
        <w:rPr>
          <w:bCs/>
        </w:rPr>
        <w:t>.</w:t>
      </w:r>
      <w:r w:rsidRPr="004D35FC">
        <w:rPr>
          <w:bCs/>
        </w:rPr>
        <w:tab/>
        <w:t>Abdi, S.</w:t>
      </w:r>
      <w:r w:rsidR="0022278A" w:rsidRPr="004D35FC">
        <w:rPr>
          <w:bCs/>
        </w:rPr>
        <w:t xml:space="preserve">, </w:t>
      </w:r>
      <w:r w:rsidRPr="004D35FC">
        <w:rPr>
          <w:bCs/>
        </w:rPr>
        <w:t xml:space="preserve">Zhou, Y. Management of pain after burn injury. </w:t>
      </w:r>
      <w:r w:rsidRPr="004D35FC">
        <w:rPr>
          <w:bCs/>
          <w:i/>
        </w:rPr>
        <w:t>Current Opinion in Anaesthesiology</w:t>
      </w:r>
      <w:r w:rsidRPr="003A13F2">
        <w:rPr>
          <w:bCs/>
          <w:iCs/>
        </w:rPr>
        <w:t>.</w:t>
      </w:r>
      <w:r w:rsidRPr="00AC1E23">
        <w:rPr>
          <w:bCs/>
          <w:iCs/>
        </w:rPr>
        <w:t xml:space="preserve"> </w:t>
      </w:r>
      <w:r w:rsidRPr="004D35FC">
        <w:rPr>
          <w:b/>
        </w:rPr>
        <w:t>15</w:t>
      </w:r>
      <w:r w:rsidRPr="004D35FC">
        <w:rPr>
          <w:bCs/>
        </w:rPr>
        <w:t xml:space="preserve"> (5), 563</w:t>
      </w:r>
      <w:r w:rsidR="0022278A" w:rsidRPr="004D35FC">
        <w:rPr>
          <w:bCs/>
        </w:rPr>
        <w:t>–</w:t>
      </w:r>
      <w:r w:rsidRPr="004D35FC">
        <w:rPr>
          <w:bCs/>
        </w:rPr>
        <w:t>567 (2002).</w:t>
      </w:r>
    </w:p>
    <w:p w14:paraId="00000084" w14:textId="7EBAB252" w:rsidR="00F15B22" w:rsidRPr="004D35FC" w:rsidRDefault="00986013" w:rsidP="00A549D6">
      <w:pPr>
        <w:pBdr>
          <w:top w:val="nil"/>
          <w:left w:val="nil"/>
          <w:bottom w:val="nil"/>
          <w:right w:val="nil"/>
          <w:between w:val="nil"/>
        </w:pBdr>
        <w:ind w:hanging="11"/>
        <w:rPr>
          <w:bCs/>
        </w:rPr>
      </w:pPr>
      <w:r w:rsidRPr="004D35FC">
        <w:rPr>
          <w:bCs/>
        </w:rPr>
        <w:t>6</w:t>
      </w:r>
      <w:r w:rsidR="00AC1E23">
        <w:rPr>
          <w:bCs/>
        </w:rPr>
        <w:t>.</w:t>
      </w:r>
      <w:r w:rsidRPr="004D35FC">
        <w:rPr>
          <w:bCs/>
        </w:rPr>
        <w:tab/>
        <w:t xml:space="preserve">Ullrich, P. M., Askay, S. W. Pain, depression, and physical functioning following burn injury. </w:t>
      </w:r>
      <w:r w:rsidRPr="004D35FC">
        <w:rPr>
          <w:bCs/>
          <w:i/>
        </w:rPr>
        <w:t>Rehabilitation Psychology</w:t>
      </w:r>
      <w:r w:rsidRPr="003A13F2">
        <w:rPr>
          <w:bCs/>
          <w:iCs/>
        </w:rPr>
        <w:t>.</w:t>
      </w:r>
      <w:r w:rsidRPr="00AC1E23">
        <w:rPr>
          <w:bCs/>
          <w:iCs/>
        </w:rPr>
        <w:t xml:space="preserve"> </w:t>
      </w:r>
      <w:r w:rsidRPr="004D35FC">
        <w:rPr>
          <w:b/>
        </w:rPr>
        <w:t>54</w:t>
      </w:r>
      <w:r w:rsidRPr="004D35FC">
        <w:rPr>
          <w:bCs/>
        </w:rPr>
        <w:t xml:space="preserve"> (2), 211</w:t>
      </w:r>
      <w:r w:rsidR="0022278A" w:rsidRPr="004D35FC">
        <w:rPr>
          <w:bCs/>
        </w:rPr>
        <w:t>–</w:t>
      </w:r>
      <w:r w:rsidRPr="004D35FC">
        <w:rPr>
          <w:bCs/>
        </w:rPr>
        <w:t>216 (2009).</w:t>
      </w:r>
    </w:p>
    <w:p w14:paraId="00000085" w14:textId="52CE2CE4" w:rsidR="00F15B22" w:rsidRPr="004D35FC" w:rsidRDefault="00986013" w:rsidP="00A549D6">
      <w:pPr>
        <w:pBdr>
          <w:top w:val="nil"/>
          <w:left w:val="nil"/>
          <w:bottom w:val="nil"/>
          <w:right w:val="nil"/>
          <w:between w:val="nil"/>
        </w:pBdr>
        <w:ind w:hanging="11"/>
        <w:rPr>
          <w:bCs/>
        </w:rPr>
      </w:pPr>
      <w:r w:rsidRPr="004D35FC">
        <w:rPr>
          <w:bCs/>
        </w:rPr>
        <w:t>7</w:t>
      </w:r>
      <w:r w:rsidR="00AC1E23">
        <w:rPr>
          <w:bCs/>
        </w:rPr>
        <w:t>.</w:t>
      </w:r>
      <w:r w:rsidRPr="004D35FC">
        <w:rPr>
          <w:bCs/>
        </w:rPr>
        <w:tab/>
        <w:t xml:space="preserve">Patwa, S., Benson, C. A. Spinal cord motor neuron plasticity accompanies second-degree burn injury and chronic pain. </w:t>
      </w:r>
      <w:r w:rsidRPr="004D35FC">
        <w:rPr>
          <w:bCs/>
          <w:i/>
        </w:rPr>
        <w:t>Physiological Reports</w:t>
      </w:r>
      <w:r w:rsidRPr="003A13F2">
        <w:rPr>
          <w:bCs/>
          <w:iCs/>
        </w:rPr>
        <w:t>.</w:t>
      </w:r>
      <w:r w:rsidRPr="00AC1E23">
        <w:rPr>
          <w:bCs/>
          <w:iCs/>
        </w:rPr>
        <w:t xml:space="preserve"> </w:t>
      </w:r>
      <w:r w:rsidRPr="004D35FC">
        <w:rPr>
          <w:b/>
        </w:rPr>
        <w:t>7</w:t>
      </w:r>
      <w:r w:rsidRPr="004D35FC">
        <w:rPr>
          <w:bCs/>
        </w:rPr>
        <w:t xml:space="preserve"> (23), e14288 (2019).</w:t>
      </w:r>
    </w:p>
    <w:p w14:paraId="4E74FD04" w14:textId="10FC9A21" w:rsidR="005A4BFC" w:rsidRPr="004D35FC" w:rsidRDefault="005A4BFC" w:rsidP="00881167">
      <w:pPr>
        <w:pBdr>
          <w:top w:val="nil"/>
          <w:left w:val="nil"/>
          <w:bottom w:val="nil"/>
          <w:right w:val="nil"/>
          <w:between w:val="nil"/>
        </w:pBdr>
        <w:rPr>
          <w:bCs/>
          <w:lang w:eastAsia="ko-KR"/>
        </w:rPr>
      </w:pPr>
      <w:r w:rsidRPr="004D35FC">
        <w:rPr>
          <w:bCs/>
          <w:lang w:eastAsia="ko-KR"/>
        </w:rPr>
        <w:t>8</w:t>
      </w:r>
      <w:r w:rsidR="00AC1E23">
        <w:rPr>
          <w:bCs/>
          <w:lang w:eastAsia="ko-KR"/>
        </w:rPr>
        <w:t>.</w:t>
      </w:r>
      <w:r w:rsidRPr="004D35FC">
        <w:rPr>
          <w:bCs/>
          <w:lang w:eastAsia="ko-KR"/>
        </w:rPr>
        <w:tab/>
      </w:r>
      <w:bookmarkStart w:id="16" w:name="_Hlk82349787"/>
      <w:r w:rsidRPr="004D35FC">
        <w:rPr>
          <w:bCs/>
          <w:lang w:eastAsia="ko-KR"/>
        </w:rPr>
        <w:t xml:space="preserve">Michaelides A, Zis P. Depression, anxiety and acute pain: links and management challenges. </w:t>
      </w:r>
      <w:r w:rsidRPr="004D35FC">
        <w:rPr>
          <w:bCs/>
          <w:i/>
          <w:iCs/>
          <w:lang w:eastAsia="ko-KR"/>
        </w:rPr>
        <w:t xml:space="preserve">Postgraduate </w:t>
      </w:r>
      <w:r w:rsidR="0022278A" w:rsidRPr="004D35FC">
        <w:rPr>
          <w:bCs/>
          <w:i/>
          <w:iCs/>
          <w:lang w:eastAsia="ko-KR"/>
        </w:rPr>
        <w:t>M</w:t>
      </w:r>
      <w:r w:rsidRPr="004D35FC">
        <w:rPr>
          <w:bCs/>
          <w:i/>
          <w:iCs/>
          <w:lang w:eastAsia="ko-KR"/>
        </w:rPr>
        <w:t>edicine</w:t>
      </w:r>
      <w:r w:rsidRPr="004D35FC">
        <w:rPr>
          <w:bCs/>
          <w:lang w:eastAsia="ko-KR"/>
        </w:rPr>
        <w:t xml:space="preserve">. </w:t>
      </w:r>
      <w:r w:rsidRPr="004D35FC">
        <w:rPr>
          <w:b/>
          <w:lang w:eastAsia="ko-KR"/>
        </w:rPr>
        <w:t>131</w:t>
      </w:r>
      <w:r w:rsidR="00AC1E23" w:rsidRPr="003A13F2">
        <w:rPr>
          <w:bCs/>
          <w:lang w:eastAsia="ko-KR"/>
        </w:rPr>
        <w:t xml:space="preserve"> </w:t>
      </w:r>
      <w:r w:rsidRPr="004D35FC">
        <w:rPr>
          <w:bCs/>
          <w:lang w:eastAsia="ko-KR"/>
        </w:rPr>
        <w:t>(7)</w:t>
      </w:r>
      <w:r w:rsidR="0022278A" w:rsidRPr="004D35FC">
        <w:rPr>
          <w:bCs/>
          <w:lang w:eastAsia="ko-KR"/>
        </w:rPr>
        <w:t xml:space="preserve">, </w:t>
      </w:r>
      <w:r w:rsidRPr="004D35FC">
        <w:rPr>
          <w:bCs/>
          <w:lang w:eastAsia="ko-KR"/>
        </w:rPr>
        <w:t>438</w:t>
      </w:r>
      <w:r w:rsidR="0022278A" w:rsidRPr="004D35FC">
        <w:rPr>
          <w:bCs/>
        </w:rPr>
        <w:t>–</w:t>
      </w:r>
      <w:r w:rsidRPr="004D35FC">
        <w:rPr>
          <w:bCs/>
          <w:lang w:eastAsia="ko-KR"/>
        </w:rPr>
        <w:t>444 (2019).</w:t>
      </w:r>
    </w:p>
    <w:p w14:paraId="3B34E723" w14:textId="1B896F5F" w:rsidR="005A4BFC" w:rsidRPr="004D35FC" w:rsidRDefault="005A4BFC" w:rsidP="00CF146A">
      <w:pPr>
        <w:pBdr>
          <w:top w:val="nil"/>
          <w:left w:val="nil"/>
          <w:bottom w:val="nil"/>
          <w:right w:val="nil"/>
          <w:between w:val="nil"/>
        </w:pBdr>
        <w:rPr>
          <w:bCs/>
          <w:lang w:eastAsia="ko-KR"/>
        </w:rPr>
      </w:pPr>
      <w:r w:rsidRPr="004D35FC">
        <w:rPr>
          <w:bCs/>
          <w:lang w:eastAsia="ko-KR"/>
        </w:rPr>
        <w:t>9</w:t>
      </w:r>
      <w:r w:rsidR="00AC1E23">
        <w:rPr>
          <w:bCs/>
          <w:lang w:eastAsia="ko-KR"/>
        </w:rPr>
        <w:t>.</w:t>
      </w:r>
      <w:r w:rsidRPr="004D35FC">
        <w:rPr>
          <w:bCs/>
          <w:lang w:eastAsia="ko-KR"/>
        </w:rPr>
        <w:tab/>
        <w:t xml:space="preserve">Doan, L., Manders, T., Wang, J. Neuroplasticity underlying the comorbidity of pain and depression. </w:t>
      </w:r>
      <w:r w:rsidRPr="004D35FC">
        <w:rPr>
          <w:bCs/>
          <w:i/>
          <w:iCs/>
          <w:lang w:eastAsia="ko-KR"/>
        </w:rPr>
        <w:t xml:space="preserve">Neural </w:t>
      </w:r>
      <w:r w:rsidR="0022278A" w:rsidRPr="004D35FC">
        <w:rPr>
          <w:bCs/>
          <w:i/>
          <w:iCs/>
          <w:lang w:eastAsia="ko-KR"/>
        </w:rPr>
        <w:t>P</w:t>
      </w:r>
      <w:r w:rsidRPr="004D35FC">
        <w:rPr>
          <w:bCs/>
          <w:i/>
          <w:iCs/>
          <w:lang w:eastAsia="ko-KR"/>
        </w:rPr>
        <w:t>lasticity</w:t>
      </w:r>
      <w:r w:rsidR="0022278A" w:rsidRPr="004D35FC">
        <w:rPr>
          <w:bCs/>
          <w:lang w:eastAsia="ko-KR"/>
        </w:rPr>
        <w:t>.</w:t>
      </w:r>
      <w:r w:rsidRPr="004D35FC">
        <w:rPr>
          <w:bCs/>
          <w:lang w:eastAsia="ko-KR"/>
        </w:rPr>
        <w:t xml:space="preserve"> </w:t>
      </w:r>
      <w:r w:rsidRPr="004D35FC">
        <w:rPr>
          <w:b/>
          <w:lang w:eastAsia="ko-KR"/>
        </w:rPr>
        <w:t>2015</w:t>
      </w:r>
      <w:r w:rsidRPr="004D35FC">
        <w:rPr>
          <w:bCs/>
          <w:lang w:eastAsia="ko-KR"/>
        </w:rPr>
        <w:t>, 504691 (2015).</w:t>
      </w:r>
      <w:bookmarkEnd w:id="16"/>
    </w:p>
    <w:p w14:paraId="00000086" w14:textId="706A8CF4" w:rsidR="00F15B22" w:rsidRPr="004D35FC" w:rsidRDefault="005A4BFC" w:rsidP="00A549D6">
      <w:pPr>
        <w:pBdr>
          <w:top w:val="nil"/>
          <w:left w:val="nil"/>
          <w:bottom w:val="nil"/>
          <w:right w:val="nil"/>
          <w:between w:val="nil"/>
        </w:pBdr>
        <w:ind w:hanging="11"/>
        <w:rPr>
          <w:bCs/>
        </w:rPr>
      </w:pPr>
      <w:r w:rsidRPr="004D35FC">
        <w:rPr>
          <w:bCs/>
        </w:rPr>
        <w:t>10</w:t>
      </w:r>
      <w:r w:rsidR="00AC1E23">
        <w:rPr>
          <w:bCs/>
        </w:rPr>
        <w:t>.</w:t>
      </w:r>
      <w:r w:rsidR="00986013" w:rsidRPr="004D35FC">
        <w:rPr>
          <w:bCs/>
        </w:rPr>
        <w:tab/>
        <w:t xml:space="preserve">Vachon-Presseau, E., Centeno, M. V. The </w:t>
      </w:r>
      <w:r w:rsidR="0022278A" w:rsidRPr="004D35FC">
        <w:rPr>
          <w:bCs/>
        </w:rPr>
        <w:t>emotional brain as a predictor and amplifier of chronic pa</w:t>
      </w:r>
      <w:r w:rsidR="00986013" w:rsidRPr="004D35FC">
        <w:rPr>
          <w:bCs/>
        </w:rPr>
        <w:t xml:space="preserve">in. </w:t>
      </w:r>
      <w:r w:rsidR="00986013" w:rsidRPr="004D35FC">
        <w:rPr>
          <w:bCs/>
          <w:i/>
        </w:rPr>
        <w:t>Journal of Dental Research</w:t>
      </w:r>
      <w:r w:rsidR="00986013" w:rsidRPr="003A13F2">
        <w:rPr>
          <w:bCs/>
          <w:iCs/>
        </w:rPr>
        <w:t>.</w:t>
      </w:r>
      <w:r w:rsidR="00986013" w:rsidRPr="00AC1E23">
        <w:rPr>
          <w:bCs/>
          <w:iCs/>
        </w:rPr>
        <w:t xml:space="preserve"> </w:t>
      </w:r>
      <w:r w:rsidR="00986013" w:rsidRPr="004D35FC">
        <w:rPr>
          <w:b/>
        </w:rPr>
        <w:t>95</w:t>
      </w:r>
      <w:r w:rsidR="00986013" w:rsidRPr="004D35FC">
        <w:rPr>
          <w:bCs/>
        </w:rPr>
        <w:t xml:space="preserve"> (6), 605</w:t>
      </w:r>
      <w:r w:rsidR="0022278A" w:rsidRPr="004D35FC">
        <w:rPr>
          <w:bCs/>
        </w:rPr>
        <w:t>–</w:t>
      </w:r>
      <w:r w:rsidR="00986013" w:rsidRPr="004D35FC">
        <w:rPr>
          <w:bCs/>
        </w:rPr>
        <w:t>612 (2016).</w:t>
      </w:r>
    </w:p>
    <w:p w14:paraId="00000087" w14:textId="30EA62FA" w:rsidR="00F15B22" w:rsidRPr="004D35FC" w:rsidRDefault="005A4BFC" w:rsidP="00A549D6">
      <w:pPr>
        <w:pBdr>
          <w:top w:val="nil"/>
          <w:left w:val="nil"/>
          <w:bottom w:val="nil"/>
          <w:right w:val="nil"/>
          <w:between w:val="nil"/>
        </w:pBdr>
        <w:ind w:hanging="11"/>
        <w:rPr>
          <w:bCs/>
        </w:rPr>
      </w:pPr>
      <w:r w:rsidRPr="004D35FC">
        <w:rPr>
          <w:bCs/>
        </w:rPr>
        <w:t>11</w:t>
      </w:r>
      <w:r w:rsidR="00AC1E23">
        <w:rPr>
          <w:bCs/>
        </w:rPr>
        <w:t>.</w:t>
      </w:r>
      <w:r w:rsidR="00986013" w:rsidRPr="004D35FC">
        <w:rPr>
          <w:bCs/>
        </w:rPr>
        <w:tab/>
        <w:t xml:space="preserve">Apkarian, A. V., Baliki, M. N. Predicting transition to chronic pain. </w:t>
      </w:r>
      <w:r w:rsidR="00986013" w:rsidRPr="004D35FC">
        <w:rPr>
          <w:bCs/>
          <w:i/>
        </w:rPr>
        <w:t>Current Opinion in Neurology</w:t>
      </w:r>
      <w:r w:rsidR="00986013" w:rsidRPr="003A13F2">
        <w:rPr>
          <w:bCs/>
          <w:iCs/>
        </w:rPr>
        <w:t>.</w:t>
      </w:r>
      <w:r w:rsidR="00986013" w:rsidRPr="00AC1E23">
        <w:rPr>
          <w:bCs/>
          <w:iCs/>
        </w:rPr>
        <w:t xml:space="preserve"> </w:t>
      </w:r>
      <w:r w:rsidR="00986013" w:rsidRPr="004D35FC">
        <w:rPr>
          <w:b/>
        </w:rPr>
        <w:t>26</w:t>
      </w:r>
      <w:r w:rsidR="00986013" w:rsidRPr="004D35FC">
        <w:rPr>
          <w:bCs/>
        </w:rPr>
        <w:t xml:space="preserve"> (4), 360</w:t>
      </w:r>
      <w:r w:rsidR="0022278A" w:rsidRPr="004D35FC">
        <w:rPr>
          <w:bCs/>
        </w:rPr>
        <w:t>–</w:t>
      </w:r>
      <w:r w:rsidR="00986013" w:rsidRPr="004D35FC">
        <w:rPr>
          <w:bCs/>
        </w:rPr>
        <w:t>367 (2013).</w:t>
      </w:r>
    </w:p>
    <w:p w14:paraId="00000088" w14:textId="0290F3A3" w:rsidR="00F15B22" w:rsidRPr="004D35FC" w:rsidRDefault="00986013" w:rsidP="00A549D6">
      <w:pPr>
        <w:pBdr>
          <w:top w:val="nil"/>
          <w:left w:val="nil"/>
          <w:bottom w:val="nil"/>
          <w:right w:val="nil"/>
          <w:between w:val="nil"/>
        </w:pBdr>
        <w:ind w:hanging="11"/>
        <w:rPr>
          <w:bCs/>
        </w:rPr>
      </w:pPr>
      <w:r w:rsidRPr="004D35FC">
        <w:rPr>
          <w:bCs/>
        </w:rPr>
        <w:t>1</w:t>
      </w:r>
      <w:r w:rsidR="0003519C" w:rsidRPr="004D35FC">
        <w:rPr>
          <w:bCs/>
        </w:rPr>
        <w:t>2</w:t>
      </w:r>
      <w:r w:rsidR="00AC1E23">
        <w:rPr>
          <w:bCs/>
        </w:rPr>
        <w:t>.</w:t>
      </w:r>
      <w:r w:rsidRPr="004D35FC">
        <w:rPr>
          <w:bCs/>
        </w:rPr>
        <w:tab/>
        <w:t xml:space="preserve">Yin, W., Mei, L. A Central </w:t>
      </w:r>
      <w:r w:rsidR="0022278A" w:rsidRPr="004D35FC">
        <w:rPr>
          <w:bCs/>
        </w:rPr>
        <w:t>amygdala-ventrolateral periaqueductal gray matter pathway for pain in a mouse model of depression-like beha</w:t>
      </w:r>
      <w:r w:rsidRPr="004D35FC">
        <w:rPr>
          <w:bCs/>
        </w:rPr>
        <w:t xml:space="preserve">vior. </w:t>
      </w:r>
      <w:r w:rsidRPr="004D35FC">
        <w:rPr>
          <w:bCs/>
          <w:i/>
        </w:rPr>
        <w:t>Anesthesiology</w:t>
      </w:r>
      <w:r w:rsidRPr="003A13F2">
        <w:rPr>
          <w:bCs/>
          <w:iCs/>
        </w:rPr>
        <w:t>.</w:t>
      </w:r>
      <w:r w:rsidRPr="00AC1E23">
        <w:rPr>
          <w:bCs/>
          <w:iCs/>
        </w:rPr>
        <w:t xml:space="preserve"> </w:t>
      </w:r>
      <w:r w:rsidRPr="004D35FC">
        <w:rPr>
          <w:b/>
        </w:rPr>
        <w:t>132</w:t>
      </w:r>
      <w:r w:rsidRPr="004D35FC">
        <w:rPr>
          <w:bCs/>
        </w:rPr>
        <w:t xml:space="preserve"> (5), 1175</w:t>
      </w:r>
      <w:r w:rsidR="0022278A" w:rsidRPr="004D35FC">
        <w:rPr>
          <w:bCs/>
        </w:rPr>
        <w:t>–</w:t>
      </w:r>
      <w:r w:rsidRPr="004D35FC">
        <w:rPr>
          <w:bCs/>
        </w:rPr>
        <w:t>1196 (2020).</w:t>
      </w:r>
    </w:p>
    <w:p w14:paraId="7CFCA88D" w14:textId="68C20F9C" w:rsidR="00942C41" w:rsidRPr="004D35FC" w:rsidRDefault="00942C41" w:rsidP="00A549D6">
      <w:pPr>
        <w:pBdr>
          <w:top w:val="nil"/>
          <w:left w:val="nil"/>
          <w:bottom w:val="nil"/>
          <w:right w:val="nil"/>
          <w:between w:val="nil"/>
        </w:pBdr>
        <w:ind w:hanging="11"/>
        <w:rPr>
          <w:bCs/>
          <w:lang w:eastAsia="ko-KR"/>
        </w:rPr>
      </w:pPr>
      <w:bookmarkStart w:id="17" w:name="_Hlk82349829"/>
      <w:r w:rsidRPr="004D35FC">
        <w:rPr>
          <w:bCs/>
          <w:lang w:eastAsia="ko-KR"/>
        </w:rPr>
        <w:t>13</w:t>
      </w:r>
      <w:r w:rsidR="00AC1E23">
        <w:rPr>
          <w:bCs/>
          <w:lang w:eastAsia="ko-KR"/>
        </w:rPr>
        <w:t>.</w:t>
      </w:r>
      <w:r w:rsidRPr="004D35FC">
        <w:rPr>
          <w:bCs/>
          <w:lang w:eastAsia="ko-KR"/>
        </w:rPr>
        <w:tab/>
        <w:t xml:space="preserve">Deng, Y. T., Zhao, M. G., Xu, T. J. Gentiopicroside abrogates lipopolysaccharide-induced depressive-like behavior in mice through tryptophan-degrading pathway. </w:t>
      </w:r>
      <w:r w:rsidRPr="004D35FC">
        <w:rPr>
          <w:bCs/>
          <w:i/>
          <w:iCs/>
          <w:lang w:eastAsia="ko-KR"/>
        </w:rPr>
        <w:t xml:space="preserve">Metabolic </w:t>
      </w:r>
      <w:r w:rsidR="0022278A" w:rsidRPr="004D35FC">
        <w:rPr>
          <w:bCs/>
          <w:i/>
          <w:iCs/>
          <w:lang w:eastAsia="ko-KR"/>
        </w:rPr>
        <w:t>B</w:t>
      </w:r>
      <w:r w:rsidRPr="004D35FC">
        <w:rPr>
          <w:bCs/>
          <w:i/>
          <w:iCs/>
          <w:lang w:eastAsia="ko-KR"/>
        </w:rPr>
        <w:t xml:space="preserve">rain </w:t>
      </w:r>
      <w:r w:rsidR="0022278A" w:rsidRPr="004D35FC">
        <w:rPr>
          <w:bCs/>
          <w:i/>
          <w:iCs/>
          <w:lang w:eastAsia="ko-KR"/>
        </w:rPr>
        <w:t>D</w:t>
      </w:r>
      <w:r w:rsidRPr="004D35FC">
        <w:rPr>
          <w:bCs/>
          <w:i/>
          <w:iCs/>
          <w:lang w:eastAsia="ko-KR"/>
        </w:rPr>
        <w:t>isease</w:t>
      </w:r>
      <w:r w:rsidR="0022278A" w:rsidRPr="004D35FC">
        <w:rPr>
          <w:bCs/>
          <w:lang w:eastAsia="ko-KR"/>
        </w:rPr>
        <w:t>.</w:t>
      </w:r>
      <w:r w:rsidRPr="004D35FC">
        <w:rPr>
          <w:bCs/>
          <w:lang w:eastAsia="ko-KR"/>
        </w:rPr>
        <w:t xml:space="preserve"> </w:t>
      </w:r>
      <w:r w:rsidRPr="004D35FC">
        <w:rPr>
          <w:b/>
          <w:lang w:eastAsia="ko-KR"/>
        </w:rPr>
        <w:t>33</w:t>
      </w:r>
      <w:r w:rsidR="0022278A" w:rsidRPr="003A13F2">
        <w:rPr>
          <w:bCs/>
          <w:lang w:eastAsia="ko-KR"/>
        </w:rPr>
        <w:t xml:space="preserve"> </w:t>
      </w:r>
      <w:r w:rsidRPr="004D35FC">
        <w:rPr>
          <w:bCs/>
          <w:lang w:eastAsia="ko-KR"/>
        </w:rPr>
        <w:t>(5), 1413–1420 (2018).</w:t>
      </w:r>
    </w:p>
    <w:p w14:paraId="164D2663" w14:textId="7C3A8D80" w:rsidR="00942C41" w:rsidRPr="004D35FC" w:rsidRDefault="00942C41" w:rsidP="00A549D6">
      <w:pPr>
        <w:pBdr>
          <w:top w:val="nil"/>
          <w:left w:val="nil"/>
          <w:bottom w:val="nil"/>
          <w:right w:val="nil"/>
          <w:between w:val="nil"/>
        </w:pBdr>
        <w:ind w:hanging="11"/>
        <w:rPr>
          <w:bCs/>
          <w:lang w:eastAsia="ko-KR"/>
        </w:rPr>
      </w:pPr>
      <w:r w:rsidRPr="004D35FC">
        <w:rPr>
          <w:bCs/>
          <w:lang w:eastAsia="ko-KR"/>
        </w:rPr>
        <w:t>14</w:t>
      </w:r>
      <w:r w:rsidR="00CF2338">
        <w:rPr>
          <w:bCs/>
          <w:lang w:eastAsia="ko-KR"/>
        </w:rPr>
        <w:t>.</w:t>
      </w:r>
      <w:r w:rsidRPr="004D35FC">
        <w:rPr>
          <w:bCs/>
          <w:lang w:eastAsia="ko-KR"/>
        </w:rPr>
        <w:tab/>
        <w:t xml:space="preserve">Zhang, G. F., Wang, J. Acute single dose of ketamine relieves mechanical allodynia and consequent depression-like behaviors in a rat model. </w:t>
      </w:r>
      <w:r w:rsidRPr="004D35FC">
        <w:rPr>
          <w:bCs/>
          <w:i/>
          <w:iCs/>
          <w:lang w:eastAsia="ko-KR"/>
        </w:rPr>
        <w:t xml:space="preserve">Neuroscience </w:t>
      </w:r>
      <w:r w:rsidR="00CF2338">
        <w:rPr>
          <w:bCs/>
          <w:i/>
          <w:iCs/>
          <w:lang w:eastAsia="ko-KR"/>
        </w:rPr>
        <w:t>L</w:t>
      </w:r>
      <w:r w:rsidRPr="004D35FC">
        <w:rPr>
          <w:bCs/>
          <w:i/>
          <w:iCs/>
          <w:lang w:eastAsia="ko-KR"/>
        </w:rPr>
        <w:t>etters</w:t>
      </w:r>
      <w:r w:rsidR="0022278A" w:rsidRPr="004D35FC">
        <w:rPr>
          <w:bCs/>
          <w:lang w:eastAsia="ko-KR"/>
        </w:rPr>
        <w:t>.</w:t>
      </w:r>
      <w:r w:rsidRPr="003A13F2">
        <w:rPr>
          <w:bCs/>
          <w:lang w:eastAsia="ko-KR"/>
        </w:rPr>
        <w:t xml:space="preserve"> </w:t>
      </w:r>
      <w:r w:rsidRPr="004D35FC">
        <w:rPr>
          <w:b/>
          <w:lang w:eastAsia="ko-KR"/>
        </w:rPr>
        <w:t>631</w:t>
      </w:r>
      <w:r w:rsidRPr="004D35FC">
        <w:rPr>
          <w:bCs/>
          <w:lang w:eastAsia="ko-KR"/>
        </w:rPr>
        <w:t>, 7–12 (2016).</w:t>
      </w:r>
    </w:p>
    <w:bookmarkEnd w:id="17"/>
    <w:p w14:paraId="00000089" w14:textId="3C20FEB8" w:rsidR="00F15B22" w:rsidRPr="004D35FC" w:rsidRDefault="00986013" w:rsidP="00A549D6">
      <w:pPr>
        <w:pBdr>
          <w:top w:val="nil"/>
          <w:left w:val="nil"/>
          <w:bottom w:val="nil"/>
          <w:right w:val="nil"/>
          <w:between w:val="nil"/>
        </w:pBdr>
        <w:ind w:hanging="11"/>
        <w:rPr>
          <w:bCs/>
        </w:rPr>
      </w:pPr>
      <w:r w:rsidRPr="004D35FC">
        <w:rPr>
          <w:bCs/>
        </w:rPr>
        <w:t>1</w:t>
      </w:r>
      <w:r w:rsidR="00942C41" w:rsidRPr="004D35FC">
        <w:rPr>
          <w:bCs/>
        </w:rPr>
        <w:t>5</w:t>
      </w:r>
      <w:r w:rsidR="00CF2338">
        <w:rPr>
          <w:bCs/>
        </w:rPr>
        <w:t>.</w:t>
      </w:r>
      <w:r w:rsidRPr="004D35FC">
        <w:rPr>
          <w:bCs/>
        </w:rPr>
        <w:tab/>
        <w:t xml:space="preserve">Edwards, R. R., Smith, M. T. Symptoms of depression and anxiety as unique predictors of pain-related outcomes following burn injury. </w:t>
      </w:r>
      <w:r w:rsidRPr="004D35FC">
        <w:rPr>
          <w:bCs/>
          <w:i/>
        </w:rPr>
        <w:t>Annals of Behavioral Medicine</w:t>
      </w:r>
      <w:r w:rsidRPr="003A13F2">
        <w:rPr>
          <w:bCs/>
          <w:iCs/>
        </w:rPr>
        <w:t>.</w:t>
      </w:r>
      <w:r w:rsidRPr="00CF2338">
        <w:rPr>
          <w:bCs/>
          <w:iCs/>
        </w:rPr>
        <w:t xml:space="preserve"> </w:t>
      </w:r>
      <w:r w:rsidRPr="004D35FC">
        <w:rPr>
          <w:b/>
        </w:rPr>
        <w:t>34</w:t>
      </w:r>
      <w:r w:rsidRPr="004D35FC">
        <w:rPr>
          <w:bCs/>
        </w:rPr>
        <w:t xml:space="preserve"> (3), 313</w:t>
      </w:r>
      <w:r w:rsidR="0022278A" w:rsidRPr="004D35FC">
        <w:rPr>
          <w:bCs/>
        </w:rPr>
        <w:t>–</w:t>
      </w:r>
      <w:r w:rsidRPr="004D35FC">
        <w:rPr>
          <w:bCs/>
        </w:rPr>
        <w:t>322 (2007).</w:t>
      </w:r>
    </w:p>
    <w:p w14:paraId="0000008A" w14:textId="2A77EA2E" w:rsidR="00F15B22" w:rsidRPr="004D35FC" w:rsidRDefault="00986013" w:rsidP="00A549D6">
      <w:pPr>
        <w:pBdr>
          <w:top w:val="nil"/>
          <w:left w:val="nil"/>
          <w:bottom w:val="nil"/>
          <w:right w:val="nil"/>
          <w:between w:val="nil"/>
        </w:pBdr>
        <w:ind w:hanging="11"/>
        <w:rPr>
          <w:bCs/>
        </w:rPr>
      </w:pPr>
      <w:r w:rsidRPr="004D35FC">
        <w:rPr>
          <w:bCs/>
        </w:rPr>
        <w:t>1</w:t>
      </w:r>
      <w:r w:rsidR="00942C41" w:rsidRPr="004D35FC">
        <w:rPr>
          <w:bCs/>
        </w:rPr>
        <w:t>6</w:t>
      </w:r>
      <w:r w:rsidR="00CF2338">
        <w:rPr>
          <w:bCs/>
        </w:rPr>
        <w:t>.</w:t>
      </w:r>
      <w:r w:rsidRPr="004D35FC">
        <w:rPr>
          <w:bCs/>
        </w:rPr>
        <w:tab/>
        <w:t xml:space="preserve">Pincus, T., Vlaeyen, J. W. Cognitive-behavioral therapy and psychosocial factors in low back pain: directions for the future. </w:t>
      </w:r>
      <w:r w:rsidRPr="004D35FC">
        <w:rPr>
          <w:bCs/>
          <w:i/>
        </w:rPr>
        <w:t>Spine</w:t>
      </w:r>
      <w:r w:rsidRPr="003A13F2">
        <w:rPr>
          <w:bCs/>
          <w:iCs/>
        </w:rPr>
        <w:t>.</w:t>
      </w:r>
      <w:r w:rsidRPr="00CF2338">
        <w:rPr>
          <w:bCs/>
          <w:iCs/>
        </w:rPr>
        <w:t xml:space="preserve"> </w:t>
      </w:r>
      <w:r w:rsidRPr="004D35FC">
        <w:rPr>
          <w:b/>
        </w:rPr>
        <w:t>27</w:t>
      </w:r>
      <w:r w:rsidRPr="004D35FC">
        <w:rPr>
          <w:bCs/>
        </w:rPr>
        <w:t xml:space="preserve"> (5), E133</w:t>
      </w:r>
      <w:r w:rsidR="0022278A" w:rsidRPr="004D35FC">
        <w:rPr>
          <w:bCs/>
        </w:rPr>
        <w:t>–E</w:t>
      </w:r>
      <w:r w:rsidRPr="004D35FC">
        <w:rPr>
          <w:bCs/>
        </w:rPr>
        <w:t>138 (2002).</w:t>
      </w:r>
    </w:p>
    <w:p w14:paraId="0000008B" w14:textId="049D0F25" w:rsidR="00F15B22" w:rsidRPr="004D35FC" w:rsidRDefault="00986013" w:rsidP="00A549D6">
      <w:pPr>
        <w:pBdr>
          <w:top w:val="nil"/>
          <w:left w:val="nil"/>
          <w:bottom w:val="nil"/>
          <w:right w:val="nil"/>
          <w:between w:val="nil"/>
        </w:pBdr>
        <w:ind w:hanging="11"/>
        <w:rPr>
          <w:bCs/>
        </w:rPr>
      </w:pPr>
      <w:r w:rsidRPr="004D35FC">
        <w:rPr>
          <w:bCs/>
        </w:rPr>
        <w:t>1</w:t>
      </w:r>
      <w:r w:rsidR="00942C41" w:rsidRPr="004D35FC">
        <w:rPr>
          <w:bCs/>
        </w:rPr>
        <w:t>7</w:t>
      </w:r>
      <w:r w:rsidR="00CF2338">
        <w:rPr>
          <w:bCs/>
        </w:rPr>
        <w:t>.</w:t>
      </w:r>
      <w:r w:rsidRPr="004D35FC">
        <w:rPr>
          <w:bCs/>
        </w:rPr>
        <w:tab/>
        <w:t xml:space="preserve">Laumet, G., Edralin, J. D. CD3(+) T cells are critical for the resolution of comorbid inflammatory pain and depression-like behavior. </w:t>
      </w:r>
      <w:r w:rsidRPr="004D35FC">
        <w:rPr>
          <w:bCs/>
          <w:i/>
        </w:rPr>
        <w:t>Neurobiology of Pain</w:t>
      </w:r>
      <w:r w:rsidRPr="003A13F2">
        <w:rPr>
          <w:bCs/>
          <w:iCs/>
        </w:rPr>
        <w:t>.</w:t>
      </w:r>
      <w:r w:rsidRPr="00CF2338">
        <w:rPr>
          <w:bCs/>
          <w:iCs/>
        </w:rPr>
        <w:t xml:space="preserve"> </w:t>
      </w:r>
      <w:r w:rsidRPr="004D35FC">
        <w:rPr>
          <w:b/>
        </w:rPr>
        <w:t>7</w:t>
      </w:r>
      <w:r w:rsidR="0022278A" w:rsidRPr="004D35FC">
        <w:rPr>
          <w:bCs/>
        </w:rPr>
        <w:t>,</w:t>
      </w:r>
      <w:r w:rsidRPr="004D35FC">
        <w:rPr>
          <w:bCs/>
        </w:rPr>
        <w:t xml:space="preserve"> 100043 (2020).</w:t>
      </w:r>
    </w:p>
    <w:p w14:paraId="0000008C" w14:textId="1171DFB9" w:rsidR="00F15B22" w:rsidRPr="004D35FC" w:rsidRDefault="00986013" w:rsidP="00A549D6">
      <w:pPr>
        <w:pBdr>
          <w:top w:val="nil"/>
          <w:left w:val="nil"/>
          <w:bottom w:val="nil"/>
          <w:right w:val="nil"/>
          <w:between w:val="nil"/>
        </w:pBdr>
        <w:ind w:hanging="11"/>
        <w:rPr>
          <w:bCs/>
        </w:rPr>
      </w:pPr>
      <w:r w:rsidRPr="004D35FC">
        <w:rPr>
          <w:bCs/>
        </w:rPr>
        <w:t>1</w:t>
      </w:r>
      <w:r w:rsidR="00942C41" w:rsidRPr="004D35FC">
        <w:rPr>
          <w:bCs/>
        </w:rPr>
        <w:t>8</w:t>
      </w:r>
      <w:r w:rsidR="00CF2338">
        <w:rPr>
          <w:bCs/>
        </w:rPr>
        <w:t>.</w:t>
      </w:r>
      <w:r w:rsidRPr="004D35FC">
        <w:rPr>
          <w:bCs/>
        </w:rPr>
        <w:tab/>
        <w:t xml:space="preserve">Zimmermann, M. Ethical guidelines for investigations of experimental pain in conscious animals. </w:t>
      </w:r>
      <w:r w:rsidRPr="004D35FC">
        <w:rPr>
          <w:bCs/>
          <w:i/>
        </w:rPr>
        <w:t>Pain</w:t>
      </w:r>
      <w:r w:rsidRPr="003A13F2">
        <w:rPr>
          <w:bCs/>
          <w:iCs/>
        </w:rPr>
        <w:t>.</w:t>
      </w:r>
      <w:r w:rsidRPr="00CF2338">
        <w:rPr>
          <w:bCs/>
          <w:iCs/>
        </w:rPr>
        <w:t xml:space="preserve"> </w:t>
      </w:r>
      <w:r w:rsidRPr="004D35FC">
        <w:rPr>
          <w:b/>
        </w:rPr>
        <w:t>16</w:t>
      </w:r>
      <w:r w:rsidRPr="004D35FC">
        <w:rPr>
          <w:bCs/>
        </w:rPr>
        <w:t xml:space="preserve"> (2), 109</w:t>
      </w:r>
      <w:r w:rsidR="0022278A" w:rsidRPr="004D35FC">
        <w:rPr>
          <w:bCs/>
        </w:rPr>
        <w:t>–</w:t>
      </w:r>
      <w:r w:rsidRPr="004D35FC">
        <w:rPr>
          <w:bCs/>
        </w:rPr>
        <w:t>110 (1983).</w:t>
      </w:r>
      <w:bookmarkStart w:id="18" w:name="_Hlk82358486"/>
    </w:p>
    <w:p w14:paraId="0000008D" w14:textId="08DC082D" w:rsidR="00F15B22" w:rsidRPr="004D35FC" w:rsidRDefault="00986013" w:rsidP="00A549D6">
      <w:pPr>
        <w:pBdr>
          <w:top w:val="nil"/>
          <w:left w:val="nil"/>
          <w:bottom w:val="nil"/>
          <w:right w:val="nil"/>
          <w:between w:val="nil"/>
        </w:pBdr>
        <w:ind w:hanging="11"/>
        <w:rPr>
          <w:bCs/>
        </w:rPr>
      </w:pPr>
      <w:r w:rsidRPr="004D35FC">
        <w:rPr>
          <w:bCs/>
        </w:rPr>
        <w:t>1</w:t>
      </w:r>
      <w:r w:rsidR="00942C41" w:rsidRPr="004D35FC">
        <w:rPr>
          <w:bCs/>
        </w:rPr>
        <w:t>9</w:t>
      </w:r>
      <w:r w:rsidR="00CF2338">
        <w:rPr>
          <w:bCs/>
        </w:rPr>
        <w:t>.</w:t>
      </w:r>
      <w:r w:rsidRPr="004D35FC">
        <w:rPr>
          <w:bCs/>
        </w:rPr>
        <w:tab/>
      </w:r>
      <w:r w:rsidR="00A803D5" w:rsidRPr="004D35FC">
        <w:rPr>
          <w:bCs/>
        </w:rPr>
        <w:t xml:space="preserve">Deuis, J. R., Dvorakova, L. S. Methods </w:t>
      </w:r>
      <w:r w:rsidR="0022278A" w:rsidRPr="004D35FC">
        <w:rPr>
          <w:bCs/>
        </w:rPr>
        <w:t>used to evaluate pain behaviors in rodents</w:t>
      </w:r>
      <w:r w:rsidR="00A803D5" w:rsidRPr="004D35FC">
        <w:rPr>
          <w:bCs/>
        </w:rPr>
        <w:t xml:space="preserve">. </w:t>
      </w:r>
      <w:r w:rsidR="00A803D5" w:rsidRPr="004D35FC">
        <w:rPr>
          <w:bCs/>
          <w:i/>
          <w:iCs/>
        </w:rPr>
        <w:t xml:space="preserve">Frontiers in </w:t>
      </w:r>
      <w:r w:rsidR="0022278A" w:rsidRPr="004D35FC">
        <w:rPr>
          <w:bCs/>
          <w:i/>
          <w:iCs/>
        </w:rPr>
        <w:t>Molecular Neuroscience</w:t>
      </w:r>
      <w:r w:rsidR="0022278A" w:rsidRPr="003A13F2">
        <w:rPr>
          <w:bCs/>
        </w:rPr>
        <w:t>.</w:t>
      </w:r>
      <w:r w:rsidR="00A803D5" w:rsidRPr="00CF2338">
        <w:rPr>
          <w:bCs/>
        </w:rPr>
        <w:t xml:space="preserve"> </w:t>
      </w:r>
      <w:r w:rsidR="00A803D5" w:rsidRPr="004D35FC">
        <w:rPr>
          <w:b/>
        </w:rPr>
        <w:t>10</w:t>
      </w:r>
      <w:r w:rsidR="00A803D5" w:rsidRPr="004D35FC">
        <w:rPr>
          <w:bCs/>
        </w:rPr>
        <w:t>, 284 (2017).</w:t>
      </w:r>
    </w:p>
    <w:p w14:paraId="0000008E" w14:textId="71F5A7AD" w:rsidR="00F15B22" w:rsidRPr="004D35FC" w:rsidRDefault="00942C41" w:rsidP="00A549D6">
      <w:pPr>
        <w:pBdr>
          <w:top w:val="nil"/>
          <w:left w:val="nil"/>
          <w:bottom w:val="nil"/>
          <w:right w:val="nil"/>
          <w:between w:val="nil"/>
        </w:pBdr>
        <w:ind w:hanging="11"/>
        <w:rPr>
          <w:bCs/>
        </w:rPr>
      </w:pPr>
      <w:r w:rsidRPr="004D35FC">
        <w:rPr>
          <w:bCs/>
        </w:rPr>
        <w:lastRenderedPageBreak/>
        <w:t>20</w:t>
      </w:r>
      <w:r w:rsidR="00CF2338">
        <w:rPr>
          <w:bCs/>
        </w:rPr>
        <w:t>.</w:t>
      </w:r>
      <w:r w:rsidR="00986013" w:rsidRPr="004D35FC">
        <w:rPr>
          <w:bCs/>
        </w:rPr>
        <w:tab/>
      </w:r>
      <w:r w:rsidR="009B1FA5" w:rsidRPr="004D35FC">
        <w:rPr>
          <w:bCs/>
        </w:rPr>
        <w:t xml:space="preserve">Scholz, J., Broom, D. C. Blocking caspase activity prevents transsynaptic neuronal apoptosis and the loss of inhibition in lamina II of the dorsal horn after peripheral nerve injury. </w:t>
      </w:r>
      <w:r w:rsidR="009B1FA5" w:rsidRPr="004D35FC">
        <w:rPr>
          <w:bCs/>
          <w:i/>
          <w:iCs/>
        </w:rPr>
        <w:t xml:space="preserve">The Journal of </w:t>
      </w:r>
      <w:r w:rsidR="0022278A" w:rsidRPr="004D35FC">
        <w:rPr>
          <w:bCs/>
          <w:i/>
          <w:iCs/>
        </w:rPr>
        <w:t>N</w:t>
      </w:r>
      <w:r w:rsidR="009B1FA5" w:rsidRPr="004D35FC">
        <w:rPr>
          <w:bCs/>
          <w:i/>
          <w:iCs/>
        </w:rPr>
        <w:t xml:space="preserve">euroscience: </w:t>
      </w:r>
      <w:r w:rsidR="0022278A" w:rsidRPr="004D35FC">
        <w:rPr>
          <w:bCs/>
          <w:i/>
          <w:iCs/>
        </w:rPr>
        <w:t>T</w:t>
      </w:r>
      <w:r w:rsidR="009B1FA5" w:rsidRPr="004D35FC">
        <w:rPr>
          <w:bCs/>
          <w:i/>
          <w:iCs/>
        </w:rPr>
        <w:t xml:space="preserve">he </w:t>
      </w:r>
      <w:r w:rsidR="0022278A" w:rsidRPr="004D35FC">
        <w:rPr>
          <w:bCs/>
          <w:i/>
          <w:iCs/>
        </w:rPr>
        <w:t>O</w:t>
      </w:r>
      <w:r w:rsidR="009B1FA5" w:rsidRPr="004D35FC">
        <w:rPr>
          <w:bCs/>
          <w:i/>
          <w:iCs/>
        </w:rPr>
        <w:t xml:space="preserve">fficial </w:t>
      </w:r>
      <w:r w:rsidR="0022278A" w:rsidRPr="004D35FC">
        <w:rPr>
          <w:bCs/>
          <w:i/>
          <w:iCs/>
        </w:rPr>
        <w:t>J</w:t>
      </w:r>
      <w:r w:rsidR="009B1FA5" w:rsidRPr="004D35FC">
        <w:rPr>
          <w:bCs/>
          <w:i/>
          <w:iCs/>
        </w:rPr>
        <w:t>ournal of the Society for Neuroscience</w:t>
      </w:r>
      <w:r w:rsidR="0022278A" w:rsidRPr="004D35FC">
        <w:rPr>
          <w:bCs/>
        </w:rPr>
        <w:t>.</w:t>
      </w:r>
      <w:r w:rsidR="009B1FA5" w:rsidRPr="004D35FC">
        <w:rPr>
          <w:bCs/>
        </w:rPr>
        <w:t xml:space="preserve"> </w:t>
      </w:r>
      <w:r w:rsidR="009B1FA5" w:rsidRPr="004D35FC">
        <w:rPr>
          <w:b/>
        </w:rPr>
        <w:t>25</w:t>
      </w:r>
      <w:r w:rsidR="0022278A" w:rsidRPr="004D35FC">
        <w:rPr>
          <w:b/>
        </w:rPr>
        <w:t xml:space="preserve"> </w:t>
      </w:r>
      <w:r w:rsidR="009B1FA5" w:rsidRPr="004D35FC">
        <w:rPr>
          <w:bCs/>
        </w:rPr>
        <w:t>(32), 7317–7323 (2005).</w:t>
      </w:r>
      <w:bookmarkEnd w:id="18"/>
    </w:p>
    <w:p w14:paraId="3252AEBB" w14:textId="6DFED661" w:rsidR="00F959C7" w:rsidRPr="004D35FC" w:rsidRDefault="00F959C7" w:rsidP="00A549D6">
      <w:pPr>
        <w:pBdr>
          <w:top w:val="nil"/>
          <w:left w:val="nil"/>
          <w:bottom w:val="nil"/>
          <w:right w:val="nil"/>
          <w:between w:val="nil"/>
        </w:pBdr>
        <w:ind w:hanging="11"/>
        <w:rPr>
          <w:bCs/>
          <w:lang w:eastAsia="ko-KR"/>
        </w:rPr>
      </w:pPr>
      <w:bookmarkStart w:id="19" w:name="_Hlk82362565"/>
      <w:r w:rsidRPr="004D35FC">
        <w:rPr>
          <w:bCs/>
          <w:lang w:eastAsia="ko-KR"/>
        </w:rPr>
        <w:t>21</w:t>
      </w:r>
      <w:r w:rsidR="00CF2338">
        <w:rPr>
          <w:bCs/>
          <w:lang w:eastAsia="ko-KR"/>
        </w:rPr>
        <w:t>.</w:t>
      </w:r>
      <w:r w:rsidRPr="004D35FC">
        <w:rPr>
          <w:bCs/>
          <w:lang w:eastAsia="ko-KR"/>
        </w:rPr>
        <w:tab/>
      </w:r>
      <w:r w:rsidR="004A6DE2" w:rsidRPr="004D35FC">
        <w:rPr>
          <w:bCs/>
        </w:rPr>
        <w:t xml:space="preserve">Kang, D. W., Choi, J. G. Automated </w:t>
      </w:r>
      <w:r w:rsidR="0022278A" w:rsidRPr="004D35FC">
        <w:rPr>
          <w:bCs/>
        </w:rPr>
        <w:t>gait analysis in mice with chronic constriction injury</w:t>
      </w:r>
      <w:r w:rsidR="004A6DE2" w:rsidRPr="004D35FC">
        <w:rPr>
          <w:bCs/>
        </w:rPr>
        <w:t xml:space="preserve">. </w:t>
      </w:r>
      <w:r w:rsidR="004A6DE2" w:rsidRPr="004D35FC">
        <w:rPr>
          <w:bCs/>
          <w:i/>
        </w:rPr>
        <w:t>Journal of Visualized Experiments</w:t>
      </w:r>
      <w:r w:rsidR="0022278A" w:rsidRPr="004D35FC">
        <w:rPr>
          <w:bCs/>
          <w:i/>
        </w:rPr>
        <w:t>: JoVE</w:t>
      </w:r>
      <w:r w:rsidR="004A6DE2" w:rsidRPr="003A13F2">
        <w:rPr>
          <w:bCs/>
          <w:iCs/>
        </w:rPr>
        <w:t xml:space="preserve">. </w:t>
      </w:r>
      <w:r w:rsidR="004A6DE2" w:rsidRPr="004D35FC">
        <w:rPr>
          <w:b/>
        </w:rPr>
        <w:t>128</w:t>
      </w:r>
      <w:r w:rsidR="004A6DE2" w:rsidRPr="004D35FC">
        <w:rPr>
          <w:bCs/>
        </w:rPr>
        <w:t>,</w:t>
      </w:r>
      <w:r w:rsidR="0022278A" w:rsidRPr="004D35FC">
        <w:rPr>
          <w:bCs/>
        </w:rPr>
        <w:t xml:space="preserve"> 56402</w:t>
      </w:r>
      <w:r w:rsidR="004A6DE2" w:rsidRPr="004D35FC">
        <w:rPr>
          <w:bCs/>
        </w:rPr>
        <w:t xml:space="preserve"> (2017).</w:t>
      </w:r>
    </w:p>
    <w:p w14:paraId="7FB9B485" w14:textId="647342CB" w:rsidR="00F959C7" w:rsidRPr="004D35FC" w:rsidRDefault="00F959C7" w:rsidP="00A549D6">
      <w:pPr>
        <w:pBdr>
          <w:top w:val="nil"/>
          <w:left w:val="nil"/>
          <w:bottom w:val="nil"/>
          <w:right w:val="nil"/>
          <w:between w:val="nil"/>
        </w:pBdr>
        <w:ind w:hanging="11"/>
        <w:rPr>
          <w:bCs/>
          <w:lang w:eastAsia="ko-KR"/>
        </w:rPr>
      </w:pPr>
      <w:r w:rsidRPr="004D35FC">
        <w:rPr>
          <w:bCs/>
          <w:lang w:eastAsia="ko-KR"/>
        </w:rPr>
        <w:t>22</w:t>
      </w:r>
      <w:r w:rsidR="00CF2338">
        <w:rPr>
          <w:bCs/>
          <w:lang w:eastAsia="ko-KR"/>
        </w:rPr>
        <w:t>.</w:t>
      </w:r>
      <w:r w:rsidRPr="004D35FC">
        <w:rPr>
          <w:bCs/>
          <w:lang w:eastAsia="ko-KR"/>
        </w:rPr>
        <w:tab/>
      </w:r>
      <w:r w:rsidR="004A6DE2" w:rsidRPr="004D35FC">
        <w:rPr>
          <w:bCs/>
        </w:rPr>
        <w:t xml:space="preserve">Kang, D. W., Moon, J. Y. Antinociceptive </w:t>
      </w:r>
      <w:r w:rsidR="0022278A" w:rsidRPr="004D35FC">
        <w:rPr>
          <w:bCs/>
        </w:rPr>
        <w:t>profile of levo-tetrahydropalmatine in acute and chronic pain mice model</w:t>
      </w:r>
      <w:r w:rsidR="004A6DE2" w:rsidRPr="004D35FC">
        <w:rPr>
          <w:bCs/>
        </w:rPr>
        <w:t xml:space="preserve">s: Role of spinal sigma-1 receptor. </w:t>
      </w:r>
      <w:r w:rsidR="004A6DE2" w:rsidRPr="004D35FC">
        <w:rPr>
          <w:bCs/>
          <w:i/>
        </w:rPr>
        <w:t>Scientific Reports</w:t>
      </w:r>
      <w:r w:rsidR="004A6DE2" w:rsidRPr="003A13F2">
        <w:rPr>
          <w:bCs/>
          <w:iCs/>
        </w:rPr>
        <w:t>.</w:t>
      </w:r>
      <w:r w:rsidR="004A6DE2" w:rsidRPr="00CF2338">
        <w:rPr>
          <w:bCs/>
          <w:iCs/>
        </w:rPr>
        <w:t xml:space="preserve"> </w:t>
      </w:r>
      <w:r w:rsidR="004A6DE2" w:rsidRPr="004D35FC">
        <w:rPr>
          <w:b/>
        </w:rPr>
        <w:t>6</w:t>
      </w:r>
      <w:r w:rsidR="0022278A" w:rsidRPr="004D35FC">
        <w:rPr>
          <w:bCs/>
        </w:rPr>
        <w:t xml:space="preserve">, </w:t>
      </w:r>
      <w:r w:rsidR="004A6DE2" w:rsidRPr="004D35FC">
        <w:rPr>
          <w:bCs/>
        </w:rPr>
        <w:t>37850 (2016).</w:t>
      </w:r>
      <w:bookmarkEnd w:id="19"/>
    </w:p>
    <w:p w14:paraId="0000008F" w14:textId="4236B7CA" w:rsidR="00F15B22" w:rsidRPr="004D35FC" w:rsidRDefault="00942C41" w:rsidP="00A549D6">
      <w:pPr>
        <w:pBdr>
          <w:top w:val="nil"/>
          <w:left w:val="nil"/>
          <w:bottom w:val="nil"/>
          <w:right w:val="nil"/>
          <w:between w:val="nil"/>
        </w:pBdr>
        <w:ind w:hanging="11"/>
        <w:rPr>
          <w:bCs/>
        </w:rPr>
      </w:pPr>
      <w:r w:rsidRPr="004D35FC">
        <w:rPr>
          <w:bCs/>
        </w:rPr>
        <w:t>2</w:t>
      </w:r>
      <w:r w:rsidR="00F959C7" w:rsidRPr="004D35FC">
        <w:rPr>
          <w:bCs/>
        </w:rPr>
        <w:t>3</w:t>
      </w:r>
      <w:r w:rsidR="00CF2338">
        <w:rPr>
          <w:bCs/>
        </w:rPr>
        <w:t>.</w:t>
      </w:r>
      <w:r w:rsidR="00986013" w:rsidRPr="004D35FC">
        <w:rPr>
          <w:bCs/>
        </w:rPr>
        <w:tab/>
      </w:r>
      <w:r w:rsidR="006D1F49" w:rsidRPr="004D35FC">
        <w:rPr>
          <w:bCs/>
        </w:rPr>
        <w:t xml:space="preserve">Huang, W., Chen, Z. Piperine potentiates the antidepressant-like effect of trans-resveratrol: involvement of monoaminergic system. </w:t>
      </w:r>
      <w:r w:rsidR="006D1F49" w:rsidRPr="004D35FC">
        <w:rPr>
          <w:bCs/>
          <w:i/>
        </w:rPr>
        <w:t>Metabolic Brain Disease</w:t>
      </w:r>
      <w:r w:rsidR="006D1F49" w:rsidRPr="003A13F2">
        <w:rPr>
          <w:bCs/>
          <w:iCs/>
        </w:rPr>
        <w:t>.</w:t>
      </w:r>
      <w:r w:rsidR="006D1F49" w:rsidRPr="00CF2338">
        <w:rPr>
          <w:bCs/>
          <w:iCs/>
        </w:rPr>
        <w:t xml:space="preserve"> </w:t>
      </w:r>
      <w:r w:rsidR="006D1F49" w:rsidRPr="004D35FC">
        <w:rPr>
          <w:b/>
        </w:rPr>
        <w:t>28</w:t>
      </w:r>
      <w:r w:rsidR="006D1F49" w:rsidRPr="004D35FC">
        <w:rPr>
          <w:bCs/>
        </w:rPr>
        <w:t xml:space="preserve"> (4), 585</w:t>
      </w:r>
      <w:r w:rsidR="0022278A" w:rsidRPr="004D35FC">
        <w:rPr>
          <w:bCs/>
        </w:rPr>
        <w:t>–</w:t>
      </w:r>
      <w:r w:rsidR="006D1F49" w:rsidRPr="004D35FC">
        <w:rPr>
          <w:bCs/>
        </w:rPr>
        <w:t>595 (2013).</w:t>
      </w:r>
    </w:p>
    <w:p w14:paraId="00000090" w14:textId="48AB0FF3" w:rsidR="00F15B22" w:rsidRPr="004D35FC" w:rsidRDefault="0003519C" w:rsidP="00A549D6">
      <w:pPr>
        <w:pBdr>
          <w:top w:val="nil"/>
          <w:left w:val="nil"/>
          <w:bottom w:val="nil"/>
          <w:right w:val="nil"/>
          <w:between w:val="nil"/>
        </w:pBdr>
        <w:ind w:hanging="11"/>
        <w:rPr>
          <w:bCs/>
        </w:rPr>
      </w:pPr>
      <w:r w:rsidRPr="004D35FC">
        <w:rPr>
          <w:bCs/>
        </w:rPr>
        <w:t>2</w:t>
      </w:r>
      <w:r w:rsidR="00F959C7" w:rsidRPr="004D35FC">
        <w:rPr>
          <w:bCs/>
        </w:rPr>
        <w:t>4</w:t>
      </w:r>
      <w:r w:rsidR="00CF2338">
        <w:rPr>
          <w:bCs/>
        </w:rPr>
        <w:t>.</w:t>
      </w:r>
      <w:r w:rsidR="00986013" w:rsidRPr="004D35FC">
        <w:rPr>
          <w:bCs/>
        </w:rPr>
        <w:tab/>
      </w:r>
      <w:r w:rsidR="006D1F49" w:rsidRPr="004D35FC">
        <w:rPr>
          <w:bCs/>
        </w:rPr>
        <w:t xml:space="preserve">Can, A., Dao, D. T. The mouse forced swim test. </w:t>
      </w:r>
      <w:r w:rsidR="006D1F49" w:rsidRPr="004D35FC">
        <w:rPr>
          <w:bCs/>
          <w:i/>
          <w:iCs/>
        </w:rPr>
        <w:t>Journal of Visualized Experiments</w:t>
      </w:r>
      <w:r w:rsidR="0022278A" w:rsidRPr="004D35FC">
        <w:rPr>
          <w:bCs/>
          <w:i/>
          <w:iCs/>
        </w:rPr>
        <w:t>: JoVE</w:t>
      </w:r>
      <w:r w:rsidR="006D1F49" w:rsidRPr="004D35FC">
        <w:rPr>
          <w:bCs/>
        </w:rPr>
        <w:t xml:space="preserve">. </w:t>
      </w:r>
      <w:r w:rsidR="006D1F49" w:rsidRPr="004D35FC">
        <w:rPr>
          <w:b/>
        </w:rPr>
        <w:t>59</w:t>
      </w:r>
      <w:r w:rsidR="006D1F49" w:rsidRPr="004D35FC">
        <w:rPr>
          <w:bCs/>
        </w:rPr>
        <w:t>, e3638 (2012).</w:t>
      </w:r>
    </w:p>
    <w:p w14:paraId="00000091" w14:textId="658FAF2C" w:rsidR="00F15B22" w:rsidRPr="004D35FC" w:rsidRDefault="0003519C" w:rsidP="00A549D6">
      <w:pPr>
        <w:pBdr>
          <w:top w:val="nil"/>
          <w:left w:val="nil"/>
          <w:bottom w:val="nil"/>
          <w:right w:val="nil"/>
          <w:between w:val="nil"/>
        </w:pBdr>
        <w:ind w:hanging="11"/>
        <w:rPr>
          <w:bCs/>
        </w:rPr>
      </w:pPr>
      <w:r w:rsidRPr="004D35FC">
        <w:rPr>
          <w:bCs/>
        </w:rPr>
        <w:t>2</w:t>
      </w:r>
      <w:r w:rsidR="00F959C7" w:rsidRPr="004D35FC">
        <w:rPr>
          <w:bCs/>
        </w:rPr>
        <w:t>5</w:t>
      </w:r>
      <w:r w:rsidR="00CF2338">
        <w:rPr>
          <w:bCs/>
        </w:rPr>
        <w:t>.</w:t>
      </w:r>
      <w:r w:rsidR="00986013" w:rsidRPr="004D35FC">
        <w:rPr>
          <w:bCs/>
        </w:rPr>
        <w:tab/>
      </w:r>
      <w:r w:rsidR="006D1F49" w:rsidRPr="004D35FC">
        <w:rPr>
          <w:bCs/>
        </w:rPr>
        <w:t xml:space="preserve">Choi, J. G., Kang, S. Y. Antinociceptive </w:t>
      </w:r>
      <w:r w:rsidR="0022278A" w:rsidRPr="004D35FC">
        <w:rPr>
          <w:bCs/>
        </w:rPr>
        <w:t>effect of Cyperi rhizoma and Corydalis tuber extracts on neuropathic pain in ra</w:t>
      </w:r>
      <w:r w:rsidR="006D1F49" w:rsidRPr="004D35FC">
        <w:rPr>
          <w:bCs/>
        </w:rPr>
        <w:t xml:space="preserve">ts. </w:t>
      </w:r>
      <w:r w:rsidR="006D1F49" w:rsidRPr="004D35FC">
        <w:rPr>
          <w:bCs/>
          <w:i/>
        </w:rPr>
        <w:t>Korean Journal of Physiology &amp; Pharmacology</w:t>
      </w:r>
      <w:r w:rsidR="006D1F49" w:rsidRPr="003A13F2">
        <w:rPr>
          <w:bCs/>
          <w:iCs/>
        </w:rPr>
        <w:t>.</w:t>
      </w:r>
      <w:r w:rsidR="006D1F49" w:rsidRPr="00CF2338">
        <w:rPr>
          <w:bCs/>
          <w:iCs/>
        </w:rPr>
        <w:t xml:space="preserve"> </w:t>
      </w:r>
      <w:r w:rsidR="006D1F49" w:rsidRPr="004D35FC">
        <w:rPr>
          <w:b/>
        </w:rPr>
        <w:t>16</w:t>
      </w:r>
      <w:r w:rsidR="006D1F49" w:rsidRPr="004D35FC">
        <w:rPr>
          <w:bCs/>
        </w:rPr>
        <w:t xml:space="preserve"> (6), 387</w:t>
      </w:r>
      <w:r w:rsidR="0022278A" w:rsidRPr="004D35FC">
        <w:rPr>
          <w:bCs/>
        </w:rPr>
        <w:t>–</w:t>
      </w:r>
      <w:r w:rsidR="006D1F49" w:rsidRPr="004D35FC">
        <w:rPr>
          <w:bCs/>
        </w:rPr>
        <w:t>392 (2012).</w:t>
      </w:r>
    </w:p>
    <w:p w14:paraId="00000092" w14:textId="3A16A105" w:rsidR="00F15B22" w:rsidRPr="004D35FC" w:rsidRDefault="00986013" w:rsidP="00A549D6">
      <w:pPr>
        <w:pBdr>
          <w:top w:val="nil"/>
          <w:left w:val="nil"/>
          <w:bottom w:val="nil"/>
          <w:right w:val="nil"/>
          <w:between w:val="nil"/>
        </w:pBdr>
        <w:ind w:hanging="11"/>
        <w:rPr>
          <w:bCs/>
        </w:rPr>
      </w:pPr>
      <w:r w:rsidRPr="004D35FC">
        <w:rPr>
          <w:bCs/>
        </w:rPr>
        <w:t>2</w:t>
      </w:r>
      <w:r w:rsidR="00F959C7" w:rsidRPr="004D35FC">
        <w:rPr>
          <w:bCs/>
        </w:rPr>
        <w:t>6</w:t>
      </w:r>
      <w:r w:rsidR="00CF2338">
        <w:rPr>
          <w:bCs/>
        </w:rPr>
        <w:t>.</w:t>
      </w:r>
      <w:r w:rsidRPr="004D35FC">
        <w:rPr>
          <w:bCs/>
        </w:rPr>
        <w:tab/>
      </w:r>
      <w:r w:rsidR="006D1F49" w:rsidRPr="004D35FC">
        <w:rPr>
          <w:bCs/>
        </w:rPr>
        <w:t>Mosby</w:t>
      </w:r>
      <w:r w:rsidR="0022278A" w:rsidRPr="004D35FC">
        <w:rPr>
          <w:bCs/>
        </w:rPr>
        <w:t>’</w:t>
      </w:r>
      <w:r w:rsidR="006D1F49" w:rsidRPr="004D35FC">
        <w:rPr>
          <w:bCs/>
        </w:rPr>
        <w:t>s Dictionary of Medicine, Nursing &amp; Health Professions - Seventh edition</w:t>
      </w:r>
      <w:r w:rsidR="006D1F49" w:rsidRPr="004D35FC">
        <w:rPr>
          <w:bCs/>
          <w:i/>
          <w:iCs/>
        </w:rPr>
        <w:t>. Nursing Standard</w:t>
      </w:r>
      <w:r w:rsidR="006D1F49" w:rsidRPr="004D35FC">
        <w:rPr>
          <w:bCs/>
        </w:rPr>
        <w:t xml:space="preserve">. </w:t>
      </w:r>
      <w:r w:rsidR="006D1F49" w:rsidRPr="004D35FC">
        <w:rPr>
          <w:b/>
        </w:rPr>
        <w:t>20</w:t>
      </w:r>
      <w:r w:rsidR="006D1F49" w:rsidRPr="004D35FC">
        <w:rPr>
          <w:bCs/>
        </w:rPr>
        <w:t xml:space="preserve"> (22), 36</w:t>
      </w:r>
      <w:r w:rsidR="00CF2338">
        <w:rPr>
          <w:bCs/>
        </w:rPr>
        <w:t>.</w:t>
      </w:r>
      <w:r w:rsidR="0022278A" w:rsidRPr="004D35FC">
        <w:rPr>
          <w:bCs/>
        </w:rPr>
        <w:t xml:space="preserve"> RCN Publishing Company Ltd</w:t>
      </w:r>
      <w:r w:rsidR="006D1F49" w:rsidRPr="004D35FC">
        <w:rPr>
          <w:bCs/>
        </w:rPr>
        <w:t xml:space="preserve"> (2006).</w:t>
      </w:r>
    </w:p>
    <w:p w14:paraId="00000093" w14:textId="229907FD" w:rsidR="00F15B22" w:rsidRPr="004D35FC" w:rsidRDefault="00986013" w:rsidP="00A549D6">
      <w:pPr>
        <w:pBdr>
          <w:top w:val="nil"/>
          <w:left w:val="nil"/>
          <w:bottom w:val="nil"/>
          <w:right w:val="nil"/>
          <w:between w:val="nil"/>
        </w:pBdr>
        <w:ind w:hanging="11"/>
        <w:rPr>
          <w:bCs/>
        </w:rPr>
      </w:pPr>
      <w:r w:rsidRPr="004D35FC">
        <w:rPr>
          <w:bCs/>
        </w:rPr>
        <w:t>2</w:t>
      </w:r>
      <w:r w:rsidR="00F959C7" w:rsidRPr="004D35FC">
        <w:rPr>
          <w:bCs/>
        </w:rPr>
        <w:t>7</w:t>
      </w:r>
      <w:r w:rsidR="00CF2338">
        <w:rPr>
          <w:bCs/>
        </w:rPr>
        <w:t>.</w:t>
      </w:r>
      <w:r w:rsidRPr="004D35FC">
        <w:rPr>
          <w:bCs/>
        </w:rPr>
        <w:tab/>
      </w:r>
      <w:r w:rsidR="006D1F49" w:rsidRPr="004D35FC">
        <w:rPr>
          <w:bCs/>
          <w:lang w:eastAsia="ko-KR"/>
        </w:rPr>
        <w:t xml:space="preserve">Vandeputte, C., Taymans, J. M. Automated quantitative gait analysis in animal models of movement disorders. </w:t>
      </w:r>
      <w:r w:rsidR="006D1F49" w:rsidRPr="004D35FC">
        <w:rPr>
          <w:bCs/>
          <w:i/>
          <w:iCs/>
          <w:lang w:eastAsia="ko-KR"/>
        </w:rPr>
        <w:t xml:space="preserve">BMC </w:t>
      </w:r>
      <w:r w:rsidR="0022278A" w:rsidRPr="004D35FC">
        <w:rPr>
          <w:bCs/>
          <w:i/>
          <w:iCs/>
          <w:lang w:eastAsia="ko-KR"/>
        </w:rPr>
        <w:t>N</w:t>
      </w:r>
      <w:r w:rsidR="006D1F49" w:rsidRPr="004D35FC">
        <w:rPr>
          <w:bCs/>
          <w:i/>
          <w:iCs/>
          <w:lang w:eastAsia="ko-KR"/>
        </w:rPr>
        <w:t>euroscience</w:t>
      </w:r>
      <w:r w:rsidR="0022278A" w:rsidRPr="003A13F2">
        <w:rPr>
          <w:bCs/>
          <w:lang w:eastAsia="ko-KR"/>
        </w:rPr>
        <w:t>.</w:t>
      </w:r>
      <w:r w:rsidR="006D1F49" w:rsidRPr="00CF2338">
        <w:rPr>
          <w:bCs/>
          <w:lang w:eastAsia="ko-KR"/>
        </w:rPr>
        <w:t xml:space="preserve"> </w:t>
      </w:r>
      <w:r w:rsidR="006D1F49" w:rsidRPr="004D35FC">
        <w:rPr>
          <w:b/>
          <w:lang w:eastAsia="ko-KR"/>
        </w:rPr>
        <w:t>11</w:t>
      </w:r>
      <w:r w:rsidR="006D1F49" w:rsidRPr="004D35FC">
        <w:rPr>
          <w:bCs/>
          <w:lang w:eastAsia="ko-KR"/>
        </w:rPr>
        <w:t>, 92 (2010).</w:t>
      </w:r>
    </w:p>
    <w:p w14:paraId="00000094" w14:textId="12F9C7EA" w:rsidR="00F15B22" w:rsidRPr="004D35FC" w:rsidRDefault="00986013" w:rsidP="00A549D6">
      <w:pPr>
        <w:pBdr>
          <w:top w:val="nil"/>
          <w:left w:val="nil"/>
          <w:bottom w:val="nil"/>
          <w:right w:val="nil"/>
          <w:between w:val="nil"/>
        </w:pBdr>
        <w:ind w:hanging="11"/>
        <w:rPr>
          <w:bCs/>
        </w:rPr>
      </w:pPr>
      <w:r w:rsidRPr="004D35FC">
        <w:rPr>
          <w:bCs/>
        </w:rPr>
        <w:t>2</w:t>
      </w:r>
      <w:r w:rsidR="00F959C7" w:rsidRPr="004D35FC">
        <w:rPr>
          <w:bCs/>
        </w:rPr>
        <w:t>8</w:t>
      </w:r>
      <w:r w:rsidR="00CF2338">
        <w:rPr>
          <w:bCs/>
        </w:rPr>
        <w:t>.</w:t>
      </w:r>
      <w:r w:rsidRPr="004D35FC">
        <w:rPr>
          <w:bCs/>
        </w:rPr>
        <w:tab/>
      </w:r>
      <w:r w:rsidR="006D1F49" w:rsidRPr="004D35FC">
        <w:rPr>
          <w:bCs/>
          <w:lang w:eastAsia="ko-KR"/>
        </w:rPr>
        <w:t xml:space="preserve">Isvoranu, G., Manole, E. Gait </w:t>
      </w:r>
      <w:r w:rsidR="0022278A" w:rsidRPr="004D35FC">
        <w:rPr>
          <w:bCs/>
          <w:lang w:eastAsia="ko-KR"/>
        </w:rPr>
        <w:t>analysis using animal models of peripheral nerve and spinal cord inju</w:t>
      </w:r>
      <w:r w:rsidR="006D1F49" w:rsidRPr="004D35FC">
        <w:rPr>
          <w:bCs/>
          <w:lang w:eastAsia="ko-KR"/>
        </w:rPr>
        <w:t xml:space="preserve">ries. </w:t>
      </w:r>
      <w:r w:rsidR="006D1F49" w:rsidRPr="004D35FC">
        <w:rPr>
          <w:bCs/>
          <w:i/>
          <w:iCs/>
          <w:lang w:eastAsia="ko-KR"/>
        </w:rPr>
        <w:t>Biomedicines</w:t>
      </w:r>
      <w:r w:rsidR="0022278A" w:rsidRPr="004D35FC">
        <w:rPr>
          <w:bCs/>
          <w:lang w:eastAsia="ko-KR"/>
        </w:rPr>
        <w:t>.</w:t>
      </w:r>
      <w:r w:rsidR="006D1F49" w:rsidRPr="004D35FC">
        <w:rPr>
          <w:bCs/>
          <w:lang w:eastAsia="ko-KR"/>
        </w:rPr>
        <w:t xml:space="preserve"> </w:t>
      </w:r>
      <w:r w:rsidR="006D1F49" w:rsidRPr="004D35FC">
        <w:rPr>
          <w:b/>
          <w:lang w:eastAsia="ko-KR"/>
        </w:rPr>
        <w:t>9</w:t>
      </w:r>
      <w:r w:rsidR="0022278A" w:rsidRPr="003A13F2">
        <w:rPr>
          <w:bCs/>
          <w:lang w:eastAsia="ko-KR"/>
        </w:rPr>
        <w:t xml:space="preserve"> </w:t>
      </w:r>
      <w:r w:rsidR="006D1F49" w:rsidRPr="004D35FC">
        <w:rPr>
          <w:bCs/>
          <w:lang w:eastAsia="ko-KR"/>
        </w:rPr>
        <w:t>(8), 1050 (2021).</w:t>
      </w:r>
    </w:p>
    <w:p w14:paraId="00000095" w14:textId="13DC9713" w:rsidR="00F15B22" w:rsidRPr="004D35FC" w:rsidRDefault="00986013" w:rsidP="00A549D6">
      <w:pPr>
        <w:pBdr>
          <w:top w:val="nil"/>
          <w:left w:val="nil"/>
          <w:bottom w:val="nil"/>
          <w:right w:val="nil"/>
          <w:between w:val="nil"/>
        </w:pBdr>
        <w:ind w:hanging="11"/>
        <w:rPr>
          <w:bCs/>
        </w:rPr>
      </w:pPr>
      <w:r w:rsidRPr="004D35FC">
        <w:rPr>
          <w:bCs/>
        </w:rPr>
        <w:t>2</w:t>
      </w:r>
      <w:r w:rsidR="00F959C7" w:rsidRPr="004D35FC">
        <w:rPr>
          <w:bCs/>
        </w:rPr>
        <w:t>9</w:t>
      </w:r>
      <w:r w:rsidR="00CF2338">
        <w:rPr>
          <w:bCs/>
        </w:rPr>
        <w:t>.</w:t>
      </w:r>
      <w:r w:rsidRPr="004D35FC">
        <w:rPr>
          <w:bCs/>
        </w:rPr>
        <w:tab/>
      </w:r>
      <w:r w:rsidR="004A6DE2" w:rsidRPr="004D35FC">
        <w:rPr>
          <w:bCs/>
        </w:rPr>
        <w:t xml:space="preserve">Yankelevitch-Yahav, R., Franko, M. The </w:t>
      </w:r>
      <w:r w:rsidR="0022278A" w:rsidRPr="004D35FC">
        <w:rPr>
          <w:bCs/>
        </w:rPr>
        <w:t>forced swim test as a model of depressive-like be</w:t>
      </w:r>
      <w:r w:rsidR="004A6DE2" w:rsidRPr="004D35FC">
        <w:rPr>
          <w:bCs/>
        </w:rPr>
        <w:t xml:space="preserve">havior. </w:t>
      </w:r>
      <w:r w:rsidR="004A6DE2" w:rsidRPr="004D35FC">
        <w:rPr>
          <w:bCs/>
          <w:i/>
        </w:rPr>
        <w:t>Journal of Visualized Experiments</w:t>
      </w:r>
      <w:r w:rsidR="0022278A" w:rsidRPr="004D35FC">
        <w:rPr>
          <w:bCs/>
          <w:i/>
        </w:rPr>
        <w:t>: JoVE</w:t>
      </w:r>
      <w:r w:rsidR="004A6DE2" w:rsidRPr="003A13F2">
        <w:rPr>
          <w:bCs/>
          <w:iCs/>
        </w:rPr>
        <w:t>.</w:t>
      </w:r>
      <w:r w:rsidR="004A6DE2" w:rsidRPr="00CF2338">
        <w:rPr>
          <w:bCs/>
          <w:iCs/>
        </w:rPr>
        <w:t xml:space="preserve"> </w:t>
      </w:r>
      <w:r w:rsidR="004A6DE2" w:rsidRPr="004D35FC">
        <w:rPr>
          <w:b/>
        </w:rPr>
        <w:t>97</w:t>
      </w:r>
      <w:r w:rsidR="004A6DE2" w:rsidRPr="004D35FC">
        <w:rPr>
          <w:bCs/>
        </w:rPr>
        <w:t xml:space="preserve">, </w:t>
      </w:r>
      <w:r w:rsidR="0022278A" w:rsidRPr="004D35FC">
        <w:rPr>
          <w:bCs/>
        </w:rPr>
        <w:t xml:space="preserve">52587 </w:t>
      </w:r>
      <w:r w:rsidR="004A6DE2" w:rsidRPr="004D35FC">
        <w:rPr>
          <w:bCs/>
        </w:rPr>
        <w:t>(2015).</w:t>
      </w:r>
    </w:p>
    <w:p w14:paraId="650AC1FF" w14:textId="4005F98C" w:rsidR="0007795E" w:rsidRPr="004D35FC" w:rsidRDefault="0007795E" w:rsidP="00A549D6">
      <w:pPr>
        <w:pBdr>
          <w:top w:val="nil"/>
          <w:left w:val="nil"/>
          <w:bottom w:val="nil"/>
          <w:right w:val="nil"/>
          <w:between w:val="nil"/>
        </w:pBdr>
        <w:ind w:hanging="11"/>
        <w:rPr>
          <w:bCs/>
          <w:lang w:eastAsia="ko-KR"/>
        </w:rPr>
      </w:pPr>
      <w:bookmarkStart w:id="20" w:name="_Hlk82368346"/>
      <w:r w:rsidRPr="004D35FC">
        <w:rPr>
          <w:bCs/>
          <w:lang w:eastAsia="ko-KR"/>
        </w:rPr>
        <w:t>30</w:t>
      </w:r>
      <w:r w:rsidR="00CF2338">
        <w:rPr>
          <w:bCs/>
          <w:lang w:eastAsia="ko-KR"/>
        </w:rPr>
        <w:t>.</w:t>
      </w:r>
      <w:r w:rsidRPr="004D35FC">
        <w:rPr>
          <w:bCs/>
          <w:lang w:eastAsia="ko-KR"/>
        </w:rPr>
        <w:tab/>
        <w:t xml:space="preserve">Yan, H. C., Cao, X. Behavioral animal models of depression. </w:t>
      </w:r>
      <w:r w:rsidRPr="004D35FC">
        <w:rPr>
          <w:bCs/>
          <w:i/>
          <w:iCs/>
          <w:lang w:eastAsia="ko-KR"/>
        </w:rPr>
        <w:t xml:space="preserve">Neuroscience </w:t>
      </w:r>
      <w:r w:rsidR="0022278A" w:rsidRPr="004D35FC">
        <w:rPr>
          <w:bCs/>
          <w:i/>
          <w:iCs/>
          <w:lang w:eastAsia="ko-KR"/>
        </w:rPr>
        <w:t>B</w:t>
      </w:r>
      <w:r w:rsidRPr="004D35FC">
        <w:rPr>
          <w:bCs/>
          <w:i/>
          <w:iCs/>
          <w:lang w:eastAsia="ko-KR"/>
        </w:rPr>
        <w:t>ulletin</w:t>
      </w:r>
      <w:r w:rsidR="0022278A" w:rsidRPr="004D35FC">
        <w:rPr>
          <w:bCs/>
          <w:lang w:eastAsia="ko-KR"/>
        </w:rPr>
        <w:t>.</w:t>
      </w:r>
      <w:r w:rsidRPr="004D35FC">
        <w:rPr>
          <w:bCs/>
          <w:lang w:eastAsia="ko-KR"/>
        </w:rPr>
        <w:t xml:space="preserve"> </w:t>
      </w:r>
      <w:r w:rsidRPr="004D35FC">
        <w:rPr>
          <w:b/>
          <w:lang w:eastAsia="ko-KR"/>
        </w:rPr>
        <w:t>26</w:t>
      </w:r>
      <w:r w:rsidR="0022278A" w:rsidRPr="004D35FC">
        <w:rPr>
          <w:b/>
          <w:lang w:eastAsia="ko-KR"/>
        </w:rPr>
        <w:t xml:space="preserve"> </w:t>
      </w:r>
      <w:r w:rsidRPr="004D35FC">
        <w:rPr>
          <w:bCs/>
          <w:lang w:eastAsia="ko-KR"/>
        </w:rPr>
        <w:t>(4), 327–337 (2010).</w:t>
      </w:r>
    </w:p>
    <w:p w14:paraId="0176BF6E" w14:textId="31366B86" w:rsidR="0007795E" w:rsidRPr="004D35FC" w:rsidRDefault="0007795E" w:rsidP="00A549D6">
      <w:pPr>
        <w:pBdr>
          <w:top w:val="nil"/>
          <w:left w:val="nil"/>
          <w:bottom w:val="nil"/>
          <w:right w:val="nil"/>
          <w:between w:val="nil"/>
        </w:pBdr>
        <w:ind w:hanging="11"/>
        <w:rPr>
          <w:bCs/>
          <w:lang w:eastAsia="ko-KR"/>
        </w:rPr>
      </w:pPr>
      <w:r w:rsidRPr="004D35FC">
        <w:rPr>
          <w:bCs/>
          <w:lang w:eastAsia="ko-KR"/>
        </w:rPr>
        <w:t>31</w:t>
      </w:r>
      <w:r w:rsidR="00CF2338">
        <w:rPr>
          <w:bCs/>
          <w:lang w:eastAsia="ko-KR"/>
        </w:rPr>
        <w:t>.</w:t>
      </w:r>
      <w:r w:rsidRPr="004D35FC">
        <w:rPr>
          <w:bCs/>
          <w:lang w:eastAsia="ko-KR"/>
        </w:rPr>
        <w:tab/>
        <w:t xml:space="preserve">Papp, M., Willner, P. An animal model of anhedonia: attenuation of sucrose consumption and place preference conditioning by chronic unpredictable mild stress. </w:t>
      </w:r>
      <w:r w:rsidRPr="004D35FC">
        <w:rPr>
          <w:bCs/>
          <w:i/>
          <w:iCs/>
          <w:lang w:eastAsia="ko-KR"/>
        </w:rPr>
        <w:t>Psychopharmacology</w:t>
      </w:r>
      <w:r w:rsidR="0022278A" w:rsidRPr="004D35FC">
        <w:rPr>
          <w:bCs/>
          <w:lang w:eastAsia="ko-KR"/>
        </w:rPr>
        <w:t>.</w:t>
      </w:r>
      <w:r w:rsidRPr="004D35FC">
        <w:rPr>
          <w:bCs/>
          <w:lang w:eastAsia="ko-KR"/>
        </w:rPr>
        <w:t xml:space="preserve"> </w:t>
      </w:r>
      <w:r w:rsidRPr="004D35FC">
        <w:rPr>
          <w:b/>
          <w:lang w:eastAsia="ko-KR"/>
        </w:rPr>
        <w:t>104</w:t>
      </w:r>
      <w:r w:rsidR="00CF2338" w:rsidRPr="003A13F2">
        <w:rPr>
          <w:bCs/>
          <w:lang w:eastAsia="ko-KR"/>
        </w:rPr>
        <w:t xml:space="preserve"> </w:t>
      </w:r>
      <w:r w:rsidRPr="004D35FC">
        <w:rPr>
          <w:bCs/>
          <w:lang w:eastAsia="ko-KR"/>
        </w:rPr>
        <w:t>(2), 255–259 (1991).</w:t>
      </w:r>
    </w:p>
    <w:bookmarkEnd w:id="20"/>
    <w:p w14:paraId="00000096" w14:textId="26AA346C" w:rsidR="00F15B22" w:rsidRPr="004D35FC" w:rsidRDefault="00F959C7" w:rsidP="00A549D6">
      <w:pPr>
        <w:pBdr>
          <w:top w:val="nil"/>
          <w:left w:val="nil"/>
          <w:bottom w:val="nil"/>
          <w:right w:val="nil"/>
          <w:between w:val="nil"/>
        </w:pBdr>
        <w:ind w:hanging="11"/>
        <w:rPr>
          <w:bCs/>
        </w:rPr>
      </w:pPr>
      <w:r w:rsidRPr="004D35FC">
        <w:rPr>
          <w:bCs/>
        </w:rPr>
        <w:t>3</w:t>
      </w:r>
      <w:r w:rsidR="0007795E" w:rsidRPr="004D35FC">
        <w:rPr>
          <w:bCs/>
        </w:rPr>
        <w:t>2</w:t>
      </w:r>
      <w:r w:rsidR="009B60ED">
        <w:rPr>
          <w:bCs/>
        </w:rPr>
        <w:t>.</w:t>
      </w:r>
      <w:r w:rsidR="004A6DE2" w:rsidRPr="004D35FC">
        <w:rPr>
          <w:bCs/>
        </w:rPr>
        <w:tab/>
      </w:r>
      <w:r w:rsidR="00905B8D" w:rsidRPr="004D35FC">
        <w:rPr>
          <w:bCs/>
        </w:rPr>
        <w:t xml:space="preserve">Seminowicz, D. A., Laferriere, A. L. MRI structural brain changes associated with sensory and emotional function in a rat model of long-term neuropathic pain. </w:t>
      </w:r>
      <w:r w:rsidR="00905B8D" w:rsidRPr="004D35FC">
        <w:rPr>
          <w:bCs/>
          <w:i/>
        </w:rPr>
        <w:t>Neuroimage</w:t>
      </w:r>
      <w:r w:rsidR="00905B8D" w:rsidRPr="003A13F2">
        <w:rPr>
          <w:bCs/>
          <w:iCs/>
        </w:rPr>
        <w:t>.</w:t>
      </w:r>
      <w:r w:rsidR="00905B8D" w:rsidRPr="009B60ED">
        <w:rPr>
          <w:bCs/>
          <w:iCs/>
        </w:rPr>
        <w:t xml:space="preserve"> </w:t>
      </w:r>
      <w:r w:rsidR="00905B8D" w:rsidRPr="004D35FC">
        <w:rPr>
          <w:b/>
        </w:rPr>
        <w:t>47</w:t>
      </w:r>
      <w:r w:rsidR="00905B8D" w:rsidRPr="004D35FC">
        <w:rPr>
          <w:bCs/>
        </w:rPr>
        <w:t xml:space="preserve"> (3), 1007</w:t>
      </w:r>
      <w:r w:rsidR="0022278A" w:rsidRPr="004D35FC">
        <w:rPr>
          <w:bCs/>
        </w:rPr>
        <w:t>–</w:t>
      </w:r>
      <w:r w:rsidR="00905B8D" w:rsidRPr="004D35FC">
        <w:rPr>
          <w:bCs/>
        </w:rPr>
        <w:t>1014 (2009).</w:t>
      </w:r>
    </w:p>
    <w:p w14:paraId="00000097" w14:textId="7730E2E1" w:rsidR="00F15B22" w:rsidRPr="004D35FC" w:rsidRDefault="00F959C7" w:rsidP="00A549D6">
      <w:pPr>
        <w:pBdr>
          <w:top w:val="nil"/>
          <w:left w:val="nil"/>
          <w:bottom w:val="nil"/>
          <w:right w:val="nil"/>
          <w:between w:val="nil"/>
        </w:pBdr>
        <w:ind w:hanging="11"/>
        <w:rPr>
          <w:bCs/>
        </w:rPr>
      </w:pPr>
      <w:r w:rsidRPr="004D35FC">
        <w:rPr>
          <w:bCs/>
        </w:rPr>
        <w:t>3</w:t>
      </w:r>
      <w:r w:rsidR="0007795E" w:rsidRPr="004D35FC">
        <w:rPr>
          <w:bCs/>
        </w:rPr>
        <w:t>3</w:t>
      </w:r>
      <w:r w:rsidR="009B60ED">
        <w:rPr>
          <w:bCs/>
        </w:rPr>
        <w:t>.</w:t>
      </w:r>
      <w:r w:rsidR="00986013" w:rsidRPr="004D35FC">
        <w:rPr>
          <w:bCs/>
        </w:rPr>
        <w:tab/>
      </w:r>
      <w:r w:rsidR="004A6DE2" w:rsidRPr="004D35FC">
        <w:rPr>
          <w:bCs/>
        </w:rPr>
        <w:t xml:space="preserve">Yalcin, I., Barthas, F. Emotional consequences of neuropathic pain: insight from preclinical studies. </w:t>
      </w:r>
      <w:r w:rsidR="004A6DE2" w:rsidRPr="004D35FC">
        <w:rPr>
          <w:bCs/>
          <w:i/>
        </w:rPr>
        <w:t>Neuroscience and Biobehavioral Reviews</w:t>
      </w:r>
      <w:r w:rsidR="004A6DE2" w:rsidRPr="003A13F2">
        <w:rPr>
          <w:bCs/>
          <w:iCs/>
        </w:rPr>
        <w:t>.</w:t>
      </w:r>
      <w:r w:rsidR="004A6DE2" w:rsidRPr="009B60ED">
        <w:rPr>
          <w:bCs/>
          <w:iCs/>
        </w:rPr>
        <w:t xml:space="preserve"> </w:t>
      </w:r>
      <w:r w:rsidR="004A6DE2" w:rsidRPr="004D35FC">
        <w:rPr>
          <w:b/>
        </w:rPr>
        <w:t>47</w:t>
      </w:r>
      <w:r w:rsidR="0022278A" w:rsidRPr="004D35FC">
        <w:rPr>
          <w:bCs/>
        </w:rPr>
        <w:t xml:space="preserve">, </w:t>
      </w:r>
      <w:r w:rsidR="004A6DE2" w:rsidRPr="004D35FC">
        <w:rPr>
          <w:bCs/>
        </w:rPr>
        <w:t>154</w:t>
      </w:r>
      <w:r w:rsidR="0022278A" w:rsidRPr="004D35FC">
        <w:rPr>
          <w:bCs/>
        </w:rPr>
        <w:t>–</w:t>
      </w:r>
      <w:r w:rsidR="004A6DE2" w:rsidRPr="004D35FC">
        <w:rPr>
          <w:bCs/>
        </w:rPr>
        <w:t>164 (2014).</w:t>
      </w:r>
    </w:p>
    <w:p w14:paraId="00000099" w14:textId="31965F30" w:rsidR="00F15B22" w:rsidRPr="004D35FC" w:rsidRDefault="00942C41" w:rsidP="004A6DE2">
      <w:pPr>
        <w:pBdr>
          <w:top w:val="nil"/>
          <w:left w:val="nil"/>
          <w:bottom w:val="nil"/>
          <w:right w:val="nil"/>
          <w:between w:val="nil"/>
        </w:pBdr>
        <w:ind w:hanging="11"/>
        <w:rPr>
          <w:bCs/>
        </w:rPr>
      </w:pPr>
      <w:r w:rsidRPr="004D35FC">
        <w:rPr>
          <w:bCs/>
        </w:rPr>
        <w:t>3</w:t>
      </w:r>
      <w:r w:rsidR="0007795E" w:rsidRPr="004D35FC">
        <w:rPr>
          <w:bCs/>
        </w:rPr>
        <w:t>4</w:t>
      </w:r>
      <w:r w:rsidR="009B60ED">
        <w:rPr>
          <w:bCs/>
        </w:rPr>
        <w:t>.</w:t>
      </w:r>
      <w:r w:rsidR="00986013" w:rsidRPr="004D35FC">
        <w:rPr>
          <w:bCs/>
        </w:rPr>
        <w:tab/>
      </w:r>
      <w:r w:rsidR="00905B8D" w:rsidRPr="004D35FC">
        <w:rPr>
          <w:bCs/>
        </w:rPr>
        <w:t xml:space="preserve">Choi, J. W., Kang, S. Y. Analgesic effect of electroacupuncture on paclitaxel-induced neuropathic pain via spinal opioidergic and adrenergic mechanisms in mice. </w:t>
      </w:r>
      <w:r w:rsidR="00905B8D" w:rsidRPr="004D35FC">
        <w:rPr>
          <w:bCs/>
          <w:i/>
        </w:rPr>
        <w:t>American Journal of Chinese Medicine</w:t>
      </w:r>
      <w:r w:rsidR="00905B8D" w:rsidRPr="003A13F2">
        <w:rPr>
          <w:bCs/>
          <w:iCs/>
        </w:rPr>
        <w:t>.</w:t>
      </w:r>
      <w:r w:rsidR="00905B8D" w:rsidRPr="009B60ED">
        <w:rPr>
          <w:bCs/>
          <w:iCs/>
        </w:rPr>
        <w:t xml:space="preserve"> </w:t>
      </w:r>
      <w:r w:rsidR="00905B8D" w:rsidRPr="004D35FC">
        <w:rPr>
          <w:b/>
        </w:rPr>
        <w:t>43</w:t>
      </w:r>
      <w:r w:rsidR="00905B8D" w:rsidRPr="004D35FC">
        <w:rPr>
          <w:bCs/>
        </w:rPr>
        <w:t xml:space="preserve"> (1), 57</w:t>
      </w:r>
      <w:r w:rsidR="0022278A" w:rsidRPr="004D35FC">
        <w:rPr>
          <w:bCs/>
        </w:rPr>
        <w:t>–</w:t>
      </w:r>
      <w:r w:rsidR="00905B8D" w:rsidRPr="004D35FC">
        <w:rPr>
          <w:bCs/>
        </w:rPr>
        <w:t>70 (2015).</w:t>
      </w:r>
    </w:p>
    <w:sectPr w:rsidR="00F15B22" w:rsidRPr="004D35FC" w:rsidSect="00D65DB3">
      <w:headerReference w:type="even" r:id="rId9"/>
      <w:headerReference w:type="default" r:id="rId10"/>
      <w:footerReference w:type="even"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C0439" w14:textId="77777777" w:rsidR="00803A7C" w:rsidRDefault="00803A7C">
      <w:r>
        <w:separator/>
      </w:r>
    </w:p>
  </w:endnote>
  <w:endnote w:type="continuationSeparator" w:id="0">
    <w:p w14:paraId="6237F9DE" w14:textId="77777777" w:rsidR="00803A7C" w:rsidRDefault="00803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77777777" w:rsidR="00F15B22" w:rsidRDefault="00F15B2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545D1" w14:textId="77777777" w:rsidR="00803A7C" w:rsidRDefault="00803A7C">
      <w:r>
        <w:separator/>
      </w:r>
    </w:p>
  </w:footnote>
  <w:footnote w:type="continuationSeparator" w:id="0">
    <w:p w14:paraId="6E53EE72" w14:textId="77777777" w:rsidR="00803A7C" w:rsidRDefault="00803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B" w14:textId="77777777" w:rsidR="00F15B22" w:rsidRDefault="00F15B2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A" w14:textId="6FA2B9CD" w:rsidR="00F15B22" w:rsidRDefault="00F15B22">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C" w14:textId="77777777" w:rsidR="00F15B22" w:rsidRDefault="00F15B22" w:rsidP="003A13F2">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A4F4C"/>
    <w:multiLevelType w:val="multilevel"/>
    <w:tmpl w:val="C0E25660"/>
    <w:lvl w:ilvl="0">
      <w:start w:val="3"/>
      <w:numFmt w:val="decimal"/>
      <w:lvlText w:val="%1."/>
      <w:lvlJc w:val="left"/>
      <w:pPr>
        <w:ind w:left="540" w:hanging="54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5D595B0B"/>
    <w:multiLevelType w:val="multilevel"/>
    <w:tmpl w:val="1B8ADC94"/>
    <w:lvl w:ilvl="0">
      <w:start w:val="5"/>
      <w:numFmt w:val="decimal"/>
      <w:lvlText w:val="%1."/>
      <w:lvlJc w:val="left"/>
      <w:pPr>
        <w:ind w:left="360" w:hanging="360"/>
      </w:pPr>
      <w:rPr>
        <w:rFonts w:eastAsia="Calibri" w:hint="default"/>
      </w:rPr>
    </w:lvl>
    <w:lvl w:ilvl="1">
      <w:start w:val="1"/>
      <w:numFmt w:val="decimal"/>
      <w:lvlText w:val="%1.%2."/>
      <w:lvlJc w:val="left"/>
      <w:pPr>
        <w:ind w:left="1260" w:hanging="720"/>
      </w:pPr>
      <w:rPr>
        <w:rFonts w:eastAsia="Calibri" w:hint="default"/>
      </w:rPr>
    </w:lvl>
    <w:lvl w:ilvl="2">
      <w:start w:val="1"/>
      <w:numFmt w:val="decimal"/>
      <w:lvlText w:val="%1.%2.%3."/>
      <w:lvlJc w:val="left"/>
      <w:pPr>
        <w:ind w:left="1800" w:hanging="720"/>
      </w:pPr>
      <w:rPr>
        <w:rFonts w:eastAsia="Calibri" w:hint="default"/>
      </w:rPr>
    </w:lvl>
    <w:lvl w:ilvl="3">
      <w:start w:val="1"/>
      <w:numFmt w:val="decimal"/>
      <w:lvlText w:val="%1.%2.%3.%4."/>
      <w:lvlJc w:val="left"/>
      <w:pPr>
        <w:ind w:left="2700" w:hanging="1080"/>
      </w:pPr>
      <w:rPr>
        <w:rFonts w:eastAsia="Calibri" w:hint="default"/>
      </w:rPr>
    </w:lvl>
    <w:lvl w:ilvl="4">
      <w:start w:val="1"/>
      <w:numFmt w:val="decimal"/>
      <w:lvlText w:val="%1.%2.%3.%4.%5."/>
      <w:lvlJc w:val="left"/>
      <w:pPr>
        <w:ind w:left="3240" w:hanging="1080"/>
      </w:pPr>
      <w:rPr>
        <w:rFonts w:eastAsia="Calibri" w:hint="default"/>
      </w:rPr>
    </w:lvl>
    <w:lvl w:ilvl="5">
      <w:start w:val="1"/>
      <w:numFmt w:val="decimal"/>
      <w:lvlText w:val="%1.%2.%3.%4.%5.%6."/>
      <w:lvlJc w:val="left"/>
      <w:pPr>
        <w:ind w:left="4140" w:hanging="1440"/>
      </w:pPr>
      <w:rPr>
        <w:rFonts w:eastAsia="Calibri" w:hint="default"/>
      </w:rPr>
    </w:lvl>
    <w:lvl w:ilvl="6">
      <w:start w:val="1"/>
      <w:numFmt w:val="decimal"/>
      <w:lvlText w:val="%1.%2.%3.%4.%5.%6.%7."/>
      <w:lvlJc w:val="left"/>
      <w:pPr>
        <w:ind w:left="4680" w:hanging="1440"/>
      </w:pPr>
      <w:rPr>
        <w:rFonts w:eastAsia="Calibri" w:hint="default"/>
      </w:rPr>
    </w:lvl>
    <w:lvl w:ilvl="7">
      <w:start w:val="1"/>
      <w:numFmt w:val="decimal"/>
      <w:lvlText w:val="%1.%2.%3.%4.%5.%6.%7.%8."/>
      <w:lvlJc w:val="left"/>
      <w:pPr>
        <w:ind w:left="5580" w:hanging="1800"/>
      </w:pPr>
      <w:rPr>
        <w:rFonts w:eastAsia="Calibri" w:hint="default"/>
      </w:rPr>
    </w:lvl>
    <w:lvl w:ilvl="8">
      <w:start w:val="1"/>
      <w:numFmt w:val="decimal"/>
      <w:lvlText w:val="%1.%2.%3.%4.%5.%6.%7.%8.%9."/>
      <w:lvlJc w:val="left"/>
      <w:pPr>
        <w:ind w:left="6120" w:hanging="1800"/>
      </w:pPr>
      <w:rPr>
        <w:rFonts w:eastAsia="Calibri" w:hint="default"/>
      </w:rPr>
    </w:lvl>
  </w:abstractNum>
  <w:abstractNum w:abstractNumId="2" w15:restartNumberingAfterBreak="0">
    <w:nsid w:val="5E93780A"/>
    <w:multiLevelType w:val="multilevel"/>
    <w:tmpl w:val="61789D8C"/>
    <w:lvl w:ilvl="0">
      <w:start w:val="1"/>
      <w:numFmt w:val="decimal"/>
      <w:lvlText w:val="%1."/>
      <w:lvlJc w:val="left"/>
      <w:pPr>
        <w:ind w:left="993"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247" w:hanging="720"/>
      </w:pPr>
      <w:rPr>
        <w:rFonts w:hint="default"/>
      </w:rPr>
    </w:lvl>
    <w:lvl w:ilvl="3">
      <w:start w:val="1"/>
      <w:numFmt w:val="decimal"/>
      <w:isLgl/>
      <w:lvlText w:val="%1.%2.%3.%4."/>
      <w:lvlJc w:val="left"/>
      <w:pPr>
        <w:ind w:left="3054" w:hanging="1080"/>
      </w:pPr>
      <w:rPr>
        <w:rFonts w:hint="default"/>
      </w:rPr>
    </w:lvl>
    <w:lvl w:ilvl="4">
      <w:start w:val="1"/>
      <w:numFmt w:val="decimal"/>
      <w:isLgl/>
      <w:lvlText w:val="%1.%2.%3.%4.%5."/>
      <w:lvlJc w:val="left"/>
      <w:pPr>
        <w:ind w:left="3501" w:hanging="1080"/>
      </w:pPr>
      <w:rPr>
        <w:rFonts w:hint="default"/>
      </w:rPr>
    </w:lvl>
    <w:lvl w:ilvl="5">
      <w:start w:val="1"/>
      <w:numFmt w:val="decimal"/>
      <w:isLgl/>
      <w:lvlText w:val="%1.%2.%3.%4.%5.%6."/>
      <w:lvlJc w:val="left"/>
      <w:pPr>
        <w:ind w:left="4308" w:hanging="1440"/>
      </w:pPr>
      <w:rPr>
        <w:rFonts w:hint="default"/>
      </w:rPr>
    </w:lvl>
    <w:lvl w:ilvl="6">
      <w:start w:val="1"/>
      <w:numFmt w:val="decimal"/>
      <w:isLgl/>
      <w:lvlText w:val="%1.%2.%3.%4.%5.%6.%7."/>
      <w:lvlJc w:val="left"/>
      <w:pPr>
        <w:ind w:left="4755" w:hanging="1440"/>
      </w:pPr>
      <w:rPr>
        <w:rFonts w:hint="default"/>
      </w:rPr>
    </w:lvl>
    <w:lvl w:ilvl="7">
      <w:start w:val="1"/>
      <w:numFmt w:val="decimal"/>
      <w:isLgl/>
      <w:lvlText w:val="%1.%2.%3.%4.%5.%6.%7.%8."/>
      <w:lvlJc w:val="left"/>
      <w:pPr>
        <w:ind w:left="5562" w:hanging="1800"/>
      </w:pPr>
      <w:rPr>
        <w:rFonts w:hint="default"/>
      </w:rPr>
    </w:lvl>
    <w:lvl w:ilvl="8">
      <w:start w:val="1"/>
      <w:numFmt w:val="decimal"/>
      <w:isLgl/>
      <w:lvlText w:val="%1.%2.%3.%4.%5.%6.%7.%8.%9."/>
      <w:lvlJc w:val="left"/>
      <w:pPr>
        <w:ind w:left="6009" w:hanging="1800"/>
      </w:pPr>
      <w:rPr>
        <w:rFonts w:hint="default"/>
      </w:rPr>
    </w:lvl>
  </w:abstractNum>
  <w:abstractNum w:abstractNumId="3" w15:restartNumberingAfterBreak="0">
    <w:nsid w:val="67E45D1E"/>
    <w:multiLevelType w:val="multilevel"/>
    <w:tmpl w:val="ECFC14A2"/>
    <w:lvl w:ilvl="0">
      <w:start w:val="1"/>
      <w:numFmt w:val="decimal"/>
      <w:lvlText w:val="%1."/>
      <w:lvlJc w:val="right"/>
      <w:pPr>
        <w:ind w:left="720" w:hanging="360"/>
      </w:pPr>
      <w:rPr>
        <w:u w:val="none"/>
      </w:rPr>
    </w:lvl>
    <w:lvl w:ilvl="1">
      <w:start w:val="1"/>
      <w:numFmt w:val="decimal"/>
      <w:lvlText w:val="%1.%2."/>
      <w:lvlJc w:val="right"/>
      <w:pPr>
        <w:ind w:left="1440" w:hanging="360"/>
      </w:pPr>
      <w:rPr>
        <w:rFonts w:ascii="Calibri" w:eastAsia="Calibri" w:hAnsi="Calibri" w:cs="Calibri"/>
        <w:b w:val="0"/>
        <w:bCs/>
        <w:color w:val="00000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686665C8"/>
    <w:multiLevelType w:val="multilevel"/>
    <w:tmpl w:val="61789D8C"/>
    <w:lvl w:ilvl="0">
      <w:start w:val="1"/>
      <w:numFmt w:val="decimal"/>
      <w:lvlText w:val="%1."/>
      <w:lvlJc w:val="left"/>
      <w:pPr>
        <w:ind w:left="993"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247" w:hanging="720"/>
      </w:pPr>
      <w:rPr>
        <w:rFonts w:hint="default"/>
      </w:rPr>
    </w:lvl>
    <w:lvl w:ilvl="3">
      <w:start w:val="1"/>
      <w:numFmt w:val="decimal"/>
      <w:isLgl/>
      <w:lvlText w:val="%1.%2.%3.%4."/>
      <w:lvlJc w:val="left"/>
      <w:pPr>
        <w:ind w:left="3054" w:hanging="1080"/>
      </w:pPr>
      <w:rPr>
        <w:rFonts w:hint="default"/>
      </w:rPr>
    </w:lvl>
    <w:lvl w:ilvl="4">
      <w:start w:val="1"/>
      <w:numFmt w:val="decimal"/>
      <w:isLgl/>
      <w:lvlText w:val="%1.%2.%3.%4.%5."/>
      <w:lvlJc w:val="left"/>
      <w:pPr>
        <w:ind w:left="3501" w:hanging="1080"/>
      </w:pPr>
      <w:rPr>
        <w:rFonts w:hint="default"/>
      </w:rPr>
    </w:lvl>
    <w:lvl w:ilvl="5">
      <w:start w:val="1"/>
      <w:numFmt w:val="decimal"/>
      <w:isLgl/>
      <w:lvlText w:val="%1.%2.%3.%4.%5.%6."/>
      <w:lvlJc w:val="left"/>
      <w:pPr>
        <w:ind w:left="4308" w:hanging="1440"/>
      </w:pPr>
      <w:rPr>
        <w:rFonts w:hint="default"/>
      </w:rPr>
    </w:lvl>
    <w:lvl w:ilvl="6">
      <w:start w:val="1"/>
      <w:numFmt w:val="decimal"/>
      <w:isLgl/>
      <w:lvlText w:val="%1.%2.%3.%4.%5.%6.%7."/>
      <w:lvlJc w:val="left"/>
      <w:pPr>
        <w:ind w:left="4755" w:hanging="1440"/>
      </w:pPr>
      <w:rPr>
        <w:rFonts w:hint="default"/>
      </w:rPr>
    </w:lvl>
    <w:lvl w:ilvl="7">
      <w:start w:val="1"/>
      <w:numFmt w:val="decimal"/>
      <w:isLgl/>
      <w:lvlText w:val="%1.%2.%3.%4.%5.%6.%7.%8."/>
      <w:lvlJc w:val="left"/>
      <w:pPr>
        <w:ind w:left="5562" w:hanging="1800"/>
      </w:pPr>
      <w:rPr>
        <w:rFonts w:hint="default"/>
      </w:rPr>
    </w:lvl>
    <w:lvl w:ilvl="8">
      <w:start w:val="1"/>
      <w:numFmt w:val="decimal"/>
      <w:isLgl/>
      <w:lvlText w:val="%1.%2.%3.%4.%5.%6.%7.%8.%9."/>
      <w:lvlJc w:val="left"/>
      <w:pPr>
        <w:ind w:left="6009" w:hanging="1800"/>
      </w:pPr>
      <w:rPr>
        <w:rFonts w:hint="default"/>
      </w:rPr>
    </w:lvl>
  </w:abstractNum>
  <w:abstractNum w:abstractNumId="5" w15:restartNumberingAfterBreak="0">
    <w:nsid w:val="6F3A5F68"/>
    <w:multiLevelType w:val="multilevel"/>
    <w:tmpl w:val="B9BAC282"/>
    <w:lvl w:ilvl="0">
      <w:start w:val="4"/>
      <w:numFmt w:val="decimal"/>
      <w:lvlText w:val="%1."/>
      <w:lvlJc w:val="left"/>
      <w:pPr>
        <w:ind w:left="360" w:hanging="360"/>
      </w:pPr>
      <w:rPr>
        <w:rFonts w:eastAsia="Calibri" w:hint="default"/>
      </w:rPr>
    </w:lvl>
    <w:lvl w:ilvl="1">
      <w:start w:val="1"/>
      <w:numFmt w:val="decimal"/>
      <w:lvlText w:val="%1.%2."/>
      <w:lvlJc w:val="left"/>
      <w:pPr>
        <w:ind w:left="1260" w:hanging="720"/>
      </w:pPr>
      <w:rPr>
        <w:rFonts w:eastAsia="Calibri" w:hint="default"/>
      </w:rPr>
    </w:lvl>
    <w:lvl w:ilvl="2">
      <w:start w:val="1"/>
      <w:numFmt w:val="decimal"/>
      <w:lvlText w:val="%1.%2.%3."/>
      <w:lvlJc w:val="left"/>
      <w:pPr>
        <w:ind w:left="1800" w:hanging="720"/>
      </w:pPr>
      <w:rPr>
        <w:rFonts w:eastAsia="Calibri" w:hint="default"/>
      </w:rPr>
    </w:lvl>
    <w:lvl w:ilvl="3">
      <w:start w:val="1"/>
      <w:numFmt w:val="decimal"/>
      <w:lvlText w:val="%1.%2.%3.%4."/>
      <w:lvlJc w:val="left"/>
      <w:pPr>
        <w:ind w:left="2700" w:hanging="1080"/>
      </w:pPr>
      <w:rPr>
        <w:rFonts w:eastAsia="Calibri" w:hint="default"/>
      </w:rPr>
    </w:lvl>
    <w:lvl w:ilvl="4">
      <w:start w:val="1"/>
      <w:numFmt w:val="decimal"/>
      <w:lvlText w:val="%1.%2.%3.%4.%5."/>
      <w:lvlJc w:val="left"/>
      <w:pPr>
        <w:ind w:left="3240" w:hanging="1080"/>
      </w:pPr>
      <w:rPr>
        <w:rFonts w:eastAsia="Calibri" w:hint="default"/>
      </w:rPr>
    </w:lvl>
    <w:lvl w:ilvl="5">
      <w:start w:val="1"/>
      <w:numFmt w:val="decimal"/>
      <w:lvlText w:val="%1.%2.%3.%4.%5.%6."/>
      <w:lvlJc w:val="left"/>
      <w:pPr>
        <w:ind w:left="4140" w:hanging="1440"/>
      </w:pPr>
      <w:rPr>
        <w:rFonts w:eastAsia="Calibri" w:hint="default"/>
      </w:rPr>
    </w:lvl>
    <w:lvl w:ilvl="6">
      <w:start w:val="1"/>
      <w:numFmt w:val="decimal"/>
      <w:lvlText w:val="%1.%2.%3.%4.%5.%6.%7."/>
      <w:lvlJc w:val="left"/>
      <w:pPr>
        <w:ind w:left="4680" w:hanging="1440"/>
      </w:pPr>
      <w:rPr>
        <w:rFonts w:eastAsia="Calibri" w:hint="default"/>
      </w:rPr>
    </w:lvl>
    <w:lvl w:ilvl="7">
      <w:start w:val="1"/>
      <w:numFmt w:val="decimal"/>
      <w:lvlText w:val="%1.%2.%3.%4.%5.%6.%7.%8."/>
      <w:lvlJc w:val="left"/>
      <w:pPr>
        <w:ind w:left="5580" w:hanging="1800"/>
      </w:pPr>
      <w:rPr>
        <w:rFonts w:eastAsia="Calibri" w:hint="default"/>
      </w:rPr>
    </w:lvl>
    <w:lvl w:ilvl="8">
      <w:start w:val="1"/>
      <w:numFmt w:val="decimal"/>
      <w:lvlText w:val="%1.%2.%3.%4.%5.%6.%7.%8.%9."/>
      <w:lvlJc w:val="left"/>
      <w:pPr>
        <w:ind w:left="6120" w:hanging="1800"/>
      </w:pPr>
      <w:rPr>
        <w:rFonts w:eastAsia="Calibri" w:hint="default"/>
      </w:rPr>
    </w:lvl>
  </w:abstractNum>
  <w:abstractNum w:abstractNumId="6"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TYwMzAzMTUxNTRR0lEKTi0uzszPAykwrwUAUd32uiwAAAA="/>
  </w:docVars>
  <w:rsids>
    <w:rsidRoot w:val="00F15B22"/>
    <w:rsid w:val="00002529"/>
    <w:rsid w:val="0003519C"/>
    <w:rsid w:val="0007795E"/>
    <w:rsid w:val="00091BE7"/>
    <w:rsid w:val="0014466A"/>
    <w:rsid w:val="00204C71"/>
    <w:rsid w:val="002205EE"/>
    <w:rsid w:val="0022278A"/>
    <w:rsid w:val="00231DB6"/>
    <w:rsid w:val="00253285"/>
    <w:rsid w:val="00254774"/>
    <w:rsid w:val="00280508"/>
    <w:rsid w:val="00283C38"/>
    <w:rsid w:val="00286907"/>
    <w:rsid w:val="00291DF8"/>
    <w:rsid w:val="002C5A08"/>
    <w:rsid w:val="002D4136"/>
    <w:rsid w:val="00332BC7"/>
    <w:rsid w:val="00347FB6"/>
    <w:rsid w:val="003714BD"/>
    <w:rsid w:val="00372616"/>
    <w:rsid w:val="003A13F2"/>
    <w:rsid w:val="003B59C6"/>
    <w:rsid w:val="003D0EEC"/>
    <w:rsid w:val="003D480A"/>
    <w:rsid w:val="004376FF"/>
    <w:rsid w:val="004A6DE2"/>
    <w:rsid w:val="004C154B"/>
    <w:rsid w:val="004C4D25"/>
    <w:rsid w:val="004D35FC"/>
    <w:rsid w:val="005135C2"/>
    <w:rsid w:val="00524BB0"/>
    <w:rsid w:val="00525144"/>
    <w:rsid w:val="005419B3"/>
    <w:rsid w:val="00593E99"/>
    <w:rsid w:val="005A4BFC"/>
    <w:rsid w:val="005B2246"/>
    <w:rsid w:val="005C4D40"/>
    <w:rsid w:val="005E69D7"/>
    <w:rsid w:val="005F7FF7"/>
    <w:rsid w:val="00606E7F"/>
    <w:rsid w:val="00630692"/>
    <w:rsid w:val="006D1F49"/>
    <w:rsid w:val="007458C2"/>
    <w:rsid w:val="00761CB3"/>
    <w:rsid w:val="00763CAD"/>
    <w:rsid w:val="007A54BD"/>
    <w:rsid w:val="00802C15"/>
    <w:rsid w:val="00803A7C"/>
    <w:rsid w:val="008443CE"/>
    <w:rsid w:val="008530DE"/>
    <w:rsid w:val="00881167"/>
    <w:rsid w:val="0089277E"/>
    <w:rsid w:val="008A261B"/>
    <w:rsid w:val="008A5DDE"/>
    <w:rsid w:val="008A75CD"/>
    <w:rsid w:val="008C1C2F"/>
    <w:rsid w:val="008E0EAB"/>
    <w:rsid w:val="008E40E4"/>
    <w:rsid w:val="00905B8D"/>
    <w:rsid w:val="00942C41"/>
    <w:rsid w:val="00944BCD"/>
    <w:rsid w:val="00986013"/>
    <w:rsid w:val="009B1FA5"/>
    <w:rsid w:val="009B60ED"/>
    <w:rsid w:val="009F7FCA"/>
    <w:rsid w:val="00A335E8"/>
    <w:rsid w:val="00A35245"/>
    <w:rsid w:val="00A35364"/>
    <w:rsid w:val="00A549D6"/>
    <w:rsid w:val="00A56AEA"/>
    <w:rsid w:val="00A73A63"/>
    <w:rsid w:val="00A803D5"/>
    <w:rsid w:val="00AA54DB"/>
    <w:rsid w:val="00AC1E23"/>
    <w:rsid w:val="00B1074D"/>
    <w:rsid w:val="00B10EAE"/>
    <w:rsid w:val="00B50346"/>
    <w:rsid w:val="00B8261E"/>
    <w:rsid w:val="00B840B3"/>
    <w:rsid w:val="00BC2814"/>
    <w:rsid w:val="00BF174B"/>
    <w:rsid w:val="00C126A6"/>
    <w:rsid w:val="00C36DE3"/>
    <w:rsid w:val="00C85ACA"/>
    <w:rsid w:val="00C92C7D"/>
    <w:rsid w:val="00CC10F6"/>
    <w:rsid w:val="00CD7F4B"/>
    <w:rsid w:val="00CE522A"/>
    <w:rsid w:val="00CE6071"/>
    <w:rsid w:val="00CF146A"/>
    <w:rsid w:val="00CF2338"/>
    <w:rsid w:val="00D0586F"/>
    <w:rsid w:val="00D65DB3"/>
    <w:rsid w:val="00DB0279"/>
    <w:rsid w:val="00DB2C24"/>
    <w:rsid w:val="00DD2A33"/>
    <w:rsid w:val="00DD76C1"/>
    <w:rsid w:val="00E73DA4"/>
    <w:rsid w:val="00E747C7"/>
    <w:rsid w:val="00E979C0"/>
    <w:rsid w:val="00ED7176"/>
    <w:rsid w:val="00F06BDA"/>
    <w:rsid w:val="00F15B22"/>
    <w:rsid w:val="00F4401C"/>
    <w:rsid w:val="00F5573B"/>
    <w:rsid w:val="00F7481F"/>
    <w:rsid w:val="00F80006"/>
    <w:rsid w:val="00F959C7"/>
    <w:rsid w:val="00F970E8"/>
    <w:rsid w:val="00FA6980"/>
    <w:rsid w:val="00FE144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7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1">
    <w:name w:val="확인되지 않은 멘션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D4285E"/>
    <w:pPr>
      <w:autoSpaceDE w:val="0"/>
      <w:autoSpaceDN w:val="0"/>
      <w:adjustRightInd w:val="0"/>
      <w:ind w:left="720"/>
      <w:contextualSpacing/>
    </w:pPr>
    <w:rPr>
      <w:rFonts w:eastAsia="Batang"/>
      <w:color w:val="000000"/>
    </w:rPr>
  </w:style>
  <w:style w:type="paragraph" w:styleId="Footer">
    <w:name w:val="footer"/>
    <w:basedOn w:val="Normal"/>
    <w:link w:val="FooterChar"/>
    <w:uiPriority w:val="99"/>
    <w:unhideWhenUsed/>
    <w:rsid w:val="003C3D17"/>
    <w:pPr>
      <w:tabs>
        <w:tab w:val="center" w:pos="4513"/>
        <w:tab w:val="right" w:pos="9026"/>
      </w:tabs>
      <w:snapToGrid w:val="0"/>
    </w:pPr>
  </w:style>
  <w:style w:type="character" w:customStyle="1" w:styleId="FooterChar">
    <w:name w:val="Footer Char"/>
    <w:basedOn w:val="DefaultParagraphFont"/>
    <w:link w:val="Footer"/>
    <w:uiPriority w:val="99"/>
    <w:rsid w:val="003C3D17"/>
  </w:style>
  <w:style w:type="paragraph" w:customStyle="1" w:styleId="EndNoteBibliographyTitle">
    <w:name w:val="EndNote Bibliography Title"/>
    <w:basedOn w:val="Normal"/>
    <w:link w:val="EndNoteBibliographyTitleChar"/>
    <w:rsid w:val="00932E5B"/>
    <w:pPr>
      <w:jc w:val="center"/>
    </w:pPr>
    <w:rPr>
      <w:noProof/>
    </w:rPr>
  </w:style>
  <w:style w:type="character" w:customStyle="1" w:styleId="EndNoteBibliographyTitleChar">
    <w:name w:val="EndNote Bibliography Title Char"/>
    <w:basedOn w:val="DefaultParagraphFont"/>
    <w:link w:val="EndNoteBibliographyTitle"/>
    <w:rsid w:val="00932E5B"/>
    <w:rPr>
      <w:noProof/>
    </w:rPr>
  </w:style>
  <w:style w:type="paragraph" w:customStyle="1" w:styleId="EndNoteBibliography">
    <w:name w:val="EndNote Bibliography"/>
    <w:basedOn w:val="Normal"/>
    <w:link w:val="EndNoteBibliographyChar"/>
    <w:rsid w:val="00932E5B"/>
    <w:rPr>
      <w:noProof/>
    </w:rPr>
  </w:style>
  <w:style w:type="character" w:customStyle="1" w:styleId="EndNoteBibliographyChar">
    <w:name w:val="EndNote Bibliography Char"/>
    <w:basedOn w:val="DefaultParagraphFont"/>
    <w:link w:val="EndNoteBibliography"/>
    <w:rsid w:val="00932E5B"/>
    <w:rPr>
      <w:noProof/>
    </w:rPr>
  </w:style>
  <w:style w:type="paragraph" w:styleId="BalloonText">
    <w:name w:val="Balloon Text"/>
    <w:basedOn w:val="Normal"/>
    <w:link w:val="BalloonTextChar"/>
    <w:uiPriority w:val="99"/>
    <w:semiHidden/>
    <w:unhideWhenUsed/>
    <w:rsid w:val="006844B3"/>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844B3"/>
    <w:rPr>
      <w:rFonts w:asciiTheme="majorHAnsi" w:eastAsiaTheme="majorEastAsia" w:hAnsiTheme="majorHAnsi" w:cstheme="majorBidi"/>
      <w:sz w:val="18"/>
      <w:szCs w:val="18"/>
    </w:rPr>
  </w:style>
  <w:style w:type="character" w:styleId="LineNumber">
    <w:name w:val="line number"/>
    <w:basedOn w:val="DefaultParagraphFont"/>
    <w:uiPriority w:val="99"/>
    <w:semiHidden/>
    <w:unhideWhenUsed/>
    <w:rsid w:val="00D154A8"/>
  </w:style>
  <w:style w:type="paragraph" w:styleId="Revision">
    <w:name w:val="Revision"/>
    <w:hidden/>
    <w:uiPriority w:val="99"/>
    <w:semiHidden/>
    <w:rsid w:val="00763CAD"/>
    <w:pPr>
      <w:widowControl/>
      <w:jc w:val="left"/>
    </w:pPr>
  </w:style>
  <w:style w:type="character" w:styleId="CommentReference">
    <w:name w:val="annotation reference"/>
    <w:basedOn w:val="DefaultParagraphFont"/>
    <w:uiPriority w:val="99"/>
    <w:semiHidden/>
    <w:unhideWhenUsed/>
    <w:rsid w:val="00763CAD"/>
    <w:rPr>
      <w:sz w:val="16"/>
      <w:szCs w:val="16"/>
    </w:rPr>
  </w:style>
  <w:style w:type="paragraph" w:styleId="CommentText">
    <w:name w:val="annotation text"/>
    <w:basedOn w:val="Normal"/>
    <w:link w:val="CommentTextChar"/>
    <w:uiPriority w:val="99"/>
    <w:semiHidden/>
    <w:unhideWhenUsed/>
    <w:rsid w:val="00763CAD"/>
    <w:rPr>
      <w:sz w:val="20"/>
      <w:szCs w:val="20"/>
    </w:rPr>
  </w:style>
  <w:style w:type="character" w:customStyle="1" w:styleId="CommentTextChar">
    <w:name w:val="Comment Text Char"/>
    <w:basedOn w:val="DefaultParagraphFont"/>
    <w:link w:val="CommentText"/>
    <w:uiPriority w:val="99"/>
    <w:semiHidden/>
    <w:rsid w:val="00763CAD"/>
    <w:rPr>
      <w:sz w:val="20"/>
      <w:szCs w:val="20"/>
    </w:rPr>
  </w:style>
  <w:style w:type="paragraph" w:styleId="CommentSubject">
    <w:name w:val="annotation subject"/>
    <w:basedOn w:val="CommentText"/>
    <w:next w:val="CommentText"/>
    <w:link w:val="CommentSubjectChar"/>
    <w:uiPriority w:val="99"/>
    <w:semiHidden/>
    <w:unhideWhenUsed/>
    <w:rsid w:val="00763CAD"/>
    <w:rPr>
      <w:b/>
      <w:bCs/>
    </w:rPr>
  </w:style>
  <w:style w:type="character" w:customStyle="1" w:styleId="CommentSubjectChar">
    <w:name w:val="Comment Subject Char"/>
    <w:basedOn w:val="CommentTextChar"/>
    <w:link w:val="CommentSubject"/>
    <w:uiPriority w:val="99"/>
    <w:semiHidden/>
    <w:rsid w:val="00763C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S1GIAcZc3eUXEhT2Dew3EaVTRQ==">AMUW2mXhQl9P4DSyMhOiCsB9urG5v0o/EgeKWKN1b4gvFNWnF7HLjKfQDrQ0Ecqde60zzHXL4lc6foo1twu9IVqSsVQOB5It/IRWVmHIkbReKr3gZ84HmtVvuVUkMaGqt0iiUdGhs2s6eF1FfFvH//Xi+H4CJKFf5RGT83MbILqDTgB0QzedUbsyLEi98vDYKbbxS2fL/jfm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053C97-035F-4BCA-9F20-1E08B54B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5018</Words>
  <Characters>28603</Characters>
  <Application>Microsoft Office Word</Application>
  <DocSecurity>0</DocSecurity>
  <Lines>238</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2021-09-17T10:08:00Z</dcterms:created>
  <dcterms:modified xsi:type="dcterms:W3CDTF">2021-09-17T11:26:00Z</dcterms:modified>
</cp:coreProperties>
</file>