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Quantitative Assessment of Macropinocytosis in mTORC1-hyperactive Cells Using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Amine Belaid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Harilaos Filippakis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Pulmonary and Critical Care Medicine, Brigham and Women’s Hospital, Harvard Medical School, Boston, MA,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Metcalf Science Center, Chemistry Department, Boston University, Boston, MA, USA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Harilaos Filippakis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563C1"/>
          <w:spacing w:val="0"/>
          <w:position w:val="0"/>
          <w:sz w:val="24"/>
          <w:u w:val="single"/>
          <w:shd w:fill="auto" w:val="clear"/>
        </w:rPr>
        <w:t xml:space="preserve">cfilippakis@bwh.harvard.edu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Amine Belaid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abelaid@bu.edu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experimental tools to evaluate macropinocytic uptake of nutrients (carbohydrate and protein) by mTORC1-hyperactive cells. Detailed steps to quantify the uptake of fluorescently labeled dextran and bovine serum albumin (BSA) are described.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Macropinocytosis is a highly conserved, actin-dependent endocytic process that allows the uptake of extracellular material, including proteins and lipids. In proliferating cells, macropinocytosis can deliver extracellular nutrients to the lysosome, processed into critical macromolecule building blocks. Recent studies have highlighted the dependence of multiple cancers on macropinocytosis, including breast, colorectal and pancreatic cancer. Ras mutations are thought to be the driver events behind macropinocytosis initiation, leading to the activation of cellular anabolic processes via the mTORC1 signaling pathway. Significantly, mTORC1 can also be activated by macropinocytosis independently of Ras. Therefore, macropinocytosis represents a metabolic vulnerability that can be leveraged to target macropinocytic tumors by limiting their access to nutrients therapeutically.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Tuberous Sclerosis Complex (TSC) and Lymphangioleiomyomatosis (LAM), mTORC1-hyperactivation leads to enhanced macropinocytosis and metabolic reprogramming. Here, we describe a flow cytometry-based protocol to assess macropinocytosis in mammalian cells quantitatively. </w:t>
      </w:r>
      <w:r>
        <w:rPr>
          <w:rFonts w:ascii="Calibri" w:hAnsi="Calibri" w:cs="Calibri" w:eastAsia="Calibri"/>
          <w:i/>
          <w:color w:val="auto"/>
          <w:spacing w:val="0"/>
          <w:position w:val="0"/>
          <w:sz w:val="24"/>
          <w:shd w:fill="auto" w:val="clear"/>
        </w:rPr>
        <w:t xml:space="preserve">TSC2</w:t>
      </w:r>
      <w:r>
        <w:rPr>
          <w:rFonts w:ascii="Calibri" w:hAnsi="Calibri" w:cs="Calibri" w:eastAsia="Calibri"/>
          <w:color w:val="auto"/>
          <w:spacing w:val="0"/>
          <w:position w:val="0"/>
          <w:sz w:val="24"/>
          <w:shd w:fill="auto" w:val="clear"/>
        </w:rPr>
        <w:t xml:space="preserve">-deficient MEFs are employed, which exhibit aberrant activation of mTORC1 and have been shown to have increased macropinocytosis compared to </w:t>
      </w:r>
      <w:r>
        <w:rPr>
          <w:rFonts w:ascii="Calibri" w:hAnsi="Calibri" w:cs="Calibri" w:eastAsia="Calibri"/>
          <w:i/>
          <w:color w:val="auto"/>
          <w:spacing w:val="0"/>
          <w:position w:val="0"/>
          <w:sz w:val="24"/>
          <w:shd w:fill="auto" w:val="clear"/>
        </w:rPr>
        <w:t xml:space="preserve">TSC2</w:t>
      </w:r>
      <w:r>
        <w:rPr>
          <w:rFonts w:ascii="Calibri" w:hAnsi="Calibri" w:cs="Calibri" w:eastAsia="Calibri"/>
          <w:color w:val="auto"/>
          <w:spacing w:val="0"/>
          <w:position w:val="0"/>
          <w:sz w:val="24"/>
          <w:shd w:fill="auto" w:val="clear"/>
        </w:rPr>
        <w:t xml:space="preserve">-expressing cells. Cells treated with pharmacologic inhibitors of macropinocytosis are incubated with fluorescently labeled, lysine-fixable, 70 kDa dextran, or fluorescently labeled bovine serum albumin (BSA) assayed by flow cytometry. To date, robust image-based techniques have been developed to quantitatively assess macropinocytosis in tumor cells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This analysis provides a quantitative assessment of macropinocytosis in multiple experimental conditions and complements existing image-based techniques.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Macropinocytosis is an endocytic process dedicated to the bulk uptake of extracellular material followed by the formation of macropinosomes, either recycled to the plasma membrane or fusing with lysosomes to degrade the internalized cargo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Although cargo uptake is non-selective, macropinocytosis is a multi-step process, tightly regulated by Rab GTPases and membrane phospholipids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Notably, cancer cells employ macropinocytosis to internalize extracellular nutrients, including proteins, polysaccharides and lipids. Macropinocytosis in cancer cells is activated by oncogenes downstream of Ras or v-Src as a mechanism to support their proliferation, especially under nutrient stress conditions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Therefore, macropinocytosis represents a new therapeutic approach for targeting cancer cells by disrupting nutrient uptake pathways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Tuberous Sclerosis Complex (TSC) and Lymphangioleiomyomatosis (LAM), loss of function mutations in </w:t>
      </w:r>
      <w:r>
        <w:rPr>
          <w:rFonts w:ascii="Calibri" w:hAnsi="Calibri" w:cs="Calibri" w:eastAsia="Calibri"/>
          <w:i/>
          <w:color w:val="auto"/>
          <w:spacing w:val="0"/>
          <w:position w:val="0"/>
          <w:sz w:val="24"/>
          <w:shd w:fill="auto" w:val="clear"/>
        </w:rPr>
        <w:t xml:space="preserve">TSC1 </w:t>
      </w:r>
      <w:r>
        <w:rPr>
          <w:rFonts w:ascii="Calibri" w:hAnsi="Calibri" w:cs="Calibri" w:eastAsia="Calibri"/>
          <w:color w:val="auto"/>
          <w:spacing w:val="0"/>
          <w:position w:val="0"/>
          <w:sz w:val="24"/>
          <w:shd w:fill="auto" w:val="clear"/>
        </w:rPr>
        <w:t xml:space="preserve">or </w:t>
      </w:r>
      <w:r>
        <w:rPr>
          <w:rFonts w:ascii="Calibri" w:hAnsi="Calibri" w:cs="Calibri" w:eastAsia="Calibri"/>
          <w:i/>
          <w:color w:val="auto"/>
          <w:spacing w:val="0"/>
          <w:position w:val="0"/>
          <w:sz w:val="24"/>
          <w:shd w:fill="auto" w:val="clear"/>
        </w:rPr>
        <w:t xml:space="preserve">TSC2</w:t>
      </w:r>
      <w:r>
        <w:rPr>
          <w:rFonts w:ascii="Calibri" w:hAnsi="Calibri" w:cs="Calibri" w:eastAsia="Calibri"/>
          <w:color w:val="auto"/>
          <w:spacing w:val="0"/>
          <w:position w:val="0"/>
          <w:sz w:val="24"/>
          <w:shd w:fill="auto" w:val="clear"/>
        </w:rPr>
        <w:t xml:space="preserve"> leads to hyperactivation of the mammalian/mechanistic target of rapamycin complex 1 (mTORC1)</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Aberrant mTORC1 activation is known to drive extensive metabolic reprogramming, including glucose and glutamine uptake and utilization, enhanced nucleic acid synthesis, lipid synthesis and autophagy</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To compensate for these increased anabolic demands, mTORC1-hyperactive cells increase the uptake of exogenous nutrients via macropinocytosis and enhance lysosomal degradation of internalized cargo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recent work, we identified ritanserin, an inhibitor of diacylglycerol kinase alpha (DGKA) as an agent that selectively inhibits the proliferation of </w:t>
      </w:r>
      <w:r>
        <w:rPr>
          <w:rFonts w:ascii="Calibri" w:hAnsi="Calibri" w:cs="Calibri" w:eastAsia="Calibri"/>
          <w:i/>
          <w:color w:val="auto"/>
          <w:spacing w:val="0"/>
          <w:position w:val="0"/>
          <w:sz w:val="24"/>
          <w:shd w:fill="auto" w:val="clear"/>
        </w:rPr>
        <w:t xml:space="preserve">TSC2</w:t>
      </w:r>
      <w:r>
        <w:rPr>
          <w:rFonts w:ascii="Calibri" w:hAnsi="Calibri" w:cs="Calibri" w:eastAsia="Calibri"/>
          <w:color w:val="auto"/>
          <w:spacing w:val="0"/>
          <w:position w:val="0"/>
          <w:sz w:val="24"/>
          <w:shd w:fill="auto" w:val="clear"/>
        </w:rPr>
        <w:t xml:space="preserve">-deficient cells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DGKA is a lipid kinase that metabolizes diacylglycerol to phosphatidic acid (PA)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PA is a crucial second messenger molecule that also plays a vital role in maintaining cell membrane homeostasis. Surprisingly, ritanserin strongly inhibits macropinocytosis by reprogramming phospholipid metabolism in </w:t>
      </w:r>
      <w:r>
        <w:rPr>
          <w:rFonts w:ascii="Calibri" w:hAnsi="Calibri" w:cs="Calibri" w:eastAsia="Calibri"/>
          <w:i/>
          <w:color w:val="auto"/>
          <w:spacing w:val="0"/>
          <w:position w:val="0"/>
          <w:sz w:val="24"/>
          <w:shd w:fill="auto" w:val="clear"/>
        </w:rPr>
        <w:t xml:space="preserve">TSC2</w:t>
      </w:r>
      <w:r>
        <w:rPr>
          <w:rFonts w:ascii="Calibri" w:hAnsi="Calibri" w:cs="Calibri" w:eastAsia="Calibri"/>
          <w:color w:val="auto"/>
          <w:spacing w:val="0"/>
          <w:position w:val="0"/>
          <w:sz w:val="24"/>
          <w:shd w:fill="auto" w:val="clear"/>
        </w:rPr>
        <w:t xml:space="preserve">-deficient cells. Therefore, targeting the nutrient uptake pathway of macropinocytosis in </w:t>
      </w:r>
      <w:r>
        <w:rPr>
          <w:rFonts w:ascii="Calibri" w:hAnsi="Calibri" w:cs="Calibri" w:eastAsia="Calibri"/>
          <w:i/>
          <w:color w:val="auto"/>
          <w:spacing w:val="0"/>
          <w:position w:val="0"/>
          <w:sz w:val="24"/>
          <w:shd w:fill="auto" w:val="clear"/>
        </w:rPr>
        <w:t xml:space="preserve">TSC2</w:t>
      </w:r>
      <w:r>
        <w:rPr>
          <w:rFonts w:ascii="Calibri" w:hAnsi="Calibri" w:cs="Calibri" w:eastAsia="Calibri"/>
          <w:color w:val="auto"/>
          <w:spacing w:val="0"/>
          <w:position w:val="0"/>
          <w:sz w:val="24"/>
          <w:shd w:fill="auto" w:val="clear"/>
        </w:rPr>
        <w:t xml:space="preserve">-deficient cells may provide novel therapeutic approaches in TSC and LAM.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Quantification of macropinocytic uptake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can provide crucial insights into macropinosome formation regulation and accelerate discovery of molecular mechanisms while identifying novel therapeutic approaches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To date, multiple methodologies have been developed that adequately quantify macropinocytic uptake of fluorescent dextran both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in vivo</w:t>
      </w:r>
      <w:r>
        <w:rPr>
          <w:rFonts w:ascii="Calibri" w:hAnsi="Calibri" w:cs="Calibri" w:eastAsia="Calibri"/>
          <w:i/>
          <w:color w:val="auto"/>
          <w:spacing w:val="0"/>
          <w:position w:val="0"/>
          <w:sz w:val="24"/>
          <w:shd w:fill="auto" w:val="clear"/>
          <w:vertAlign w:val="superscript"/>
        </w:rPr>
        <w:t xml:space="preserve">2,15</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Here we describe a flow cytometry-based approach to directly assess the amount of internalized dextran and albumin in mTORC1-hyperactive cells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method can be utilized to analyze multiple experimental conditions in parallel and complements existing image-based approaches.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Insert Figure 1 here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Cell treatment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Day 1</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Seed </w:t>
      </w:r>
      <w:r>
        <w:rPr>
          <w:rFonts w:ascii="Calibri" w:hAnsi="Calibri" w:cs="Calibri" w:eastAsia="Calibri"/>
          <w:i/>
          <w:color w:val="auto"/>
          <w:spacing w:val="0"/>
          <w:position w:val="0"/>
          <w:sz w:val="24"/>
          <w:shd w:fill="FFFF00" w:val="clear"/>
        </w:rPr>
        <w:t xml:space="preserve">TSC2</w:t>
      </w:r>
      <w:r>
        <w:rPr>
          <w:rFonts w:ascii="Calibri" w:hAnsi="Calibri" w:cs="Calibri" w:eastAsia="Calibri"/>
          <w:color w:val="auto"/>
          <w:spacing w:val="0"/>
          <w:position w:val="0"/>
          <w:sz w:val="24"/>
          <w:shd w:fill="FFFF00" w:val="clear"/>
        </w:rPr>
        <w:t xml:space="preserve">-deficient and </w:t>
      </w:r>
      <w:r>
        <w:rPr>
          <w:rFonts w:ascii="Calibri" w:hAnsi="Calibri" w:cs="Calibri" w:eastAsia="Calibri"/>
          <w:i/>
          <w:color w:val="auto"/>
          <w:spacing w:val="0"/>
          <w:position w:val="0"/>
          <w:sz w:val="24"/>
          <w:shd w:fill="FFFF00" w:val="clear"/>
        </w:rPr>
        <w:t xml:space="preserve">TSC2</w:t>
      </w:r>
      <w:r>
        <w:rPr>
          <w:rFonts w:ascii="Calibri" w:hAnsi="Calibri" w:cs="Calibri" w:eastAsia="Calibri"/>
          <w:color w:val="auto"/>
          <w:spacing w:val="0"/>
          <w:position w:val="0"/>
          <w:sz w:val="24"/>
          <w:shd w:fill="FFFF00" w:val="clear"/>
        </w:rPr>
        <w:t xml:space="preserve">-expressing mouse embryonic fibroblasts (MEFs) in triplicate, in each well of a six-well tissue culture plate using DMEM, supplemented with 10% FBS. Cells should be 60-70% confluent by day 3.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Seed additional control wells for each drug condition that will not be stained with FITC-Dextran or TMR-BSA.</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Day 2</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Carefully aspirate media and rinse cells twice with PBS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Treat cells with vehicle (DMSO), 100 &amp;#181;M of phosphatidic acid (PA), 25 &amp;#181;M of EIPA, 10 &amp;#181;M of ritanserin, or a combination of PA and ritanserin. Use DMEM supplemented with 1% FBS.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DMSO volume should equal the maximal volume of solvent used in treating conditions. For example, if 10 &amp;#181;L of EIPA is used, the volume of DMSO in the vehicle conditions should also be 10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Day 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Replace media with serum-free DMEM containing the abovementioned drugs and 0.5 mg/mL of FITC-Dextran or 0.5 mg/mL of TMR-BSA 16 h post-treatment. Incubate the cells in a 37 &amp;#176;C/5%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cell culture incubator for 60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minimize photobleaching of the fluorophores, FITC-Dextran and TMR-BSA tubes should be wrapped in aluminum foil and the experiment should be performed in a cell culture cabinet with the lights turned off.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Aspirate media and wash twice with ice-cold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w:t>
        <w:tab/>
        <w:t xml:space="preserve">Detach cells using 500 &amp;#181;L of trypsin. Place cells in 37 &amp;#176;C/5%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cell culture incubator for 2-3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Ensure all cells are detached by observing them under a brightfield microscope.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w:t>
        <w:tab/>
        <w:t xml:space="preserve">Using a clean pipette tip every time, collect cells in 1.5 mL tubes using 1% FBS supplemented DMEM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w:t>
        <w:tab/>
        <w:t xml:space="preserve">Pellet cells by centrifugation at 425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w:t>
        <w:tab/>
        <w:t xml:space="preserve">Aspirate the supernatant.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Resuspend the cell pellet using 50 &amp;#181;L of 2% paraformaldehyde.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w:t>
      </w:r>
      <w:r>
        <w:rPr>
          <w:rFonts w:ascii="Calibri" w:hAnsi="Calibri" w:cs="Calibri" w:eastAsia="Calibri"/>
          <w:color w:val="auto"/>
          <w:spacing w:val="0"/>
          <w:position w:val="0"/>
          <w:sz w:val="24"/>
          <w:shd w:fill="auto" w:val="clear"/>
        </w:rPr>
        <w:t xml:space="preserve"> Paraformaldehyde is highly toxic and should be handled under an appropriate fume hood. Formaldehyde-containing waste should be disposed of according to institutional guidelines.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w:t>
        <w:tab/>
        <w:t xml:space="preserve">Incubate cells at room temperature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w:t>
        <w:tab/>
        <w:t xml:space="preserve">Add 1 mL of ice-cold PBS to each tube and resuspend the cell pellet gently. Place the tubes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Centrifuge cells at 425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Aspirate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1.7.1.</w:t>
        <w:tab/>
        <w:t xml:space="preserve">Resuspend cell pellet in 300 &amp;#181;L of ice-cold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1.7.2.</w:t>
        <w:tab/>
        <w:t xml:space="preserve">Transfer cells to the appropriate FACS tubes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1.7.3.</w:t>
        <w:tab/>
        <w:t xml:space="preserve">Proceed with flow cytometry.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Briefly vortex the cells before inserting them into the FACS sample holder.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Using low-speed flow, gate live cells from each unstained sample (negative control) using appropriate laser power as seen in </w:t>
      </w:r>
      <w:r>
        <w:rPr>
          <w:rFonts w:ascii="Calibri" w:hAnsi="Calibri" w:cs="Calibri" w:eastAsia="Calibri"/>
          <w:b/>
          <w:color w:val="auto"/>
          <w:spacing w:val="0"/>
          <w:position w:val="0"/>
          <w:sz w:val="24"/>
          <w:shd w:fill="FFFF00" w:val="clear"/>
        </w:rPr>
        <w:t xml:space="preserve">Figure 2A. </w:t>
      </w:r>
      <w:r>
        <w:rPr>
          <w:rFonts w:ascii="Calibri" w:hAnsi="Calibri" w:cs="Calibri" w:eastAsia="Calibri"/>
          <w:color w:val="auto"/>
          <w:spacing w:val="0"/>
          <w:position w:val="0"/>
          <w:sz w:val="24"/>
          <w:shd w:fill="FFFF00" w:val="clear"/>
        </w:rPr>
        <w:t xml:space="preserve">This step differs between instruments and will need to be optimized for each experiment. Adjust the power for both forward scatter (FSC) and side scatter (SSC) so that live cells are distinct from debris or cell clusters.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Using the autogate feature, select the live cell populations for each sample avoiding cell debris and cell clusters.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All cell events (regardless of gating) are ultimately recorded by the cytometer. Therefore selecting a gate at this step is not critical.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Record the fluorescence intensity from each sample using the appropriate green or red lasers.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Flow cytometry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Gate cells using forward and side scatter parameters. Apply the same gate to all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Create histograms for fluorescence in each sample as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Within each cell gate calculate the mean/median fluorescence intensity for all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Export data for appropriate statistical analysis.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data analysis, the mean/median fluorescence intensity of each sample should be normalized by subtracting the unstained sample values. </w:t>
        <w:br/>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Ritanserin inhibits macropinocytosis in </w:t>
      </w:r>
      <w:r>
        <w:rPr>
          <w:rFonts w:ascii="Calibri" w:hAnsi="Calibri" w:cs="Calibri" w:eastAsia="Calibri"/>
          <w:b/>
          <w:i/>
          <w:color w:val="auto"/>
          <w:spacing w:val="0"/>
          <w:position w:val="0"/>
          <w:sz w:val="24"/>
          <w:shd w:fill="auto" w:val="clear"/>
        </w:rPr>
        <w:t xml:space="preserve">TSC2</w:t>
      </w:r>
      <w:r>
        <w:rPr>
          <w:rFonts w:ascii="Calibri" w:hAnsi="Calibri" w:cs="Calibri" w:eastAsia="Calibri"/>
          <w:b/>
          <w:color w:val="auto"/>
          <w:spacing w:val="0"/>
          <w:position w:val="0"/>
          <w:sz w:val="24"/>
          <w:shd w:fill="auto" w:val="clear"/>
        </w:rPr>
        <w:t xml:space="preserve">-deficient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previously shown that macropinocytic uptake of nutrients is increased by three-fold in </w:t>
      </w:r>
      <w:r>
        <w:rPr>
          <w:rFonts w:ascii="Calibri" w:hAnsi="Calibri" w:cs="Calibri" w:eastAsia="Calibri"/>
          <w:i/>
          <w:color w:val="auto"/>
          <w:spacing w:val="0"/>
          <w:position w:val="0"/>
          <w:sz w:val="24"/>
          <w:shd w:fill="auto" w:val="clear"/>
        </w:rPr>
        <w:t xml:space="preserve">TSC2</w:t>
      </w:r>
      <w:r>
        <w:rPr>
          <w:rFonts w:ascii="Calibri" w:hAnsi="Calibri" w:cs="Calibri" w:eastAsia="Calibri"/>
          <w:color w:val="auto"/>
          <w:spacing w:val="0"/>
          <w:position w:val="0"/>
          <w:sz w:val="24"/>
          <w:shd w:fill="auto" w:val="clear"/>
        </w:rPr>
        <w:t xml:space="preserve">-deficient cells compared to </w:t>
      </w:r>
      <w:r>
        <w:rPr>
          <w:rFonts w:ascii="Calibri" w:hAnsi="Calibri" w:cs="Calibri" w:eastAsia="Calibri"/>
          <w:i/>
          <w:color w:val="auto"/>
          <w:spacing w:val="0"/>
          <w:position w:val="0"/>
          <w:sz w:val="24"/>
          <w:shd w:fill="auto" w:val="clear"/>
        </w:rPr>
        <w:t xml:space="preserve">TSC2</w:t>
      </w:r>
      <w:r>
        <w:rPr>
          <w:rFonts w:ascii="Calibri" w:hAnsi="Calibri" w:cs="Calibri" w:eastAsia="Calibri"/>
          <w:color w:val="auto"/>
          <w:spacing w:val="0"/>
          <w:position w:val="0"/>
          <w:sz w:val="24"/>
          <w:shd w:fill="auto" w:val="clear"/>
        </w:rPr>
        <w:t xml:space="preserve">-expressing cells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TSC and LAM, macropinocytosis is mediated via diacylglycerol kinase alpha (DGKA). The metabolic product of DGKA is phosphatidic acid (PA), a crucial component of cellular membranes. Therefore, we hypothesized that inhibition of DGKA by ritanserin might impact macropinocytic vesicular trafficking in </w:t>
      </w:r>
      <w:r>
        <w:rPr>
          <w:rFonts w:ascii="Calibri" w:hAnsi="Calibri" w:cs="Calibri" w:eastAsia="Calibri"/>
          <w:i/>
          <w:color w:val="auto"/>
          <w:spacing w:val="0"/>
          <w:position w:val="0"/>
          <w:sz w:val="24"/>
          <w:shd w:fill="auto" w:val="clear"/>
        </w:rPr>
        <w:t xml:space="preserve">TSC2</w:t>
      </w:r>
      <w:r>
        <w:rPr>
          <w:rFonts w:ascii="Calibri" w:hAnsi="Calibri" w:cs="Calibri" w:eastAsia="Calibri"/>
          <w:color w:val="auto"/>
          <w:spacing w:val="0"/>
          <w:position w:val="0"/>
          <w:sz w:val="24"/>
          <w:shd w:fill="auto" w:val="clear"/>
        </w:rPr>
        <w:t xml:space="preserve">-deficient cells. To determine the role of ritanserin on macropinocytic uptake of exogenous nutrients, uptake assays using FITC-Dextran (0.5 mg/mL, 70 kDa) or TMR-BSA (0.5 mg/mL) were performed. 70 kDa dextran was chosen because this size carbohydrate molecule is exclusively taken up by macropinocytosis, and not by other forms of endocytosis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Ritanserin treatment (10 &amp;#181;M, 16 h) inhibited uptake of dextran by 90% (p&amp;lt;0.0001) in </w:t>
      </w:r>
      <w:r>
        <w:rPr>
          <w:rFonts w:ascii="Calibri" w:hAnsi="Calibri" w:cs="Calibri" w:eastAsia="Calibri"/>
          <w:i/>
          <w:color w:val="auto"/>
          <w:spacing w:val="0"/>
          <w:position w:val="0"/>
          <w:sz w:val="24"/>
          <w:shd w:fill="auto" w:val="clear"/>
        </w:rPr>
        <w:t xml:space="preserve">TSC2</w:t>
      </w:r>
      <w:r>
        <w:rPr>
          <w:rFonts w:ascii="Calibri" w:hAnsi="Calibri" w:cs="Calibri" w:eastAsia="Calibri"/>
          <w:color w:val="auto"/>
          <w:spacing w:val="0"/>
          <w:position w:val="0"/>
          <w:sz w:val="24"/>
          <w:shd w:fill="auto" w:val="clear"/>
        </w:rPr>
        <w:t xml:space="preserve">-deficient cells and had no impact on </w:t>
      </w:r>
      <w:r>
        <w:rPr>
          <w:rFonts w:ascii="Calibri" w:hAnsi="Calibri" w:cs="Calibri" w:eastAsia="Calibri"/>
          <w:i/>
          <w:color w:val="auto"/>
          <w:spacing w:val="0"/>
          <w:position w:val="0"/>
          <w:sz w:val="24"/>
          <w:shd w:fill="auto" w:val="clear"/>
        </w:rPr>
        <w:t xml:space="preserve">TSC2</w:t>
      </w:r>
      <w:r>
        <w:rPr>
          <w:rFonts w:ascii="Calibri" w:hAnsi="Calibri" w:cs="Calibri" w:eastAsia="Calibri"/>
          <w:color w:val="auto"/>
          <w:spacing w:val="0"/>
          <w:position w:val="0"/>
          <w:sz w:val="24"/>
          <w:shd w:fill="auto" w:val="clear"/>
        </w:rPr>
        <w:t xml:space="preserve">-expressing cells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PA supplementation (100 &amp;#181;M, 16 h) restored macropinocytosis, indicating that macropinocytosis in </w:t>
      </w:r>
      <w:r>
        <w:rPr>
          <w:rFonts w:ascii="Calibri" w:hAnsi="Calibri" w:cs="Calibri" w:eastAsia="Calibri"/>
          <w:i/>
          <w:color w:val="auto"/>
          <w:spacing w:val="0"/>
          <w:position w:val="0"/>
          <w:sz w:val="24"/>
          <w:shd w:fill="auto" w:val="clear"/>
        </w:rPr>
        <w:t xml:space="preserve">TSC2</w:t>
      </w:r>
      <w:r>
        <w:rPr>
          <w:rFonts w:ascii="Calibri" w:hAnsi="Calibri" w:cs="Calibri" w:eastAsia="Calibri"/>
          <w:color w:val="auto"/>
          <w:spacing w:val="0"/>
          <w:position w:val="0"/>
          <w:sz w:val="24"/>
          <w:shd w:fill="auto" w:val="clear"/>
        </w:rPr>
        <w:t xml:space="preserve">-deficient cells is mediated via DGKA. The established macropinocytosis inhibitor EIPA (25 &amp;#181;M, 16 h) decreased macropinocytosis by ~60% (p&amp;lt;0.0001) in </w:t>
      </w:r>
      <w:r>
        <w:rPr>
          <w:rFonts w:ascii="Calibri" w:hAnsi="Calibri" w:cs="Calibri" w:eastAsia="Calibri"/>
          <w:i/>
          <w:color w:val="auto"/>
          <w:spacing w:val="0"/>
          <w:position w:val="0"/>
          <w:sz w:val="24"/>
          <w:shd w:fill="auto" w:val="clear"/>
        </w:rPr>
        <w:t xml:space="preserve">TSC2</w:t>
      </w:r>
      <w:r>
        <w:rPr>
          <w:rFonts w:ascii="Calibri" w:hAnsi="Calibri" w:cs="Calibri" w:eastAsia="Calibri"/>
          <w:color w:val="auto"/>
          <w:spacing w:val="0"/>
          <w:position w:val="0"/>
          <w:sz w:val="24"/>
          <w:shd w:fill="auto" w:val="clear"/>
        </w:rPr>
        <w:t xml:space="preserve">-deficient cells. To further characterize the role of ritanserin on macropinocytosis, the macropinocytic uptake of exogenous BSA was quantified. Uptake of fluorescently labeled BSA (TMR-BSA, 0.5 mg/mL) was decreased by ~70% (p&amp;lt;0.0001) upon ritanserin treatment (10 &amp;#181;M, 16 h,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Similarly, macropinocytic uptake of BSA was rescued by adding back PA (100 &amp;#181;M, 16 h), indicating that ritanserin inhibits macropinocytosis by depleting PA in the cellular membranes of </w:t>
      </w:r>
      <w:r>
        <w:rPr>
          <w:rFonts w:ascii="Calibri" w:hAnsi="Calibri" w:cs="Calibri" w:eastAsia="Calibri"/>
          <w:i/>
          <w:color w:val="auto"/>
          <w:spacing w:val="0"/>
          <w:position w:val="0"/>
          <w:sz w:val="24"/>
          <w:shd w:fill="auto" w:val="clear"/>
        </w:rPr>
        <w:t xml:space="preserve">TSC2</w:t>
      </w:r>
      <w:r>
        <w:rPr>
          <w:rFonts w:ascii="Calibri" w:hAnsi="Calibri" w:cs="Calibri" w:eastAsia="Calibri"/>
          <w:color w:val="auto"/>
          <w:spacing w:val="0"/>
          <w:position w:val="0"/>
          <w:sz w:val="24"/>
          <w:shd w:fill="auto" w:val="clear"/>
        </w:rPr>
        <w:t xml:space="preserve">-deficient cells. Although BSA can also be internalized by endocytosis (hydrodynamic radius: BSA=3.3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nm vs. dextran=6.49 nm</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EIPA and ritanserin inhibited its macropinocytic uptake. Therefore, BSA can be used as a complementary cargo to assess protein uptake via macropinocytosis in mammalian cells. These results demonstrate the potential of using flow cytometry to identify novel therapies that target macropinocytosis in mammalian cells using exogenous dextran and BSA as cargo.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insert Figure 2 here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Workflow for the assessment of macropinocytosis in mammalian cells.</w:t>
      </w:r>
      <w:r>
        <w:rPr>
          <w:rFonts w:ascii="Calibri" w:hAnsi="Calibri" w:cs="Calibri" w:eastAsia="Calibri"/>
          <w:color w:val="auto"/>
          <w:spacing w:val="0"/>
          <w:position w:val="0"/>
          <w:sz w:val="24"/>
          <w:shd w:fill="auto" w:val="clear"/>
        </w:rPr>
        <w:t xml:space="preserve"> Cells are seeded in six-well plates and subsequently treated with compounds of interest. Fluorescent dextran or BSA are added for 60 min, and the uptake is inhibited by washing with ice-cold PBS. Cells are fixed using paraformaldehyde, and fluorescence intensity is quantified by flow cytometry. Cells are gated, and data are analyzed with the appropriate software.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Ritanserin inhibits macropinocytosis in </w:t>
      </w:r>
      <w:r>
        <w:rPr>
          <w:rFonts w:ascii="Calibri" w:hAnsi="Calibri" w:cs="Calibri" w:eastAsia="Calibri"/>
          <w:b/>
          <w:i/>
          <w:color w:val="auto"/>
          <w:spacing w:val="0"/>
          <w:position w:val="0"/>
          <w:sz w:val="24"/>
          <w:shd w:fill="auto" w:val="clear"/>
        </w:rPr>
        <w:t xml:space="preserve">TSC2</w:t>
      </w:r>
      <w:r>
        <w:rPr>
          <w:rFonts w:ascii="Calibri" w:hAnsi="Calibri" w:cs="Calibri" w:eastAsia="Calibri"/>
          <w:b/>
          <w:color w:val="auto"/>
          <w:spacing w:val="0"/>
          <w:position w:val="0"/>
          <w:sz w:val="24"/>
          <w:shd w:fill="auto" w:val="clear"/>
        </w:rPr>
        <w:t xml:space="preserve">-deficient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Cell gating of </w:t>
      </w:r>
      <w:r>
        <w:rPr>
          <w:rFonts w:ascii="Calibri" w:hAnsi="Calibri" w:cs="Calibri" w:eastAsia="Calibri"/>
          <w:i/>
          <w:color w:val="auto"/>
          <w:spacing w:val="0"/>
          <w:position w:val="0"/>
          <w:sz w:val="24"/>
          <w:shd w:fill="auto" w:val="clear"/>
        </w:rPr>
        <w:t xml:space="preserve">TSC2</w:t>
      </w:r>
      <w:r>
        <w:rPr>
          <w:rFonts w:ascii="Calibri" w:hAnsi="Calibri" w:cs="Calibri" w:eastAsia="Calibri"/>
          <w:color w:val="auto"/>
          <w:spacing w:val="0"/>
          <w:position w:val="0"/>
          <w:sz w:val="24"/>
          <w:shd w:fill="auto" w:val="clear"/>
        </w:rPr>
        <w:t xml:space="preserve">-deficient cells stained with FITC-Dextran (left panel). Representative fluorescence of FITC-Dextran from </w:t>
      </w:r>
      <w:r>
        <w:rPr>
          <w:rFonts w:ascii="Calibri" w:hAnsi="Calibri" w:cs="Calibri" w:eastAsia="Calibri"/>
          <w:i/>
          <w:color w:val="auto"/>
          <w:spacing w:val="0"/>
          <w:position w:val="0"/>
          <w:sz w:val="24"/>
          <w:shd w:fill="auto" w:val="clear"/>
        </w:rPr>
        <w:t xml:space="preserve">TSC2</w:t>
      </w:r>
      <w:r>
        <w:rPr>
          <w:rFonts w:ascii="Calibri" w:hAnsi="Calibri" w:cs="Calibri" w:eastAsia="Calibri"/>
          <w:color w:val="auto"/>
          <w:spacing w:val="0"/>
          <w:position w:val="0"/>
          <w:sz w:val="24"/>
          <w:shd w:fill="auto" w:val="clear"/>
        </w:rPr>
        <w:t xml:space="preserve">-deficient cells treated with DMSO, ritanserin (10 &amp;#181;M; 1 h), or EIPA (25 &amp;#181;M; 16 h, right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Macropinocytosis is enhanced (3-fold) in </w:t>
      </w:r>
      <w:r>
        <w:rPr>
          <w:rFonts w:ascii="Calibri" w:hAnsi="Calibri" w:cs="Calibri" w:eastAsia="Calibri"/>
          <w:i/>
          <w:color w:val="auto"/>
          <w:spacing w:val="0"/>
          <w:position w:val="0"/>
          <w:sz w:val="24"/>
          <w:shd w:fill="auto" w:val="clear"/>
        </w:rPr>
        <w:t xml:space="preserve">TSC2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MEFs compared to </w:t>
      </w:r>
      <w:r>
        <w:rPr>
          <w:rFonts w:ascii="Calibri" w:hAnsi="Calibri" w:cs="Calibri" w:eastAsia="Calibri"/>
          <w:i/>
          <w:color w:val="auto"/>
          <w:spacing w:val="0"/>
          <w:position w:val="0"/>
          <w:sz w:val="24"/>
          <w:shd w:fill="auto" w:val="clear"/>
        </w:rPr>
        <w:t xml:space="preserve">TSC2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MEFs. Ritanserin (10 &amp;#181;M; 16 h) inhibited the macropinocytic uptake of dextran (0.5 mg/mL, FITC-Dextran) selectively in </w:t>
      </w:r>
      <w:r>
        <w:rPr>
          <w:rFonts w:ascii="Calibri" w:hAnsi="Calibri" w:cs="Calibri" w:eastAsia="Calibri"/>
          <w:i/>
          <w:color w:val="auto"/>
          <w:spacing w:val="0"/>
          <w:position w:val="0"/>
          <w:sz w:val="24"/>
          <w:shd w:fill="auto" w:val="clear"/>
        </w:rPr>
        <w:t xml:space="preserve">TSC2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MEFs. Phosphatidic acid (PA, 100 &amp;#181;M) restored macropinocytosis of ritanserin-treated </w:t>
      </w:r>
      <w:r>
        <w:rPr>
          <w:rFonts w:ascii="Calibri" w:hAnsi="Calibri" w:cs="Calibri" w:eastAsia="Calibri"/>
          <w:i/>
          <w:color w:val="auto"/>
          <w:spacing w:val="0"/>
          <w:position w:val="0"/>
          <w:sz w:val="24"/>
          <w:shd w:fill="auto" w:val="clear"/>
        </w:rPr>
        <w:t xml:space="preserve">TSC2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MEFs to levels compared to untreated cells.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Exogenous protein uptake (0.5 mg/mL, TMR-BSA) was increased in ritanserin (10 &amp;#181;M; 16 h) treated </w:t>
      </w:r>
      <w:r>
        <w:rPr>
          <w:rFonts w:ascii="Calibri" w:hAnsi="Calibri" w:cs="Calibri" w:eastAsia="Calibri"/>
          <w:i/>
          <w:color w:val="auto"/>
          <w:spacing w:val="0"/>
          <w:position w:val="0"/>
          <w:sz w:val="24"/>
          <w:shd w:fill="auto" w:val="clear"/>
        </w:rPr>
        <w:t xml:space="preserve">TSC2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MEFs compared to </w:t>
      </w:r>
      <w:r>
        <w:rPr>
          <w:rFonts w:ascii="Calibri" w:hAnsi="Calibri" w:cs="Calibri" w:eastAsia="Calibri"/>
          <w:i/>
          <w:color w:val="auto"/>
          <w:spacing w:val="0"/>
          <w:position w:val="0"/>
          <w:sz w:val="24"/>
          <w:shd w:fill="auto" w:val="clear"/>
        </w:rPr>
        <w:t xml:space="preserve">TSC2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MEFs. PA (100 &amp;#181;M) partially rescued macropinocytosis in </w:t>
      </w:r>
      <w:r>
        <w:rPr>
          <w:rFonts w:ascii="Calibri" w:hAnsi="Calibri" w:cs="Calibri" w:eastAsia="Calibri"/>
          <w:i/>
          <w:color w:val="auto"/>
          <w:spacing w:val="0"/>
          <w:position w:val="0"/>
          <w:sz w:val="24"/>
          <w:shd w:fill="auto" w:val="clear"/>
        </w:rPr>
        <w:t xml:space="preserve">TSC2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MEFs. As expected, EIPA (25 &amp;#181;M;16 h) inhibited macropinocytic dextran and BSA uptake. Data represented as mean &amp;plusmn;SD from three biological replicates. Statistical significance was assessed using two-way ANOVA with Bonferroni correction with ***, p &amp;lt; 0.001; ****, p &amp;lt; 0.0001. This figure has been adapted from: Cancer Research. 2021 Feb 16; canres.2218.2020. doi: 10.1158/0008-5472.CAN-20-2218.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quantitative approach to assess macropinocytosis using flow cytometry. This method provides an accurate and rapid measurement of the fluorescently labeled macropinocytic cargo dextran and albumin. Prior studies have carefully characterized the macropinocytic index of cancer cells using confocal microscopy approaches</w:t>
      </w:r>
      <w:r>
        <w:rPr>
          <w:rFonts w:ascii="Calibri" w:hAnsi="Calibri" w:cs="Calibri" w:eastAsia="Calibri"/>
          <w:color w:val="auto"/>
          <w:spacing w:val="0"/>
          <w:position w:val="0"/>
          <w:sz w:val="24"/>
          <w:shd w:fill="auto" w:val="clear"/>
          <w:vertAlign w:val="superscript"/>
        </w:rPr>
        <w:t xml:space="preserve">15,20</w:t>
      </w:r>
      <w:r>
        <w:rPr>
          <w:rFonts w:ascii="Calibri" w:hAnsi="Calibri" w:cs="Calibri" w:eastAsia="Calibri"/>
          <w:color w:val="auto"/>
          <w:spacing w:val="0"/>
          <w:position w:val="0"/>
          <w:sz w:val="24"/>
          <w:shd w:fill="auto" w:val="clear"/>
        </w:rPr>
        <w:t xml:space="preserve">. Although these methods accurately quantify the internalization and size spatial distribution of macropinosomes, they require the analysis of multiple images for each experimental condition. In contrast, the technique described here allows for the simultaneous assessment of multiple experimental conditions and time points. Additionally, the flow cytometry approach provides an absolute quantification of internalized dextran, which is advantageous to current microscopic techniques.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macropinocytosis is a dynamic process, the duration of incubation with fluorescently labeled dextran or BSA should be optimized for each cell line of interest. In our experience and agreement with previous studies, maximal uptake of dextran and BSA requires 30-60 min of incubation and remains stable for up to 180 min</w:t>
      </w:r>
      <w:r>
        <w:rPr>
          <w:rFonts w:ascii="Calibri" w:hAnsi="Calibri" w:cs="Calibri" w:eastAsia="Calibri"/>
          <w:color w:val="auto"/>
          <w:spacing w:val="0"/>
          <w:position w:val="0"/>
          <w:sz w:val="24"/>
          <w:shd w:fill="auto" w:val="clear"/>
          <w:vertAlign w:val="superscript"/>
        </w:rPr>
        <w:t xml:space="preserve">15,21</w:t>
      </w:r>
      <w:r>
        <w:rPr>
          <w:rFonts w:ascii="Calibri" w:hAnsi="Calibri" w:cs="Calibri" w:eastAsia="Calibri"/>
          <w:color w:val="auto"/>
          <w:spacing w:val="0"/>
          <w:position w:val="0"/>
          <w:sz w:val="24"/>
          <w:shd w:fill="auto" w:val="clear"/>
        </w:rPr>
        <w:t xml:space="preserve">. To allow for an accurate assessment of macropinocytosis, it is recommended that initial experiments should include several time points. Additionally, appropriate positive and negative controls should be included in each experiment. EIPA, the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channel inhibitor, has been traditionally used to inhibit macropinocytosis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Here we show that ritanserin, a DGKA inhibitor, blocks macropinocytosis in </w:t>
      </w:r>
      <w:r>
        <w:rPr>
          <w:rFonts w:ascii="Calibri" w:hAnsi="Calibri" w:cs="Calibri" w:eastAsia="Calibri"/>
          <w:i/>
          <w:color w:val="auto"/>
          <w:spacing w:val="0"/>
          <w:position w:val="0"/>
          <w:sz w:val="24"/>
          <w:shd w:fill="auto" w:val="clear"/>
        </w:rPr>
        <w:t xml:space="preserve">TSC2</w:t>
      </w:r>
      <w:r>
        <w:rPr>
          <w:rFonts w:ascii="Calibri" w:hAnsi="Calibri" w:cs="Calibri" w:eastAsia="Calibri"/>
          <w:color w:val="auto"/>
          <w:spacing w:val="0"/>
          <w:position w:val="0"/>
          <w:sz w:val="24"/>
          <w:shd w:fill="auto" w:val="clear"/>
        </w:rPr>
        <w:t xml:space="preserve">-deficient cells and can therefore be used as a tool compound in macropinocytosis studies. It should also be noted that FITC-Dextran can only be used on fixed cells to avoid quenching of the fluorophore in acidic organelles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Finally, the size of fluorescent dextran (70 kDa) is an essential factor, especially since smaller size dextrans can be internalized via clathrin-mediated endocytosis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Consideration for the cell size is critical when measuring fluorescence emitted by dextran or BSA, as larger cells will most likely internalize increased amounts of extracellular cargo. To this extent, drug treatments might also affect cell size leading to misinterpretation of results. To counteract this, the fluorescence of unstained samples corresponding to each drug treatment should be measured during each experiment. These values can then be subtracted from the mean/median fluorescence intensity values of stained samples. It should be noted that the method described here is low throughput and will need to be modified if a high throughput format is required. Recently described methods for the high throughput measurement of macropinocytosis could potentially be adapted to be used in mammalian cells and ultimately allow the screening of compound libraries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this method provides a highly reproducible assessment of macropinocytosis that can be readily applied in multiple research areas, including pancreatic, breast and lung cancer.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LAM Foundation Career Development Award.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was created with BioRender.com. Critical reading was performed by Hilaire C. Lam.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Yoshida, S., Pacitto, R., Inoki, K., Swanson, J. Macropinocytosis, mTORC1 and cellular growth control.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(7), 1227-1239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Commisso,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Macropinocytosis of protein is an amino acid supply route in Ras-transformed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497</w:t>
      </w:r>
      <w:r>
        <w:rPr>
          <w:rFonts w:ascii="Calibri" w:hAnsi="Calibri" w:cs="Calibri" w:eastAsia="Calibri"/>
          <w:color w:val="auto"/>
          <w:spacing w:val="0"/>
          <w:position w:val="0"/>
          <w:sz w:val="24"/>
          <w:shd w:fill="auto" w:val="clear"/>
        </w:rPr>
        <w:t xml:space="preserve"> (7451), 633-637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Maxson, M. E., Sarantis, H., Volchuk, A., Brumell, J. H., Grinstein, S. Rab5 regulates macropinocytosis by recruiting the inositol 5-phosphatases OCRL/Inpp5b that hydrolyze PtdIns(4,5)P2.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10.1242/jcs.252411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Bohdanowicz,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Phosphatidic acid is required for the constitutive ruffling and macropinocytosis of phagocytes.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(11), 1700-1712, S1701-1707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Ramirez, C., Hauser, A. D., Vucic, E. A., Bar-Sagi, D. Plasma membrane V-ATPase controls oncogenic RAS-induced macropinocytosis.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576</w:t>
      </w:r>
      <w:r>
        <w:rPr>
          <w:rFonts w:ascii="Calibri" w:hAnsi="Calibri" w:cs="Calibri" w:eastAsia="Calibri"/>
          <w:color w:val="auto"/>
          <w:spacing w:val="0"/>
          <w:position w:val="0"/>
          <w:sz w:val="24"/>
          <w:shd w:fill="auto" w:val="clear"/>
        </w:rPr>
        <w:t xml:space="preserve"> (7787), 477-481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Kamphorst, J.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 pancreatic cancer tumors are nutrient poor and tumor cells actively scavenge extracellular protein.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(3), 544-553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Kim, S.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Targeting cancer metabolism by simultaneously disrupting parallel nutrient access pathways.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(11), 4088-4102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Selwan, E. M., Finicle, B. T., Kim, S. M., Edinger, A. L. Attacking the supply wagons to starve cancer cells to death.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590</w:t>
      </w:r>
      <w:r>
        <w:rPr>
          <w:rFonts w:ascii="Calibri" w:hAnsi="Calibri" w:cs="Calibri" w:eastAsia="Calibri"/>
          <w:color w:val="auto"/>
          <w:spacing w:val="0"/>
          <w:position w:val="0"/>
          <w:sz w:val="24"/>
          <w:shd w:fill="auto" w:val="clear"/>
        </w:rPr>
        <w:t xml:space="preserve"> (7), 885-907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Henske, E. P., Jozwiak, S., Kingswood, J. C., Sampson, J. R., Thiele, E. A. Tuberous sclerosis complex. </w:t>
      </w:r>
      <w:r>
        <w:rPr>
          <w:rFonts w:ascii="Calibri" w:hAnsi="Calibri" w:cs="Calibri" w:eastAsia="Calibri"/>
          <w:i/>
          <w:color w:val="auto"/>
          <w:spacing w:val="0"/>
          <w:position w:val="0"/>
          <w:sz w:val="24"/>
          <w:shd w:fill="auto" w:val="clear"/>
        </w:rPr>
        <w:t xml:space="preserve">Nature Reviews Disease Primers.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16035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Duvel,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Activation of a metabolic gene regulatory network downstream of mTOR complex 1.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 171-183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Sancak,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Rag GTPases bind raptor and mediate amino acid signaling to mTORC1.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320</w:t>
      </w:r>
      <w:r>
        <w:rPr>
          <w:rFonts w:ascii="Calibri" w:hAnsi="Calibri" w:cs="Calibri" w:eastAsia="Calibri"/>
          <w:color w:val="auto"/>
          <w:spacing w:val="0"/>
          <w:position w:val="0"/>
          <w:sz w:val="24"/>
          <w:shd w:fill="auto" w:val="clear"/>
        </w:rPr>
        <w:t xml:space="preserve"> (5882), 1496-1501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Choo, A.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Glucose addiction of TSC null cells is caused by failed mTORC1-dependent balancing of metabolic demand with supply.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(4), 487-499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Kovalenko,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Therapeutic targeting of DGKA-mediated macropinocytosis leads to phospholipid reprogramming in Tuberous Sclerosis Complex.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10.1158/0008-5472.CAN-20-2218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Swanson, J. A. Phorbol esters stimulate macropinocytosis and solute flow through macrophages.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 </w:t>
      </w:r>
      <w:r>
        <w:rPr>
          <w:rFonts w:ascii="Calibri" w:hAnsi="Calibri" w:cs="Calibri" w:eastAsia="Calibri"/>
          <w:color w:val="auto"/>
          <w:spacing w:val="0"/>
          <w:position w:val="0"/>
          <w:sz w:val="24"/>
          <w:shd w:fill="auto" w:val="clear"/>
        </w:rPr>
        <w:t xml:space="preserve">(Pt 1), 135-142 (1989).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Commisso, C., Flinn, R. J., Bar-Sagi, D. Determining the macropinocytic index of cells through a quantitative image-based assay.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182-192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Filippakis,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Vps34-mediated macropinocytosis in Tuberous Sclerosis Complex 2-deficient cells supports tumorigenesis.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14161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Li,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effect of the size of fluorescent dextran on its endocytic pathway. </w:t>
      </w:r>
      <w:r>
        <w:rPr>
          <w:rFonts w:ascii="Calibri" w:hAnsi="Calibri" w:cs="Calibri" w:eastAsia="Calibri"/>
          <w:i/>
          <w:color w:val="auto"/>
          <w:spacing w:val="0"/>
          <w:position w:val="0"/>
          <w:sz w:val="24"/>
          <w:shd w:fill="auto" w:val="clear"/>
        </w:rPr>
        <w:t xml:space="preserve">Cell Biol Int.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(5), 531-539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Jachimska, B., Wasilewska, M., Adamczyk, Z. Characterization of globular protein solutions by dynamic light scattering, electrophoretic mobility, and viscosity measurements.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(13), 6866-6872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Armstrong, J. K., Wenby, R. B., Meiselman, H. J., Fisher, T. C. The hydrodynamic radii of macromolecules and their effect on red blood cell aggregation.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(6), 4259-4270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Lee, S. W., Alas, B., Commisso, C. Detection and Quantification of Macropinosomes in Pancreatic Tumors.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1882</w:t>
      </w:r>
      <w:r>
        <w:rPr>
          <w:rFonts w:ascii="Calibri" w:hAnsi="Calibri" w:cs="Calibri" w:eastAsia="Calibri"/>
          <w:color w:val="auto"/>
          <w:spacing w:val="0"/>
          <w:position w:val="0"/>
          <w:sz w:val="24"/>
          <w:shd w:fill="auto" w:val="clear"/>
        </w:rPr>
        <w:t xml:space="preserve"> 171-181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Williams, T. D., Kay, R. R. The physiological regulation of macropinocytosis during Dictyostelium growth and development.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(6)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Koivusalo,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Amiloride inhibits macropinocytosis by lowering submembranous pH and preventing Rac1 and Cdc42 signaling.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(4), 547-563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Ohkuma, S., Poole, B. Fluorescence probe measurement of the intralysosomal pH in living cells and the perturbation of pH by various agents.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(7), 3327-3331 (1978).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Murphy, R. F. Analysis and isolation of endocytic vesicles by flow cytometry and sorting: demonstration of three kinetically distinct compartments involved in fluid-phase endocytosis.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(24), 8523-8526 (1985).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Williams, T., Kay, R. R. High-throughput Measurement of Dictyostelium discoideum Macropinocytosis by Flow Cytometry.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10.3791/58434 (139)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