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Tripartite Interaction between Two Monomers of a MADS-box Transcription Factor and a Calcium Sensor Protein by BiFC-FRET-FLIM Assay</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Neelima Boora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Vibha Verma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Ridhi Khurana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Gautam Gawande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Sanchi Bhimrajka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Komal Chaprana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Meenu Kapoor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Sanjay Kapoor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Interdisciplinary Centre for Plant Genomics, Department of Plant Molecular Biology, University of Delhi South Campus, New Delhi 110021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University School of Biotechnology, Guru Gobind Singh Indraprastha University, Dwarka, New Delhi 110078,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Neelima Boora</w:t>
        <w:tab/>
        <w:t xml:space="preserve">(</w:t>
      </w:r>
      <w:r>
        <w:rPr>
          <w:rFonts w:ascii="Calibri" w:hAnsi="Calibri" w:cs="Calibri" w:eastAsia="Calibri"/>
          <w:color w:val="2F5496"/>
          <w:spacing w:val="0"/>
          <w:position w:val="0"/>
          <w:sz w:val="24"/>
          <w:shd w:fill="auto" w:val="clear"/>
        </w:rPr>
        <w:t xml:space="preserve">neelimaboora7@gmail.com</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Vibha Verma</w:t>
        <w:tab/>
        <w:tab/>
        <w:t xml:space="preserve">(</w:t>
      </w:r>
      <w:r>
        <w:rPr>
          <w:rFonts w:ascii="Calibri" w:hAnsi="Calibri" w:cs="Calibri" w:eastAsia="Calibri"/>
          <w:color w:val="2F5496"/>
          <w:spacing w:val="0"/>
          <w:position w:val="0"/>
          <w:sz w:val="24"/>
          <w:shd w:fill="auto" w:val="clear"/>
        </w:rPr>
        <w:t xml:space="preserve">vibha1verma@gmail.com</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Ridhi Khurana</w:t>
        <w:tab/>
        <w:tab/>
        <w:t xml:space="preserve">(khuranaridhi@gmail.com)</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Gautam Gawande</w:t>
        <w:tab/>
        <w:t xml:space="preserve">(gawandegautam2412@gmail.com)</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Sanchi Bhimrajka</w:t>
        <w:tab/>
        <w:t xml:space="preserve">(</w:t>
      </w:r>
      <w:r>
        <w:rPr>
          <w:rFonts w:ascii="Calibri" w:hAnsi="Calibri" w:cs="Calibri" w:eastAsia="Calibri"/>
          <w:color w:val="2F5496"/>
          <w:spacing w:val="0"/>
          <w:position w:val="0"/>
          <w:sz w:val="24"/>
          <w:shd w:fill="auto" w:val="clear"/>
        </w:rPr>
        <w:t xml:space="preserve">sanchi25bhimrajka@gmail.com</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Komal Chaprana</w:t>
        <w:tab/>
        <w:t xml:space="preserve">(</w:t>
      </w:r>
      <w:r>
        <w:rPr>
          <w:rFonts w:ascii="Calibri" w:hAnsi="Calibri" w:cs="Calibri" w:eastAsia="Calibri"/>
          <w:color w:val="2F5496"/>
          <w:spacing w:val="0"/>
          <w:position w:val="0"/>
          <w:sz w:val="24"/>
          <w:shd w:fill="auto" w:val="clear"/>
        </w:rPr>
        <w:t xml:space="preserve">komalchaprana27@gmail.com</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Meenu Kapoor</w:t>
        <w:tab/>
        <w:t xml:space="preserve">(</w:t>
      </w:r>
      <w:r>
        <w:rPr>
          <w:rFonts w:ascii="Calibri" w:hAnsi="Calibri" w:cs="Calibri" w:eastAsia="Calibri"/>
          <w:color w:val="2F5496"/>
          <w:spacing w:val="0"/>
          <w:position w:val="0"/>
          <w:sz w:val="24"/>
          <w:shd w:fill="auto" w:val="clear"/>
        </w:rPr>
        <w:t xml:space="preserve">meenukapoor@me.com</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Sanjay Kapoor</w:t>
        <w:tab/>
        <w:tab/>
        <w:t xml:space="preserve">(kapoors@south.du.ac.in)</w:t>
      </w:r>
    </w:p>
    <w:p>
      <w:pPr>
        <w:keepNext w:val="true"/>
        <w:keepLines w:val="true"/>
        <w:spacing w:before="0" w:after="0" w:line="240"/>
        <w:ind w:right="0" w:left="0" w:firstLine="0"/>
        <w:jc w:val="left"/>
        <w:rPr>
          <w:rFonts w:ascii="Calibri" w:hAnsi="Calibri" w:cs="Calibri" w:eastAsia="Calibri"/>
          <w:color w:val="auto"/>
          <w:spacing w:val="0"/>
          <w:position w:val="0"/>
          <w:sz w:val="24"/>
          <w:u w:val="single"/>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Sanjay Kapoor</w:t>
        <w:tab/>
        <w:tab/>
        <w:t xml:space="preserve">(kapoors@south.du.ac.in)</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to visualize ternary complex formation between three protein partners using fluorescent-tagged proteins by BiFC based FRET-FLIM assay. This method is valuable for studying protein-protein interaction complexes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are an integral part of all biological processes in the cells as they play a crucial role in regulating, maintaining, and amending cellular functions. These interactions are involved in a wide range of phenomena such as signal transduction, pathogen response, cell-cell interactions, metabolic and developmental processes. In the case of transcription factors, these interactions may lead to oligomerization of subunits, sequestering in specific subcellular contexts such as the nucleus, cytoplasm, etc., which, in turn, might have a more profound effect on the expression of the downstream genes. Here, we demonstrate a methodology to visualize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tripartite interaction using Bimolecular Fluorescence Complementation (BiFC) based F&amp;#246;rster Resonance Energy Transfer (FRET) involving Fluorescence Lifetime Imaging (FLIM). Two of the proteins selected for this demonstration interact as BiFC partners, and their reconstituted fluorescence activity is used to assay FRET-FLIM with the third partner. Four to five-week-old growth-chamber-grown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plants have been used as the model plant system for this demonstration.</w:t>
      </w: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Protein-protein interactions (PPIs) form the basis of the proper functioning of the eukaryotic cells by regulating various metabolic and developmental processes. Some PPIs are stable, while others are transient in nature. The interactions may be categorized based on the number and type of members in the interaction such as dimeric, trimeric, tetrameric homomeric, and heteromeric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identification and characterization of protein interactions may lead to a better understanding of protein functions and regulatory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 factors are proteins that are involved in regulatory functions. They regulate the rate of transcription of their downstream genes by binding to the DNA. Sometimes oligomerization or formation of higher-order complexes by proteins is a prerequisite for carrying out their functions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Plant MADS-box transcription factors are homeotic genes that regulate various processes such as floral transition, floral organ development, fertilization, seed development, senescence, and vegetative development. They are known to form higher-order complexes which bind to the DNA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Studying PPI networks among transcription factors and their interactors provides insights into the complexity underlying transcriptional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Transient protein expression in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has been a popular approach to study protein localization or protein-protein interactions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BiFC and FRET are methods for studying protein-protein interactions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fluorescent reporter systems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combination of these two techniques has been shown to reveal the interaction between three proteins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FRET is measured using acceptor photobleaching, sensitized emission, and Fluorescence Lifetime Imaging (FLIM) technique. FLIM-based FRET has emerged as a tool that provides accurate quantification and spatiotemporal specificity to energy transfer measurements between two molecules based on their fluorescence lifetimes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FLIM measures the time a fluorophore stays in an excited state before emitting a photon and is better than techniques that use intensity measurements alone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Besides heterologous systems such as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and onion epidermal peels, more recent reports have demonstrated the use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roots and young rice seedlings, etc.,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protein-protein interactions under native conditions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than a suitable expression system, the selection of interacting partners for BiFC and FRET assays is also crucial for the success of this experiment. The PPI among partners used in BiFC configuration should be validated using appropriate controls prior to their use as a conjugated partner in the FRET experiment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BiFC utilizes the structural complementation of N- and C-terminal parts of the fluorescent protein. A common limitation in most if not all fluorescent proteins used in BiFC assays has been the self-assembly between the two derivative nonfluorescent fragments, contributing to false-positive fluorescence and decreases the signal-to-noise (S/N) ratio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Recent developments, including point mutations or position of splitting the fluorescent protein, have given rise to BiFC pairs with increased intensity, higher specificity, high S/N ratio</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These fluorescent proteins can also be used for carrying out BiFC depending on the suitability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CFP and YFP have been used as the donor and acceptor pair in FRET experiments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YFP or m-Citrine were found to be better FRET donors (when used with RFP as the acceptor) because of the high quantum yield (QY) during the native expression of target proteins in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 system. The selection of promoters (constitutive versus native/endogenous) and fluorophore also play a crucial role in designing a successful BiFC-FRET-FLIM experiment. It is essential to note that the efficiency of FRET donors and suitability of FRET pairs tend to change with the change in the promoter and the biological system being used for expression. The QY of the fluorophore, which relates to its brightness, depends on the pH, temperature, and the biological system in use. We suggest that these criteria be thoroughly considered before choosing the fluorophore pair for the FRET experiment. The biological system, promoters, and the proteins used for this protocol worked well with CFP-YFP fluorophores for the BiFC FRET-FLIM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incorporate the feature of FLIM to visualize the interaction between three protein molecules using BiFC based FRET. In this technique, two proteins are tagged with split YFP protein and the third protein with CFP. Since we were interested in studying the interaction of a MADS-box protein (M) homodimer with a Calcium sensor protein (C), these proteins were tagged with fluorescent proteins in pSITE-1CA and pSITE-3CA vectors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Two of the interacting partners, in this assay, were tagged with N- and C-terminal parts of the YFP in pSPYNE-35S and pSPYCE-35S vectors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their interaction results in the reconstitution of the functional YFP that acts as a FRET acceptor to the third interacting partner, which is tagged with CFP (acting as FRET donor)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this particular case, the PPI between two M monomers and between M and C has been validated by performing BiFC in three different systems along with the yeast-two-hybrid system. These vectors were mobilized into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tumifaciens</w:t>
      </w:r>
      <w:r>
        <w:rPr>
          <w:rFonts w:ascii="Calibri" w:hAnsi="Calibri" w:cs="Calibri" w:eastAsia="Calibri"/>
          <w:color w:val="auto"/>
          <w:spacing w:val="0"/>
          <w:position w:val="0"/>
          <w:sz w:val="24"/>
          <w:shd w:fill="auto" w:val="clear"/>
        </w:rPr>
        <w:t xml:space="preserve"> GV3101 strain by electroporation. The GV3101 strain has a disarmed Ti plasmid pMP90 (pTiC58DT-DNA) with gentamicin resistance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 p19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strain was added along with all infiltrations to prevent transgene silencing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 recommend that the three proteins should also be used in opposite conformations to validate the tripartite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technique, we have employed FLIM, where first, the fluorescence lifetime of the donor (unquenched donor lifetime) is measured in the absence of an acceptor. After that, its lifetime is measured in the presence of the acceptor (quenched donor lifetime). This difference in donor fluorescence lifetimes is used to calculate FRET efficiency, which depends on the number of photons exhibiting a reduction in fluorescence lifetime. Mentioned below is a detailed protocol to determine the formation of a ternary complex between any three proteins by transiently expressing the fluorescent-tagged proteins in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and assaying their interaction by BiFC-FRET-FLIM.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Cloning of genes in entry and destination vectors (Figure 2)</w:t>
      </w:r>
    </w:p>
    <w:p>
      <w:pPr>
        <w:numPr>
          <w:ilvl w:val="0"/>
          <w:numId w:val="13"/>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Amplify the coding sequence (CDS) of the genes of interest (M and C genes in our case) by PCR and clone them in appropriate entry vectors (e.g., pENTR/D-TOPO vector; </w:t>
      </w:r>
      <w:r>
        <w:rPr>
          <w:rFonts w:ascii="Times New Roman" w:hAnsi="Times New Roman" w:cs="Times New Roman" w:eastAsia="Times New Roman"/>
          <w:i/>
          <w:color w:val="auto"/>
          <w:spacing w:val="0"/>
          <w:position w:val="0"/>
          <w:sz w:val="24"/>
          <w:shd w:fill="auto" w:val="clear"/>
        </w:rPr>
        <w:t xml:space="preserve">see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for vectors used in this experiment).</w:t>
      </w:r>
    </w:p>
    <w:p>
      <w:pPr>
        <w:numPr>
          <w:ilvl w:val="0"/>
          <w:numId w:val="15"/>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Grow the clones on plates containing antibiotics. Validate clones that are selected on the antibiotics by restriction digestion and DNA sequencing</w:t>
      </w:r>
      <w:r>
        <w:rPr>
          <w:rFonts w:ascii="Times New Roman" w:hAnsi="Times New Roman" w:cs="Times New Roman" w:eastAsia="Times New Roman"/>
          <w:color w:val="auto"/>
          <w:spacing w:val="0"/>
          <w:position w:val="0"/>
          <w:sz w:val="24"/>
          <w:shd w:fill="auto" w:val="clear"/>
          <w:vertAlign w:val="superscript"/>
        </w:rPr>
        <w:t xml:space="preserve">22,23</w:t>
      </w:r>
      <w:r>
        <w:rPr>
          <w:rFonts w:ascii="Times New Roman" w:hAnsi="Times New Roman" w:cs="Times New Roman" w:eastAsia="Times New Roman"/>
          <w:color w:val="auto"/>
          <w:spacing w:val="0"/>
          <w:position w:val="0"/>
          <w:sz w:val="24"/>
          <w:shd w:fill="auto" w:val="clear"/>
        </w:rPr>
        <w:t xml:space="preserve">.</w:t>
      </w:r>
    </w:p>
    <w:p>
      <w:pPr>
        <w:numPr>
          <w:ilvl w:val="0"/>
          <w:numId w:val="17"/>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Mobilize the reconstituted CDSs from entry clones to the destination vectors (pSPYNE-35S, pSPYCE-35S, pSITE-1CA and pSITE-3CA) and confirm the transfer of sequences from the entry to the destination vectors by restriction enzyme digestion.</w:t>
      </w:r>
    </w:p>
    <w:p>
      <w:pPr>
        <w:numPr>
          <w:ilvl w:val="0"/>
          <w:numId w:val="19"/>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19"/>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vectors used in this experiment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numPr>
          <w:ilvl w:val="0"/>
          <w:numId w:val="19"/>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Finally, transform </w:t>
      </w:r>
      <w:r>
        <w:rPr>
          <w:rFonts w:ascii="Times New Roman" w:hAnsi="Times New Roman" w:cs="Times New Roman" w:eastAsia="Times New Roman"/>
          <w:i/>
          <w:color w:val="auto"/>
          <w:spacing w:val="0"/>
          <w:position w:val="0"/>
          <w:sz w:val="24"/>
          <w:shd w:fill="auto" w:val="clear"/>
        </w:rPr>
        <w:t xml:space="preserve">Agrobacterium</w:t>
      </w:r>
      <w:r>
        <w:rPr>
          <w:rFonts w:ascii="Times New Roman" w:hAnsi="Times New Roman" w:cs="Times New Roman" w:eastAsia="Times New Roman"/>
          <w:color w:val="auto"/>
          <w:spacing w:val="0"/>
          <w:position w:val="0"/>
          <w:sz w:val="24"/>
          <w:shd w:fill="auto" w:val="clear"/>
        </w:rPr>
        <w:t xml:space="preserve"> GV3101 (pMP90 (Gent</w:t>
      </w:r>
      <w:r>
        <w:rPr>
          <w:rFonts w:ascii="Times New Roman" w:hAnsi="Times New Roman" w:cs="Times New Roman" w:eastAsia="Times New Roman"/>
          <w:color w:val="auto"/>
          <w:spacing w:val="0"/>
          <w:position w:val="0"/>
          <w:sz w:val="24"/>
          <w:shd w:fill="auto" w:val="clear"/>
          <w:vertAlign w:val="superscript"/>
        </w:rPr>
        <w:t xml:space="preserve">R</w:t>
      </w:r>
      <w:r>
        <w:rPr>
          <w:rFonts w:ascii="Times New Roman" w:hAnsi="Times New Roman" w:cs="Times New Roman" w:eastAsia="Times New Roman"/>
          <w:color w:val="auto"/>
          <w:spacing w:val="0"/>
          <w:position w:val="0"/>
          <w:sz w:val="24"/>
          <w:shd w:fill="auto" w:val="clear"/>
        </w:rPr>
        <w:t xml:space="preserve">)) cells with the destination vectors by electroporation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w:t>
      </w:r>
    </w:p>
    <w:p>
      <w:pPr>
        <w:numPr>
          <w:ilvl w:val="0"/>
          <w:numId w:val="21"/>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Growth conditions for </w:t>
      </w:r>
      <w:r>
        <w:rPr>
          <w:rFonts w:ascii="Times New Roman" w:hAnsi="Times New Roman" w:cs="Times New Roman" w:eastAsia="Times New Roman"/>
          <w:b/>
          <w:i/>
          <w:color w:val="auto"/>
          <w:spacing w:val="0"/>
          <w:position w:val="0"/>
          <w:sz w:val="24"/>
          <w:shd w:fill="auto" w:val="clear"/>
        </w:rPr>
        <w:t xml:space="preserve">Nicotiana benthamiana </w:t>
      </w:r>
      <w:r>
        <w:rPr>
          <w:rFonts w:ascii="Times New Roman" w:hAnsi="Times New Roman" w:cs="Times New Roman" w:eastAsia="Times New Roman"/>
          <w:b/>
          <w:color w:val="auto"/>
          <w:spacing w:val="0"/>
          <w:position w:val="0"/>
          <w:sz w:val="24"/>
          <w:shd w:fill="auto" w:val="clear"/>
        </w:rPr>
        <w:t xml:space="preserve">plants</w:t>
      </w:r>
    </w:p>
    <w:p>
      <w:pPr>
        <w:numPr>
          <w:ilvl w:val="0"/>
          <w:numId w:val="23"/>
        </w:numPr>
        <w:spacing w:before="0" w:after="0" w:line="240"/>
        <w:ind w:right="0" w:left="5536" w:hanging="432"/>
        <w:jc w:val="both"/>
        <w:rPr>
          <w:rFonts w:ascii="Calibri" w:hAnsi="Calibri" w:cs="Calibri" w:eastAsia="Calibri"/>
          <w:b/>
          <w:color w:val="auto"/>
          <w:spacing w:val="0"/>
          <w:position w:val="0"/>
          <w:sz w:val="24"/>
          <w:shd w:fill="auto" w:val="clear"/>
        </w:rPr>
      </w:pPr>
    </w:p>
    <w:p>
      <w:pPr>
        <w:numPr>
          <w:ilvl w:val="0"/>
          <w:numId w:val="23"/>
        </w:numPr>
        <w:spacing w:before="0" w:after="0" w:line="240"/>
        <w:ind w:right="0" w:left="5536" w:hanging="432"/>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 </w:t>
      </w:r>
      <w:r>
        <w:rPr>
          <w:rFonts w:ascii="Calibri" w:hAnsi="Calibri" w:cs="Calibri" w:eastAsia="Calibri"/>
          <w:i/>
          <w:color w:val="auto"/>
          <w:spacing w:val="0"/>
          <w:position w:val="0"/>
          <w:sz w:val="24"/>
          <w:shd w:fill="auto" w:val="clear"/>
        </w:rPr>
        <w:t xml:space="preserve">Nicotiana</w:t>
      </w:r>
      <w:r>
        <w:rPr>
          <w:rFonts w:ascii="Calibri" w:hAnsi="Calibri" w:cs="Calibri" w:eastAsia="Calibri"/>
          <w:color w:val="auto"/>
          <w:spacing w:val="0"/>
          <w:position w:val="0"/>
          <w:sz w:val="24"/>
          <w:shd w:fill="auto" w:val="clear"/>
        </w:rPr>
        <w:t xml:space="preserve"> plants till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leaf stage in control conditions.</w:t>
      </w:r>
    </w:p>
    <w:p>
      <w:pPr>
        <w:numPr>
          <w:ilvl w:val="0"/>
          <w:numId w:val="23"/>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grow </w:t>
      </w:r>
      <w:r>
        <w:rPr>
          <w:rFonts w:ascii="Times New Roman" w:hAnsi="Times New Roman" w:cs="Times New Roman" w:eastAsia="Times New Roman"/>
          <w:i/>
          <w:color w:val="auto"/>
          <w:spacing w:val="0"/>
          <w:position w:val="0"/>
          <w:sz w:val="24"/>
          <w:shd w:fill="auto" w:val="clear"/>
        </w:rPr>
        <w:t xml:space="preserve">Nicotiana</w:t>
      </w:r>
      <w:r>
        <w:rPr>
          <w:rFonts w:ascii="Times New Roman" w:hAnsi="Times New Roman" w:cs="Times New Roman" w:eastAsia="Times New Roman"/>
          <w:color w:val="auto"/>
          <w:spacing w:val="0"/>
          <w:position w:val="0"/>
          <w:sz w:val="24"/>
          <w:shd w:fill="auto" w:val="clear"/>
        </w:rPr>
        <w:t xml:space="preserve"> plants, prepare the soil mix by mixing commercially available soil mixes with cocopeat and compost in a ratio of 2:1:1.</w:t>
      </w:r>
    </w:p>
    <w:p>
      <w:pPr>
        <w:numPr>
          <w:ilvl w:val="0"/>
          <w:numId w:val="25"/>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Spread a 1-inch-thick layer of this soil mixture in a plastic tray to make the soil bed and saturate it with deionized water. Sprinkle about 200 seeds in this soil bed.</w:t>
      </w:r>
    </w:p>
    <w:p>
      <w:pPr>
        <w:numPr>
          <w:ilvl w:val="0"/>
          <w:numId w:val="27"/>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Transfer it to a bigger tray containing 1 cm of standing water. Cover this tray with plastic wrap to create a moisture chamber.</w:t>
      </w:r>
    </w:p>
    <w:p>
      <w:pPr>
        <w:numPr>
          <w:ilvl w:val="0"/>
          <w:numId w:val="29"/>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Transfer this set up to a growth chamber set at 23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with 16 h light and 8 h dark cycle with 150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170 &amp;#181;mol/m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s light intensity.</w:t>
      </w:r>
    </w:p>
    <w:p>
      <w:pPr>
        <w:numPr>
          <w:ilvl w:val="0"/>
          <w:numId w:val="31"/>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After two weeks, transfer young seedlings to small,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4-inch pots containing water-saturated soil mix.</w:t>
      </w:r>
    </w:p>
    <w:p>
      <w:pPr>
        <w:numPr>
          <w:ilvl w:val="0"/>
          <w:numId w:val="33"/>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Place these pots in plastic trays and transfer them to the growth chamber for four more weeks.</w:t>
      </w:r>
    </w:p>
    <w:p>
      <w:pPr>
        <w:numPr>
          <w:ilvl w:val="0"/>
          <w:numId w:val="35"/>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Times New Roman" w:hAnsi="Times New Roman" w:cs="Times New Roman" w:eastAsia="Times New Roman"/>
          <w:b/>
          <w:color w:val="auto"/>
          <w:spacing w:val="0"/>
          <w:position w:val="0"/>
          <w:sz w:val="24"/>
          <w:shd w:fill="auto" w:val="clear"/>
        </w:rPr>
        <w:t xml:space="preserve">Prepare bacterial strains for agro-infiltration</w:t>
      </w:r>
    </w:p>
    <w:p>
      <w:pPr>
        <w:numPr>
          <w:ilvl w:val="0"/>
          <w:numId w:val="37"/>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agro-infiltration, bacterial strains need to be freshly subcultured and mixed along with p19 strain of Agrobacterium in appropriate ratios.</w:t>
      </w:r>
    </w:p>
    <w:p>
      <w:pPr>
        <w:numPr>
          <w:ilvl w:val="0"/>
          <w:numId w:val="37"/>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 Prepare 2xYT agar plates containing rifampicin (100 &amp;#181;g/mL), gentamicin (25 &amp;#181;g/mL) and kanamycin (50 &amp;#181;g/mL) for Agrobacterium harboring pSPYNE-35S and pSPYCE-35S vector. For pSITE vector containing strain, use rifampicin (100 &amp;#181;g/mL), gentamicin (25 &amp;#181;g/mL) and spectinomycin (50 &amp;#181;g/mL).</w:t>
      </w:r>
    </w:p>
    <w:p>
      <w:pPr>
        <w:numPr>
          <w:ilvl w:val="0"/>
          <w:numId w:val="39"/>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Streak the Agrobacterium strains containing the plasmids on these plates using sterile inoculation loops in a laminar flow hood.</w:t>
      </w:r>
    </w:p>
    <w:p>
      <w:pPr>
        <w:numPr>
          <w:ilvl w:val="0"/>
          <w:numId w:val="41"/>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Incubate these at 28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for 48 h in the dark.</w:t>
      </w:r>
    </w:p>
    <w:p>
      <w:pPr>
        <w:numPr>
          <w:ilvl w:val="0"/>
          <w:numId w:val="43"/>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Start this procedure by inoculating </w:t>
      </w:r>
      <w:r>
        <w:rPr>
          <w:rFonts w:ascii="Times New Roman" w:hAnsi="Times New Roman" w:cs="Times New Roman" w:eastAsia="Times New Roman"/>
          <w:i/>
          <w:color w:val="auto"/>
          <w:spacing w:val="0"/>
          <w:position w:val="0"/>
          <w:sz w:val="24"/>
          <w:shd w:fill="auto" w:val="clear"/>
        </w:rPr>
        <w:t xml:space="preserve">Agrobacterium</w:t>
      </w:r>
      <w:r>
        <w:rPr>
          <w:rFonts w:ascii="Times New Roman" w:hAnsi="Times New Roman" w:cs="Times New Roman" w:eastAsia="Times New Roman"/>
          <w:color w:val="auto"/>
          <w:spacing w:val="0"/>
          <w:position w:val="0"/>
          <w:sz w:val="24"/>
          <w:shd w:fill="auto" w:val="clear"/>
        </w:rPr>
        <w:t xml:space="preserve"> GV3101 strain harboring BiFC and FRET constructs (prepared in pSPYNE-35S and pSPYCE-35S vectors) from streaked plates in 10 mL of 2xYT broth containing appropriate antibiotics (Rifampicin (100 &amp;#181;g/mL), gentamicin (25 &amp;#181;g/mL), kanamycin (50 &amp;#181;g/mL) or spectinomycin (50 &amp;#181;g/mL)).</w:t>
      </w:r>
    </w:p>
    <w:p>
      <w:pPr>
        <w:numPr>
          <w:ilvl w:val="0"/>
          <w:numId w:val="45"/>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Additionally, initiate a culture of p19 strain of Agrobacteria by inoculating 10 mL of 2xYT broth containing rifampicin (100 &amp;#181;g/mL) and kanamycin (50 &amp;#181;g/mL).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p19 strain is added to prevent transgene silencing.</w:t>
      </w:r>
    </w:p>
    <w:p>
      <w:pPr>
        <w:numPr>
          <w:ilvl w:val="0"/>
          <w:numId w:val="47"/>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Times New Roman" w:hAnsi="Times New Roman" w:cs="Times New Roman" w:eastAsia="Times New Roman"/>
          <w:color w:val="auto"/>
          <w:spacing w:val="0"/>
          <w:position w:val="0"/>
          <w:sz w:val="24"/>
          <w:shd w:fill="auto" w:val="clear"/>
        </w:rPr>
        <w:t xml:space="preserve">Cover the flask with an aluminum foil and keep them in the incubator shaker set at 28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170 rpm for 16 h in the dark.</w:t>
      </w:r>
    </w:p>
    <w:p>
      <w:pPr>
        <w:numPr>
          <w:ilvl w:val="0"/>
          <w:numId w:val="49"/>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Times New Roman" w:hAnsi="Times New Roman" w:cs="Times New Roman" w:eastAsia="Times New Roman"/>
          <w:color w:val="auto"/>
          <w:spacing w:val="0"/>
          <w:position w:val="0"/>
          <w:sz w:val="24"/>
          <w:shd w:fill="auto" w:val="clear"/>
        </w:rPr>
        <w:t xml:space="preserve">After the overnight growth, transfer 1 mL of this culture to a disposable cuvette to measure the optical density (O.D.) of the cultures at 600 nm using a spectrophotometer.</w:t>
      </w:r>
    </w:p>
    <w:p>
      <w:pPr>
        <w:numPr>
          <w:ilvl w:val="0"/>
          <w:numId w:val="51"/>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Times New Roman" w:hAnsi="Times New Roman" w:cs="Times New Roman" w:eastAsia="Times New Roman"/>
          <w:color w:val="auto"/>
          <w:spacing w:val="0"/>
          <w:position w:val="0"/>
          <w:sz w:val="24"/>
          <w:shd w:fill="auto" w:val="clear"/>
        </w:rPr>
        <w:t xml:space="preserve">Mix the cultures of appropriate BiFC and FRET partner containing strains so that the final O.D. of each culture is 0.5 and that of p19 is 0.3 in a total volume of 2 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Times New Roman" w:hAnsi="Times New Roman" w:cs="Times New Roman" w:eastAsia="Times New Roman"/>
          <w:color w:val="auto"/>
          <w:spacing w:val="0"/>
          <w:position w:val="0"/>
          <w:sz w:val="24"/>
          <w:shd w:fill="auto" w:val="clear"/>
        </w:rPr>
        <w:t xml:space="preserve">To achieve these ratios, use the formula mentioned below:</w:t>
      </w:r>
    </w:p>
    <w:p>
      <w:pPr>
        <w:numPr>
          <w:ilvl w:val="0"/>
          <w:numId w:val="53"/>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obtained</w:t>
      </w:r>
      <w:r>
        <w:rPr>
          <w:rFonts w:ascii="Calibri" w:hAnsi="Calibri" w:cs="Calibri" w:eastAsia="Calibri"/>
          <w:color w:val="auto"/>
          <w:spacing w:val="0"/>
          <w:position w:val="0"/>
          <w:sz w:val="24"/>
          <w:shd w:fill="auto" w:val="clear"/>
        </w:rPr>
        <w:t xml:space="preserve"> = O.D. of the culture measured at 600 nm</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culture </w:t>
      </w:r>
      <w:r>
        <w:rPr>
          <w:rFonts w:ascii="Calibri" w:hAnsi="Calibri" w:cs="Calibri" w:eastAsia="Calibri"/>
          <w:color w:val="auto"/>
          <w:spacing w:val="0"/>
          <w:position w:val="0"/>
          <w:sz w:val="24"/>
          <w:shd w:fill="auto" w:val="clear"/>
        </w:rPr>
        <w:t xml:space="preserve">= Volume of the culture required</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OD</w:t>
      </w:r>
      <w:r>
        <w:rPr>
          <w:rFonts w:ascii="Calibri" w:hAnsi="Calibri" w:cs="Calibri" w:eastAsia="Calibri"/>
          <w:color w:val="auto"/>
          <w:spacing w:val="0"/>
          <w:position w:val="0"/>
          <w:sz w:val="24"/>
          <w:shd w:fill="auto" w:val="clear"/>
          <w:vertAlign w:val="subscript"/>
        </w:rPr>
        <w:t xml:space="preserve">final </w:t>
      </w:r>
      <w:r>
        <w:rPr>
          <w:rFonts w:ascii="Calibri" w:hAnsi="Calibri" w:cs="Calibri" w:eastAsia="Calibri"/>
          <w:color w:val="auto"/>
          <w:spacing w:val="0"/>
          <w:position w:val="0"/>
          <w:sz w:val="24"/>
          <w:shd w:fill="auto" w:val="clear"/>
        </w:rPr>
        <w:t xml:space="preserve">= 0.5 for constructs and 0.3 for p19</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 Final volume for the infiltration, which is 2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construct combinations used in this study are specified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numPr>
          <w:ilvl w:val="0"/>
          <w:numId w:val="5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Times New Roman" w:hAnsi="Times New Roman" w:cs="Times New Roman" w:eastAsia="Times New Roman"/>
          <w:color w:val="auto"/>
          <w:spacing w:val="0"/>
          <w:position w:val="0"/>
          <w:sz w:val="24"/>
          <w:shd w:fill="auto" w:val="clear"/>
        </w:rPr>
        <w:t xml:space="preserve">Centrifuge the mixed Agrobacterium cultures at 3,000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5 min at room temperature and carefully discard the supernatant. Resuspend the pellet in 2 mL of freshly prepared infiltration buffer (10 mM MES, 100 &amp;#181;M of Acetosyringone, and 10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Use a vortex mixer to make a homogenous cell suspension.</w:t>
      </w:r>
    </w:p>
    <w:p>
      <w:pPr>
        <w:numPr>
          <w:ilvl w:val="0"/>
          <w:numId w:val="5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Times New Roman" w:hAnsi="Times New Roman" w:cs="Times New Roman" w:eastAsia="Times New Roman"/>
          <w:color w:val="auto"/>
          <w:spacing w:val="0"/>
          <w:position w:val="0"/>
          <w:sz w:val="24"/>
          <w:shd w:fill="auto" w:val="clear"/>
        </w:rPr>
        <w:t xml:space="preserve">Incubate the tubes containing resuspended cells in the dark at room temperature for 3 h.</w:t>
      </w:r>
    </w:p>
    <w:p>
      <w:pPr>
        <w:numPr>
          <w:ilvl w:val="0"/>
          <w:numId w:val="6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Times New Roman" w:hAnsi="Times New Roman" w:cs="Times New Roman" w:eastAsia="Times New Roman"/>
          <w:color w:val="auto"/>
          <w:spacing w:val="0"/>
          <w:position w:val="0"/>
          <w:sz w:val="24"/>
          <w:shd w:fill="auto" w:val="clear"/>
        </w:rPr>
        <w:t xml:space="preserve">Meanwhile, label each plant pot with the construct mixture it is going to be infiltrated with. Use two plants for each infiltration mixture.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Times New Roman" w:hAnsi="Times New Roman" w:cs="Times New Roman" w:eastAsia="Times New Roman"/>
          <w:color w:val="auto"/>
          <w:spacing w:val="0"/>
          <w:position w:val="0"/>
          <w:sz w:val="24"/>
          <w:shd w:fill="auto" w:val="clear"/>
        </w:rPr>
        <w:t xml:space="preserve">Fill a 1 mL needleless syringe with the agrobacterial mix. Gently but firmly press the syringe onto the abaxial side of the fully expanded leaf while supporting the leaf from the other side. Gently push the plunger till the solutions fill up in the leaf area equivalent to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times the syringe tip.</w:t>
      </w:r>
    </w:p>
    <w:p>
      <w:pPr>
        <w:numPr>
          <w:ilvl w:val="0"/>
          <w:numId w:val="62"/>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Times New Roman" w:hAnsi="Times New Roman" w:cs="Times New Roman" w:eastAsia="Times New Roman"/>
          <w:color w:val="auto"/>
          <w:spacing w:val="0"/>
          <w:position w:val="0"/>
          <w:sz w:val="24"/>
          <w:shd w:fill="auto" w:val="clear"/>
        </w:rPr>
        <w:t xml:space="preserve">Infiltrate up to four spots on a leaf and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 leaves per plant, as shown in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 gloves or wipe gloves with 70% alcohol between samples to prevent cross-contamination.</w:t>
      </w:r>
    </w:p>
    <w:p>
      <w:pPr>
        <w:numPr>
          <w:ilvl w:val="0"/>
          <w:numId w:val="64"/>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Times New Roman" w:hAnsi="Times New Roman" w:cs="Times New Roman" w:eastAsia="Times New Roman"/>
          <w:color w:val="auto"/>
          <w:spacing w:val="0"/>
          <w:position w:val="0"/>
          <w:sz w:val="24"/>
          <w:shd w:fill="auto" w:val="clear"/>
        </w:rPr>
        <w:t xml:space="preserve">Transfer all the pots to a tray and incubate in a growth chamber under the same conditions as mentioned in step 2.</w:t>
      </w:r>
    </w:p>
    <w:p>
      <w:pPr>
        <w:numPr>
          <w:ilvl w:val="0"/>
          <w:numId w:val="6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Times New Roman" w:hAnsi="Times New Roman" w:cs="Times New Roman" w:eastAsia="Times New Roman"/>
          <w:color w:val="auto"/>
          <w:spacing w:val="0"/>
          <w:position w:val="0"/>
          <w:sz w:val="24"/>
          <w:shd w:fill="auto" w:val="clear"/>
        </w:rPr>
        <w:t xml:space="preserve">Check a small part of the agroinfiltrated leaf at different time points using a fluorescence microscope. When the fluorescence from both YFP and CFP are detectable in cells, proceed to the confocal microscope for BiFC-FRET FLIM assay. In this experiment, the analysis was carried out 3 days after agro-infiltration.</w:t>
      </w:r>
    </w:p>
    <w:p>
      <w:pPr>
        <w:numPr>
          <w:ilvl w:val="0"/>
          <w:numId w:val="68"/>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the post-agroinfiltration period of incubation individually for every promoter and gene combination to avoid overexpression of chimeric proteins used in the BiFC-FRET FLIM assay. The overexpression of the partner proteins may lead to false-positive interactions.</w:t>
      </w:r>
    </w:p>
    <w:p>
      <w:pPr>
        <w:numPr>
          <w:ilvl w:val="0"/>
          <w:numId w:val="6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Times New Roman" w:hAnsi="Times New Roman" w:cs="Times New Roman" w:eastAsia="Times New Roman"/>
          <w:b/>
          <w:color w:val="auto"/>
          <w:spacing w:val="0"/>
          <w:position w:val="0"/>
          <w:sz w:val="24"/>
          <w:shd w:fill="auto" w:val="clear"/>
        </w:rPr>
        <w:t xml:space="preserve">Prepare slides for fluorescence visualization</w:t>
      </w:r>
    </w:p>
    <w:p>
      <w:pPr>
        <w:numPr>
          <w:ilvl w:val="0"/>
          <w:numId w:val="7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When plants are ready for visualization, cut square leaf samples,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mm away from the infiltration wound, and mount them in distilled water on clean slides.</w:t>
      </w:r>
    </w:p>
    <w:p>
      <w:pPr>
        <w:numPr>
          <w:ilvl w:val="0"/>
          <w:numId w:val="72"/>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background fluorescence, clean the slides with 80% ethanol followed by distilled water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air dry them, and keep them on an absorbent sheet.</w:t>
      </w:r>
    </w:p>
    <w:p>
      <w:pPr>
        <w:numPr>
          <w:ilvl w:val="0"/>
          <w:numId w:val="72"/>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Cover the leaf sample with a clean coverslip and seal using a nail enamel.</w:t>
      </w:r>
    </w:p>
    <w:p>
      <w:pPr>
        <w:numPr>
          <w:ilvl w:val="0"/>
          <w:numId w:val="74"/>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Times New Roman" w:hAnsi="Times New Roman" w:cs="Times New Roman" w:eastAsia="Times New Roman"/>
          <w:color w:val="auto"/>
          <w:spacing w:val="0"/>
          <w:position w:val="0"/>
          <w:sz w:val="24"/>
          <w:shd w:fill="auto" w:val="clear"/>
        </w:rPr>
        <w:t xml:space="preserve">Visualize these samples under a confocal laser scanning microscope.</w:t>
      </w:r>
    </w:p>
    <w:p>
      <w:pPr>
        <w:numPr>
          <w:ilvl w:val="0"/>
          <w:numId w:val="7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Times New Roman" w:hAnsi="Times New Roman" w:cs="Times New Roman" w:eastAsia="Times New Roman"/>
          <w:b/>
          <w:color w:val="auto"/>
          <w:spacing w:val="0"/>
          <w:position w:val="0"/>
          <w:sz w:val="24"/>
          <w:shd w:fill="auto" w:val="clear"/>
        </w:rPr>
        <w:t xml:space="preserve">FRET-FLIM analysis using a confocal laser scanning microscope</w:t>
      </w:r>
    </w:p>
    <w:p>
      <w:pPr>
        <w:numPr>
          <w:ilvl w:val="0"/>
          <w:numId w:val="7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procedure, the basis of determining and quantifying interaction between two proteins is the reduction in fluorescence lifetime of the FRET-donor partner upon its interaction with the acceptor, which is used to calculate the efficiency of FRET. The complexity in the case of tripartite interaction increases further because the FRET-acceptor, in this case, is not a single molecule but a split YFP-BiFC pair, which should first get reconstituted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become a functional FRET-acceptor fluorophore. To carry out FRET-FLIM, one needs to determine the donor molecule's fluorescence lifetime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first alone and then in the presence of a FRET partner.</w:t>
      </w:r>
    </w:p>
    <w:p>
      <w:pPr>
        <w:numPr>
          <w:ilvl w:val="0"/>
          <w:numId w:val="8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Open the FLIM application in the confocal laser scanning microscope, start the console and use pattern-recognition photon-counting to measure fluorescence lifetime. Select the standard ‘All photon counting’ measurement mode.</w:t>
      </w:r>
    </w:p>
    <w:p>
      <w:pPr>
        <w:numPr>
          <w:ilvl w:val="0"/>
          <w:numId w:val="82"/>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Analyze samples from two types of agro-infiltrated plants: one with the donor only (C-CFP) and the other with the donor and the acceptor (C-CFP, along with M-YFP) both.</w:t>
      </w:r>
    </w:p>
    <w:p>
      <w:pPr>
        <w:numPr>
          <w:ilvl w:val="0"/>
          <w:numId w:val="84"/>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84"/>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interaction of M protein has already been validated with C protein using BiFC and Y2H, good FRET efficiency is expected with this interacting pair.</w:t>
      </w:r>
    </w:p>
    <w:p>
      <w:pPr>
        <w:numPr>
          <w:ilvl w:val="0"/>
          <w:numId w:val="84"/>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Next, scan the C-CFP agro-infiltrated leaf and focus on a cell showing good CFP fluorescence. Initiate the laser scanning mode and set the system for CFP visualization and FLIM measurements (</w:t>
      </w:r>
      <w:r>
        <w:rPr>
          <w:rFonts w:ascii="Times New Roman" w:hAnsi="Times New Roman" w:cs="Times New Roman" w:eastAsia="Times New Roman"/>
          <w:color w:val="auto"/>
          <w:spacing w:val="0"/>
          <w:position w:val="0"/>
          <w:sz w:val="24"/>
          <w:shd w:fill="auto" w:val="clear"/>
        </w:rPr>
        <w:t xml:space="preserve">λ</w:t>
      </w:r>
      <w:r>
        <w:rPr>
          <w:rFonts w:ascii="Times New Roman" w:hAnsi="Times New Roman" w:cs="Times New Roman" w:eastAsia="Times New Roman"/>
          <w:color w:val="auto"/>
          <w:spacing w:val="0"/>
          <w:position w:val="0"/>
          <w:sz w:val="24"/>
          <w:shd w:fill="auto" w:val="clear"/>
          <w:vertAlign w:val="subscript"/>
        </w:rPr>
        <w:t xml:space="preserve">ex</w:t>
      </w:r>
      <w:r>
        <w:rPr>
          <w:rFonts w:ascii="Times New Roman" w:hAnsi="Times New Roman" w:cs="Times New Roman" w:eastAsia="Times New Roman"/>
          <w:color w:val="auto"/>
          <w:spacing w:val="0"/>
          <w:position w:val="0"/>
          <w:sz w:val="24"/>
          <w:shd w:fill="auto" w:val="clear"/>
        </w:rPr>
        <w:t xml:space="preserve"> 440 nm pulse laser, λ</w:t>
      </w:r>
      <w:r>
        <w:rPr>
          <w:rFonts w:ascii="Times New Roman" w:hAnsi="Times New Roman" w:cs="Times New Roman" w:eastAsia="Times New Roman"/>
          <w:color w:val="auto"/>
          <w:spacing w:val="0"/>
          <w:position w:val="0"/>
          <w:sz w:val="24"/>
          <w:shd w:fill="auto" w:val="clear"/>
          <w:vertAlign w:val="subscript"/>
        </w:rPr>
        <w:t xml:space="preserve">em</w:t>
      </w:r>
      <w:r>
        <w:rPr>
          <w:rFonts w:ascii="Times New Roman" w:hAnsi="Times New Roman" w:cs="Times New Roman" w:eastAsia="Times New Roman"/>
          <w:color w:val="auto"/>
          <w:spacing w:val="0"/>
          <w:position w:val="0"/>
          <w:sz w:val="24"/>
          <w:shd w:fill="auto" w:val="clear"/>
        </w:rPr>
        <w:t xml:space="preserve"> 480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520 nm by hybrid detectors, Scan speed 512 x 512 pixels at 400 Hz).</w:t>
      </w:r>
    </w:p>
    <w:p>
      <w:pPr>
        <w:numPr>
          <w:ilvl w:val="0"/>
          <w:numId w:val="8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Adjust the focus, zoom, and smart gain to focus on the area that needs to be captured.</w:t>
      </w:r>
    </w:p>
    <w:p>
      <w:pPr>
        <w:numPr>
          <w:ilvl w:val="0"/>
          <w:numId w:val="8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auto" w:val="clear"/>
        </w:rPr>
        <w:t xml:space="preserve">Illuminate the sample at sufficient laser power to achieve the capture of approximately 0.1 photons per pulse. For samples with variable fluorescence intensity, capture 50 frames to collect adequate photons required for the lifetime measurement. CFP exhibits two fluorescence lifetimes due to its conformational adaptation; therefore, fit the data using the n-exponential reconvolution model while keeping the value of n equal to 2.</w:t>
      </w:r>
    </w:p>
    <w:p>
      <w:pPr>
        <w:numPr>
          <w:ilvl w:val="0"/>
          <w:numId w:val="9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Times New Roman" w:hAnsi="Times New Roman" w:cs="Times New Roman" w:eastAsia="Times New Roman"/>
          <w:color w:val="auto"/>
          <w:spacing w:val="0"/>
          <w:position w:val="0"/>
          <w:sz w:val="24"/>
          <w:shd w:fill="auto" w:val="clear"/>
        </w:rPr>
        <w:t xml:space="preserve">At these settings, the CFP shows two lifetimes of 1.0 and 3.2 ns. Here the higher, 3.2 ns, lifetime is used for all subsequent calculations</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w:t>
      </w:r>
    </w:p>
    <w:p>
      <w:pPr>
        <w:numPr>
          <w:ilvl w:val="0"/>
          <w:numId w:val="92"/>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Times New Roman" w:hAnsi="Times New Roman" w:cs="Times New Roman" w:eastAsia="Times New Roman"/>
          <w:color w:val="auto"/>
          <w:spacing w:val="0"/>
          <w:position w:val="0"/>
          <w:sz w:val="24"/>
          <w:shd w:fill="auto" w:val="clear"/>
        </w:rPr>
        <w:t xml:space="preserve">To calculate FRET efficiency using FLIM, which is the measure of the degree of interaction between two proteins, take a leaf sample that has been co-infiltrated with C-CFP and M-YFP. Look for a cell that expresses both C-CFP and M-YFP and confirm their respective emission patterns by exciting them using </w:t>
      </w:r>
      <w:r>
        <w:rPr>
          <w:rFonts w:ascii="Times New Roman" w:hAnsi="Times New Roman" w:cs="Times New Roman" w:eastAsia="Times New Roman"/>
          <w:color w:val="auto"/>
          <w:spacing w:val="0"/>
          <w:position w:val="0"/>
          <w:sz w:val="24"/>
          <w:shd w:fill="auto" w:val="clear"/>
        </w:rPr>
        <w:t xml:space="preserve">λ</w:t>
      </w:r>
      <w:r>
        <w:rPr>
          <w:rFonts w:ascii="Times New Roman" w:hAnsi="Times New Roman" w:cs="Times New Roman" w:eastAsia="Times New Roman"/>
          <w:color w:val="auto"/>
          <w:spacing w:val="0"/>
          <w:position w:val="0"/>
          <w:sz w:val="24"/>
          <w:shd w:fill="auto" w:val="clear"/>
          <w:vertAlign w:val="subscript"/>
        </w:rPr>
        <w:t xml:space="preserve">ex</w:t>
      </w:r>
      <w:r>
        <w:rPr>
          <w:rFonts w:ascii="Times New Roman" w:hAnsi="Times New Roman" w:cs="Times New Roman" w:eastAsia="Times New Roman"/>
          <w:color w:val="auto"/>
          <w:spacing w:val="0"/>
          <w:position w:val="0"/>
          <w:sz w:val="24"/>
          <w:shd w:fill="auto" w:val="clear"/>
        </w:rPr>
        <w:t xml:space="preserve"> 440 nm pulse laser, λ</w:t>
      </w:r>
      <w:r>
        <w:rPr>
          <w:rFonts w:ascii="Times New Roman" w:hAnsi="Times New Roman" w:cs="Times New Roman" w:eastAsia="Times New Roman"/>
          <w:color w:val="auto"/>
          <w:spacing w:val="0"/>
          <w:position w:val="0"/>
          <w:sz w:val="24"/>
          <w:shd w:fill="auto" w:val="clear"/>
          <w:vertAlign w:val="subscript"/>
        </w:rPr>
        <w:t xml:space="preserve">em</w:t>
      </w:r>
      <w:r>
        <w:rPr>
          <w:rFonts w:ascii="Times New Roman" w:hAnsi="Times New Roman" w:cs="Times New Roman" w:eastAsia="Times New Roman"/>
          <w:color w:val="auto"/>
          <w:spacing w:val="0"/>
          <w:position w:val="0"/>
          <w:sz w:val="24"/>
          <w:shd w:fill="auto" w:val="clear"/>
        </w:rPr>
        <w:t xml:space="preserve"> 480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520 nm and </w:t>
      </w:r>
      <w:r>
        <w:rPr>
          <w:rFonts w:ascii="Times New Roman" w:hAnsi="Times New Roman" w:cs="Times New Roman" w:eastAsia="Times New Roman"/>
          <w:color w:val="auto"/>
          <w:spacing w:val="0"/>
          <w:position w:val="0"/>
          <w:sz w:val="24"/>
          <w:shd w:fill="auto" w:val="clear"/>
        </w:rPr>
        <w:t xml:space="preserve">λ</w:t>
      </w:r>
      <w:r>
        <w:rPr>
          <w:rFonts w:ascii="Times New Roman" w:hAnsi="Times New Roman" w:cs="Times New Roman" w:eastAsia="Times New Roman"/>
          <w:color w:val="auto"/>
          <w:spacing w:val="0"/>
          <w:position w:val="0"/>
          <w:sz w:val="24"/>
          <w:shd w:fill="auto" w:val="clear"/>
          <w:vertAlign w:val="subscript"/>
        </w:rPr>
        <w:t xml:space="preserve">ex</w:t>
      </w:r>
      <w:r>
        <w:rPr>
          <w:rFonts w:ascii="Times New Roman" w:hAnsi="Times New Roman" w:cs="Times New Roman" w:eastAsia="Times New Roman"/>
          <w:color w:val="auto"/>
          <w:spacing w:val="0"/>
          <w:position w:val="0"/>
          <w:sz w:val="24"/>
          <w:shd w:fill="auto" w:val="clear"/>
        </w:rPr>
        <w:t xml:space="preserve"> 514 nm white light laser with λ</w:t>
      </w:r>
      <w:r>
        <w:rPr>
          <w:rFonts w:ascii="Times New Roman" w:hAnsi="Times New Roman" w:cs="Times New Roman" w:eastAsia="Times New Roman"/>
          <w:color w:val="auto"/>
          <w:spacing w:val="0"/>
          <w:position w:val="0"/>
          <w:sz w:val="24"/>
          <w:shd w:fill="auto" w:val="clear"/>
          <w:vertAlign w:val="subscript"/>
        </w:rPr>
        <w:t xml:space="preserve">em</w:t>
      </w:r>
      <w:r>
        <w:rPr>
          <w:rFonts w:ascii="Times New Roman" w:hAnsi="Times New Roman" w:cs="Times New Roman" w:eastAsia="Times New Roman"/>
          <w:color w:val="auto"/>
          <w:spacing w:val="0"/>
          <w:position w:val="0"/>
          <w:sz w:val="24"/>
          <w:shd w:fill="auto" w:val="clear"/>
        </w:rPr>
        <w:t xml:space="preserve"> 526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550 nm. Sequentially scan and identify a cell that shows both CFP and YFP fluorescence.</w:t>
      </w:r>
    </w:p>
    <w:p>
      <w:pPr>
        <w:numPr>
          <w:ilvl w:val="0"/>
          <w:numId w:val="94"/>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Times New Roman" w:hAnsi="Times New Roman" w:cs="Times New Roman" w:eastAsia="Times New Roman"/>
          <w:color w:val="auto"/>
          <w:spacing w:val="0"/>
          <w:position w:val="0"/>
          <w:sz w:val="24"/>
          <w:shd w:fill="auto" w:val="clear"/>
        </w:rPr>
        <w:t xml:space="preserve">After confirming the fluorescence from both the proteins, switch to the FLIM console to measure the lifetime of CFP using the same settings that we used earlier for measuring the lifetime of C-CFP (step 5.5).</w:t>
      </w:r>
    </w:p>
    <w:p>
      <w:pPr>
        <w:numPr>
          <w:ilvl w:val="0"/>
          <w:numId w:val="96"/>
        </w:numPr>
        <w:spacing w:before="0" w:after="0" w:line="240"/>
        <w:ind w:right="0" w:left="5536" w:hanging="432"/>
        <w:jc w:val="both"/>
        <w:rPr>
          <w:rFonts w:ascii="Calibri" w:hAnsi="Calibri" w:cs="Calibri" w:eastAsia="Calibri"/>
          <w:color w:val="auto"/>
          <w:spacing w:val="0"/>
          <w:position w:val="0"/>
          <w:sz w:val="24"/>
          <w:shd w:fill="auto" w:val="clear"/>
        </w:rPr>
      </w:pPr>
    </w:p>
    <w:p>
      <w:pPr>
        <w:numPr>
          <w:ilvl w:val="0"/>
          <w:numId w:val="96"/>
        </w:numPr>
        <w:spacing w:before="0" w:after="0" w:line="240"/>
        <w:ind w:right="0" w:left="5536" w:hanging="43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cell is also expressing M-YFP that can potentially interact with C-CFP and cause a reduction in the lifetime of C-CFP.</w:t>
      </w:r>
    </w:p>
    <w:p>
      <w:pPr>
        <w:numPr>
          <w:ilvl w:val="0"/>
          <w:numId w:val="9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r>
      <w:r>
        <w:rPr>
          <w:rFonts w:ascii="Times New Roman" w:hAnsi="Times New Roman" w:cs="Times New Roman" w:eastAsia="Times New Roman"/>
          <w:color w:val="auto"/>
          <w:spacing w:val="0"/>
          <w:position w:val="0"/>
          <w:sz w:val="24"/>
          <w:shd w:fill="auto" w:val="clear"/>
        </w:rPr>
        <w:t xml:space="preserve">Fit the graph obtained using the n-exponential reconvolution model, with n = 2. A decrease in the CFP lifetime from 3.2 to 2.6 ns was observed, indicating F&amp;#246;rster resonance energy transfer between CFP and YFP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w:t>
      </w:r>
    </w:p>
    <w:p>
      <w:pPr>
        <w:numPr>
          <w:ilvl w:val="0"/>
          <w:numId w:val="9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r>
      <w:r>
        <w:rPr>
          <w:rFonts w:ascii="Times New Roman" w:hAnsi="Times New Roman" w:cs="Times New Roman" w:eastAsia="Times New Roman"/>
          <w:color w:val="auto"/>
          <w:spacing w:val="0"/>
          <w:position w:val="0"/>
          <w:sz w:val="24"/>
          <w:shd w:fill="auto" w:val="clear"/>
        </w:rPr>
        <w:t xml:space="preserve">Now start the FRET console in the software and calculate the FRET efficiency by manually entering unquenched donor lifetime in the equation provided in the software. And the observed FRET efficiency is: 56%.</w:t>
      </w:r>
    </w:p>
    <w:p>
      <w:pPr>
        <w:numPr>
          <w:ilvl w:val="0"/>
          <w:numId w:val="10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Times New Roman" w:hAnsi="Times New Roman" w:cs="Times New Roman" w:eastAsia="Times New Roman"/>
          <w:color w:val="auto"/>
          <w:spacing w:val="0"/>
          <w:position w:val="0"/>
          <w:sz w:val="24"/>
          <w:shd w:fill="auto" w:val="clear"/>
        </w:rPr>
        <w:t xml:space="preserve">Tripartite interaction</w:t>
      </w:r>
    </w:p>
    <w:p>
      <w:pPr>
        <w:numPr>
          <w:ilvl w:val="0"/>
          <w:numId w:val="102"/>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5.11.1.</w:t>
        <w:tab/>
      </w:r>
      <w:r>
        <w:rPr>
          <w:rFonts w:ascii="Times New Roman" w:hAnsi="Times New Roman" w:cs="Times New Roman" w:eastAsia="Times New Roman"/>
          <w:color w:val="auto"/>
          <w:spacing w:val="0"/>
          <w:position w:val="0"/>
          <w:sz w:val="24"/>
          <w:shd w:fill="auto" w:val="clear"/>
        </w:rPr>
        <w:t xml:space="preserve">Finally, to visualize the interactions between three partners, take the leaf sample from a plant that was co-infiltrated with C-CFP, M-YFPn, and M-YFPc.</w:t>
      </w:r>
    </w:p>
    <w:p>
      <w:pPr>
        <w:numPr>
          <w:ilvl w:val="0"/>
          <w:numId w:val="104"/>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5.11.2.</w:t>
        <w:tab/>
      </w:r>
      <w:r>
        <w:rPr>
          <w:rFonts w:ascii="Times New Roman" w:hAnsi="Times New Roman" w:cs="Times New Roman" w:eastAsia="Times New Roman"/>
          <w:color w:val="auto"/>
          <w:spacing w:val="0"/>
          <w:position w:val="0"/>
          <w:sz w:val="24"/>
          <w:shd w:fill="auto" w:val="clear"/>
        </w:rPr>
        <w:t xml:space="preserve">Scan the leaf explant for a cell that shows both CFP and reconstituted YFP fluorescence emanating from BiFC interaction between two M proteins. Use the same laser and emission wavelengths as used earlier.</w:t>
      </w:r>
    </w:p>
    <w:p>
      <w:pPr>
        <w:numPr>
          <w:ilvl w:val="0"/>
          <w:numId w:val="106"/>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5.11.3.</w:t>
        <w:tab/>
      </w:r>
      <w:r>
        <w:rPr>
          <w:rFonts w:ascii="Times New Roman" w:hAnsi="Times New Roman" w:cs="Times New Roman" w:eastAsia="Times New Roman"/>
          <w:color w:val="auto"/>
          <w:spacing w:val="0"/>
          <w:position w:val="0"/>
          <w:sz w:val="24"/>
          <w:shd w:fill="auto" w:val="clear"/>
        </w:rPr>
        <w:t xml:space="preserve">Subsequently, switch off the 514 nm laser and move to the FLIM console.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M-YFP dimer interacts with C-CFP, one should see a reduction in the lifetime of C-CFP as observed during its interaction with M-YFP. However, if the C-CFP fails to interact with the M-YFP dimer, its fluorescence lifetime should stay at 3.2 ns</w:t>
      </w:r>
      <w:r>
        <w:rPr>
          <w:rFonts w:ascii="Times New Roman" w:hAnsi="Times New Roman" w:cs="Times New Roman" w:eastAsia="Times New Roman"/>
          <w:color w:val="auto"/>
          <w:spacing w:val="0"/>
          <w:position w:val="0"/>
          <w:sz w:val="24"/>
          <w:shd w:fill="auto" w:val="clear"/>
        </w:rPr>
        <w:t xml:space="preserve">.</w:t>
      </w:r>
    </w:p>
    <w:p>
      <w:pPr>
        <w:numPr>
          <w:ilvl w:val="0"/>
          <w:numId w:val="108"/>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5.11.4.</w:t>
        <w:tab/>
      </w:r>
      <w:r>
        <w:rPr>
          <w:rFonts w:ascii="Times New Roman" w:hAnsi="Times New Roman" w:cs="Times New Roman" w:eastAsia="Times New Roman"/>
          <w:color w:val="auto"/>
          <w:spacing w:val="0"/>
          <w:position w:val="0"/>
          <w:sz w:val="24"/>
          <w:shd w:fill="auto" w:val="clear"/>
        </w:rPr>
        <w:t xml:space="preserve">Using similar settings as mentioned above, measure the CFP lifetime in the presence of reconstituted YFP. Fit the graph obtained using the n-exponential reconvolution model, with n = 2, and move to the FRET console.</w:t>
      </w:r>
    </w:p>
    <w:p>
      <w:pPr>
        <w:numPr>
          <w:ilvl w:val="0"/>
          <w:numId w:val="110"/>
        </w:numPr>
        <w:spacing w:before="0" w:after="0" w:line="240"/>
        <w:ind w:right="0" w:left="5536" w:hanging="432"/>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decline in the CFP lifetime from 3.2 to 2.3 ns. Calculate the FRET efficiency as described above. The calculated FRET efficiency is 55%. The reduction in donor lifetime and good FRET efficiency of 55% confirms tripartite interaction between two M proteins and the C protein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Helvetica Neue" w:hAnsi="Helvetica Neue" w:cs="Helvetica Neue" w:eastAsia="Helvetica Neue"/>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represents an optimized method to study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tripartite protein-protein interactions in plants. The basic principle of the protocol is to combine two fluorescence-tagged protein-interaction techniques, i.e., BiFC and FRET, to create an assay to measure ternary complex formation between three protein partners. Here, we have used FLIM to measure the fluorescence lifetime of the FRET donor partner in the presence and absence of the FRET acceptor. A reduction in the fluorescence lifetime of the donor was expected if there were a positive interaction between the two proteins. We started with measuring the fluorescence lifetime of the donor, i.e., the C-CFP protein. </w:t>
      </w:r>
      <w:r>
        <w:rPr>
          <w:rFonts w:ascii="Calibri" w:hAnsi="Calibri" w:cs="Calibri" w:eastAsia="Calibri"/>
          <w:color w:val="auto"/>
          <w:spacing w:val="0"/>
          <w:position w:val="0"/>
          <w:sz w:val="24"/>
          <w:shd w:fill="FFFFFF" w:val="clear"/>
        </w:rPr>
        <w:t xml:space="preserve">We have used the ‘All photons counting’ measurement mode, which creates a fluorescence decay curve with all the photons in the region of interest (ROI) and gives a measured lifetime with a smaller error than the traditional time-correlated single-photon counting. The high-speed FLIM filter ensures the usage of single-photon events between the pulses. A suitable mathematical model was then chosen for pixel-by-pixel calculations and fitting of the decay curve</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CFP variant used here (and is also the most commonly used) has conformational adaptation, which results in two fluorescence lifetimes. Therefore, we chose to fit the fluorescence decay curve using a model for the multi-exponential donor. This results in the separation of the two lifetimes of CFP, which in our case were observed as 1.0 ns and 3.3 ns. For calculating the FRET efficiency, we used the higher CFP lifetime, i.e., 3.3 ns (average fluorescence lifetime, n =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positive control (C-CFP and M-YFP), we observe a reduction in the fluorescence lifetime of the donor (C-CFP) from 3.3 ns to 2.5 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the FRET efficiency using the following equation was 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 FRET Efficiency</w:t>
      </w:r>
    </w:p>
    <w:p>
      <w:pPr>
        <w:spacing w:before="0" w:after="0" w:line="240"/>
        <w:ind w:right="0" w:left="0" w:firstLine="0"/>
        <w:jc w:val="center"/>
        <w:rPr>
          <w:rFonts w:ascii="Calibri" w:hAnsi="Calibri" w:cs="Calibri" w:eastAsia="Calibri"/>
          <w:color w:val="auto"/>
          <w:spacing w:val="0"/>
          <w:position w:val="0"/>
          <w:sz w:val="24"/>
          <w:shd w:fill="FFFFFF" w:val="clear"/>
        </w:rPr>
      </w:pPr>
      <w:r>
        <w:rPr>
          <w:rFonts w:ascii="Cambria Math" w:hAnsi="Cambria Math" w:cs="Cambria Math" w:eastAsia="Cambria Math"/>
          <w:color w:val="auto"/>
          <w:spacing w:val="0"/>
          <w:position w:val="0"/>
          <w:sz w:val="24"/>
          <w:shd w:fill="FFFFFF" w:val="clear"/>
        </w:rPr>
        <w:t xml:space="preserve">𝜏</w:t>
      </w:r>
      <w:r>
        <w:rPr>
          <w:rFonts w:ascii="Calibri" w:hAnsi="Calibri" w:cs="Calibri" w:eastAsia="Calibri"/>
          <w:color w:val="auto"/>
          <w:spacing w:val="0"/>
          <w:position w:val="0"/>
          <w:sz w:val="24"/>
          <w:shd w:fill="FFFFFF" w:val="clear"/>
          <w:vertAlign w:val="subscript"/>
        </w:rPr>
        <w:t xml:space="preserve">D</w:t>
      </w:r>
      <w:r>
        <w:rPr>
          <w:rFonts w:ascii="Calibri" w:hAnsi="Calibri" w:cs="Calibri" w:eastAsia="Calibri"/>
          <w:color w:val="auto"/>
          <w:spacing w:val="0"/>
          <w:position w:val="0"/>
          <w:sz w:val="24"/>
          <w:shd w:fill="FFFFFF" w:val="clear"/>
        </w:rPr>
        <w:t xml:space="preserve"> = Unquenched donor Lifetime (donor only sample, C-CFP)</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Cambria Math" w:hAnsi="Cambria Math" w:cs="Cambria Math" w:eastAsia="Cambria Math"/>
          <w:color w:val="auto"/>
          <w:spacing w:val="0"/>
          <w:position w:val="0"/>
          <w:sz w:val="24"/>
          <w:shd w:fill="FFFFFF" w:val="clear"/>
        </w:rPr>
        <w:t xml:space="preserve">𝜏</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auto" w:val="clear"/>
          <w:vertAlign w:val="subscript"/>
        </w:rPr>
        <w:t xml:space="preserve">AvAmp</w:t>
      </w:r>
      <w:r>
        <w:rPr>
          <w:rFonts w:ascii="Calibri" w:hAnsi="Calibri" w:cs="Calibri" w:eastAsia="Calibri"/>
          <w:color w:val="auto"/>
          <w:spacing w:val="0"/>
          <w:position w:val="0"/>
          <w:sz w:val="24"/>
          <w:shd w:fill="auto" w:val="clear"/>
        </w:rPr>
        <w:t xml:space="preserve"> = Mean Decay time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Amplitude weighted average lifetime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similar exercise with reconstituted YFP resulting from the interaction between two M monomers and C protein also resulted in a positive interaction leading to the reduction of fluorescence lifetime of the acceptor (C-CFP) to 2.6 ns. The calculated FRET efficiency was about 55% in this case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a CFP variant or any other donor fluorophore has a single fluorescence lifetime, the decay curve will need fitting using the mono-exponential donor model. In that case, the efficiency of FRET can be calculated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is the fluorescence lifetime of the sample containing donor only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is measured in presence of the acceptor (while FRET is taking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raw fluorescence lifetime readings from at least 10 cells for each experimental setup have been collated as a scatter plot using the PlotsOfData online tool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https://huygens.science.uva.nl/PlotsOfData/</w:t>
        </w:r>
      </w:hyperlink>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reduction in the fluorescence lifetime of the FRET donor provides strong evidence for a tripartite interaction between these three proteins.</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principle of BiFC and BiFC FRET-FLIM method. </w:t>
      </w:r>
      <w:r>
        <w:rPr>
          <w:rFonts w:ascii="Calibri" w:hAnsi="Calibri" w:cs="Calibri" w:eastAsia="Calibri"/>
          <w:color w:val="auto"/>
          <w:spacing w:val="0"/>
          <w:position w:val="0"/>
          <w:sz w:val="24"/>
          <w:shd w:fill="auto" w:val="clear"/>
        </w:rPr>
        <w:t xml:space="preserve">Interaction between two M proteins results in reconstitution of YFP, and this pair can then act as an acceptor molecule. The third protein C-CFP acts as a FRET donor here. Thus, a positive FRET signal proves tripartite interaction among two M proteins and one C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Cloning of M and C genes in final destination vectors. </w:t>
      </w:r>
      <w:r>
        <w:rPr>
          <w:rFonts w:ascii="Calibri" w:hAnsi="Calibri" w:cs="Calibri" w:eastAsia="Calibri"/>
          <w:color w:val="auto"/>
          <w:spacing w:val="0"/>
          <w:position w:val="0"/>
          <w:sz w:val="24"/>
          <w:shd w:fill="auto" w:val="clear"/>
        </w:rPr>
        <w:t xml:space="preserve">The coding sequences of the genes are amplified and first cloned in pENTR/D-TOPO vector followed by mobilization of the constructs in final destination vectors pSITE-1CA, pSITE-3CA, pSPYNE-35S, and pSPYCE-35S by LR Clonase II recombination reaction.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Using electroporation, the desired vector combinations are delivered in GV3101 strain of </w:t>
      </w:r>
      <w:r>
        <w:rPr>
          <w:rFonts w:ascii="Calibri" w:hAnsi="Calibri" w:cs="Calibri" w:eastAsia="Calibri"/>
          <w:b/>
          <w:i/>
          <w:color w:val="auto"/>
          <w:spacing w:val="0"/>
          <w:position w:val="0"/>
          <w:sz w:val="24"/>
          <w:shd w:fill="auto" w:val="clear"/>
        </w:rPr>
        <w:t xml:space="preserve">Agrobacterium tumefaciens.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Diagrammatic illustration of agro-infiltration of Nicotiana plants and the construct combinations used for the experiment.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C-CFP containing agrobacterial culture acts as donor only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C-CFP and M-YFP serve as positive FRET control,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C-CFP and M protein in BiFC conformation; M-YFPn and M-YFPc are used for studying tripartite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Representation of fluorescence lifetimes of the samples in the absence and presence of the acceptor.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lifetime of C-CFP in the presence of M-YFP is reduced to 2.67 ns as shown by the bar graph. Similarly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the reduction in lifetime of C-CFP to 2.3 ns in case of tripartite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Tripartite interaction between two M monomers and a C protein analyzed using BiFC based FRET-FLIM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cell showing either only CFP (i) or both CFP and YFP (ii and iii) emanating from donor and acceptor proteins using respective excitation and emission wavelengths.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 ii, iii represents FLIM image showing fluorescence lifetime of CFP in the cell. Color scale bar represents the pseudo-color corresponding to the lifetime. Scale bar = 50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Scatter Plot showing fluorescence lifetime of CFP when present alone or with the interacting partners where n = 10. The plot is generated using the online tool PlotsOfdata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https://huygens.science.uva.nl/PlotsOfData/</w:t>
        </w:r>
      </w:hyperlink>
      <w:r>
        <w:rPr>
          <w:rFonts w:ascii="Calibri" w:hAnsi="Calibri" w:cs="Calibri" w:eastAsia="Calibri"/>
          <w:color w:val="auto"/>
          <w:spacing w:val="0"/>
          <w:position w:val="0"/>
          <w:sz w:val="24"/>
          <w:shd w:fill="auto" w:val="clear"/>
        </w:rPr>
        <w:t xml:space="preserve">); mean fluorescence lifetime is represented as the line between the sample dots.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Negative control experiment for the validation of interaction between proteins M and C by BiFC.</w:t>
      </w:r>
      <w:r>
        <w:rPr>
          <w:rFonts w:ascii="Calibri" w:hAnsi="Calibri" w:cs="Calibri" w:eastAsia="Calibri"/>
          <w:color w:val="auto"/>
          <w:spacing w:val="0"/>
          <w:position w:val="0"/>
          <w:sz w:val="24"/>
          <w:shd w:fill="auto" w:val="clear"/>
        </w:rPr>
        <w:t xml:space="preserve"> Interaction between the mutated form of M Protein (M&amp;#916;CBD), which lacks all C protein binding regions, and the C protein-YFPc fusion is attempted to serve as a negative control for BiFC analysis. Upper panels show transient expression of M&amp;#916;CBD-GFP in onion peel cells, and the results of attempted interaction between M&amp;#916;CBD-YFPn and C-YFPc are shown in the lower panels. The absence of fluorescence from reconstituted YFP is indicative of the lack of interaction between M&amp;#916;CBD and C protein. N, nucleus; C, cytoplasm; BF, bright field; FL, fluorescence; OL, digital overlay, the cytoplasmic region is shown using white arrows. Scale bar = 10 &amp;#181;m.</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Vectors used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Helvetica Neue" w:hAnsi="Helvetica Neue" w:cs="Helvetica Neue" w:eastAsia="Helvetica Neue"/>
          <w:b/>
          <w:color w:val="auto"/>
          <w:spacing w:val="0"/>
          <w:position w:val="0"/>
          <w:sz w:val="20"/>
          <w:shd w:fill="auto" w:val="clear"/>
        </w:rPr>
      </w:pPr>
      <w:r>
        <w:rPr>
          <w:rFonts w:ascii="Calibri" w:hAnsi="Calibri" w:cs="Calibri" w:eastAsia="Calibri"/>
          <w:b/>
          <w:color w:val="auto"/>
          <w:spacing w:val="0"/>
          <w:position w:val="0"/>
          <w:sz w:val="24"/>
          <w:shd w:fill="auto" w:val="clear"/>
        </w:rPr>
        <w:t xml:space="preserve">Table 2: Construct combinations used in the study.</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demonstrates the use of BiFC-based FRET-FLIM assay to ascertain the formation of a ternary complex between two monomers of a MADS-box protein and a calcium sensor protein. The protocol is adapted from a report by Y. John Shyu et al. where they have developed a BiFC-based FRET method to visualize ternary complex formed between Fos-Jun heterodimers and NFAT or p65 using the sensitized emission method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Earlier, a three-fluorophore FRET system was developed by Galperin and co-workers in the year 2004</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but it requires six filters containing a sophisticated microscope setup. Also, rapid movement of organelles, such as endosomes, during image acquisition imposed experimental difficulties. On the other hand, BiFC based FRET-FLIM uses filters for only two fluorophores and has a simplified microscope setup. This setup allows direct visualization of the ternary complex, unlike the 3-FRET system. This also has an advantage over the BiFC-FRET system in being more robust and quantitative than the FRET measurements involving sensitized emission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assay, fluorescence lifetimes of individual photons are measured for calculating the FRET efficiencies, rather than overall changes in the relative fluorescence intensities of donor and acceptor molecules. Another advantage of the FLIM-based method over the BiFC-FRET method is that only the donor’s lifetime has to be measured; the qualities of fluorescence emission of the acceptor do not affect the outcome of the FRET measurements. The advantages and simplicity of this method make BiFC-based FRET-FLIM an easier, more straightforward, and more quantitative method for studying tripartite interactions. However, one needs to have access to a confocal setup with pulse lasers, fast detectors capable of single photon counting and a compatible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success of this experiment, it is important that the interaction between the two protein partners used in BiFC conformation is validated by using multiple methods and appropriate controls prior to using them as FRET acceptor. It is advisable to use negative controls such as a mutated form of interacting partner or an unrelated colocalizing protein as a negative interacting partner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negative controls for validating the BiFC interactions between M and C proteins used in this protocol included mutations in the putative binding domain of these proteins, which completely abolished the BiFC signal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Moreover, this interaction was also validated by Y2H and FRET methods in different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temporal optimization of the expression of proteins in </w:t>
      </w:r>
      <w:r>
        <w:rPr>
          <w:rFonts w:ascii="Calibri" w:hAnsi="Calibri" w:cs="Calibri" w:eastAsia="Calibri"/>
          <w:i/>
          <w:color w:val="auto"/>
          <w:spacing w:val="0"/>
          <w:position w:val="0"/>
          <w:sz w:val="24"/>
          <w:shd w:fill="auto" w:val="clear"/>
        </w:rPr>
        <w:t xml:space="preserve">Nicotiana</w:t>
      </w:r>
      <w:r>
        <w:rPr>
          <w:rFonts w:ascii="Calibri" w:hAnsi="Calibri" w:cs="Calibri" w:eastAsia="Calibri"/>
          <w:color w:val="auto"/>
          <w:spacing w:val="0"/>
          <w:position w:val="0"/>
          <w:sz w:val="24"/>
          <w:shd w:fill="auto" w:val="clear"/>
        </w:rPr>
        <w:t xml:space="preserve"> is recommended so that the adverse effects of overexpression of proteins, which may lead to false-positive results, can be minimized. It is also necessary to include the p19 strain along with the agrobacterial strains containing constructs to prevent post-transcriptional gene silencing. p19 is a suppressor of gene silencing from tomato bushy stunt virus and enhances the transformation efficiency up to 90%</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Recently, better versions of the fluorophores, namely, m-turquoise-SYFP2, SYFP2-mRFP, and SCFP3a-SYFP2 have been developed. These can be used as FRET pairs depending on their suitability to the target system and cell type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FRET-FLIM measurements should be performed in a minimum of ten cells to obtain statistically significant data. Wherever possible, adding a greater number of samples in the measurements will further improve the quality and reliability of the data. Depending upon the donor fluorophore, the mathematical model to fit the data with the fluorescence lifetime decay curve should be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a powerful tool to determine the tripartite interactions in living cells. It helps determine the intracellular location of the interacting complex, which is important in deciphering the function and physiological significance of any protein complex. It can also resolve the interacting partner's relative concentrations based on the FRET-FLIM data, that cannot be elucidated by intensity measurement methods alone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Conclusively, BiFC based FRET-FLIM assay provides an opportunity to study and characterize important aspects of tripartite protein interactions, which can be utilized in animal as well as plant systems.</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Helvetica Neue" w:hAnsi="Helvetica Neue" w:cs="Helvetica Neue" w:eastAsia="Helvetica Neue"/>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NB, GG, SB, KC sincerely thank the University Grants Commission (UGC), UGC-BSR, DBT-INSPIRE, and Council for Scientific and Industrial Research (CSIR) for their research fellowships. We thankfully acknowledge the Department of Biotechnology (DBT), Government of India, the Department of Science and Technology (DST-FIST), Government of India for financial support.</w:t>
      </w:r>
    </w:p>
    <w:p>
      <w:pPr>
        <w:keepNext w:val="true"/>
        <w:keepLines w:val="true"/>
        <w:spacing w:before="0" w:after="0" w:line="240"/>
        <w:ind w:right="0" w:left="0" w:firstLine="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Grove, C. A., Walhout, A. J. M. Transcription factor functionality and transcription regulatory networks. </w:t>
      </w:r>
      <w:r>
        <w:rPr>
          <w:rFonts w:ascii="Calibri" w:hAnsi="Calibri" w:cs="Calibri" w:eastAsia="Calibri"/>
          <w:i/>
          <w:color w:val="auto"/>
          <w:spacing w:val="0"/>
          <w:position w:val="0"/>
          <w:sz w:val="24"/>
          <w:shd w:fill="auto" w:val="clear"/>
        </w:rPr>
        <w:t xml:space="preserve">Molecular Biosystem</w:t>
      </w:r>
      <w:r>
        <w:rPr>
          <w:rFonts w:ascii="Calibri" w:hAnsi="Calibri" w:cs="Calibri" w:eastAsia="Calibri"/>
          <w:color w:val="auto"/>
          <w:spacing w:val="0"/>
          <w:position w:val="0"/>
          <w:sz w:val="24"/>
          <w:shd w:fill="auto" w:val="clear"/>
        </w:rPr>
        <w:t xml:space="preserve">. (4),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Amoutzias, G. D., Robertson, D. L., Van de Peer, Y., Oliver, S. G. Choose your partners: dimerization in eukaryotic transcription factors.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Arora, R. et al. MADS-box gene family in rice: genome-wide identification, organization and expression profiling during reproductive development and stress.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(242)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Thei&amp;#223;en, G., Gramzow, L. Structure and evolution of plant MADS domain transcription factors. </w:t>
      </w:r>
      <w:r>
        <w:rPr>
          <w:rFonts w:ascii="Calibri" w:hAnsi="Calibri" w:cs="Calibri" w:eastAsia="Calibri"/>
          <w:i/>
          <w:color w:val="auto"/>
          <w:spacing w:val="0"/>
          <w:position w:val="0"/>
          <w:sz w:val="24"/>
          <w:shd w:fill="auto" w:val="clear"/>
        </w:rPr>
        <w:t xml:space="preserve">Plant Transcription Factors: Evolutionary, Structural and Functional Aspects</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Schweiger, R., Schwenkert, S. Protein-protein interactions visualized by bimolecular fluorescence complementation in tobacco protoplasts and leaves.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(85),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Bracha-Drori, K. et al. Detection of protein-protein interactions in plants using bimolecular fluorescence complementation.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Shyu, Y. J., Suarez, C. D., Hu, C. Visualization of ternary complexes in living cells by using a BiFC-based FRET assay.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1693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Kwaaitaal, M., Keinath, N. F., Pajonk, S., Biskup, C., Panstruga, R. Combined bimolecular fluorescence complementation and f&amp;#246;rster resonance energy transfer reveals ternary SNARE complex formation in living plant cells.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(3), 1135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Margineanu, A. et al. Screening for protein-protein interactions using F&amp;#246;rster resonance energy transfer (FRET) and fluorescence lifetime imaging microscopy (FLIM).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(May)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Datta, R., Heaster, T. M., Sharick, J. T., Gillette, A. A., Skala, M. C. Fluorescence lifetime imaging microscopy: fundamentals and advances in instrumentation, analysis, and applications.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(07), 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Long, Y. et al. Optimizing FRET-FLIM labeling conditions to detect nuclear protein interactions at native expression levels in living Arabidopsis roots.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(May),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Burman, N., Chandran, D., Khurana, J. P. A Rapid and highly efficient method for transient gene expression in rice plants.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(October)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Kudla, J., Bock, R. Lighting the way to protein-protein interactions: Recommendations on best practices for bimolecular fluorescence complementation analyses.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Shyu, Y. J., Hu, C. D. Fluorescence complementation: an emerging tool for biological research.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Kodama, Y., Hu, C. D. An improved bimolecular fluorescence complementation assay with a high signal-to-noise ratio.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Kodama, Y., Hu, C. D. Bimolecular fluorescence complementation (BiFC): A 5-year update and future perspectives.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Piston, D. W., Kremers, G. J. Fluorescent protein FRET: the good, the bad and the ugly.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Chakrabarty, R. et al. pSITE vectors for stable integration or transient expression of autofluorescent protein fusions in plants: Probing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Virus Interactions.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Walter, M. et al. Visualization of protein interactions in living plant cells using bimolecular fluorescence complementation.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Hellens, R., Mullineaux, P., Klee, H. A guide to Agrobacterium binary Ti vectors.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446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Van Der Hoorn, R. A. L., Rivas, S., Wulff, B. B. H., Jones, J. D. G., Joosten, M. H. A. J. Rapid migration in gel filtration of the Cf-4 and Cf-9 resistance proteins is an intrinsic property of Cf proteins and not because of their association with high-molecular-weight proteins.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Xie, X. et al. Engineering SARS-CoV-2 using a reverse genetic system.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(March)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Xu, J. et al. Optimized plasmid construction strategy for Cas9.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Mattanovich, D. et al. Efficient transformation of Agrobacterium spp. by electroporation.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(16), 6747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Rizzo, M. A., Springer, G. H., Granada, B., Piston, D. W. An improved cyan fluorescent protein variant useful for FRET.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449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Tramier, M. et al. Picosecond-hetero-FRET microscopy to probe protein-protein interactions in live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(6), 3570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3577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Alvarez, L. A. J. et al. SP8 FALCON: a novel concept in fluorescence lifetime imaging enabling video-rate confocal FLIM.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(October),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Postma, M., Goedhart, J. Plotsofdata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web app for visualizing data together with their summaries.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Galperin, E., Verkhusha, V. V., Sorkin, A. Three-chromophore fret microscopy to analyze multiprotein interactions in living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Waadt, R., Kudla, J. In plant visualization of protein interactions using bimolecular fluorescence complementation (BiFC).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13">
    <w:abstractNumId w:val="288"/>
  </w:num>
  <w:num w:numId="15">
    <w:abstractNumId w:val="282"/>
  </w:num>
  <w:num w:numId="17">
    <w:abstractNumId w:val="276"/>
  </w:num>
  <w:num w:numId="19">
    <w:abstractNumId w:val="270"/>
  </w:num>
  <w:num w:numId="21">
    <w:abstractNumId w:val="264"/>
  </w:num>
  <w:num w:numId="23">
    <w:abstractNumId w:val="258"/>
  </w:num>
  <w:num w:numId="25">
    <w:abstractNumId w:val="252"/>
  </w:num>
  <w:num w:numId="27">
    <w:abstractNumId w:val="246"/>
  </w:num>
  <w:num w:numId="29">
    <w:abstractNumId w:val="240"/>
  </w:num>
  <w:num w:numId="31">
    <w:abstractNumId w:val="234"/>
  </w:num>
  <w:num w:numId="33">
    <w:abstractNumId w:val="228"/>
  </w:num>
  <w:num w:numId="35">
    <w:abstractNumId w:val="222"/>
  </w:num>
  <w:num w:numId="37">
    <w:abstractNumId w:val="216"/>
  </w:num>
  <w:num w:numId="39">
    <w:abstractNumId w:val="210"/>
  </w:num>
  <w:num w:numId="41">
    <w:abstractNumId w:val="204"/>
  </w:num>
  <w:num w:numId="43">
    <w:abstractNumId w:val="198"/>
  </w:num>
  <w:num w:numId="45">
    <w:abstractNumId w:val="192"/>
  </w:num>
  <w:num w:numId="47">
    <w:abstractNumId w:val="186"/>
  </w:num>
  <w:num w:numId="49">
    <w:abstractNumId w:val="180"/>
  </w:num>
  <w:num w:numId="51">
    <w:abstractNumId w:val="174"/>
  </w:num>
  <w:num w:numId="53">
    <w:abstractNumId w:val="168"/>
  </w:num>
  <w:num w:numId="56">
    <w:abstractNumId w:val="162"/>
  </w:num>
  <w:num w:numId="58">
    <w:abstractNumId w:val="156"/>
  </w:num>
  <w:num w:numId="60">
    <w:abstractNumId w:val="150"/>
  </w:num>
  <w:num w:numId="62">
    <w:abstractNumId w:val="144"/>
  </w:num>
  <w:num w:numId="64">
    <w:abstractNumId w:val="138"/>
  </w:num>
  <w:num w:numId="66">
    <w:abstractNumId w:val="132"/>
  </w:num>
  <w:num w:numId="68">
    <w:abstractNumId w:val="126"/>
  </w:num>
  <w:num w:numId="70">
    <w:abstractNumId w:val="120"/>
  </w:num>
  <w:num w:numId="72">
    <w:abstractNumId w:val="114"/>
  </w:num>
  <w:num w:numId="74">
    <w:abstractNumId w:val="108"/>
  </w:num>
  <w:num w:numId="76">
    <w:abstractNumId w:val="102"/>
  </w:num>
  <w:num w:numId="78">
    <w:abstractNumId w:val="96"/>
  </w:num>
  <w:num w:numId="80">
    <w:abstractNumId w:val="90"/>
  </w:num>
  <w:num w:numId="82">
    <w:abstractNumId w:val="84"/>
  </w:num>
  <w:num w:numId="84">
    <w:abstractNumId w:val="78"/>
  </w:num>
  <w:num w:numId="86">
    <w:abstractNumId w:val="72"/>
  </w:num>
  <w:num w:numId="88">
    <w:abstractNumId w:val="66"/>
  </w:num>
  <w:num w:numId="90">
    <w:abstractNumId w:val="60"/>
  </w:num>
  <w:num w:numId="92">
    <w:abstractNumId w:val="54"/>
  </w:num>
  <w:num w:numId="94">
    <w:abstractNumId w:val="48"/>
  </w:num>
  <w:num w:numId="96">
    <w:abstractNumId w:val="42"/>
  </w:num>
  <w:num w:numId="98">
    <w:abstractNumId w:val="36"/>
  </w:num>
  <w:num w:numId="100">
    <w:abstractNumId w:val="30"/>
  </w:num>
  <w:num w:numId="102">
    <w:abstractNumId w:val="24"/>
  </w:num>
  <w:num w:numId="104">
    <w:abstractNumId w:val="18"/>
  </w:num>
  <w:num w:numId="106">
    <w:abstractNumId w:val="12"/>
  </w:num>
  <w:num w:numId="108">
    <w:abstractNumId w:val="6"/>
  </w:num>
  <w:num w:numId="1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uygens.science.uva.nl/PlotsOfData/" Id="docRId0" Type="http://schemas.openxmlformats.org/officeDocument/2006/relationships/hyperlink" /><Relationship TargetMode="External" Target="https://huygens.science.uva.nl/PlotsOfData/"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