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Nuclei Isolation and Super-Resolution Structured Illumination Microscopy for Examining Nucleoporin Alterations in Human Neurodegeneration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Alyssa N. Coyne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Jeffrey D. Rothstein</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Brain Science Institute, Johns Hopkins University School of Medicine, Baltimore MD 21205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Neurology, Johns Hopkins University School of Medicine, Baltimore MD 21205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Alyssa N. Coyne</w:t>
        <w:tab/>
        <w:t xml:space="preserve">(acoyne3@jhmi.edu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D. Rothstein</w:t>
        <w:tab/>
        <w:t xml:space="preserve">(jrothstein@jhmi.edu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Alyssa N. Coyne</w:t>
        <w:tab/>
        <w:t xml:space="preserve">(acoyne3@jhmi.edu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Jeffrey D. Rothstein</w:t>
        <w:tab/>
        <w:t xml:space="preserve">(jrothstein@jhmi.edu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nuclei, nuclear pore complex, nucleoporins, iPSNs, postmortem tissue, structured illumination microscopy, super-resolution microscopy, neurodegeneration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an optimized workflow for nuclei isolation and super-resolution structured illumination microscopy to evaluate individual nucleoporins within the nucleoplasm and NPCs in induced pluripotent stem cell derived neurons and postmortem human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nuclear pore complex (NPC) is a complex macromolecular structure comprising multiple copies of ~30 different nucleoporin proteins (Nups). Collectively, these Nups function to regulate genome organization, gene expression, and nucleocytoplasmic transport (NCT). Recently, defects in NCT and alterations to specific Nups have been identified as early and prominent pathologies in multiple neurodegenerative diseases, including Amyotrophic Lateral Sclerosis (ALS), Alzheimer’s Disease (AD)/Frontotemporal Dementia (FTD), and Huntington’s Disease (HD). Advances in both light and electron microscopy allow for a thorough examination of sub-cellular structures, including the NPC and its Nup constituents, with increased precision and resolution. Of the commonly used techniques, super-resolution structured illumination microscopy (SIM) affords the unparalleled opportunity to study the localization and expression of individual Nups using conventional antibody-based labeling strategies. Isolation of nuclei prior to SIM enables the visualization of individual Nup proteins within the NPC and nucleoplasm in fully and accurately reconstructed 3D space. This protocol describes a procedure for nuclei isolation and SIM to evaluate Nup expression and distribution in human iPSC-derived CNS cells and postmortem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prevalence of age-related neurodegenerative diseases is increasing as the population ages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While the genetic underpinnings and pathologic hallmarks are well characterized, the precise molecular events leading to neuronal injury remain poorly understood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Recently, a G</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hexanucleotide repeat expansion in the first intron of the C9orf72 gene was identified as the most common genetic cause of the related neurodegenerative diseases Amyotrophic Lateral Sclerosis (ALS) and Frontotemporal Dementia (FTD)</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Several studies now support a central role for disruptions in the nuclear transport machinery, including nuclear pore complexes (NPCs) and nuclear transport receptors (NTRs, karyopherins) as being causative of C9orf72 ALS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In non-dividing cells within the rat brain, scaffold nucleoporins (Nups) are extremely long-lived. As a result, alterations in NPCs and NCT have been reported during aging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Moreover, some nucleoporins or transportins, when mutated, are linked to specific neurological diseases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For example, mutations in Nup62 have been linked to Infantile Bilateral Striatal Necrosis (IBSN), a neurological disorder affecting the caudate nucleus and putamen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mutations in Gle1 have been implicated in the fetal motor neuron disease Human Lethal Congenital Contracture Syndrome-1 (LCCS1)</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and mutations in Aladin are causative of Triple-A Syndrome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Alterations in functional NCT are exacerbated in age-related neurodegenerative diseases such as ALS, Huntington’s Disease (HD), and Alzheimer’s Disease (AD)</w:t>
      </w:r>
      <w:r>
        <w:rPr>
          <w:rFonts w:ascii="Calibri" w:hAnsi="Calibri" w:cs="Calibri" w:eastAsia="Calibri"/>
          <w:color w:val="auto"/>
          <w:spacing w:val="0"/>
          <w:position w:val="0"/>
          <w:sz w:val="24"/>
          <w:shd w:fill="auto" w:val="clear"/>
          <w:vertAlign w:val="superscript"/>
        </w:rPr>
        <w:t xml:space="preserve">16,26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 addition, specific Nups and NTRs have been reported as modifiers of C9orf72 mediated toxicity in the </w:t>
      </w:r>
      <w:r>
        <w:rPr>
          <w:rFonts w:ascii="Calibri" w:hAnsi="Calibri" w:cs="Calibri" w:eastAsia="Calibri"/>
          <w:i/>
          <w:color w:val="auto"/>
          <w:spacing w:val="0"/>
          <w:position w:val="0"/>
          <w:sz w:val="24"/>
          <w:shd w:fill="auto" w:val="clear"/>
        </w:rPr>
        <w:t xml:space="preserve">Drosophila</w:t>
      </w:r>
      <w:r>
        <w:rPr>
          <w:rFonts w:ascii="Calibri" w:hAnsi="Calibri" w:cs="Calibri" w:eastAsia="Calibri"/>
          <w:color w:val="auto"/>
          <w:spacing w:val="0"/>
          <w:position w:val="0"/>
          <w:sz w:val="24"/>
          <w:shd w:fill="auto" w:val="clear"/>
        </w:rPr>
        <w:t xml:space="preserve"> eye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or biochemically modify the aggregation state of disease-linked proteins such as FUS and tau</w:t>
      </w:r>
      <w:r>
        <w:rPr>
          <w:rFonts w:ascii="Calibri" w:hAnsi="Calibri" w:cs="Calibri" w:eastAsia="Calibri"/>
          <w:color w:val="auto"/>
          <w:spacing w:val="0"/>
          <w:position w:val="0"/>
          <w:sz w:val="24"/>
          <w:shd w:fill="auto" w:val="clear"/>
          <w:vertAlign w:val="superscript"/>
        </w:rPr>
        <w:t xml:space="preserve">27,32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Collectively, these early studies suggest that altered NCT may be a primary and early pathological feature of ALS and FTD. Studies in overexpression-based model system have suggested that mislocalization of specific Nups and karyopherins may impact NCT</w:t>
      </w:r>
      <w:r>
        <w:rPr>
          <w:rFonts w:ascii="Calibri" w:hAnsi="Calibri" w:cs="Calibri" w:eastAsia="Calibri"/>
          <w:color w:val="auto"/>
          <w:spacing w:val="0"/>
          <w:position w:val="0"/>
          <w:sz w:val="24"/>
          <w:shd w:fill="auto" w:val="clear"/>
          <w:vertAlign w:val="superscript"/>
        </w:rPr>
        <w:t xml:space="preserve">16,35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However, these pathology studies do not actually link cytoplasmic accumulations of NPC proteins to defects in the structure or function of the NPC. For example, this pathology may simply reflect the dysregulation of cytoplasmic pools of Nup proteins with little impact on NPC composition and function. In contrast, a recent study employing super resolution structured illumination microscopy (SIM) demonstrates the emergence of a significant injury to the NPC itself characterized by reduction in specific Nup levels within the nucleoplasm and NPCs of human C9orf72 ALS/FTD neurons ultimately leading to altered NPC function as an early initiating event in pathogenic disease cascades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passage of macromolecules between the nucleus and cytoplasm is critically governed by the nuclear pore complex (NPC). The NPC is a large macromolecular complex embedded in the nuclear envelope comprising multiple copies of 30 nucleoporin proteins (Nups)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Although Nup stoichiometry varies among cell types</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maintenance of overall NPC composition is critical for NCT, genome organization, and overall cellular viability</w:t>
      </w:r>
      <w:r>
        <w:rPr>
          <w:rFonts w:ascii="Calibri" w:hAnsi="Calibri" w:cs="Calibri" w:eastAsia="Calibri"/>
          <w:color w:val="000000"/>
          <w:spacing w:val="0"/>
          <w:position w:val="0"/>
          <w:sz w:val="24"/>
          <w:shd w:fill="auto" w:val="clear"/>
          <w:vertAlign w:val="superscript"/>
        </w:rPr>
        <w:t xml:space="preserve">39,41,45,46</w:t>
      </w:r>
      <w:r>
        <w:rPr>
          <w:rFonts w:ascii="Calibri" w:hAnsi="Calibri" w:cs="Calibri" w:eastAsia="Calibri"/>
          <w:color w:val="000000"/>
          <w:spacing w:val="0"/>
          <w:position w:val="0"/>
          <w:sz w:val="24"/>
          <w:shd w:fill="auto" w:val="clear"/>
        </w:rPr>
        <w:t xml:space="preserve">. As a result, altered NPC composition and subsequent defects in functional transport are likely to impact a myriad of downstream cellular functions. The Nup constituents of the NPC are highly organized into multiple subcomplexes, including the cytoplasmic ring and filaments, central channel, outer ring, inner ring, transmembrane ring, and nuclear basket. Collectively, scaffold Nups of the inner, outer, and transmembrane rings anchor NPCs within the nuclear envelope and provide anchor points for Nups of the cytoplasmic ring, central channel, and nuclear basket. While small molecules (&amp;lt;40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kD) can passively diffuse through the NPC, the active transport of larger cargoes is facilitated by interactions between nuclear transport receptors (NTRs, karyopherins) and the FG Nups of the cytoplasmic filaments, central channel, and nuclear basket</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41,45</w:t>
      </w:r>
      <w:r>
        <w:rPr>
          <w:rFonts w:ascii="Calibri" w:hAnsi="Calibri" w:cs="Calibri" w:eastAsia="Calibri"/>
          <w:color w:val="000000"/>
          <w:spacing w:val="0"/>
          <w:position w:val="0"/>
          <w:sz w:val="24"/>
          <w:shd w:fill="auto" w:val="clear"/>
        </w:rPr>
        <w:t xml:space="preserve">. Also, a handful of Nups can additionally function outside of the NPC, within the nucleoplasm, to regulate gene expression</w:t>
      </w:r>
      <w:r>
        <w:rPr>
          <w:rFonts w:ascii="Calibri" w:hAnsi="Calibri" w:cs="Calibri" w:eastAsia="Calibri"/>
          <w:color w:val="000000"/>
          <w:spacing w:val="0"/>
          <w:position w:val="0"/>
          <w:sz w:val="24"/>
          <w:shd w:fill="auto" w:val="clear"/>
          <w:vertAlign w:val="superscript"/>
        </w:rPr>
        <w:t xml:space="preserve">46,47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that the lateral dimension of a single human NPC is approximately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nm</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standard widefield or confocal microscopy is insufficient to resolve individual NPCs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Electron microscopy (EM) techniques such as TEM or SEM are often used to evaluate the overall structure of NPCs</w:t>
      </w:r>
      <w:r>
        <w:rPr>
          <w:rFonts w:ascii="Calibri" w:hAnsi="Calibri" w:cs="Calibri" w:eastAsia="Calibri"/>
          <w:color w:val="000000"/>
          <w:spacing w:val="0"/>
          <w:position w:val="0"/>
          <w:sz w:val="24"/>
          <w:shd w:fill="auto" w:val="clear"/>
          <w:vertAlign w:val="superscript"/>
        </w:rPr>
        <w:t xml:space="preserve">39,40</w:t>
      </w:r>
      <w:r>
        <w:rPr>
          <w:rFonts w:ascii="Calibri" w:hAnsi="Calibri" w:cs="Calibri" w:eastAsia="Calibri"/>
          <w:color w:val="000000"/>
          <w:spacing w:val="0"/>
          <w:position w:val="0"/>
          <w:sz w:val="24"/>
          <w:shd w:fill="auto" w:val="clear"/>
        </w:rPr>
        <w:t xml:space="preserve">. Despite the advantages of these techniques for resolving NPC ultrastructure, they are less commonly used to evaluate the presence of individual Nup proteins within the NPC. The technical limitations of combining antibody or tag-based labeling with these state-of-the-art technologies, TEM and SEM, do not always allow for an accurate and reliable assessment of individual Nups themselves within NPCs or the nucleoplasm. Further, these techniques can be technically challenging and are not yet widely accessible to all researchers. However, recent advances in light and fluorescence microscopy have increased the accessibility of super-resolution imaging technologies. Specifically, SIM affords the unparalleled opportunity to image individual Nups with a resolution that approaches the lateral dimensions of one human NPC</w:t>
      </w:r>
      <w:r>
        <w:rPr>
          <w:rFonts w:ascii="Calibri" w:hAnsi="Calibri" w:cs="Calibri" w:eastAsia="Calibri"/>
          <w:color w:val="000000"/>
          <w:spacing w:val="0"/>
          <w:position w:val="0"/>
          <w:sz w:val="24"/>
          <w:shd w:fill="auto" w:val="clear"/>
          <w:vertAlign w:val="superscript"/>
        </w:rPr>
        <w:t xml:space="preserve">40,48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In contrast to other super-resolution approaches such as stochastic optical reconstruction microscopy (STORM) and stimulated emission depletion (STED), SIM is compatible with conventional antibody-based immunostaining</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Thus, SIM allows for a comprehensive analysis of all Nups for which a specific anti-Nup antibody is available. The ability to sample and image multiple different Nups in the same preparation provides significant advantages to other imaging methods when surveying the many proteins that comprise the NPC. The following procedure details an optimized protocol for evaluating individual Nup components of the NPC using nuclei isolated from induced pluripotent stem cell (iPSC) derived neurons (iPSNs) and postmortem human central nervous system (CNS) 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All blood samples for iPSC generation and autopsied tissue collections are approved by Johns Hopkins IRB with Johns Hopkins ethics oversight. All patient information is HIPPA compliant. The following protocol adheres to all Johns Hopkins biosafety procedures.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Preparation of slides for immunostaining and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1.1 Position a positively charged glass microscope slide in an empty cytofunnel and draw a circle with a hydrophobic barrier pen to outline an area to deposit the nuclei.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Add 50 &amp;#956;L of 1 mg/mL collagen solution (diluted in 1x PBS) to the center of the circle drawn in step 1.1 and incubate at room temperature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 Aspirate the collagen solution and let the slides air dry at room temperature for about 1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Preparation of lysis buffer and sucrose gradients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Prepare the lysis buffer and sucrose gradient solutions according to the nuclei isolation kit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For each sample, prepare a 50 mL conical tube of lysis buffer by combining 11 mL of the supplied lysis buffer, 110 &amp;#956;L of the supplied 10% Triton X-100 solution, and 11 &amp;#956;L of freshly prepared or thawed 1 M DTT (Dithiothreitol).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For each sample, use a 50 mL conical tube to prepare a 1.85 M sucrose cushion solution by combining 27.75 mL of the supplied 2 M sucrose cushion solution, 2.25 mL of the supplied sucrose cushion buffer, and 30 &amp;#956;L of freshly prepared or thawed 1 M DTT.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 1.85 M sucrose cushion solution is optimal for iPSNs and postmortem human CNS tissue, but adjust it for other cell types or tissue samples. Additional details for HEK293 cells, iPSC-derived astrocytes, and enrichment of oligodendrocyte nuclei from postmortem CNS tissues have recently been published</w:t>
      </w:r>
      <w:r>
        <w:rPr>
          <w:rFonts w:ascii="Calibri" w:hAnsi="Calibri" w:cs="Calibri" w:eastAsia="Calibri"/>
          <w:color w:val="000000"/>
          <w:spacing w:val="0"/>
          <w:position w:val="0"/>
          <w:sz w:val="24"/>
          <w:shd w:fill="FFFF00" w:val="clear"/>
          <w:vertAlign w:val="superscript"/>
        </w:rPr>
        <w:t xml:space="preserve">15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Gently mix lysis buffer and sucrose cushion solutions by inverting conical tubes and store it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Lysis of iPSNs and postmortem human CNS tissue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Before proceeding with the lysis, place the ultracentrifuge rotor (without sample holders) in the ultracentrifuge and allow it to pre-cool to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Lysis of iPSNs.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Lysis protocols differ for iPSNs and postmortem human CNS tissue. Follow the protocol for the sample type specified below (step 3.2: iPSNs, step 3.3: postmortem human CNS tissue).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3.2.1 Remove the iPSNs from the incubator and aspirate the media. Rinse briefly with 1x PBS and add the lysis buffer directly to the well or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Take care to adequately rinse iPSNs with a sufficient quantity of 1x PBS to remove debris and dead cells. The volume of lysis buffer to be added to iPSN plates will vary. Please refer to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Ensure that the starting material is &amp;gt;2.5 million iPSNs.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3.2.2 Scrape the iPSNs with a cell scraper and transfer them to the remaining lysis buffer in the 50 mL conical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3.2.3 Cap each conical tube and vortex the samples for 20 s to facilitate iPSN 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3.2.4 Let the samples sit on ice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min before proceeding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Lysis of postmortem human CNS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Weigh out ~100 mg of frozen postmortem human CNS tissue by cutting with a razor blade in a Petri dish placed on a bed of dry ice. Be sure to work on a surface surrounded by disposable pads to avoid local tissue contamination. Pay attention to specific gray matter versus white matter dissections (e.g., cortical mantel versus underlying white matter) visible at the time of tissue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Wear the appropriate PPE, including eye protective wear and gloves when handling frozen postmortem human tissue samples. This step can also be completed ahead of time and tissue aliquots stored at -80 &amp;#176;C. 50 mg is a sufficient quantity for nuclei isolation. However, more than 100 mg tissue often yields incomplete isolation of nuclei, as evidenced by the presence of intact cytoplasm surrounding some nuclei.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Prepare the Dounce homogenizer by cleaning and thoroughly rinsing with distilled water. Chill the homogenizer by placing it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 Add 100 mg of tissue to freshly cleaned, rinsed, and chilled (on ice) Dounce homogenizer containing 2 mL of the prepared lysis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3.3.4 Homogenize in Dounce homogenizer using the standard procedure on 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Typically,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strokes per pestle is sufficient to move through the sample without resistance.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3.3.5 Transfer 2 mL of postmortem human brain homogenate to the remaining 9 mL of lysis buffer in conical tubes.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3.3.6 Vortex vigorously for 30 s and let it sit on ice for 5 min to facilitate 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Isolation of nuclei from iPSNs and postmortem human CNS tissue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Layer 10 mL of 1.85 M sucrose cushion solution (made in step 2.1.2) at the bottom of an ultracentrifuge tube and add 18 mL of 1.85 M sucrose cushion solution to each lysate.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Gently mix the lysate/sucrose cushion solution (combined in step 4.1) by inverting the 50 mL conical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Slowly add 28 mL of lysate/sucrose cushion solution mix to the top of the 10 mL of 1.85 M sucrose cushion solution in the ultracentrifuge tube (from step 4.1).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is a total of 29 mL lysate/sucrose cushion solution mix in the 50 mL conical tube (steps 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 Leave 1 mL of this lysate/sucrose cushion solution mix in the 50 mL conical tube. This ensures</w:t>
      </w:r>
      <w:r>
        <w:rPr>
          <w:rFonts w:ascii="Calibri" w:hAnsi="Calibri" w:cs="Calibri" w:eastAsia="Calibri"/>
          <w:color w:val="auto"/>
          <w:spacing w:val="0"/>
          <w:position w:val="0"/>
          <w:sz w:val="24"/>
          <w:shd w:fill="auto" w:val="clear"/>
        </w:rPr>
        <w:t xml:space="preserve"> accurate and consistent pipetting among all samples due to the viscosity of the sucrose cushion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Place the ultracentrifuge tubes in the holders and add an additional 1.85 M sucrose cushion solution (made in step 2.1.2) as needed to balance the samples.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Place the sample holders in the rotor in the chilled ultracentrifuge and spin at 30,000 x</w:t>
      </w:r>
      <w:r>
        <w:rPr>
          <w:rFonts w:ascii="Calibri" w:hAnsi="Calibri" w:cs="Calibri" w:eastAsia="Calibri"/>
          <w:i/>
          <w:color w:val="000000"/>
          <w:spacing w:val="0"/>
          <w:position w:val="0"/>
          <w:sz w:val="24"/>
          <w:shd w:fill="FFFF00" w:val="clear"/>
        </w:rPr>
        <w:t xml:space="preserve"> g</w:t>
      </w:r>
      <w:r>
        <w:rPr>
          <w:rFonts w:ascii="Calibri" w:hAnsi="Calibri" w:cs="Calibri" w:eastAsia="Calibri"/>
          <w:color w:val="000000"/>
          <w:spacing w:val="0"/>
          <w:position w:val="0"/>
          <w:sz w:val="24"/>
          <w:shd w:fill="FFFF00" w:val="clear"/>
        </w:rPr>
        <w:t xml:space="preserve">, 4 &amp;#176;C for 45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Remove the ultracentrifuge tubes from the sample holders and discard the supernatants. Nuclei will be visible as pellets on the bottom sides of the ultracentrifuge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Resuspend the nuclei pellets in 1 mL of the supplied nuclei storage buffer by vortexing and transfer to a microcentrifuge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Centrifuge the microcentrifuge tubes at 2,500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4 &amp;#176;C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4.9 Remove the supernatant and resuspend the nuclei by vortexing in fresh 1 mL of the supplied nuclei storage buffer.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Proceed with immunostaining or store the nuclei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Nuclei can be stored at -80 &amp;#176;C for up to 6 months and be subjected to two freeze/thaw cycles before structural integrity is compromised.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Immunostaining of the isolated nuclei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Take a 10 &amp;#956;L aliquot of the nuclei suspension and count using a hemacytometer or an automated cell counter.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Assemble the prepared slides (from step 1.3) into the cytofunnels.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To each cytofunnel, layer 200 &amp;#956;L of fresh nuclei storage buffer and ~100,000 nuclei.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Gently spin the nuclei onto the slides by placing the cytofunnels into a cytospin and centrifuging for 3 min at 100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5.5 Unclip the cytofunnels and immediately add ~100 &amp;#956;L of 4% PFA (paraformaldehyde) to the slides and incubate for 15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Nuclei can also be fixed with methanol. Use fixation method appropriate for each antibody. If using methanol, skip the permeabilization step (5.7). Cytofunnels are single-use; discard them at this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Wash the nuclei 3x for 5 min with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Permeabilize the nuclei with 0.1% Triton X-100 in 1x PBS for 10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 Block the nuclei in block solution (10% goat or donkey serum in 1x PBS) for 30 min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 Incubate the nuclei with primary antibodies diluted in block solution overnight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 Wash the nuclei 3x for 5 min with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Incubate the nuclei with secondary antibodies diluted in block solution for 1 h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Alexa Fluor 488, 568, and 647 secondary antibodies are preferred.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Wash the nuclei 3x for 5 min with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OPTIONAL: Incubate the nuclei for 5 min with DAPI or Hoechst followed by two additional 5 min washes with 1x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5.14 Hold a lint-free wipe at the edge of the circle containing nuclei to remove the last PBS wash completely.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5.15 Add 1 drop (~10 &amp;#956;L) of a hard mount antifade mounting media (without DAPI) to each slide and gently place high tolerance 18 mm x 18 mm square coverslips on each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using a hard-mount media, slide sealing is not necessary if slides are imaged within an appropriate time frame. Nup immunoreactivity has typically remained stable on unsealed slides stored at 4 &amp;#176;C for ~6 months. However, the edges of the coverslip can be sealed with a thin layer of nail polish if a wet-mount media is used or for prolonged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 Keep the slides protected from light and let them cure overnight at room temperature.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 Image the nuclei can by super-resolution structured illumination microscopy (SIM).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Zeiss, Nikon, and GE Healthcare all manufacture SIM microscopes. Follow the system-specific protocols for image acquisition and processing. Use imaging parameters (laser power, filter sets, exposure time) appropriate for each Nup and fluorophore. When imaging, avoid edges of the circle (from step 1.1) as these nuclei are typically flattened and spread out as a result of the centrifugation step (5.4). Fully deconvolved and processed images can be subjected to a number of analyses, including spot detection and volume measurements using standard 3D analysis modules in FIJI or Imaris image analytics software. Additional details on analysis methods have been recently published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To examine the NPC and nucleoplasmic distribution and expression of POM121 in</w:t>
      </w:r>
      <w:r>
        <w:rPr>
          <w:rFonts w:ascii="Calibri" w:hAnsi="Calibri" w:cs="Calibri" w:eastAsia="Calibri"/>
          <w:color w:val="auto"/>
          <w:spacing w:val="0"/>
          <w:position w:val="0"/>
          <w:sz w:val="24"/>
          <w:shd w:fill="auto" w:val="clear"/>
        </w:rPr>
        <w:t xml:space="preserve"> human neuronal nuclei control, and C9orf72 iPSNs were differentiated as previously described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Postmortem human motor cortex and day 32 iPSNs were lysed and subjected to nuclei isolation and immunostaining as described above. NeuN positive isolated nuclei were imaged by super-resolution structured illumination microscopy (SIM) using a super-resolution structured illumination microscope (Zeiss) and processed using default structured illumination deconvolution parameters as previously described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(see also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workflow). Images were acquired using a 63x oil immersion objective, 1x magnification, an HR Diode 448 laser at 1% power, exposure time of 100 ms, BP495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550/LP750 emission filter, 110 nm thick z sections, and 5 grid rotations. As shown in 3D maximum intensity projections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individual POM121 spots were resolved in both iPSN and postmortem neuronal nuclei. These images were subsequently subjected to spot detection using the 3D suite plugin in FIJI or Imaris as previously described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Consistent with prior analyses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methodology was sufficient to detect a substantial decrease in the number of POM121 spots in C9orf72 iPSN and postmortem motor cortex nuclei compared to controls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80808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Schematic representation of nuclei isolation, immunofluorescent staining, super-resolution imaging, and analysis workflow.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Representative structured illumination microscopy (SIM) images and quantification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Maximum intensity projection SIM images and quantification of POM121 spots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NeuN+ nuclei isolated from control and C9orf72 iPSNs. n = 3 control and 3 C9orf72 iPSC lines, 50 nuclei per line.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was used to calculate statistical significance. </w:t>
      </w:r>
      <w:r>
        <w:rPr>
          <w:rFonts w:ascii="Calibri" w:hAnsi="Calibri" w:cs="Calibri" w:eastAsia="Calibri"/>
          <w:color w:val="auto"/>
          <w:spacing w:val="0"/>
          <w:position w:val="0"/>
          <w:sz w:val="24"/>
          <w:shd w:fill="auto" w:val="clear"/>
        </w:rPr>
        <w:t xml:space="preserve">**** p &amp;lt; 0.0001.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Maximum intensity projection SIM images and quantification of POM121 spots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NeuN+ nuclei isolated from control and C9orf72 postmortem motor cortex tissue. n = 3 control and 3 C9orf72 patient cases, 50 nuclei per case.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was used to calculate statistical significance. </w:t>
      </w:r>
      <w:r>
        <w:rPr>
          <w:rFonts w:ascii="Calibri" w:hAnsi="Calibri" w:cs="Calibri" w:eastAsia="Calibri"/>
          <w:color w:val="auto"/>
          <w:spacing w:val="0"/>
          <w:position w:val="0"/>
          <w:sz w:val="24"/>
          <w:shd w:fill="auto" w:val="clear"/>
        </w:rPr>
        <w:t xml:space="preserve">**** p &amp;lt; 0.0001. </w:t>
      </w:r>
      <w:r>
        <w:rPr>
          <w:rFonts w:ascii="Calibri" w:hAnsi="Calibri" w:cs="Calibri" w:eastAsia="Calibri"/>
          <w:color w:val="000000"/>
          <w:spacing w:val="0"/>
          <w:position w:val="0"/>
          <w:sz w:val="24"/>
          <w:shd w:fill="auto" w:val="clear"/>
        </w:rPr>
        <w:t xml:space="preserve">Scale bar = 5 &amp;#956;m. Statistical analyses were performed whereby the average number of spots from 50 nuclei per iPSC line were used to calculate statistical significance as previously described </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Lysis buffer volumes</w:t>
      </w:r>
      <w:r>
        <w:rPr>
          <w:rFonts w:ascii="Calibri" w:hAnsi="Calibri" w:cs="Calibri" w:eastAsia="Calibri"/>
          <w:color w:val="000000"/>
          <w:spacing w:val="0"/>
          <w:position w:val="0"/>
          <w:sz w:val="24"/>
          <w:shd w:fill="auto" w:val="clear"/>
        </w:rPr>
        <w:t xml:space="preserve">. The table contains the information of lysis buffer volume to be used for lysis of iPSNs or cultured cells grown in different culture vessels.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the recent identification of NCT deficits as an early and prominent phenomenon in multiple neurodegenerative diseases</w:t>
      </w:r>
      <w:r>
        <w:rPr>
          <w:rFonts w:ascii="Calibri" w:hAnsi="Calibri" w:cs="Calibri" w:eastAsia="Calibri"/>
          <w:color w:val="000000"/>
          <w:spacing w:val="0"/>
          <w:position w:val="0"/>
          <w:sz w:val="24"/>
          <w:shd w:fill="auto" w:val="clear"/>
          <w:vertAlign w:val="superscript"/>
        </w:rPr>
        <w:t xml:space="preserve">16,27,28,30,31</w:t>
      </w:r>
      <w:r>
        <w:rPr>
          <w:rFonts w:ascii="Calibri" w:hAnsi="Calibri" w:cs="Calibri" w:eastAsia="Calibri"/>
          <w:color w:val="000000"/>
          <w:spacing w:val="0"/>
          <w:position w:val="0"/>
          <w:sz w:val="24"/>
          <w:shd w:fill="auto" w:val="clear"/>
        </w:rPr>
        <w:t xml:space="preserve"> there exists a critical need to thoroughly examine the mechanism by which this pathology occurs. As the NPC and its individual Nup proteins critically control functional NCT</w:t>
      </w:r>
      <w:r>
        <w:rPr>
          <w:rFonts w:ascii="Calibri" w:hAnsi="Calibri" w:cs="Calibri" w:eastAsia="Calibri"/>
          <w:color w:val="000000"/>
          <w:spacing w:val="0"/>
          <w:position w:val="0"/>
          <w:sz w:val="24"/>
          <w:shd w:fill="auto" w:val="clear"/>
          <w:vertAlign w:val="superscript"/>
        </w:rPr>
        <w:t xml:space="preserve">39,41</w:t>
      </w:r>
      <w:r>
        <w:rPr>
          <w:rFonts w:ascii="Calibri" w:hAnsi="Calibri" w:cs="Calibri" w:eastAsia="Calibri"/>
          <w:color w:val="000000"/>
          <w:spacing w:val="0"/>
          <w:position w:val="0"/>
          <w:sz w:val="24"/>
          <w:shd w:fill="auto" w:val="clear"/>
        </w:rPr>
        <w:t xml:space="preserve">, an investigation of NPC composition in neurodegenerative disease models is essential. However, standard widefield and confocal microscopy techniques are insufficient to resolve individual NPCs</w:t>
      </w:r>
      <w:r>
        <w:rPr>
          <w:rFonts w:ascii="Calibri" w:hAnsi="Calibri" w:cs="Calibri" w:eastAsia="Calibri"/>
          <w:color w:val="000000"/>
          <w:spacing w:val="0"/>
          <w:position w:val="0"/>
          <w:sz w:val="24"/>
          <w:shd w:fill="auto" w:val="clear"/>
          <w:vertAlign w:val="superscript"/>
        </w:rPr>
        <w:t xml:space="preserve">40,48,49,51</w:t>
      </w:r>
      <w:r>
        <w:rPr>
          <w:rFonts w:ascii="Calibri" w:hAnsi="Calibri" w:cs="Calibri" w:eastAsia="Calibri"/>
          <w:color w:val="000000"/>
          <w:spacing w:val="0"/>
          <w:position w:val="0"/>
          <w:sz w:val="24"/>
          <w:shd w:fill="auto" w:val="clear"/>
        </w:rPr>
        <w:t xml:space="preserve">. Thus, to date, analysis of Nups at the resolution of a single NPC has not been adopted as a routine experimental approach.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recent years, super-resolution imaging technologies such as SIM have become more accessible. These methodologies couple conventional immunofluorescence staining with advanced image processing and deconvolution to provide increased resolution sufficient to resolve an individual NPC</w:t>
      </w:r>
      <w:r>
        <w:rPr>
          <w:rFonts w:ascii="Calibri" w:hAnsi="Calibri" w:cs="Calibri" w:eastAsia="Calibri"/>
          <w:color w:val="000000"/>
          <w:spacing w:val="0"/>
          <w:position w:val="0"/>
          <w:sz w:val="24"/>
          <w:shd w:fill="auto" w:val="clear"/>
          <w:vertAlign w:val="superscript"/>
        </w:rPr>
        <w:t xml:space="preserve">40,48,49,51</w:t>
      </w:r>
      <w:r>
        <w:rPr>
          <w:rFonts w:ascii="Calibri" w:hAnsi="Calibri" w:cs="Calibri" w:eastAsia="Calibri"/>
          <w:color w:val="000000"/>
          <w:spacing w:val="0"/>
          <w:position w:val="0"/>
          <w:sz w:val="24"/>
          <w:shd w:fill="auto" w:val="clear"/>
        </w:rPr>
        <w:t xml:space="preserve">. Although compatible with standard immunostaining protocol, thereby affording researchers the ability to detect any Nup for which a specific anti-Nup antibody is available at high resolution</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SIM does not come without its technical challenges or limitations as outlined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success of any super-resolution imaging experiment is highly dependent upon sample quality. Specifically, for SIM, incomplete nuclei isolation or over lysis of samples can lead to retention of cytoplasm and cell membranes or fragmented or collapsed and shriveled nuclei, respectively. The lysis time should be adjusted, accordingly, to overcome this issue. While the protocol detailed above has been optimized for iPSNs and postmortem human CNS tissue, it is easily amended to produce high-quality nuclei from a variety of cell types and tissues. This is accomplished by adjusting the concentration of the sucrose gradient and/or sample lysis time and method. Additional details regarding sucrose gradient adjustments for HEK293 cells, iPSC-derived astrocytes, and enrichment of oligodendrocyte nuclei from postmortem human CNS tissue have been recently published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process of nuclei isolation itself may disrupt the association of less stably attached Nups or nuclear transport receptors that transiently associate with the NPC. As a result, to verify the results obtained from SIM imaging of isolated nuclei, researchers should consider employing additional techniques such as immunostaining and confocal imaging of intact cells or tissues as has been previously described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However, it is noted that routine confocal imaging of Nups does not provide the resolution to resolve individual NPC spots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and thus can only provide semi-quantitative information regarding overall Nup intensity. For Nups, which are also normally present within cytoplasmic pools</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 western blot analyses from whole cell lysates are not recommended as a validation method for NPC composition due to contamination from Nups that may be localized to the cytoplasm. However, western blot analyses from isolated nuclei samples have been employed to validate data obtained from imaging technologies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resolution of SIM images can vary among fluorophores depending on the individual point spread functions of the specific imaging system</w:t>
      </w:r>
      <w:r>
        <w:rPr>
          <w:rFonts w:ascii="Calibri" w:hAnsi="Calibri" w:cs="Calibri" w:eastAsia="Calibri"/>
          <w:color w:val="000000"/>
          <w:spacing w:val="0"/>
          <w:position w:val="0"/>
          <w:sz w:val="24"/>
          <w:shd w:fill="auto" w:val="clear"/>
          <w:vertAlign w:val="superscript"/>
        </w:rPr>
        <w:t xml:space="preserve">51</w:t>
      </w:r>
      <w:r>
        <w:rPr>
          <w:rFonts w:ascii="Calibri" w:hAnsi="Calibri" w:cs="Calibri" w:eastAsia="Calibri"/>
          <w:color w:val="000000"/>
          <w:spacing w:val="0"/>
          <w:position w:val="0"/>
          <w:sz w:val="24"/>
          <w:shd w:fill="auto" w:val="clear"/>
        </w:rPr>
        <w:t xml:space="preserve">. This should be experimentally tested by the user for each sample type before proceeding. SIM imaging is not ideal for samples with a thickness greater than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perscript"/>
        </w:rPr>
        <w:t xml:space="preserve">48,51</w:t>
      </w:r>
      <w:r>
        <w:rPr>
          <w:rFonts w:ascii="Calibri" w:hAnsi="Calibri" w:cs="Calibri" w:eastAsia="Calibri"/>
          <w:color w:val="000000"/>
          <w:spacing w:val="0"/>
          <w:position w:val="0"/>
          <w:sz w:val="24"/>
          <w:shd w:fill="auto" w:val="clear"/>
        </w:rPr>
        <w:t xml:space="preserve">. As a result, nuclei isolation enables imaging of the full thickness of human nuclei and therefore provides for the most accurate 3D reconstruction and quantification of Nup spots and volume. However, in instances where nucleus thickness remains &amp;gt;15 </w:t>
      </w:r>
      <w:r>
        <w:rPr>
          <w:rFonts w:ascii="Calibri" w:hAnsi="Calibri" w:cs="Calibri" w:eastAsia="Calibri"/>
          <w:color w:val="auto"/>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Airy Scan imaging can be used as an alternative. Although the resolution is decreased, Airy Scan imaging is not limited by sample thickness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should also be taken into consideration that the images presented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represent maximum intensity projections following 3D reconstruction of individual nuclei imaged by SIM. Therefore, in such an image, it is difficult to accurately distinguish between spots truly associated with the NPC as opposed to those within the nucleoplasm. As a result, when analyzing 3D images, it is critical to analyze and segment each z section or small series of z sections independently to distinguish between spots associated with the nuclear envelope as opposed to the nucleoplasm. The quantifications presented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represent only those spots detected along the outside faces of the analyzed nuclei. In other words, the representative quantitation indicates the number of POM121 spots associated with the nuclear envelope.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Lastly, given nuclear heterogeneity and variability</w:t>
      </w:r>
      <w:r>
        <w:rPr>
          <w:rFonts w:ascii="Calibri" w:hAnsi="Calibri" w:cs="Calibri" w:eastAsia="Calibri"/>
          <w:color w:val="000000"/>
          <w:spacing w:val="0"/>
          <w:position w:val="0"/>
          <w:sz w:val="24"/>
          <w:shd w:fill="auto" w:val="clear"/>
          <w:vertAlign w:val="superscript"/>
        </w:rPr>
        <w:t xml:space="preserve">15,42</w:t>
      </w:r>
      <w:r>
        <w:rPr>
          <w:rFonts w:ascii="Calibri" w:hAnsi="Calibri" w:cs="Calibri" w:eastAsia="Calibri"/>
          <w:color w:val="000000"/>
          <w:spacing w:val="0"/>
          <w:position w:val="0"/>
          <w:sz w:val="24"/>
          <w:shd w:fill="auto" w:val="clear"/>
        </w:rPr>
        <w:t xml:space="preserve">, it is important to image and evaluate a large number of nuclei per sample regardless of the super-resolution imaging method employed.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In contrast to bulk proteomics and western blot assays, imaging methodologies provide the unparalleled opportunity to examine the distribution and expression of Nups within subsets of human CNS cells identified by specific cell types or nuclear markers (e.g., NeuN, Olig2). SIM is one of many super-resolution imaging techniques that can be employed to study the NPC and its individual Nup components</w:t>
      </w:r>
      <w:r>
        <w:rPr>
          <w:rFonts w:ascii="Calibri" w:hAnsi="Calibri" w:cs="Calibri" w:eastAsia="Calibri"/>
          <w:color w:val="000000"/>
          <w:spacing w:val="0"/>
          <w:position w:val="0"/>
          <w:sz w:val="24"/>
          <w:shd w:fill="auto" w:val="clear"/>
          <w:vertAlign w:val="superscript"/>
        </w:rPr>
        <w:t xml:space="preserve">50,57,58</w:t>
      </w:r>
      <w:r>
        <w:rPr>
          <w:rFonts w:ascii="Calibri" w:hAnsi="Calibri" w:cs="Calibri" w:eastAsia="Calibri"/>
          <w:color w:val="000000"/>
          <w:spacing w:val="0"/>
          <w:position w:val="0"/>
          <w:sz w:val="24"/>
          <w:shd w:fill="auto" w:val="clear"/>
        </w:rPr>
        <w:t xml:space="preserve">. Each methodology (SIM, STORM, EM) will yield its own insights into NPC structure and composition. While SIM is capable of evaluating each Nup for which an anti-Nup antibody is available at the resolution of a single NPC, STORM is capable of resolving the octet structure of individual NPCs, and EM techniques provide a detailed view of the overall NPC structure at high resolution</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STORM and Immuno EM approaches to evaluate individual Nups within NPCs are technically challenging. Specifically, STORM often requires the use of endogenous fluorescent tags to overcome steric hinderance provided by conventional antibody-based staining. To date, only a handful of Nups in non-neuronal cell lines have been imaged by this technology. Furthermore, conventionally STORM images NPCs on a single surface of nuclei, thus eliminating the opportunity for full 3D reconstruction of an entire nucleus to evaluate the spatial distribution and NPC heterogeneity</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As a result, SIM is the preferred light microscopy methodology for robustly evaluating Nups within NPCs and the nucleoplasm at high resolution. A recent study used both SEM and SIM technologies to conclude that the overall NPC structure was intact, but specific Nups were reduced from the NPC and nucleoplasm of C9orf72 ALS/FTD neuronal nuclei</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This work highlights the critical importance of combining multiple high-resolution imaging approaches to yield novel insights into both NPC composition and structure as well as the strength of SIM for examining 23 individual human Nups.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Postmortem human CNS tissues were provided by the Johns Hopkins ALS Autopsy Bank and the Target ALS Postmortem Tissue Core. This work was supported by the ALSA Milton Safenowitz Postdoctoral Fellowship (ANC), as well as funding from NIH-NINDS, Department of Defense, ALS Association, Muscular Dystrophy Association, F Prime, The Robert Packard Center for ALS Research Answer ALS Program, and the Chan Zuckerberg Initiative.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Hou,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Ageing as a risk factor for neurodegenerative disease. </w:t>
      </w:r>
      <w:r>
        <w:rPr>
          <w:rFonts w:ascii="Calibri" w:hAnsi="Calibri" w:cs="Calibri" w:eastAsia="Calibri"/>
          <w:i/>
          <w:color w:val="auto"/>
          <w:spacing w:val="0"/>
          <w:position w:val="0"/>
          <w:sz w:val="24"/>
          <w:shd w:fill="auto" w:val="clear"/>
        </w:rPr>
        <w:t xml:space="preserve">Nature Reviews.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(10), 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Kim, G., Gautier, O., Tassoni-Tsuchida, E., Ma, X. R., Gitler, A. D. ALS genetics: Gains, losses, and implications for future therapies.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(5), 822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Bang, J., Spina, S.,Miller, B. L. Frontotemporal dementia.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386</w:t>
      </w:r>
      <w:r>
        <w:rPr>
          <w:rFonts w:ascii="Calibri" w:hAnsi="Calibri" w:cs="Calibri" w:eastAsia="Calibri"/>
          <w:color w:val="auto"/>
          <w:spacing w:val="0"/>
          <w:position w:val="0"/>
          <w:sz w:val="24"/>
          <w:shd w:fill="auto" w:val="clear"/>
        </w:rPr>
        <w:t xml:space="preserve"> (10004), 1672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Blauwendraat, C., Nalls, M. A., Singleton, A. B. The genetic architecture of Parkinson's disease. </w:t>
      </w:r>
      <w:r>
        <w:rPr>
          <w:rFonts w:ascii="Calibri" w:hAnsi="Calibri" w:cs="Calibri" w:eastAsia="Calibri"/>
          <w:i/>
          <w:color w:val="auto"/>
          <w:spacing w:val="0"/>
          <w:position w:val="0"/>
          <w:sz w:val="24"/>
          <w:shd w:fill="auto" w:val="clear"/>
        </w:rPr>
        <w:t xml:space="preserve">The 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Cacace, R., Sleegers, K., Van Broeckhoven, C. Molecular genetics of early-onset Alzheimer's disease revisited. </w:t>
      </w:r>
      <w:r>
        <w:rPr>
          <w:rFonts w:ascii="Calibri" w:hAnsi="Calibri" w:cs="Calibri" w:eastAsia="Calibri"/>
          <w:i/>
          <w:color w:val="auto"/>
          <w:spacing w:val="0"/>
          <w:position w:val="0"/>
          <w:sz w:val="24"/>
          <w:shd w:fill="auto" w:val="clear"/>
        </w:rPr>
        <w:t xml:space="preserve">Alzheimer's &amp;amp; Dementia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 733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Di Resta, C., Ferrari, M. New molecular approaches to Alzheimer's disease. </w:t>
      </w:r>
      <w:r>
        <w:rPr>
          <w:rFonts w:ascii="Calibri" w:hAnsi="Calibri" w:cs="Calibri" w:eastAsia="Calibri"/>
          <w:i/>
          <w:color w:val="auto"/>
          <w:spacing w:val="0"/>
          <w:position w:val="0"/>
          <w:sz w:val="24"/>
          <w:shd w:fill="auto" w:val="clear"/>
        </w:rPr>
        <w:t xml:space="preserve">Clinical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Karch, C. M., Cruchaga, C., Goate, A. M. Alzheimer's disease genetics: from the bench to the clinic.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Kovacs, G. G. Molecular pathology of neurodegenerative diseases: principles and practice. </w:t>
      </w:r>
      <w:r>
        <w:rPr>
          <w:rFonts w:ascii="Calibri" w:hAnsi="Calibri" w:cs="Calibri" w:eastAsia="Calibri"/>
          <w:i/>
          <w:color w:val="auto"/>
          <w:spacing w:val="0"/>
          <w:position w:val="0"/>
          <w:sz w:val="24"/>
          <w:shd w:fill="auto" w:val="clear"/>
        </w:rPr>
        <w:t xml:space="preserve">Journal of Clinical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(11),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McColgan, P., Tabrizi, S. J. Huntington's disease: a clinical review. </w:t>
      </w:r>
      <w:r>
        <w:rPr>
          <w:rFonts w:ascii="Calibri" w:hAnsi="Calibri" w:cs="Calibri" w:eastAsia="Calibri"/>
          <w:i/>
          <w:color w:val="auto"/>
          <w:spacing w:val="0"/>
          <w:position w:val="0"/>
          <w:sz w:val="24"/>
          <w:shd w:fill="auto" w:val="clear"/>
        </w:rPr>
        <w:t xml:space="preserve">European Journal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(1),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Ross, C. A., Tabrizi, S. J. Huntington's disease: from molecular pathogenesis to clinical treatment. </w:t>
      </w:r>
      <w:r>
        <w:rPr>
          <w:rFonts w:ascii="Calibri" w:hAnsi="Calibri" w:cs="Calibri" w:eastAsia="Calibri"/>
          <w:i/>
          <w:color w:val="auto"/>
          <w:spacing w:val="0"/>
          <w:position w:val="0"/>
          <w:sz w:val="24"/>
          <w:shd w:fill="auto" w:val="clear"/>
        </w:rPr>
        <w:t xml:space="preserve">The 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Dugger, B. N., Dickson, D. W. Pathology of neurodegenerative diseases.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a028035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Ross, C. A., Poirier, M. A. Protein aggregation and neurodegenerative disease.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Suppl</w:t>
      </w:r>
      <w:r>
        <w:rPr>
          <w:rFonts w:ascii="Calibri" w:hAnsi="Calibri" w:cs="Calibri" w:eastAsia="Calibri"/>
          <w:color w:val="auto"/>
          <w:spacing w:val="0"/>
          <w:position w:val="0"/>
          <w:sz w:val="24"/>
          <w:shd w:fill="auto" w:val="clear"/>
        </w:rPr>
        <w:t xml:space="preserve">, S10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DeJesus-Hernandez,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Expanded GGGGCC hexanucleotide repeat in noncoding region of C9ORF72 causes chromosome 9p-linked FTD and ALS.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Renton, 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hexanucleotide repeat expansion in C9ORF72 is the cause of chromosome 9p21-linked ALS-FTD.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Coyne, A.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G(4)C(2) repeat RNA initiates a POM121-mediated reduction in specific nucleoporins in C9orf72 ALS/FTD.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(6), 1124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Zhang,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C9orf72 repeat expansion disrupts nucleocytoplasmic transport.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525</w:t>
      </w:r>
      <w:r>
        <w:rPr>
          <w:rFonts w:ascii="Calibri" w:hAnsi="Calibri" w:cs="Calibri" w:eastAsia="Calibri"/>
          <w:color w:val="auto"/>
          <w:spacing w:val="0"/>
          <w:position w:val="0"/>
          <w:sz w:val="24"/>
          <w:shd w:fill="auto" w:val="clear"/>
        </w:rPr>
        <w:t xml:space="preserve"> (7567), 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D'Angelo, M. A., Raices, M., Panowski, S. H., Hetzer, M. W. Age-dependent deterioration of nuclear pore complexes causes a loss of nuclear integrity in postmitotic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136</w:t>
      </w:r>
      <w:r>
        <w:rPr>
          <w:rFonts w:ascii="Calibri" w:hAnsi="Calibri" w:cs="Calibri" w:eastAsia="Calibri"/>
          <w:color w:val="auto"/>
          <w:spacing w:val="0"/>
          <w:position w:val="0"/>
          <w:sz w:val="24"/>
          <w:shd w:fill="auto" w:val="clear"/>
        </w:rPr>
        <w:t xml:space="preserve"> (2), 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Hetzer, M. W. The role of the nuclear pore complex in aging of post-mitotic cells. </w:t>
      </w:r>
      <w:r>
        <w:rPr>
          <w:rFonts w:ascii="Calibri" w:hAnsi="Calibri" w:cs="Calibri" w:eastAsia="Calibri"/>
          <w:i/>
          <w:color w:val="auto"/>
          <w:spacing w:val="0"/>
          <w:position w:val="0"/>
          <w:sz w:val="24"/>
          <w:shd w:fill="auto" w:val="clear"/>
        </w:rPr>
        <w:t xml:space="preserve">Aging (Albany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Savas, J. N., Toyama, B. H., Xu, T., Yates, J. R.,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Hetzer, M. W. Extremely long-lived nuclear pore proteins in the rat brain.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335</w:t>
      </w:r>
      <w:r>
        <w:rPr>
          <w:rFonts w:ascii="Calibri" w:hAnsi="Calibri" w:cs="Calibri" w:eastAsia="Calibri"/>
          <w:color w:val="auto"/>
          <w:spacing w:val="0"/>
          <w:position w:val="0"/>
          <w:sz w:val="24"/>
          <w:shd w:fill="auto" w:val="clear"/>
        </w:rPr>
        <w:t xml:space="preserve"> (6071), 942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Toyama, B.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long-lived proteins reveals exceptional stability of essential cellular structures.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(5), 971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Nofrini, V., Di Giacomo, D., Mecucci, C. Nucleoporin genes in human diseases. </w:t>
      </w:r>
      <w:r>
        <w:rPr>
          <w:rFonts w:ascii="Calibri" w:hAnsi="Calibri" w:cs="Calibri" w:eastAsia="Calibri"/>
          <w:i/>
          <w:color w:val="auto"/>
          <w:spacing w:val="0"/>
          <w:position w:val="0"/>
          <w:sz w:val="24"/>
          <w:shd w:fill="auto" w:val="clear"/>
        </w:rPr>
        <w:t xml:space="preserve">European Journal of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(10), 1388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Sakuma, S., D'Angelo, M. A. The roles of the nuclear pore complex in cellular dysfunction, aging and disease. </w:t>
      </w:r>
      <w:r>
        <w:rPr>
          <w:rFonts w:ascii="Calibri" w:hAnsi="Calibri" w:cs="Calibri" w:eastAsia="Calibri"/>
          <w:i/>
          <w:color w:val="auto"/>
          <w:spacing w:val="0"/>
          <w:position w:val="0"/>
          <w:sz w:val="24"/>
          <w:shd w:fill="auto" w:val="clear"/>
        </w:rPr>
        <w:t xml:space="preserve">Seminars in Cell &amp;amp;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Basel-Vanagaite,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Mutated nup62 causes autosomal recessive infantile bilateral striatal necrosis.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 214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Nousiainen, H. 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Mutations in mRNA export mediator GLE1 result in a fetal motoneuron disease.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Cronshaw, J. M.,Matunis, M. J. The nuclear pore complex: disease associations and functional correlations. </w:t>
      </w:r>
      <w:r>
        <w:rPr>
          <w:rFonts w:ascii="Calibri" w:hAnsi="Calibri" w:cs="Calibri" w:eastAsia="Calibri"/>
          <w:i/>
          <w:color w:val="auto"/>
          <w:spacing w:val="0"/>
          <w:position w:val="0"/>
          <w:sz w:val="24"/>
          <w:shd w:fill="auto" w:val="clear"/>
        </w:rPr>
        <w:t xml:space="preserve">Trends in 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Chou, C.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TDP-43 pathology disrupts nuclear pore complexes and nucleocytoplasmic transport in ALS/FTD.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Eftekharzadeh,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Tau protein disrupts nucleocytoplasmic transport in Alzheimer's disease.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(5), 925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940.e927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Freibaum, B.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GGGGCC repeat expansion in C9orf72 compromises nucleocytoplasmic transport.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525</w:t>
      </w:r>
      <w:r>
        <w:rPr>
          <w:rFonts w:ascii="Calibri" w:hAnsi="Calibri" w:cs="Calibri" w:eastAsia="Calibri"/>
          <w:color w:val="auto"/>
          <w:spacing w:val="0"/>
          <w:position w:val="0"/>
          <w:sz w:val="24"/>
          <w:shd w:fill="auto" w:val="clear"/>
        </w:rPr>
        <w:t xml:space="preserve"> (7567), 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Gasset-Rosa,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Polyglutamine-expanded huntingtin exacerbates age-related disruption of nuclear integrity and nucleocytoplasmic transport.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57.e44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Grima,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Mutant huntingtin disrupts the nuclear pore complex.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(1), 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107.e106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Jovicic,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Modifiers of C9orf72 dipeptide repeat toxicity connect nucleocytoplasmic transport defects to FTD/ALS.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(9), 1226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Guo,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Nuclear-import receptors reverse aberrant phase transitions of RNA-binding proteins with prion-like domains.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(3), 677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692.e620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Hofweber,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Phase Separation of FUS Is Suppressed by Its Nuclear Import Receptor and Arginine Methylation.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(3), 706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719.e713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Yoshizawa,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Nuclear Import Receptor Inhibits Phase Separation of FUS through Binding to Multiple Sites.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(3), 693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705.e622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Chew, J. et al. Aberrant deposition of stress granule-resident proteins linked to C9orf72-associated TDP-43 proteinopathy. </w:t>
      </w:r>
      <w:r>
        <w:rPr>
          <w:rFonts w:ascii="Calibri" w:hAnsi="Calibri" w:cs="Calibri" w:eastAsia="Calibri"/>
          <w:i/>
          <w:color w:val="auto"/>
          <w:spacing w:val="0"/>
          <w:position w:val="0"/>
          <w:sz w:val="24"/>
          <w:shd w:fill="auto" w:val="clear"/>
        </w:rPr>
        <w:t xml:space="preserve">Molecular Neurodegeneration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Zhang, Y.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Poly(GR) impairs protein translation and stress granule dynamics in C9orf72-associated frontotemporal dementia and amyotrophic lateral sclerosis. </w:t>
      </w:r>
      <w:r>
        <w:rPr>
          <w:rFonts w:ascii="Calibri" w:hAnsi="Calibri" w:cs="Calibri" w:eastAsia="Calibri"/>
          <w:i/>
          <w:color w:val="auto"/>
          <w:spacing w:val="0"/>
          <w:position w:val="0"/>
          <w:sz w:val="24"/>
          <w:shd w:fill="auto" w:val="clear"/>
        </w:rPr>
        <w:t xml:space="preserve">Nat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(8), 1136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Zhang, Y.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C9ORF72 poly(GA) aggregates sequester and impair HR23 and nucleocytoplasmic transport proteins.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 668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Zhang, Y.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Heterochromatin anomalies and double-stranded RNA accumulation underlie C9orf72 poly(PR) toxicity.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363</w:t>
      </w:r>
      <w:r>
        <w:rPr>
          <w:rFonts w:ascii="Calibri" w:hAnsi="Calibri" w:cs="Calibri" w:eastAsia="Calibri"/>
          <w:color w:val="auto"/>
          <w:spacing w:val="0"/>
          <w:position w:val="0"/>
          <w:sz w:val="24"/>
          <w:shd w:fill="auto" w:val="clear"/>
        </w:rPr>
        <w:t xml:space="preserve"> (6428)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Beck, M., Hurt, E. The nuclear pore complex: understanding its function through structural insight.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 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Lin, D. H., Hoelz, A. The structure of the nuclear pore complex (an update).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Raices, M., D'Angelo, M. A. Nuclear pore complex composition: a new regulator of tissue-specific and developmental functions.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(11), 687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Kinoshita, Y., Kalir, T., Dottino, P., Kohtz, D. S. Nuclear distributions of NUP62 and NUP214 suggest architectural diversity and spatial patterning among nuclear pore complexes.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e36137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Ori,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Cell type-specific nuclear pores: a case in point for context-dependent stoichiometry of molecular machines.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648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Rajoo, S., Vallotton, P., Onischenko, E., Weis, K. Stoichiometry and compositional plasticity of the yeast nuclear pore complex revealed by quantitative fluorescence microscopy.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(17), E3969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E3977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Li, C., Goryaynov, A., Yang, W. The selective permeability barrier in the nuclear pore complex. </w:t>
      </w:r>
      <w:r>
        <w:rPr>
          <w:rFonts w:ascii="Calibri" w:hAnsi="Calibri" w:cs="Calibri" w:eastAsia="Calibri"/>
          <w:i/>
          <w:color w:val="auto"/>
          <w:spacing w:val="0"/>
          <w:position w:val="0"/>
          <w:sz w:val="24"/>
          <w:shd w:fill="auto" w:val="clear"/>
        </w:rPr>
        <w:t xml:space="preserve">Nucleus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Raices, M., D'Angelo, M. A. Nuclear pore complexes and regulation of gene expression.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Pascual-Garcia, P., Capelson, M. Nuclear pores in genome architecture and enhancer function.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Schermelleh, L. et al. Subdiffraction multicolor imaging of the nuclear periphery with 3D structured illumination microscopy.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(5881), 1332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Maglione, M., Sigrist, S. J. Seeing the forest tree by tree: super-resolution light microscopy meets the neurosciences.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790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Thevathasan, J.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Nuclear pores as versatile reference standards for quantitative superresolution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(10), 1045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1053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Wu, Y., Shroff, H. Faster, sharper, and deeper: structured illumination microscopy for biological imaging.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1011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Hampoelz,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Pre-assembled nuclear pores insert into the nuclear envelope during early development.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166</w:t>
      </w:r>
      <w:r>
        <w:rPr>
          <w:rFonts w:ascii="Calibri" w:hAnsi="Calibri" w:cs="Calibri" w:eastAsia="Calibri"/>
          <w:color w:val="auto"/>
          <w:spacing w:val="0"/>
          <w:position w:val="0"/>
          <w:sz w:val="24"/>
          <w:shd w:fill="auto" w:val="clear"/>
        </w:rPr>
        <w:t xml:space="preserve"> (3), 664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Hampoelz,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Nuclear pores assemble from nucleoporin condensates during oogenesis.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(3), 671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686.e617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Agote-Aran,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Spatial control of nucleoporin condensation by fragile X-related proteins.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(20), e104467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Colombi, P., Webster, B. M., Fr&amp;#246;hlich, F., Lusk, C. P. The transmission of nuclear pore complexes to daughter cells requires a cytoplasmic pool of Nsp1.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w:t>
      </w:r>
      <w:r>
        <w:rPr>
          <w:rFonts w:ascii="Calibri" w:hAnsi="Calibri" w:cs="Calibri" w:eastAsia="Calibri"/>
          <w:color w:val="auto"/>
          <w:spacing w:val="0"/>
          <w:position w:val="0"/>
          <w:sz w:val="24"/>
          <w:shd w:fill="auto" w:val="clear"/>
        </w:rPr>
        <w:t xml:space="preserve"> (2), 215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Sivaguru,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Comparative performance of airyscan and structured illumination superresolution microscopy in the study of the surface texture and 3D shape of pollen. </w:t>
      </w:r>
      <w:r>
        <w:rPr>
          <w:rFonts w:ascii="Calibri" w:hAnsi="Calibri" w:cs="Calibri" w:eastAsia="Calibri"/>
          <w:i/>
          <w:color w:val="auto"/>
          <w:spacing w:val="0"/>
          <w:position w:val="0"/>
          <w:sz w:val="24"/>
          <w:shd w:fill="auto" w:val="clear"/>
        </w:rPr>
        <w:t xml:space="preserve">Microscopy Research and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(2), 101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L&amp;#246;schberger, A., Franke, C., Krohne, G., van de Linde, S., Sauer, M. Correlative super-resolution fluorescence and electron microscopy of the nuclear pore complex with molecular resolution.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(Pt 20), 4351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4355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L&amp;#246;schberger,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Super-resolution imaging visualizes the eightfold symmetry of gp210 proteins around the nuclear pore complex and resolves the central channel with nanometer resolution.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(Pt 3), 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575 (2012).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