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Labeling of Extracellular Vesicles for Monitoring Migration and Uptake in Cartilage Explants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Antònia Forteza-Genestra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Miquel Antich-Rosselló</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Francisco Gabriel Ortega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Guillem Ramis-Munar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Javier Calvo</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Antoni Gayà</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Marta Monjo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Joana Maria Ramis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Cell Therapy and Tissue Engineering Group, Research Institute on Health Sciences (IUNICS), University of the Balearic Islands, Crta. Valldemossa km 7.5, 07122 Palma,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Health Research Institute of the Balearic Islands (IdISBa), 07120, Palma,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Cellomics Unit, Institut Universitari d'Investigació en Ciències de la Salut (IUNICS), Universitat de les Illes Balears, Palma, Illes Balears,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Fundació Banc de Sang i Teixits de les Illes Balears (FBSTIB), 07004, Palma,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Antònia Forteza-Genestra</w:t>
        <w:tab/>
        <w:tab/>
        <w:tab/>
        <w:t xml:space="preserve">(maria.forteza@ssib.es)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Miquel Antich-Rosselló</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(miquel.antich1@estudiant.uib.es</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Francisco Gabriel Ortega</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(f.ortega@uib.cat)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Guillem Ramis-Munar</w:t>
        <w:tab/>
        <w:tab/>
        <w:tab/>
        <w:tab/>
        <w:tab/>
        <w:t xml:space="preserve">(guillem.ramis@uib.es)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Javier Calvo</w:t>
        <w:tab/>
        <w:tab/>
        <w:tab/>
        <w:tab/>
        <w:tab/>
        <w:tab/>
        <w:t xml:space="preserve">(jcalvo@fbstib.org)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 Gayà</w:t>
        <w:tab/>
        <w:tab/>
        <w:tab/>
        <w:tab/>
        <w:tab/>
        <w:tab/>
        <w:t xml:space="preserve">(agaya@fbstib.org)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Monjo</w:t>
      </w:r>
      <w:r>
        <w:rPr>
          <w:rFonts w:ascii="Calibri" w:hAnsi="Calibri" w:cs="Calibri" w:eastAsia="Calibri"/>
          <w:color w:val="auto"/>
          <w:spacing w:val="0"/>
          <w:position w:val="0"/>
          <w:sz w:val="24"/>
          <w:shd w:fill="auto" w:val="clear"/>
          <w:vertAlign w:val="superscript"/>
        </w:rPr>
        <w:tab/>
        <w:tab/>
        <w:tab/>
        <w:tab/>
        <w:tab/>
        <w:tab/>
      </w:r>
      <w:r>
        <w:rPr>
          <w:rFonts w:ascii="Calibri" w:hAnsi="Calibri" w:cs="Calibri" w:eastAsia="Calibri"/>
          <w:color w:val="auto"/>
          <w:spacing w:val="0"/>
          <w:position w:val="0"/>
          <w:sz w:val="24"/>
          <w:shd w:fill="auto" w:val="clear"/>
        </w:rPr>
        <w:t xml:space="preserve">(marta.monjo@uib.es)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Joana Maria Ramis</w:t>
        <w:tab/>
        <w:tab/>
        <w:tab/>
        <w:tab/>
        <w:tab/>
        <w:t xml:space="preserve">(joana.ramis@uib.es)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label platelet lysate-derived extracellular vesicles to monitor their migration and uptake in cartilage explants used as a model for osteoarthritis.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used in different studies to prove their potential as a cell-free treatment due to their cargo derived from their cellular source, such as platelet lysate (PL). When used as treatment, EVs are expected to enter the target cells and effect a response from these. In this research, PL-derived EVs have been studied as a cell-free treatment for osteoarthritis (OA). Thus, a method was set up to label EVs and test their uptake on cartilage explants. PL-derived EVs are labeled with the lipophilic dye PKH26, washed twice through a column, and then tested in an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inflammation-driven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OA model for 5 h after particle quantification by nanoparticle tracking analysis (NTA). Hourly, cartilage explants are fixed, paraffined, cut into 6 &amp;#181;m sections to mount on slides, and observed under a confocal microscope. This allows verification of whether EVs enter the target cells (chondrocytes) during this period and analyze their direct effect.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Osteoarthritis (OA) is an articular degenerative disease that implies a progressive and irreversible inflammation and destruction of the extracellular matrix of the articular cartilage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various forms of arthritis have numerous treatments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are restricted by their side effects and limited efficacy. Tissue engineering techniques using autologous chondrocyte implantation are routinely applied for the regenerative treatment of injured cartilage in early OA cartilage lesions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Cell-based therapies are restricted mainly due to the limited number of phenotypically stable chondrocytes or chondroprogenitors capable of effectively repairing the cartilage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the development of new therapeutic strategies to prevent disease progression and regenerate large cartilage lesions is of paramount importance.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have been suggested as a treatment for OA by different authors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EVs are membranous bodies secreted by the majority of cell types, are involved in intercellular signaling, and have been shown to exert stem cells’ therapeutic effects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due to which they have recently elicited interest in regenerative medicine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EVs derived from mesenchymal stromal cells (MSCs) are the main therapeutic EVs investigated for OA, although other joint-related cells have been used as EV sources, e.g., chondroprogenitors or immune cells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 concentrates, such as platelet lysates (PLs), are used to enhance wound healing in different injuries, such as corneal ulcers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in tendon tissue regeneration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because of the hypothesis that the EV component of platelet concentrates may be responsible for these effects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Some studies related to joint-related diseases use platelet-derived EVs (PL-EVs) as a treatment to ameliorate osteoarthritic conditions. PL-EVs improve chondrocyte proliferation and cell migration by activating the Wnt/</w:t>
      </w:r>
      <w:r>
        <w:rPr>
          <w:rFonts w:ascii="Calibri" w:hAnsi="Calibri" w:cs="Calibri" w:eastAsia="Calibri"/>
          <w:color w:val="auto"/>
          <w:spacing w:val="0"/>
          <w:position w:val="0"/>
          <w:sz w:val="24"/>
          <w:shd w:fill="auto" w:val="clear"/>
        </w:rPr>
        <w:t xml:space="preserve">β-catenin pathway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promoting the expression of chondrogenic markers in osteoarthritic chondrocytes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showing higher levels of chondrogenic proteins and fewer tissular abnormalities in osteoarthritic rabbits treated with PL-EVs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EVs contain proteins, lipids, and nucleic acids that are liberated to the target cell, establishing cell-to-cell communication, which is the main feature related to their therapeutic applications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effects of EVs depend on their reaching cells and subsequent cargo release. This effect can be confirmed indirectly by changes caused in cells, such as metabolic activity or gene expression modification. However, these methods do not allow the visualization of how EVs reach cells to exert their function. Thus, this paper presents a method to label these PL-derived EVs to be used as a treatment for inflammation-driven OA cartilage explants. Confocal microscopy was used to monitor EV uptake and progression to the chondrocytes present in the explants in a time-lapse of 5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Cartilage explants were obtained from the IdISBa Biobank (IB 1995/12 BIO) in compliance with institutional guidelines after ethical approval of the project by the CEI-IB (IB 3656118 PI).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Column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Equilibrate columns following the manufacturer’s instructions or as follows: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Remove the column cap and equilibrate the column. Remove the storage buffer by elution.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Wash the column 3 times with 2.5 mL of phosphate-buffered saline (PBS). During each wash, wait for the column to absorb the whole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the column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Cover the column with the cap after the last wash and until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EV labeling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EV labeling protocol uses a PL-EV sample previously isolated by size exclusion chromatography (SEC) with previously described conditions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However, any EV sample from any source may be used with this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Concentrate the EV sample and the control (PBS) using a concentrating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the samples in a 15 mL or 500 &amp;#181;L concentrating tube, depending on the starting volume of the EV sample starting. Centrifuge the tubes according to the manufacturer’s instructions until an almost-dry sample is obtained.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control sample is necessary to check for any dye background. Although this method does not require any specific initial volume, it is necessary to know the final number of particles to concentrate an extra initial volume of EV suspension.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Resuspend the concentrated samples with diluent C. Resuspend EV samples with 200 &amp;#181;L and the control group with 100 &amp;#181;L and transfer them to new 1.5 mL centrifuge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Separate the EV sample into two aliquots of 100 &amp;#181;L. Mark one with dye and use it as treatment (PKH-PL-EV); leave the other unmarked but process it (NTA-PL-EV) like the EV sample and use it to quantify the EV concentration by NTA.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Prepare 2x dye solution, resulting in 8 &amp;#181;M PKH26 solution in diluent 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Mix 1 &amp;#181;L of 1 mM PKH26 linker per 125 &amp;#181;L of diluent C in the sample. Prepare a volume required to add to the samples in a 1:1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2x dye solution to PKH-PL-EV and control samples in a 1:1 ratio to achieve 1x dye concentration and 4 &amp;#181;M PKH26 concentration. Add the same volume of PBS to the NTA-PL-EV sample. Incubate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Add 5% bovine serum albumin-PBS solution to the samples in a 1:1 ratio and ensure that the final volume is ~400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step allows the removal of nonspecific dye interactions or unbound dye.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Proceed to separate the labeled EVs from the unbound dye and nonspecific interactions of the dye with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Labeled-EV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Remove the cap from the column, add 400 &amp;#181;L of the sample (PKH-PL-EV, NTA-PL-EV, or control), and discard all eluted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Wait for the sample to enter the column completely before proceeding to the next step. Add 600 &amp;#181;L of PBS and discard all eluted liquid.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Wait for the PBS to enter the column completely before proceeding to the next step. Add 600 &amp;#181;L of PBS and collect a fraction of 600 &amp;#181;L in a 1.5. mL centrifuge tube (EVs or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are needed to remove the excess dye from the samples. Another separation by column is needed to obtain purer EVs. Thus, the following steps should be performed in a new equilibrated column (step 4.1.) or the same column after an initial washing step (step 4.2).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Prepare the column for a new EV separation step to obtain purer EVs. </w:t>
      </w:r>
      <w:r>
        <w:rPr>
          <w:rFonts w:ascii="Calibri" w:hAnsi="Calibri" w:cs="Calibri" w:eastAsia="Calibri"/>
          <w:color w:val="auto"/>
          <w:spacing w:val="0"/>
          <w:position w:val="0"/>
          <w:sz w:val="24"/>
          <w:shd w:fill="FFFF00" w:val="clear"/>
        </w:rPr>
        <w:t xml:space="preserve">If it is a new column, repeat steps 2.1. and 2.2. </w:t>
      </w:r>
      <w:r>
        <w:rPr>
          <w:rFonts w:ascii="Calibri" w:hAnsi="Calibri" w:cs="Calibri" w:eastAsia="Calibri"/>
          <w:color w:val="auto"/>
          <w:spacing w:val="0"/>
          <w:position w:val="0"/>
          <w:sz w:val="24"/>
          <w:shd w:fill="auto" w:val="clear"/>
        </w:rPr>
        <w:t xml:space="preserve">If it is the same column, wash the column with 2.5 mL of 20% isopropanol and then repeat steps 2.1 and 2.2.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Add 600 &amp;#181;L of previously eluted EVs obtained in step 2.5 to the column and discard the eluted volume. Wait for the liquid to enter the column completely before proceeding to the next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Add 400 &amp;#181;L of PBS and discard all eluted volume. Wait for the liquid to enter the column completely before proceeding to the next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Add 600 &amp;#181;L of PBS and collect a fraction of 600 &amp;#181;L in a 1.5 mL centrifuge tube. </w:t>
      </w:r>
      <w:r>
        <w:rPr>
          <w:rFonts w:ascii="Calibri" w:hAnsi="Calibri" w:cs="Calibri" w:eastAsia="Calibri"/>
          <w:color w:val="auto"/>
          <w:spacing w:val="0"/>
          <w:position w:val="0"/>
          <w:sz w:val="24"/>
          <w:shd w:fill="auto" w:val="clear"/>
        </w:rPr>
        <w:t xml:space="preserve">Use the EVs and control samples for further analyses or store them overnight at 4 ᵒC.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Store the used columns for future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Wash the column with 25 mL of 20% isopropanol and discard the eluted volume. Wash the column 3 times with 2.5 mL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w:t>
        <w:tab/>
        <w:t xml:space="preserve">Add the storage buffer removed in step 1.1.1 and wait for the buffer to enter the column. Cover the column with the cap and store at 4 ᵒC until subsequent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EV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1:1,000 dilutions of the NTA-PL-EV sample and the initial PL-EV sample as described by the following two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1 mL of 1:10 diluted NTA-PL-EV and 1 mL of 1:10 diluted initial PL-EV with PBS filtered through a 0.2 &amp;#181;m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Prepare 1 mL of a 1:100 dilution of the previous diluted samples with PBS filtered through a 0.2 &amp;#181;m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Inject the 1:1,000 diluted NTA-PL-EV sample or the initial PL-EV sample using a sterile syringe into the NTA pump. Follow the manufacturer’s instructions and recommendations for particle concentration and size distribution determination.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EV concentration depends on the sample starter volume, it may be necessary to read intermediate dilutions and make adjustments to obtain a correct NTA determination.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EVs used as a treatment for inflammation-driven OA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Wash the cartilage twice with PBS and excise it using a 3 mm diameter biopsy punch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procedure from steps 5.1 to 5.6 in a cell culture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the explants in 96-well culture plates with DMEM-F12 medium supplemented with 1% penicillin-streptomycin at 37 ᵒC,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and 80% humidity.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To establish an inflammation-driven OA model, supplement the cell culture medium with 10 ng/mL oncostatin M and 2 ng/mL tumor necrosis factor-alpha (TNF</w:t>
      </w:r>
      <w:r>
        <w:rPr>
          <w:rFonts w:ascii="Calibri" w:hAnsi="Calibri" w:cs="Calibri" w:eastAsia="Calibri"/>
          <w:color w:val="auto"/>
          <w:spacing w:val="0"/>
          <w:position w:val="0"/>
          <w:sz w:val="24"/>
          <w:shd w:fill="FFFF00" w:val="clear"/>
        </w:rPr>
        <w:t xml:space="preserve">α).</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Treat the explants with 1 &amp;#215; 10</w:t>
      </w:r>
      <w:r>
        <w:rPr>
          <w:rFonts w:ascii="Calibri" w:hAnsi="Calibri" w:cs="Calibri" w:eastAsia="Calibri"/>
          <w:color w:val="auto"/>
          <w:spacing w:val="0"/>
          <w:position w:val="0"/>
          <w:sz w:val="24"/>
          <w:shd w:fill="FFFF00" w:val="clear"/>
          <w:vertAlign w:val="superscript"/>
        </w:rPr>
        <w:t xml:space="preserve">9 </w:t>
      </w:r>
      <w:r>
        <w:rPr>
          <w:rFonts w:ascii="Calibri" w:hAnsi="Calibri" w:cs="Calibri" w:eastAsia="Calibri"/>
          <w:color w:val="auto"/>
          <w:spacing w:val="0"/>
          <w:position w:val="0"/>
          <w:sz w:val="24"/>
          <w:shd w:fill="FFFF00" w:val="clear"/>
        </w:rPr>
        <w:t xml:space="preserve">particles/well of labeled EVs (PKH-PL-EV) or control in cell culture medium supplemented with oncostatin M and TNF</w:t>
      </w:r>
      <w:r>
        <w:rPr>
          <w:rFonts w:ascii="Calibri" w:hAnsi="Calibri" w:cs="Calibri" w:eastAsia="Calibri"/>
          <w:color w:val="auto"/>
          <w:spacing w:val="0"/>
          <w:position w:val="0"/>
          <w:sz w:val="24"/>
          <w:shd w:fill="FFFF00" w:val="clear"/>
        </w:rPr>
        <w:t xml:space="preserve">α</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Measure the volume of the sample containing 1 &amp;#215; 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particles/well and use the same volume for the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Remove the medium from the 96-well cell culture plates containing cartilage explants. Add 200 &amp;#181;L of the cell culture medium described in step 5.3 to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96-well plates have been in contact with fetal bovine serum (FBS), wash each well three times with 200 &amp;#181;L of PBS to remove any EVs from the 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Stop the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assay at different times: 0, 1, 2, 3, 4, and 5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Wash the cell culture wells containing the cartilage explants twice with 200 &amp;#181;L of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Add 100 &amp;#181;L of 4% paraformaldehyde (PFA) to the tissue to fix it for 3 h at 4 ᵒC.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involving PFA should be performed in a fume hood following the Safety Data Sheet recommendations.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Remove the PFA, add 100 &amp;#181;L of PBS, store the fixed tissue at 4 &amp;#176;C, and process the samples within 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Microscopy preparation and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histological procedure consists of dehydration, paraffin embedding, and rehydration steps. These steps may reduce overall dye fluorescence (a limitation mentioned in the datasheet for PKH26). Therefore, other procedures, such as frozen sectioning, may be more suitable for EV visualization by confocal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Embed the fixed tissues in paraffin blocks. Cut the tissue into 6 &amp;#181;m-thick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Deparaffinize the tissue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using xylene should be performed in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Immerse the tissue sections in xylene for 30 min, 100% ethanol for 2 min, 96% ethanol for 2 min, 75% ethanol for 1 min, and finally in distilled water for 30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Permeabilize the tissue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Prepare a 0.1% Triton-0.1% sodium citrate solution to permeabilize the tissue. Add a 20 &amp;#181;L drop to each tissue section and incubate for 10 min at room temperature. Wash each section twice with 20 &amp;#181;L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On a microscopic slide, add a drop of mounting medium containing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(DAPI) with an aqueous mounting medium for preserving fluorescence. Cover the slide containing 3 tissue sections from step 6.3.1.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Incubate the slides overnight at room temperature, protected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Store at 4 ᵒC, protected from light until confocal microscopy.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overview for EV labeling and uptake monitoring is displayed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particle concentration and EV size detected by NTA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 that the EV concentration decreases during the process due to the purification step performed twice after labeling with the column. However, the amount obtained is in the optimal range of the number of particles to use for treatment. This particle concentration is used to calculate the volume of PKH-PL-EV and control that are used to treat osteoarthritic cartilage explants.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cartilage explants are treated with EVs or the control group, they are fixed for different periods: 0, 1, 2, 3, 4, and 5 h. Each group is then paraffinized, sliced, and prepared for confocal microscopy with a mounting medium containing DAPI. Representative images for each group at each time point are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showing how EVs enter the tissue until they reach the chondrocytes and enter them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labeled EVs are already localized around chondrocytes (shown in blue with DAPI staining) after 1 h of incubation (shown in red with PKH26 dye). Some background due to remnant dye can be observed for the control group, which does not have EVs but is processed following the same protocol as the EV sample. These results confirm the success of the protocol to label EVs, which can be used to monitor their migration through tissue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as shown here, and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overview for EV labeling and uptake monitoring protocol.</w:t>
      </w:r>
      <w:r>
        <w:rPr>
          <w:rFonts w:ascii="Calibri" w:hAnsi="Calibri" w:cs="Calibri" w:eastAsia="Calibri"/>
          <w:color w:val="auto"/>
          <w:spacing w:val="0"/>
          <w:position w:val="0"/>
          <w:sz w:val="24"/>
          <w:shd w:fill="auto" w:val="clear"/>
        </w:rPr>
        <w:t xml:space="preserve"> Abbreviations: PBS = phosphate-buffered saline; EV = extracellular vesicle; RT = room temperature; BSA = bovine serum albumin; NTA = nanoparticle tracking analysis; OA = osteoarthritis; TNF</w:t>
      </w:r>
      <w:r>
        <w:rPr>
          <w:rFonts w:ascii="Calibri" w:hAnsi="Calibri" w:cs="Calibri" w:eastAsia="Calibri"/>
          <w:color w:val="auto"/>
          <w:spacing w:val="0"/>
          <w:position w:val="0"/>
          <w:sz w:val="24"/>
          <w:shd w:fill="auto" w:val="clear"/>
        </w:rPr>
        <w:t xml:space="preserve">α = tumor necrosis factor-alpha; PL = platelet lysate; PFA = paraformaldehyde;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EV uptake at different times.</w:t>
      </w:r>
      <w:r>
        <w:rPr>
          <w:rFonts w:ascii="Calibri" w:hAnsi="Calibri" w:cs="Calibri" w:eastAsia="Calibri"/>
          <w:color w:val="auto"/>
          <w:spacing w:val="0"/>
          <w:position w:val="0"/>
          <w:sz w:val="24"/>
          <w:shd w:fill="auto" w:val="clear"/>
        </w:rPr>
        <w:t xml:space="preserve"> Confocal representative images taken after 0, 1, 2, 3, 4, and 5 h of osteoarthritic cartilage explants incubated with PKH-labeled EVs or with a control group. Images were taken at 400x. Scale bars = 50 &amp;#181;m. Abbreviations: OA = osteoarthritis; PL = platelet lysate; EV = extracellular vesicle.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Characterization by nanoparticle tracking analysis. </w:t>
      </w:r>
      <w:r>
        <w:rPr>
          <w:rFonts w:ascii="Calibri" w:hAnsi="Calibri" w:cs="Calibri" w:eastAsia="Calibri"/>
          <w:color w:val="auto"/>
          <w:spacing w:val="0"/>
          <w:position w:val="0"/>
          <w:sz w:val="24"/>
          <w:shd w:fill="auto" w:val="clear"/>
        </w:rPr>
        <w:t xml:space="preserve">Abbreviations: OA = osteoarthritis; PL = platelet lysate; EV = extracellular vesicle; NTA = nanoparticle tracking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 imaging helps to understand EV properties, such as their release and uptake mechanisms. Their imaging allows the monitoring of their biodistribution and the characterization of their pharmacokinetic properties as drug vehicles. However, EV imaging and tracking may be difficult due to their small sizes, although many imaging devices and labeling techniques have been developed to help researchers monitor EVs under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possibilities exist when tracking EVs by optical microscopy: bioluminescence and fluorescence imaging. Both are used to detect EVs within the visible light spectrum (390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nm). Bioluminescence is a type of chemiluminescence produced after a luciferase catalyzes the oxidation of its substrate. Although this signal requires an ultrasensitive charge-coupled device (CCD) camera for detection, it has a high signal-to-noise ratio as the signal does not require an external light source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imaging uses proteins or organic dyes that emit signals after excitation from an external light source. Compared to bioluminescence, fluorescence is easier to detect by a CCD camera. Moreover, in bioluminescence, substrate toxicity and half-life of the substrate’s bioluminescence should be considered for real-time EV tracking</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fluorescent protein- and organic dye-based labeling have been used with excellent resolution in optical microscopy. Although the fluorescence intensity depends on EV protein expression levels, the efficiency of EV labeling at membrane domains, and the excitation light source, fluorescence dyes provide stable and strong signals for EV imaging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Most organic fluorescent dyes were initially used for cell membrane imaging. These dyes generally combine fluorophores that label the lipid bilayer or proteins of interest on EVs via different functional groups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organic fluorescent dye family is the lipophilic PKH dye family consisting of fluorophores with a lipophilic carbocyanine that anchors into the lipid bilayer for fluorescence imaging</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PKH dyes have been used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as their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half-life ranges from 5 to &gt;100 days. Thus, the persistence of the dye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may lead to misleading results in studies of shorter duration than the half-life of the dye. However, PKH dyes are useful as tracers to show EV migration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PKH26 is a member of this PKH lipophilic fluorophore family, found in the red spectrum with a peak of excitation at 551 nm and emission at 567 nm. This makes it compatible with other detection channels, such as rhodamine, phycoerythrin, or DAPI</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allowing the detection of, in this case, the migration of EVs marked with PKH26 toward chondrocytes marked with DAPI. It is important to note that although PL was used as an EV source here, this protocol can be used with EVs from other sources and for other purposes, for example, to track labeled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distribution of EVs.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some limitations; for instance, there are some concerns that PKH26 increases EV size, which may affect their biodistribution and cellular uptake. However, in such cases where EV size was increased by PKH26, the labeling procedure was different from that described in this protocol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These researchers did not include the washing and purification steps, thus leading to higher levels of free dye, which could cause the larger EV size. Moreover, the present protocol overcomes this problem by performing a parallel EV purification with and without PKH26. This allows the characterization of an unlabeled EV sample, which was processed identically as the labeled one. Thus, a misleading quantification due to confounding nonspecifically labeled particles (lipoprotein or protein sample contaminants) or by the presence of non-EV particles within the labeling mixture can be avoided, as demonstrated previously</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two cycles of purification were performed by size exclusion chromatography using columns. The first one may be substituted by sucrose gradient centrifugation. However, all EV populations were collected in the same eluted aliquot with this column and not subjected to high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forces encountered in high-speed centrifugation. However, avoiding centrifugation may lead to a slower process, especially if column washes are needed between separation cycles. Another limitation of this protocol is the need for sample concentration before starting the labeling process due to the limited volume of the column. This handicap may be overcome by using columns with higher loading capacity.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EV-labeling protocols describe the use of different dyes; however, their use of ultracentrifugation steps may damage EV integrity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protocol described here has allowed the monitoring of EV migration and uptake in cartilage explants easily with a confocal microscope without any particular function. Furthermore, this may be extrapolated to other tissues and lipidic samples or conditions, such as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Instituto de Salud Carlos III, Ministerio de Economía y Competitividad, co-funded by the ESF European Social Fund and the ERDF European Regional Development Fund (MS16/00124; CP16/00124). By the PROGRAMA JUNIOR del proyecto TALENT PLUS, construyendo SALUD, generando VALOR (JUNIOR01/18), financed by the sustainable tourism tax of the Balearic Islands. By the Direcció General d’Investigació, Conselleria d’Investigació, Govern Balear (FPI/2046/2017). And by the FOLIUM postdoctoral program (FOLIUM 17/01) within the FUTURMed, financed at 50% by the sustainable tourism tax of the Balearic Islands and at 50% by the ESF.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Sutton, S. et al. The contribution of the synovium, synovial derived inflammatory cytokines and neuropeptides to the pathogenesis of osteoarthritis.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Zyli</w:t>
      </w:r>
      <w:r>
        <w:rPr>
          <w:rFonts w:ascii="Calibri" w:hAnsi="Calibri" w:cs="Calibri" w:eastAsia="Calibri"/>
          <w:color w:val="auto"/>
          <w:spacing w:val="0"/>
          <w:position w:val="0"/>
          <w:sz w:val="24"/>
          <w:shd w:fill="auto" w:val="clear"/>
        </w:rPr>
        <w:t xml:space="preserve">ńska, B., Silmanowicz, P., Sobczyńska-Rak, A., Jarosz, Ł., Szponder, T. Treatment of articular cartilage defects: Focus on tissue engineering.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1289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Mobasheri, A., Kalamegam, G., Musumeci, G., Batt, M. E. Chondrocyte and mesenchymal stem cell-based therapies for cartilage repair in osteoarthritis and related orthopaedic conditions. </w:t>
      </w:r>
      <w:r>
        <w:rPr>
          <w:rFonts w:ascii="Calibri" w:hAnsi="Calibri" w:cs="Calibri" w:eastAsia="Calibri"/>
          <w:i/>
          <w:color w:val="auto"/>
          <w:spacing w:val="0"/>
          <w:position w:val="0"/>
          <w:sz w:val="24"/>
          <w:shd w:fill="auto" w:val="clear"/>
        </w:rPr>
        <w:t xml:space="preserve">Maturitas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Ringe, J., Burmester, G. R., Sittinger, M. Regenerative medicine in rheumatic disease-progress in tissue engineering. </w:t>
      </w:r>
      <w:r>
        <w:rPr>
          <w:rFonts w:ascii="Calibri" w:hAnsi="Calibri" w:cs="Calibri" w:eastAsia="Calibri"/>
          <w:i/>
          <w:color w:val="auto"/>
          <w:spacing w:val="0"/>
          <w:position w:val="0"/>
          <w:sz w:val="24"/>
          <w:shd w:fill="auto" w:val="clear"/>
        </w:rPr>
        <w:t xml:space="preserve">Nature Reviews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Ringe, J., Burmester, G. R., Sittinger, M. Regenerative medicine in rheumatic disease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progress in tissue engineering. </w:t>
      </w:r>
      <w:r>
        <w:rPr>
          <w:rFonts w:ascii="Calibri" w:hAnsi="Calibri" w:cs="Calibri" w:eastAsia="Calibri"/>
          <w:i/>
          <w:color w:val="auto"/>
          <w:spacing w:val="0"/>
          <w:position w:val="0"/>
          <w:sz w:val="24"/>
          <w:shd w:fill="auto" w:val="clear"/>
        </w:rPr>
        <w:t xml:space="preserve">Nature Reviews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Burke, J. et al.Therapeutic potential of mesenchymal stem cell based therapy for osteoarthritis. </w:t>
      </w:r>
      <w:r>
        <w:rPr>
          <w:rFonts w:ascii="Calibri" w:hAnsi="Calibri" w:cs="Calibri" w:eastAsia="Calibri"/>
          <w:i/>
          <w:color w:val="auto"/>
          <w:spacing w:val="0"/>
          <w:position w:val="0"/>
          <w:sz w:val="24"/>
          <w:shd w:fill="auto" w:val="clear"/>
        </w:rPr>
        <w:t xml:space="preserve">Clinical and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e27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Doeppner, T. R. et al. Extracellular vesicles improve post-stroke neuroregeneration and prevent postischemic immunosuppression.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1131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Bruno, S. et al. Mesenchymal stem cell-derived microvesicles protect against acute tubular injury.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1053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Bruno, S., Camussi, G. Role of mesenchymal stem cell-derived microvesicles in tissue repair. </w:t>
      </w:r>
      <w:r>
        <w:rPr>
          <w:rFonts w:ascii="Calibri" w:hAnsi="Calibri" w:cs="Calibri" w:eastAsia="Calibri"/>
          <w:i/>
          <w:color w:val="auto"/>
          <w:spacing w:val="0"/>
          <w:position w:val="0"/>
          <w:sz w:val="24"/>
          <w:shd w:fill="auto" w:val="clear"/>
        </w:rPr>
        <w:t xml:space="preserve">Pediatric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2249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Théry, C. Exosomes: secreted vesicles and intercellular communications. </w:t>
      </w:r>
      <w:r>
        <w:rPr>
          <w:rFonts w:ascii="Calibri" w:hAnsi="Calibri" w:cs="Calibri" w:eastAsia="Calibri"/>
          <w:i/>
          <w:color w:val="auto"/>
          <w:spacing w:val="0"/>
          <w:position w:val="0"/>
          <w:sz w:val="24"/>
          <w:shd w:fill="auto" w:val="clear"/>
        </w:rPr>
        <w:t xml:space="preserve">F1000 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D’Arrigo, D. et al. Secretome and extracellular vesicles as new biological therapies for knee osteoarthritis: a systematic review.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1867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Ryan, S.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Extracellular vesicles from mesenchymal stromal cells for the treatment of inflammation-related conditions.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El Backly, R. et al. Platelet lysate induces in vitro wound healing of human keratinocytes associated with a strong proinflammatory response.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1787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Yuta, K. et al. Graefe ’ s archive for clinical and experimental ophthalmology outcomes of phacoemulsification in patients with chronic ocular graft-versus-host disease. </w:t>
      </w:r>
      <w:r>
        <w:rPr>
          <w:rFonts w:ascii="Calibri" w:hAnsi="Calibri" w:cs="Calibri" w:eastAsia="Calibri"/>
          <w:i/>
          <w:color w:val="auto"/>
          <w:spacing w:val="0"/>
          <w:position w:val="0"/>
          <w:sz w:val="24"/>
          <w:shd w:fill="auto" w:val="clear"/>
        </w:rPr>
        <w:t xml:space="preserve">Bone Marrow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Del Bue, M. et al. Platelet lysate promotes in vitro proliferation of equine mesenchymal stem cells and tenocytes. </w:t>
      </w:r>
      <w:r>
        <w:rPr>
          <w:rFonts w:ascii="Calibri" w:hAnsi="Calibri" w:cs="Calibri" w:eastAsia="Calibri"/>
          <w:i/>
          <w:color w:val="auto"/>
          <w:spacing w:val="0"/>
          <w:position w:val="0"/>
          <w:sz w:val="24"/>
          <w:shd w:fill="auto" w:val="clear"/>
        </w:rPr>
        <w:t xml:space="preserve">Veterinary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(Suppl. 1),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Klatte-Schulz, F. et al. Comparative analysis of different platelet lysates and platelet rich preparations to stimulate tendon cell biology: an in vitro study.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Headland, S. E. et al. Neutrophil-derived microvesicles enter cartilage and protect the joint in inflammatory arthritis.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(315),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X. et al. Exosomes derived from platelet-rich plasma present a novel potential in alleviating knee osteoarthritis by promoting proliferation and inhibiting apoptosis of chondrocyte via Wnt/</w:t>
      </w:r>
      <w:r>
        <w:rPr>
          <w:rFonts w:ascii="Calibri" w:hAnsi="Calibri" w:cs="Calibri" w:eastAsia="Calibri"/>
          <w:color w:val="auto"/>
          <w:spacing w:val="0"/>
          <w:position w:val="0"/>
          <w:sz w:val="24"/>
          <w:shd w:fill="auto" w:val="clear"/>
        </w:rPr>
        <w:t xml:space="preserve">β-catenin signaling pathway. </w:t>
      </w:r>
      <w:r>
        <w:rPr>
          <w:rFonts w:ascii="Calibri" w:hAnsi="Calibri" w:cs="Calibri" w:eastAsia="Calibri"/>
          <w:i/>
          <w:color w:val="auto"/>
          <w:spacing w:val="0"/>
          <w:position w:val="0"/>
          <w:sz w:val="24"/>
          <w:shd w:fill="auto" w:val="clear"/>
        </w:rPr>
        <w:t xml:space="preserve">Journal of Orthopaedic Surgery and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470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Otahal, A. et al. Characterization and chondroprotective effects of extracellular vesicles from plasma- and serum-based autologous blood-derived products for osteoarthritis therapy.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584050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Penfornis, P., Vallabhaneni, K. C., Whitt, J., Pochampally, R. Extracellular vesicles as carriers of microRNA, proteins and lipids in tumor microenvironment.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Ortega, F. G. et al. Interfering with endolysosomal trafficking enhances release of bioactive exosomes.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102014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 Miguel Pérez, D. et al. Extracellular vesicle-miRNAs as liquid biopsy biomarkers for disease identification and prognosis in metastatic colorectal cancer patients.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Morelli, A. E. et al. Endocytosis, intracellular sorting, and processing of exosomes by dendritic cells.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(10), 3257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Feng, D. et al. Cellular internalization of exosomes occurs through phagocytosis.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675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Chuo, S. T. Y., Chien, J. C. Y., Lai, C. P. K. Imaging extracellular vesicles: Current and emerging methods. </w:t>
      </w:r>
      <w:r>
        <w:rPr>
          <w:rFonts w:ascii="Calibri" w:hAnsi="Calibri" w:cs="Calibri" w:eastAsia="Calibri"/>
          <w:i/>
          <w:color w:val="auto"/>
          <w:spacing w:val="0"/>
          <w:position w:val="0"/>
          <w:sz w:val="24"/>
          <w:shd w:fill="auto" w:val="clear"/>
        </w:rPr>
        <w:t xml:space="preserve">Journal of Biomedical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Rice, B. W., Cable, M. D., Nelson, M. B. In vivo imaging of light-emitting probes.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432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Lai, C. P. et al. Visualization and tracking of tumour extracellular vesicle delivery and RNA translation using multiplexed reporters.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7029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Takahashi, Y. et al. Visualization and in vivo tracking of the exosomes of murine melanoma B16-BL6 cells in mice after intravenous injection.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Askenasy, N., Farkas, D. L. Optical imaging of PKH-labeled hematopoietic cells in recipient bone marrow in vivo.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Tamura, R., Uemoto, S., Tabata, Y. Immunosuppressive effect of mesenchymal stem cell-derived exosomes on a concanavalin A-induced liver injury model. </w:t>
      </w:r>
      <w:r>
        <w:rPr>
          <w:rFonts w:ascii="Calibri" w:hAnsi="Calibri" w:cs="Calibri" w:eastAsia="Calibri"/>
          <w:i/>
          <w:color w:val="auto"/>
          <w:spacing w:val="0"/>
          <w:position w:val="0"/>
          <w:sz w:val="24"/>
          <w:shd w:fill="auto" w:val="clear"/>
        </w:rPr>
        <w:t xml:space="preserve">Inflammation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Deddens, J. C. et al. Circulating extracellular vesicles contain miRNAs and are released as early biomarkers for cardiac injury.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Skardelly, M. et al. Long-term benefit of human fetal neuronal progenitor cell transplantation in a clinically adapted model after traumatic brain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Sigma-Aldrich. Protocol guide: Exosome labeling using PKH lipophilic membrane dyes.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https://www.sigmaaldrich.com/technical-documents/protocols/biology/cell-culture/exosome-labeling-pkh.html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Dehghani, M., Gulvin, S. M., Flax, J., Gaborski, T. R. Systematic evaluation of PKH labelling on extracellular vesicle size by nanoparticle tracking analysis.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Morales-Kastresana, A. et al. Labeling extracellular vesicles for nanoscale flow cytometry.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Takov, K., Yellon, D. M., Davidson, S. M. Confounding factors in vesicle uptake studies using fluorescent lipophilic membrane dyes.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1388731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Mortati, L. et al. In vitro study of extracellular vesicles migration in cartilage-derived osteoarthritis samples using real-time quantitative multimodal nonlinear optics imaging.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igmaaldrich.com/technical-documents/protocols/biology/cell-culture/exosome-labeling-pkh.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