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Mouse Model of Total Intravenous Anesthesia during Cancer Resection Surgery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A Dubowitz</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Fabian Jost-Brinkmann</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Alexandra I. Ziegler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Ryan Gillis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Bernhard Riedel</w:t>
      </w:r>
      <w:r>
        <w:rPr>
          <w:rFonts w:ascii="Calibri" w:hAnsi="Calibri" w:cs="Calibri" w:eastAsia="Calibri"/>
          <w:color w:val="auto"/>
          <w:spacing w:val="0"/>
          <w:position w:val="0"/>
          <w:sz w:val="24"/>
          <w:shd w:fill="auto" w:val="clear"/>
          <w:vertAlign w:val="superscript"/>
        </w:rPr>
        <w:t xml:space="preserve">1,2,3,6</w:t>
      </w:r>
      <w:r>
        <w:rPr>
          <w:rFonts w:ascii="Calibri" w:hAnsi="Calibri" w:cs="Calibri" w:eastAsia="Calibri"/>
          <w:color w:val="auto"/>
          <w:spacing w:val="0"/>
          <w:position w:val="0"/>
          <w:sz w:val="24"/>
          <w:shd w:fill="auto" w:val="clear"/>
        </w:rPr>
        <w:t xml:space="preserve">, Erica K. Sloan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Drug Discovery Biology Theme, Monash Institute of Pharmaceutical Sciences, Monash University, Melbourne VIC 3052,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Department of Anaesthesia, Division of Cancer Surgery</w:t>
      </w:r>
      <w:r>
        <w:rPr>
          <w:rFonts w:ascii="Calibri" w:hAnsi="Calibri" w:cs="Calibri" w:eastAsia="Calibri"/>
          <w:color w:val="auto"/>
          <w:spacing w:val="0"/>
          <w:position w:val="0"/>
          <w:sz w:val="24"/>
          <w:shd w:fill="auto" w:val="clear"/>
        </w:rPr>
        <w:t xml:space="preserve">, Peter MacCallum Cancer Centre, Melbourne VIC 3000,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Critical Care, Melbourne Medical School, University of Melbourne, Melbourne VIC 3000,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Medical Department, Division of Hepatology and Gastroenterology, Charité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Universit&amp;#228;tsmedizin Berlin,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Freie Universit&amp;#228;t Berlin, Humboldt-Universit&amp;#228;t zu Berlin, and Berlin Institute of Health, Berlin,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Sir Peter MacCallum Department of Oncology, University of Melbourne, Melbourne VIC 3000, Australia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A Dubowitz</w:t>
        <w:tab/>
        <w:tab/>
        <w:t xml:space="preserve">(Julia.dubowitz@petermac.org</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 Jost-Brinkmann</w:t>
        <w:tab/>
        <w:t xml:space="preserve">(fabian.jost-brinkmann@charite.de)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I. Ziegler</w:t>
        <w:tab/>
        <w:tab/>
        <w:t xml:space="preserve">(alexandra.ziegler@monash.edu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Gillis</w:t>
        <w:tab/>
        <w:tab/>
        <w:tab/>
        <w:t xml:space="preserve">(ryan.gillis@monash.edu)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Bernhard Riedel</w:t>
        <w:tab/>
        <w:tab/>
        <w:t xml:space="preserve">(bernhard.riedel@petermac.org)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K. Sloan</w:t>
        <w:tab/>
        <w:tab/>
        <w:tab/>
        <w:t xml:space="preserve">(erica.sloan@monash.edu)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K. Sloan</w:t>
        <w:tab/>
        <w:tab/>
        <w:tab/>
        <w:t xml:space="preserve">(erica.sloan@monash.edu)</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for modeling total intravenous anesthesia (TIVA) during cancer resection surgery in mice. The goal is to replicate key features of anesthesia delivery to patients with cancer. The method allows investigation of how anesthetic technique affects cancer recurrence after resection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Anesthesia is a routine component of cancer care used for diagnostic and therapeutic procedures. The anesthetic technique has recently been implicated in impacting long-term cancer outcomes, possibly through modulation of adrenergic-inflammatory responses that impact cancer cell behavior and immune cell function. Emerging evidence suggests that propofol-based total intravenous anesthesia (TIVA) may be beneficial for long-term cancer outcomes when compared to inhaled volatile anesthesia. However, the available clinical findings are inconsistent. Preclinical evidence that provides insight into the underlying mechanisms involved is critically needed to guide the design of clinical studies that will expedite insight. Most preclinical models of anesthesia have been extrapolated from the use of anesthesia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research and are not optimally designed to study the impact of anesthesia itself as the primary endpoint. This paper describes a method for delivering propofol-TIVA anesthesia in a mouse model of breast cancer resection that replicates key aspects of clinical delivery in cancer patients. The model can be used to study mechanisms of action of anesthesia on cancer outcomes in diverse cancer types and can be extrapolated to other non-cancer areas of preclinical anesthesia research.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More than 60% of patients with cancer receive anesthesia for surgical resection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Currently, there are no specific clinical guidelines that determine the choice of anesthesia used in cancer patients. Surveys of anesthesiologists indicate a preference for volatile-based anesthesia, including during cancer surgery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there is a growing body of evidence that the use of propofol-based total intravenous anesthesia (TIVA) during cancer surgery may associate with improved postoperative outcomes (disease-free survival, overall survival) when compared to volatile anesthesia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Subsequent clinical studies continue to report contradicting results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findings support the need for preclinical studies to better understand the mechanistic effects of different anesthetic agents on cancer-related outcomes.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that model cancer surgery, anesthesia is frequently an incidental part of the procedure. Anesthesia is often not considered in the experimental design, and its impact on cancer-related endpoints may not be evaluated. For example,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that require maintenance of anesthesia for cancer surgery most commonly use inhaled volatile anesthesia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Where propofol has been used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it has been delivered by single bolus dosing with intraperitoneal delivery, which does not replicate clinical onco-anesthetic protocols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approach of propofol administration induces light anesthesia that is suitable for rapid procedures. However, it does not allow maintenance of anesthesia that is required for cancer resection surgery which may be protracted. Furthermore, the absorption kinetics of intraperitoneal delivery is distinct to clinical methods of administration.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propofol-based TIVA for cancer resection surgery was developed to address this need. A protocol for sustained maintenance of anesthesia with titration of the anesthetic agent to allow response to the surgical stimulus was developed to replicate key aspects of anesthetic delivery to patients having cancer surgery. The resulting protocol is used with a mouse model of cancer to provide TIVA during cancer resection surgery. The effect on short-term and long-term cancer-related outcomes is evaluated.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undertaken under the approval of the Institutional Animal Care and Use Committee at Monash University. In this study, female Balb/c mice aged 6-8 weeks were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w:t>
        <w:tab/>
      </w:r>
      <w:r>
        <w:rPr>
          <w:rFonts w:ascii="Times New Roman" w:hAnsi="Times New Roman" w:cs="Times New Roman" w:eastAsia="Times New Roman"/>
          <w:b/>
          <w:color w:val="auto"/>
          <w:spacing w:val="0"/>
          <w:position w:val="0"/>
          <w:sz w:val="24"/>
          <w:shd w:fill="FFFF00" w:val="clear"/>
        </w:rPr>
        <w:t xml:space="preserve">Prepare cancer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Culture tumor cells in medium. Culture 66cl4 murine mammary cancer cells in alpha-MEM containing 10% FBS and 200 mM glutamine. Use cells that are stably transduced to express firefly luciferase for bioluminescence imaging to enable cancer recurrence monitoring after resection surgery</w:t>
      </w:r>
      <w:r>
        <w:rPr>
          <w:rFonts w:ascii="Times New Roman" w:hAnsi="Times New Roman" w:cs="Times New Roman" w:eastAsia="Times New Roman"/>
          <w:color w:val="auto"/>
          <w:spacing w:val="0"/>
          <w:position w:val="0"/>
          <w:sz w:val="24"/>
          <w:shd w:fill="FFFF00" w:val="clear"/>
          <w:vertAlign w:val="superscript"/>
        </w:rPr>
        <w:t xml:space="preserve">11</w:t>
      </w:r>
      <w:r>
        <w:rPr>
          <w:rFonts w:ascii="Times New Roman" w:hAnsi="Times New Roman" w:cs="Times New Roman" w:eastAsia="Times New Roman"/>
          <w:color w:val="auto"/>
          <w:spacing w:val="0"/>
          <w:position w:val="0"/>
          <w:sz w:val="24"/>
          <w:shd w:fill="FFFF00" w:val="clear"/>
        </w:rPr>
        <w:t xml:space="preserve"> (see step 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cell line and the medium mentioned above were used in this study.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Times New Roman" w:hAnsi="Times New Roman" w:cs="Times New Roman" w:eastAsia="Times New Roman"/>
          <w:color w:val="auto"/>
          <w:spacing w:val="0"/>
          <w:position w:val="0"/>
          <w:sz w:val="24"/>
          <w:shd w:fill="FFFF00" w:val="clear"/>
        </w:rPr>
        <w:t xml:space="preserve">Grow cells at 37 &amp;#176;C with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Passage cells at &lt;80% confluency. Use low-passage cells in the logarithmic growth phase for optimal </w:t>
      </w:r>
      <w:r>
        <w:rPr>
          <w:rFonts w:ascii="Times New Roman" w:hAnsi="Times New Roman" w:cs="Times New Roman" w:eastAsia="Times New Roman"/>
          <w:i/>
          <w:color w:val="auto"/>
          <w:spacing w:val="0"/>
          <w:position w:val="0"/>
          <w:sz w:val="24"/>
          <w:shd w:fill="FFFF00" w:val="clear"/>
        </w:rPr>
        <w:t xml:space="preserve">in vivo</w:t>
      </w:r>
      <w:r>
        <w:rPr>
          <w:rFonts w:ascii="Times New Roman" w:hAnsi="Times New Roman" w:cs="Times New Roman" w:eastAsia="Times New Roman"/>
          <w:color w:val="auto"/>
          <w:spacing w:val="0"/>
          <w:position w:val="0"/>
          <w:sz w:val="24"/>
          <w:shd w:fill="FFFF00" w:val="clear"/>
        </w:rPr>
        <w:t xml:space="preserve"> results.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Times New Roman" w:hAnsi="Times New Roman" w:cs="Times New Roman" w:eastAsia="Times New Roman"/>
          <w:color w:val="auto"/>
          <w:spacing w:val="0"/>
          <w:position w:val="0"/>
          <w:sz w:val="24"/>
          <w:shd w:fill="FFFF00" w:val="clear"/>
        </w:rPr>
        <w:t xml:space="preserve">Lift the adherent cells with 0.5 mg/mL of trypsin in PBS with 10 mM EDTA; 2 mL for a T75 flask. Count the cells using a hemocytometer. Dilute the cells in PBS for injection. For 66cl4 mammary cancer cells, inject 1 x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cells in 20 &amp;#956;L of PBS per mouse.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Times New Roman" w:hAnsi="Times New Roman" w:cs="Times New Roman" w:eastAsia="Times New Roman"/>
          <w:color w:val="auto"/>
          <w:spacing w:val="0"/>
          <w:position w:val="0"/>
          <w:sz w:val="24"/>
          <w:shd w:fill="FFFF00" w:val="clear"/>
        </w:rPr>
        <w:t xml:space="preserve">Place the cells on ice prior to the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Times New Roman" w:hAnsi="Times New Roman" w:cs="Times New Roman" w:eastAsia="Times New Roman"/>
          <w:b/>
          <w:color w:val="auto"/>
          <w:spacing w:val="0"/>
          <w:position w:val="0"/>
          <w:sz w:val="24"/>
          <w:shd w:fill="FFFF00" w:val="clear"/>
        </w:rPr>
        <w:t xml:space="preserve">Generate a mouse model of breast cancer</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Use 4% isoflurane to anesthetize the mouse in an induction chamber. Then, maintain anesthesia with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isoflurane using a nose cone. Confirm proper anesthetization by lack of response to toe pinch.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Times New Roman" w:hAnsi="Times New Roman" w:cs="Times New Roman" w:eastAsia="Times New Roman"/>
          <w:color w:val="auto"/>
          <w:spacing w:val="0"/>
          <w:position w:val="0"/>
          <w:sz w:val="24"/>
          <w:shd w:fill="FFFF00" w:val="clear"/>
        </w:rPr>
        <w:t xml:space="preserve">Prepare the injection site by wiping the fourth left mammary fat pad area using a single-use alcohol swab.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Times New Roman" w:hAnsi="Times New Roman" w:cs="Times New Roman" w:eastAsia="Times New Roman"/>
          <w:color w:val="auto"/>
          <w:spacing w:val="0"/>
          <w:position w:val="0"/>
          <w:sz w:val="24"/>
          <w:shd w:fill="FFFF00" w:val="clear"/>
        </w:rPr>
        <w:t xml:space="preserve">Draw up tumor cells (see step 1.4) into a 25 &amp;#956;L Hamilton syringe attached to a sterile 27 G hypodermic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Times New Roman" w:hAnsi="Times New Roman" w:cs="Times New Roman" w:eastAsia="Times New Roman"/>
          <w:color w:val="auto"/>
          <w:spacing w:val="0"/>
          <w:position w:val="0"/>
          <w:sz w:val="24"/>
          <w:shd w:fill="FFFF00" w:val="clear"/>
        </w:rPr>
        <w:t xml:space="preserve">Inject the cells into the fourth left mammary fat pad. Use forceps to secure and lift the skin. Inject approximately 1 mm from the nipple.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OPTIONAL: If cells are tagged with luciferase, confirm successful injection of tumor cells by bioluminescence imaging. Inject 100 &amp;#956;L of 150 mg/kg D-luciferin into the lateral tail vein of the anesthetized mice using a 0.5 mL insulin syringe with a 30 G hypodermic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Times New Roman" w:hAnsi="Times New Roman" w:cs="Times New Roman" w:eastAsia="Times New Roman"/>
          <w:color w:val="auto"/>
          <w:spacing w:val="0"/>
          <w:position w:val="0"/>
          <w:sz w:val="24"/>
          <w:shd w:fill="FFFF00" w:val="clear"/>
        </w:rPr>
        <w:t xml:space="preserve">OPTIONAL: Place the mouse in a bioluminescence imaging system with the mammary fat pad facing up. Wait for 2 min from the luciferin injection for optimal tissue uptake of luciferin, then image for 10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Place the mouse in a clean cage and allow it to recover from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Times New Roman" w:hAnsi="Times New Roman" w:cs="Times New Roman" w:eastAsia="Times New Roman"/>
          <w:color w:val="auto"/>
          <w:spacing w:val="0"/>
          <w:position w:val="0"/>
          <w:sz w:val="24"/>
          <w:shd w:fill="auto" w:val="clear"/>
        </w:rPr>
        <w:t xml:space="preserve">Continue to monitor animal welfare as per the institutional animal ethics guidelines.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r>
      <w:r>
        <w:rPr>
          <w:rFonts w:ascii="Times New Roman" w:hAnsi="Times New Roman" w:cs="Times New Roman" w:eastAsia="Times New Roman"/>
          <w:b/>
          <w:color w:val="auto"/>
          <w:spacing w:val="0"/>
          <w:position w:val="0"/>
          <w:sz w:val="24"/>
          <w:shd w:fill="FFFF00" w:val="clear"/>
        </w:rPr>
        <w:t xml:space="preserve">Induce stable anesthesia with intravenous delivery of propofol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Monitor growth of the primary tumor using caliper measurement and calculate the tumor volume using the equation: Volume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 (length x (width)</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Perform tumor resection surgery on mice when the primary tumor reaches the required volume (here,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Set up an automated syringe pump with a 30 G 1 mL insulin syringe containing propofol formulation (2% Lipuro propofol)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Induce anesthesia of the mouse in an induction chamber with 3% sevoflurane or isoflurane.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Here, sevoflurane was used as this is the predominant volatile used clinically.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Transfer the mouse to a 37 </w:t>
      </w:r>
      <w:r>
        <w:rPr>
          <w:rFonts w:ascii="Times New Roman" w:hAnsi="Times New Roman" w:cs="Times New Roman" w:eastAsia="Times New Roman"/>
          <w:color w:val="auto"/>
          <w:spacing w:val="0"/>
          <w:position w:val="0"/>
          <w:sz w:val="24"/>
          <w:shd w:fill="FFFF00" w:val="clear"/>
        </w:rPr>
        <w:t xml:space="preserve">&amp;#176;</w:t>
      </w:r>
      <w:r>
        <w:rPr>
          <w:rFonts w:ascii="Calibri" w:hAnsi="Calibri" w:cs="Calibri" w:eastAsia="Calibri"/>
          <w:color w:val="auto"/>
          <w:spacing w:val="0"/>
          <w:position w:val="0"/>
          <w:sz w:val="24"/>
          <w:shd w:fill="FFFF00" w:val="clear"/>
        </w:rPr>
        <w:t xml:space="preserve">C heating pad for the duration of the surgery. Briefly maintain anesthesia with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sevoflurane using a nose cone.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To deliver propofol-based TIVA, cannulate the lateral tail vein using a sterile 30 G hypodermic needle attached to a sterile polyurethane catheter. Confirm correct placement by blood flashback into the catheter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Adjust the delivery of sevoflurane as required during intravenous cannulation to maintain a stable depth of anesthesia demonstrated by loss of corneal and pedal reflex, and respiratory rate &lt; 100 breaths per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Commence propofol-TIVA by administering 2% propofol as an initial bolus of 27 mg/kg for over 1 min. Cease sevoflurane administration.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w:t>
        <w:tab/>
        <w:t xml:space="preserve">Continue the infusion of propofol at a maintenance rate of 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mg/kg/min to maintain a stable depth of anesthesia for the duration of the surgery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tab/>
        <w:t xml:space="preserve">Resect the primary tumor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Apply aqueous lubricant to the eyes to prevent drying. To prepare for surgery, shave the abdomen and prepare the skin for surgery with an iodine-povidone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Inject 0.05 mg/kg of buprenorphine subcutaneously for analgesia.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Make a 1 cm incision inferior to the tumor in the region of the left fourth mammary fat pad. Carefully resect the tumor and the left inguinal lymph node using dissection with blunt forceps.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OPTIONAL: If using luciferase-tagged tumor cells, use bioluminescence imaging to confirm clear surgical margins. Inject 150 mg/kg D-luciferin into the lateral tail vein, wait for 2 min, and then image for 60 s using a bioluminescence imaging system. If a residual tumor is identified, resect additional tissue from the mammary fat pad and re-image to achieve clear margins.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Times New Roman" w:hAnsi="Times New Roman" w:cs="Times New Roman" w:eastAsia="Times New Roman"/>
          <w:color w:val="auto"/>
          <w:spacing w:val="0"/>
          <w:position w:val="0"/>
          <w:sz w:val="24"/>
          <w:shd w:fill="FFFF00" w:val="clear"/>
        </w:rPr>
        <w:t xml:space="preserve">Ensure hemostasis at the surgical site and close the skin using 5-0 nylon sutures.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Wipe the wound with povidone or iodine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At the conclusion of resection surgery, cease anesthesia. Place the mouse in a clean cage on a 37 &amp;#176;C heating pad and allow it to recover from anesthesia.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Monitor every 15 min after anesthesia until the mouse has returned to normal alertness. Then, monitor the mouse every 12 h for 48 h after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Administer 0.05 mg/kg of buprenorphine subcutaneously every 12 h for 48 h after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After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remove sutures using sterile curved stitch cutters under brief sevoflurane or isoflurane anesthesia.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Track cancer recurrence with </w:t>
      </w:r>
      <w:r>
        <w:rPr>
          <w:rFonts w:ascii="Calibri" w:hAnsi="Calibri" w:cs="Calibri" w:eastAsia="Calibri"/>
          <w:b/>
          <w:i/>
          <w:color w:val="auto"/>
          <w:spacing w:val="0"/>
          <w:position w:val="0"/>
          <w:sz w:val="24"/>
          <w:shd w:fill="FFFF00" w:val="clear"/>
        </w:rPr>
        <w:t xml:space="preserve">in vivo</w:t>
      </w:r>
      <w:r>
        <w:rPr>
          <w:rFonts w:ascii="Calibri" w:hAnsi="Calibri" w:cs="Calibri" w:eastAsia="Calibri"/>
          <w:b/>
          <w:color w:val="auto"/>
          <w:spacing w:val="0"/>
          <w:position w:val="0"/>
          <w:sz w:val="24"/>
          <w:shd w:fill="FFFF00" w:val="clear"/>
        </w:rPr>
        <w:t xml:space="preserve">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w:t>
        <w:tab/>
        <w:t xml:space="preserve">Use bioluminescence imaging to track cancer recurrence after resection surgery non-invasively. Use a bioluminescence imaging system to monitor the mice once per week for evidence of primary tumor recurrence or distant recurrence, commencing the week following surgery.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Induce anesthesia of the mouse in an induction chamber with 4% isoflurane. Then, transfer the mouse to a 37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heating pad for the duration of anesthesia and maintain anesthesia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isoflurane using a nose cone.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Apply aqueous lubricant to the eyes to prevent drying.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Inject D-luciferin 150 mg/kg into the lateral tail vein. Wait for 2 min, then measure bioluminescence over a 60 s exposure to detect recurrence of the primary tumor or distant metastasis.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If the primary tumor recurs and becomes palpable, commence monitoring of tumor growth using caliper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At the end of the experiment, humanely kill the mice according to the approved protocol. Here,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used, followed by cervical dislocation.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describes a model of total intravenous anesthesia (TIVA) with propofol during cancer resection surgery in mice. Propofol is delivered in this mouse model through an intravenous catheter using a syringe pump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to replicate delivery of TIVA in the clinical setting of anesthesia for cancer surgery. Use of the syringe pump minimizes exposure to volatile anesthesia by allowing rapid conversion from initial induction by inhalational anesthesia to intravenous delivery.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stable anesthesia was achieved by propofol-based TIVA, the primary mammary tumor was resected.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was used to confirm complete resection of the primary tumor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Regular monitoring of mice by non-invasive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bioluminescence imaging identified distant recurrence by luciferase-tagged tumor cells in the lung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method is also suitable to track local recurrence in the mammary fat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tracking long-term events such as recurrence, the model may be used to assess events that occur during the perioperative period. These early events may provide mechanistic insight into the effects of anesthesia and other surgical factors on cancer-related outcomes. After 24 h of the cancer surgery under propofol, a multiplex enzyme-linked immunosorbent assay was used to quantify circulating plasma cytokines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Cytokines were evaluated in 7 mice; the appropriate group size will be influenced by the effect size of the endpoint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set-up for propofol-based TIVA.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syringe pump is used to ensure the controlled delivery of propofol from a 1 mL insulin syringe.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Propofol is delivered into the lateral tail vein by intravenous catheter, connected to a syringe pump, via a 30 G needle. The asterisk shows the needle insertion point.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illustrating the plasma concentration of propofol achieved by sequential administration of a bolus followed by a constant infusion using the syringe pump, compared to delivery by bolus or infusion only.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Cancer progression after surgical resection of the primary mammary tumor under propofol-based TIVA. </w:t>
      </w:r>
      <w:r>
        <w:rPr>
          <w:rFonts w:ascii="Calibri" w:hAnsi="Calibri" w:cs="Calibri" w:eastAsia="Calibri"/>
          <w:color w:val="auto"/>
          <w:spacing w:val="0"/>
          <w:position w:val="0"/>
          <w:sz w:val="24"/>
          <w:shd w:fill="auto" w:val="clear"/>
        </w:rPr>
        <w:t xml:space="preserve">Non-invasive bioluminescence imaging of luciferase-tagged tumor cells was used to track initial growth of the primary tumor growth, successful surgical resection, and subsequent distant recurrence to the lung.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Circulating cytokine levels measured after cancer resection under propofol-based TIVA. </w:t>
      </w:r>
      <w:r>
        <w:rPr>
          <w:rFonts w:ascii="Calibri" w:hAnsi="Calibri" w:cs="Calibri" w:eastAsia="Calibri"/>
          <w:color w:val="auto"/>
          <w:spacing w:val="0"/>
          <w:position w:val="0"/>
          <w:sz w:val="24"/>
          <w:shd w:fill="auto" w:val="clear"/>
        </w:rPr>
        <w:t xml:space="preserve">Multiplex enzyme-linked immunosorbent assay was used to quantify plasma cytokines 24 h after surgery. Each data point represents data from one mouse. Lines show mean and standard error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reports on a protocol for administering total intravenous anesthesia (TIVA) with propofol in a mouse model of breast cancer that replicates key aspects of clinical practice for TIVA in patients requiring cancer surgery. The protocol allows investigation of both short-term and long-term clinically relevant outcomes after cancer surgery in a mouse model of cancer progression, including measurement of cytokine levels and cancer recurrence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methodology will be useful for the evaluation of the effects of TIVA on cancer-related outcomes and its comparison with other anesthetic techniques such as volatile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existing protocols that deliver a single intraperitoneal bolus of propofol for sedation during minor interventions such as blood sampling delivery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allows prolonged intravenous delivery of propofol for maintenance of anesthesia during major interventions such as surgery. Both the induction and maintenance dose of propofol was carefully titrated to optimize anesthetic depth suitable for major surgical interventions while minimizing mortality from hypotension or cardiac arrest. It was found that hypotension could be avoided by using a strict induction dose of 27 mg/kg administered over 60 s, with concurrent down-titration and cessation of inhaled sevoflurane. Maintenance was achieved using an infusion of propofol at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mg/kg/min. During major surgical interventions, such as cancer resection, titration within this range was important to respond to and obtund the magnitude of surgical stimulation. This replicates clinical practice and prevents over-dosing anesthesia, which can result in hypotension or death, and under-dosing, which can result in emergence from anesthesia, movement, or surgical stress.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model is the brief use of volatile anesthesia to induce anesthesia prior to canulation initially. This approach was chosen because of the ease of cannulation after induction of anesthesia, allowing the rapid delivery of a therapeutic dose of propofol to continue anesthesia. In addition, mice were briefly anesthetized with volatile anesthesia for tumor cell inoculation, to remove suture, and for imaging. Sevoflurane was used for volatile anesthesia during resection surgery as it is often used in clinical practice. However, isoflurane is also used in clinical practice. Future studies may use a single agent for all episodes of inhalation anesthesia. With experience, less than 2 min elapsed from loss of righting reflex in response to volatile anesthesia exposure to commencement of propofol dosing. Nonetheless, for analyses that intend to compare propofol-based TIVA with inhalational volatile anesthesia techniques, interpretation may be confounded by even the brief use of volatile anesthesia.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to volatile anesthesia induction is to cannulate the lateral tail vein of an awake mouse. While not suitable for all situations, this may provide an alternative to inhalation anesthesia for tumor resection surgery. However, movement of the awake mouse may result in the cannula being dislodged, leading to failure of anesthesia induction. In addition, movement of the needle can result in extravasation of propofol from the vein, which puts the tail at risk of tissue necrosis. This has welfare implications for the mouse, and any associated adrenergic activation as a result of physiological stress may impact the validity of the observed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potential limitation is the use of buprenorphrine as a postoperative analgesic. Opioids may modulate postoperative inflammatory and immune responses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Buprenorphine was chosen for analgesia as its effects on the immune response are less than for other opiates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Nonetheless, future studies might consider the use of non-opioid analgesic agents.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advances in oncological therapy, local and distant cancer recurrence can occur after surgery and remains a dominant cause of mortality in cancer patients. Many patients will be exposed to anesthesia, often multiple times, during diagnostic and therapeutic operative procedures. A growing body of evidence from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models implicates anesthetic agents in modulating the perioperative response to surgery and impacting diverse aspects of tumor cell biology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better understand the impact of anesthetic agents on cancer progression, the model of intravenous propofol anesthesia developed here will be important in future mechanistic preclinical research. This model may be used to interrogate the mechanisms underlying the effects of anesthetic agents on immunomodulation, perioperative inflammatory response, and tumor cell growth and invasion. Furthermore, this model could be extrapolated for use in non-cancer surgery research where anesthetic agents may have effects on other systems, such as cardiac surgery, trauma research, or critical illness (e.g., sepsis) as propofol is a common sedation used in intensive care units.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members of the Cancer Neural-Immune Laboratory and Dr. Cameron Nowell at Monash Institute of Pharmaceutical Sciences, Monash University, Parkville. This work was supported by grants from </w:t>
      </w:r>
      <w:r>
        <w:rPr>
          <w:rFonts w:ascii="Calibri" w:hAnsi="Calibri" w:cs="Calibri" w:eastAsia="Calibri"/>
          <w:color w:val="auto"/>
          <w:spacing w:val="0"/>
          <w:position w:val="0"/>
          <w:sz w:val="24"/>
          <w:shd w:fill="FFFFFF" w:val="clear"/>
        </w:rPr>
        <w:t xml:space="preserve">National Health and Medical Research Council 1147498, the National Breast Cancer Foundation IIRS-20-025</w:t>
      </w:r>
      <w:r>
        <w:rPr>
          <w:rFonts w:ascii="Calibri" w:hAnsi="Calibri" w:cs="Calibri" w:eastAsia="Calibri"/>
          <w:color w:val="auto"/>
          <w:spacing w:val="0"/>
          <w:position w:val="0"/>
          <w:sz w:val="24"/>
          <w:shd w:fill="auto" w:val="clear"/>
        </w:rPr>
        <w:t xml:space="preserve">, the Australian and New Zealand College of Anaesthetists (ANZCA), Perpetual and CTC for Cancer Therapeutics.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Sullivan,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cancer surgery: delivering safe, affordable, and timely cancer surgery. </w:t>
      </w:r>
      <w:r>
        <w:rPr>
          <w:rFonts w:ascii="Calibri" w:hAnsi="Calibri" w:cs="Calibri" w:eastAsia="Calibri"/>
          <w:i/>
          <w:color w:val="auto"/>
          <w:spacing w:val="0"/>
          <w:position w:val="0"/>
          <w:sz w:val="24"/>
          <w:shd w:fill="auto" w:val="clear"/>
        </w:rPr>
        <w:t xml:space="preserve">Lancet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1193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Lim, J.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 of propofol and sevoflurane on cancer cell, natural killer cell, and cytotoxic T lymphocyte function in patients undergoing breast cancer surgery: an in vitro analysis.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159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Pandit,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5th National Audit Project (NAP5) on accidental awareness during general anesthesia: protocol, methods, and analysis of data.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Yap, A., Lopez-Olivo, M. A., Dubowitz, J., Hiller, J., Riedel, B. Anesthetic technique and cancer outcomes: a meta-analysis of total intravenous versus volatile anesthesia. </w:t>
      </w:r>
      <w:r>
        <w:rPr>
          <w:rFonts w:ascii="Calibri" w:hAnsi="Calibri" w:cs="Calibri" w:eastAsia="Calibri"/>
          <w:i/>
          <w:color w:val="auto"/>
          <w:spacing w:val="0"/>
          <w:position w:val="0"/>
          <w:sz w:val="24"/>
          <w:shd w:fill="auto" w:val="clear"/>
        </w:rPr>
        <w:t xml:space="preserve">Canadian Journal of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 546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Makito, K., Matsui, H., Fushimi, K., Yasunaga, H. Volatile versus total intravenous anesthesia for cancer prognosis in patients having digestive cancer surgery.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Oh, T. K., Kim, H. H., Jeon, Y. T. Retrospective analysis of 1-year mortality after gastric cancer surgery: Total intravenous anesthesia versus volatile anesthesia. </w:t>
      </w:r>
      <w:r>
        <w:rPr>
          <w:rFonts w:ascii="Calibri" w:hAnsi="Calibri" w:cs="Calibri" w:eastAsia="Calibri"/>
          <w:i/>
          <w:color w:val="auto"/>
          <w:spacing w:val="0"/>
          <w:position w:val="0"/>
          <w:sz w:val="24"/>
          <w:shd w:fill="auto" w:val="clear"/>
        </w:rPr>
        <w:t xml:space="preserve">Acta Anaesthesiologica Scandinavica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 1169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Lai,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Propofol-based total intravenous anesthesia is associated with better survival than desflurane anesthesia in hepatectomy for hepatocellular carcinoma: a retrospective cohort study.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Anesthetics and long-term survival after cancer surgery-total intravenous versus volatile anesthesia: a retrospective study. </w:t>
      </w:r>
      <w:r>
        <w:rPr>
          <w:rFonts w:ascii="Calibri" w:hAnsi="Calibri" w:cs="Calibri" w:eastAsia="Calibri"/>
          <w:i/>
          <w:color w:val="auto"/>
          <w:spacing w:val="0"/>
          <w:position w:val="0"/>
          <w:sz w:val="24"/>
          <w:shd w:fill="auto" w:val="clear"/>
        </w:rPr>
        <w:t xml:space="preserve">BMC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233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Flecknell, P. </w:t>
      </w:r>
      <w:r>
        <w:rPr>
          <w:rFonts w:ascii="Calibri" w:hAnsi="Calibri" w:cs="Calibri" w:eastAsia="Calibri"/>
          <w:i/>
          <w:color w:val="auto"/>
          <w:spacing w:val="0"/>
          <w:position w:val="0"/>
          <w:sz w:val="24"/>
          <w:shd w:fill="auto" w:val="clear"/>
        </w:rPr>
        <w:t xml:space="preserve">Laboratory Animal Anaesthesia</w:t>
      </w:r>
      <w:r>
        <w:rPr>
          <w:rFonts w:ascii="Calibri" w:hAnsi="Calibri" w:cs="Calibri" w:eastAsia="Calibri"/>
          <w:color w:val="auto"/>
          <w:spacing w:val="0"/>
          <w:position w:val="0"/>
          <w:sz w:val="24"/>
          <w:shd w:fill="auto" w:val="clear"/>
        </w:rPr>
        <w:t xml:space="preserve">. Fourth edition,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Special Techniques Elsevier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Cicero, L., Fazzotta, S., Palumbo, V. D., Cassata, G., Lo Monte, A. I. Anesthesia protocols in laboratory animals used for scientific purposes. </w:t>
      </w:r>
      <w:r>
        <w:rPr>
          <w:rFonts w:ascii="Calibri" w:hAnsi="Calibri" w:cs="Calibri" w:eastAsia="Calibri"/>
          <w:i/>
          <w:color w:val="auto"/>
          <w:spacing w:val="0"/>
          <w:position w:val="0"/>
          <w:sz w:val="24"/>
          <w:shd w:fill="auto" w:val="clear"/>
        </w:rPr>
        <w:t xml:space="preserve">Acta Biomedica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Sloan, E.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sympathetic nervous system induces a metastatic switch in primary breast cancer.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(18), 7042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Al-Hashimi, M., Scott, S. W. M., Thompson, J. P., Lambert, D. G. Opioids and immune modulation: more questions than answers.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DeMarco, G. J., Nunamaker, E. A. A Review of the effects of pain and analgesia on immune system function and inflammation: relevance for preclinical studies. </w:t>
      </w:r>
      <w:r>
        <w:rPr>
          <w:rFonts w:ascii="Calibri" w:hAnsi="Calibri" w:cs="Calibri" w:eastAsia="Calibri"/>
          <w:i/>
          <w:color w:val="auto"/>
          <w:spacing w:val="0"/>
          <w:position w:val="0"/>
          <w:sz w:val="24"/>
          <w:shd w:fill="auto" w:val="clear"/>
        </w:rPr>
        <w:t xml:space="preserve">Comparative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Hiller, J. G., Perry, N. J., Poulogiannis, G., Riedel, B., Sloan, E. K. Perioperative events influence cancer recurrence risk after surgery. </w:t>
      </w:r>
      <w:r>
        <w:rPr>
          <w:rFonts w:ascii="Calibri" w:hAnsi="Calibri" w:cs="Calibri" w:eastAsia="Calibri"/>
          <w:i/>
          <w:color w:val="auto"/>
          <w:spacing w:val="0"/>
          <w:position w:val="0"/>
          <w:sz w:val="24"/>
          <w:shd w:fill="auto" w:val="clear"/>
        </w:rPr>
        <w:t xml:space="preserve">Nature Reviews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 (2018).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