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Preparation of Naringenin Solution for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Application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Shufen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Jingcheng Dong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Qin Bian</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Spine Research Institute, Longhua Hospital, Shanghai University of Traditional Chinese Medicine, Shanghai,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Integrative Medicine, Huashan Hospital, Fudan University, Shanghai,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Shufen Liu</w:t>
        <w:tab/>
        <w:tab/>
        <w:t xml:space="preserve">(xiaoliufenfen@163.com)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Jingcheng Dong</w:t>
        <w:tab/>
        <w:t xml:space="preserve">(jcdong2004@126.com)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 Bian</w:t>
        <w:tab/>
        <w:tab/>
      </w:r>
      <w:r>
        <w:rPr>
          <w:rFonts w:ascii="Calibri" w:hAnsi="Calibri" w:cs="Calibri" w:eastAsia="Calibri"/>
          <w:color w:val="auto"/>
          <w:spacing w:val="0"/>
          <w:position w:val="0"/>
          <w:sz w:val="24"/>
          <w:shd w:fill="auto" w:val="clear"/>
        </w:rPr>
        <w:t xml:space="preserve">(bianqin213@126.com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 Bian</w:t>
        <w:tab/>
        <w:tab/>
        <w:t xml:space="preserve">(</w:t>
      </w:r>
      <w:r>
        <w:rPr>
          <w:rFonts w:ascii="Calibri" w:hAnsi="Calibri" w:cs="Calibri" w:eastAsia="Calibri"/>
          <w:color w:val="auto"/>
          <w:spacing w:val="0"/>
          <w:position w:val="0"/>
          <w:sz w:val="24"/>
          <w:shd w:fill="auto" w:val="clear"/>
        </w:rPr>
        <w:t xml:space="preserve">bianqin213@126.com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Shufen Liu</w:t>
        <w:tab/>
        <w:tab/>
        <w:t xml:space="preserve">(xiaoliufenfen@163.com)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compound, solvent, ethanol, DMSO, Tween 80, naringenin, diabetic osteoporosis, blood glucose test, TRAP staining, ELISA assay, mouse, </w:t>
      </w:r>
      <w:r>
        <w:rPr>
          <w:rFonts w:ascii="Calibri" w:hAnsi="Calibri" w:cs="Calibri" w:eastAsia="Calibri"/>
          <w:i/>
          <w:color w:val="000000"/>
          <w:spacing w:val="0"/>
          <w:position w:val="0"/>
          <w:sz w:val="24"/>
          <w:shd w:fill="auto" w:val="clear"/>
        </w:rPr>
        <w:t xml:space="preserve">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presents the preparation of naringenin solution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intraperitoneal administration. Naringenin is fully dissolved in a mixture of dimethylsulfoxide, Tween 80, and saline. The antidiabetic osteoporotic effects of naringenin were assessed by blood glucose testing, tartrate-resistant acid phosphatase staining, and enzyme-linked immunosorbent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a compound (phytochemical) solution is an overlooked but critical step prior to its application in studies such as drug screening. The complete solubilization of the compound is necessary for its safe use and relatively stable results. Here, a protocol for preparing naringenin solution and its intraperitoneal administration in a high-fat diet and streptozotocin (STZ)-induced diabetic model is demonstrated as an example. A small amount of naringenin (3.52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6.69 mg) was used to test its solubilization in solvents, including ethanol, dimethylsulfoxide (DMSO), and DMSO plus Tween 80 reconstituted in physiological saline (PS), respectively. Complete solubilization of the compound is determined by observing the color of the solution, the presence of precipitates after centrifugation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or allowing the solution to stand for 2 h at room temperature (RT). After obtaining a stable compound/phytochemical solution, the final concentration/amount of the compound required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can be prepared in a solvent-only (no PS) stock solution, and then diluted/mixed with PS as desired. The antidiabetic osteoporotic effects of naringenin in mice (intraperitoneal administration at 2 mg/mL) </w:t>
      </w:r>
      <w:r>
        <w:rPr>
          <w:rFonts w:ascii="Calibri" w:hAnsi="Calibri" w:cs="Calibri" w:eastAsia="Calibri"/>
          <w:color w:val="000000"/>
          <w:spacing w:val="0"/>
          <w:position w:val="0"/>
          <w:sz w:val="24"/>
          <w:shd w:fill="auto" w:val="clear"/>
        </w:rPr>
        <w:t xml:space="preserve">were assessed by measuring blood </w:t>
      </w:r>
      <w:r>
        <w:rPr>
          <w:rFonts w:ascii="Calibri" w:hAnsi="Calibri" w:cs="Calibri" w:eastAsia="Calibri"/>
          <w:color w:val="auto"/>
          <w:spacing w:val="0"/>
          <w:position w:val="0"/>
          <w:sz w:val="24"/>
          <w:shd w:fill="auto" w:val="clear"/>
        </w:rPr>
        <w:t xml:space="preserve">glucose, bone mass (micro-CT), and bone resorption rate (TRAP staining and ELISA). Researchers looking for detailed organic/phytochemical solution preparations will benefit from this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increasing studies concerning the use of phytochemical compounds for drug screening, approaches to prepare phytochemical solutions to evaluate their optimal effects are worth giving attention to. Many aspects such as the dissolution methodology, dosage, and concentration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to be considered when preparing the compound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Solvent-based dissolution is widely used for organic compound preparation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commonly used solvents include water, oil, dimethyl sulfoxide (DMSO), methanol, ethanol, formic acid, Tween, glycerin, etc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Although a suspension with undissolved substances is acceptable when the compound is intragastrically administered, a fully dissolved solute is critical for intravenous administration. Since oil solution, suspension, and emulsion can cause capillary embolisms, an aqueous solution for compound preparation is suggested, especially when administering intravenous, intramuscular, and intraperitoneal injections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effective dose range varies among compounds and even among diseases treated with the same compound. Determinations of the effective and the safe dose and the concentration are dependant on literature and preliminary experiments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Here, the preparation of the compound naringenin is demonstrated as an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4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Naringenin (4,5,7-trihydroxy-flavanone), a polyphenolic compound, has been studied in disease treatment for its hepatoprotective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antidiabetic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anti-inflammatory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anti-oxidant activities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the oral administration of naringenin is commonly used. Previous studies reported preparing naringenin solution in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carboxymethyl cellulose, 0.5% methylcellulose dose, 0.01% DMSO, and physiological saline (PS) at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mg/kg, administered by oral gavage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Besides, other studies have reported supplementing naringenin with chow at 3% (wt/wt) for oral intake at a dose of 3.6 g/kg/d</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Studies have also reported using ethanol (0.5% v/v), PS, and DMSO to dissolve naringenin for intraperitoneal injection at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mg/kg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 study of temporal lobe epilepsy, mice received an injection of naringenin suspended in 0.25% carboxymethyl cellulose dissolved in PS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Though these studies report the use of different solvents to prepare naringenin solutions, further details, such as dissolving status and animal response, have not been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introduces a procedure for preparing naringenin solution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 in diabetic-induced osteoporosis. The preparation of the injection solution includes preparing solvents and compounds, dosage estimation, dissolution process, and filtration. The dosage was determined based on literature research and preliminary experiments by monitoring mice after administering injections every day for 3 days and modifying the dosage according to mouse behaviors. The final chosen concentration (20 mg/kg b.w.) was administered intraperitoneally 5 days per week for 8 weeks in a high-fat diet and streptozotocin (STZ)-induced diabetic mice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effects of naringenin in diabetic osteoporosis were evaluated by blood glucose testing, micro-CT, tartrate-resistant acid phosphatase (TRAP) staining, and enzyme-linked immunosorbent assay (ELISA).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it was observed that naringenin at a concentration range of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mg/mL did not completely dissolve in either ethanol or DMSO or 5% (ethanol or DMSO) plus 95% PS (v/v). However, naringenin dissolved completely in a mixture of 3.52% DMSO, 3.52% Tween 80, and 92.96% PS. The detailed procedure will help researchers to prepare the compound as an injection solution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investigations described conformed to the Guidelines for the Care and Use of Laboratory Animals of the National Institutes of Health and were approved by the Shanghai University of Traditional Chinese Medicine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solvents and estimation of </w:t>
      </w:r>
      <w:r>
        <w:rPr>
          <w:rFonts w:ascii="Calibri" w:hAnsi="Calibri" w:cs="Calibri" w:eastAsia="Calibri"/>
          <w:b/>
          <w:color w:val="201F1E"/>
          <w:spacing w:val="0"/>
          <w:position w:val="0"/>
          <w:sz w:val="24"/>
          <w:shd w:fill="FFFFFF" w:val="clear"/>
        </w:rPr>
        <w:t xml:space="preserve">naringenin</w:t>
      </w:r>
      <w:r>
        <w:rPr>
          <w:rFonts w:ascii="Calibri" w:hAnsi="Calibri" w:cs="Calibri" w:eastAsia="Calibri"/>
          <w:b/>
          <w:color w:val="auto"/>
          <w:spacing w:val="0"/>
          <w:position w:val="0"/>
          <w:sz w:val="24"/>
          <w:shd w:fill="auto" w:val="clear"/>
        </w:rPr>
        <w:t xml:space="preserve"> required for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application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following solvents: Tween-80 (final concentration range: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DMSO, glycerin (final concentration range: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ethanol (final concentration range: 12% for intramuscular injection)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0.9% 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Estimate the amount of </w:t>
      </w:r>
      <w:r>
        <w:rPr>
          <w:rFonts w:ascii="Calibri" w:hAnsi="Calibri" w:cs="Calibri" w:eastAsia="Calibri"/>
          <w:color w:val="201F1E"/>
          <w:spacing w:val="0"/>
          <w:position w:val="0"/>
          <w:sz w:val="24"/>
          <w:shd w:fill="FFFFFF" w:val="clear"/>
        </w:rPr>
        <w:t xml:space="preserve">naringenin</w:t>
      </w:r>
      <w:r>
        <w:rPr>
          <w:rFonts w:ascii="Calibri" w:hAnsi="Calibri" w:cs="Calibri" w:eastAsia="Calibri"/>
          <w:color w:val="auto"/>
          <w:spacing w:val="0"/>
          <w:position w:val="0"/>
          <w:sz w:val="24"/>
          <w:shd w:fill="auto" w:val="clear"/>
        </w:rPr>
        <w:t xml:space="preserve"> required based on the dose, number of mice, and injection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Order 10 mice (C57/BL/6, male, 5 weeks old, SPF) to administer naringenin 5 days a week for 8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dose required for intraperitoneal injection is 20 mg/kg b.w.</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Weigh 160 mg of naringenin based on the following calculation: 20 mg/kg x 0.02 kg/mouse x 10 mice x 5 days/week x 8 weeks = 160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Calculate the concentration of naringenin to be injected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the recommended volume based on the bodyweight of the mice. The recommended volume of naringenin applied to each mouse is 1% of body weight (0.3 mL). In this experiment, 0.2 mL per mouse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Calculate the total volume: 0.2 mL per mouse x 10 mice x 5 days/week x 8 weeks = 80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Calculate the concentration of the Naringenin in stock: 160 mg/80 mL solvents = 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Calculate the volume for each day: 0.2 mL per mouse x 10 mice = 2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Dissolution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Ethanol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To prepare naringenin solution at 2 mg/mL, weigh 3.52 mg of naringenin and add it into a 2.0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achieve a concentration of 2 mg/mL, the total volume required will be 1760 &amp;#181;L (calculation: 3.52 mg/1760 &amp;#181;L = 2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Quickly spin down (2000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30 s) to make the naringenin powder settle at the bottom of the tube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Add 8.8 &amp;#181;L of 100% ethanol to the tube to prepare a 0.5% (v/v) solution with respect to the total volume required</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Naringenin does not dissolve completely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Continue to add 79.2 &amp;#181;L of 100% ethanol to the tube to prepare a 5% (v/v) solution with respect to the total volume required (calculation: (79.2 &amp;#181;L + 8.8 &amp;#181;L</w:t>
      </w:r>
      <w:r>
        <w:rPr>
          <w:rFonts w:ascii="Microsoft YaHei" w:hAnsi="Microsoft YaHei" w:cs="Microsoft YaHei" w:eastAsia="Microsoft YaHe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1760 &amp;#181;L x 100% = 5%). Naringenin does not dissolve completely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Add 1672 &amp;#181;L of 0.9% PS to the tube containing 5% ethanol as described in step 2.1.4. This will produce an emulsion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Centrifuge (2000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30 s) the solution to check whether naringenin is completely dissolved in the solution. White precipitates of undissolved naringenin appear in the solution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DMSO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To prepare naringenin solution at 2 mg/mL, weigh 3.95 mg of naringenin and add into a 2.0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achieve a concentration of 2 mg/mL, the total volume required will be 1975 &amp;#181;L (calculation: 3.95 mg/1975 &amp;#181;L = 2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Quickly spin down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to make the naringenin powder settle at the bottom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Add 9.8 &amp;#181;L of DMSO to the tube to prepare a 0.5% (v/v) solution (calculation: 9.8 &amp;#181;L/1975 &amp;#181;L x 100% = 5%). Naringenin dissolves completely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Add 88.2 &amp;#181;L of DMSO to the tube to prepare a 5% (v/v) solution with respect to the total volume required (calculation: </w:t>
      </w:r>
      <w:r>
        <w:rPr>
          <w:rFonts w:ascii="Microsoft YaHei" w:hAnsi="Microsoft YaHei" w:cs="Microsoft YaHei" w:eastAsia="Microsoft YaHe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88.2 &amp;#181;L + 9.8 &amp;#181;L) /1975 &amp;#181;L x 100% = 5%). Naringenin dissolves completely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Add 1877 &amp;#181;L of 0.9% PS (v/v percent of 95%) to the solution prepared in step 2.2.4. An emulsion is produced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Centrifuge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the solution to check whether naringenin is completely dissolved in the solution. White precipitates of undissolved naringenin appear in the solution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Tween-80 and DMSO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To prepare the naringenin solution at 2 mg/mL, weigh 6.69 mg of naringenin and add into a 5.0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achieve the final concentration of 2 mg/mL, the total solution volume required will be 3345 &amp;#181;L (calculation: 6.69 mg/3345 &amp;#181;L = 2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Quickly spin down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to make the naringenin powder settle at the bottom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Add 117.7 &amp;#181;L of DMSO to prepare a 3.5% (v/v) solution with respect to the total volume required (calculation: 117.7 &amp;#181;L /3345 &amp;#181;L x 100% = 3.5%). Naringenin dissolves completely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Add 117.7 &amp;#181;L of Tween 80 to the solution prepared in step 2.3.3 to attain 3.5% (v/v) Tween 80 and 3.5% (v/v) DMSO. Observe the complete dissolution of naringenin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Slowly add the solution prepared in step 2.3.4 to a 5.0 mL tube containing 3109.6 &amp;#181;L of 0.9% PS (v/v percent of 93%) and shake well to obtain an apparent naringenin solution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 Let the solution prepared in step 2.3.5 stay at room temperature (RT) for 2 h. The solution is still apparent without any visible precipitates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Preparation of naringenin solution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According to step 1.2.2, weigh 160 mg of naringenin </w:t>
      </w:r>
      <w:r>
        <w:rPr>
          <w:rFonts w:ascii="Microsoft YaHei" w:hAnsi="Microsoft YaHei" w:cs="Microsoft YaHei" w:eastAsia="Microsoft YaHe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mg / 2 mg/mL = 80 mL</w:t>
      </w:r>
      <w:r>
        <w:rPr>
          <w:rFonts w:ascii="Microsoft YaHei" w:hAnsi="Microsoft YaHei" w:cs="Microsoft YaHei" w:eastAsia="Microsoft YaHe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Add 2.8 mL of DMSO to attain 3.5% (v/v) solution (calculation: 2.8 mL / 80 mL x 100% =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Then, add 2.8 mL of Tween 80 to the solution prepared in step 2.4.2 to attain 3.5% (v/v) Tween 80 and 3.5% (v/v)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Aliquot the solution prepared in step 2.4.3 into four tubes, 1.4 mL per tube [</w:t>
      </w:r>
      <w:r>
        <w:rPr>
          <w:rFonts w:ascii="Microsoft YaHei" w:hAnsi="Microsoft YaHei" w:cs="Microsoft YaHei" w:eastAsia="Microsoft YaHe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mL + 2.8 mL</w:t>
      </w:r>
      <w:r>
        <w:rPr>
          <w:rFonts w:ascii="Microsoft YaHei" w:hAnsi="Microsoft YaHei" w:cs="Microsoft YaHei" w:eastAsia="Microsoft YaHe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4 = 1.4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Aliquot 18.6 mL of 0.9% PS to five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Store the solution prepared in step 2.4.3 (stock solution) and 2.4.5 at 4 </w:t>
      </w:r>
      <w:r>
        <w:rPr>
          <w:rFonts w:ascii="Calibri" w:hAnsi="Calibri" w:cs="Calibri" w:eastAsia="Calibri"/>
          <w:color w:val="000000"/>
          <w:spacing w:val="0"/>
          <w:position w:val="0"/>
          <w:sz w:val="24"/>
          <w:shd w:fill="auto" w:val="clear"/>
        </w:rPr>
        <w:t xml:space="preserve">&amp;#176;C </w:t>
      </w:r>
      <w:r>
        <w:rPr>
          <w:rFonts w:ascii="SimSun" w:hAnsi="SimSun" w:cs="SimSun" w:eastAsia="SimSun"/>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mL + 2.8 mL + 18.6 mL x 4 = 80 mL</w:t>
      </w:r>
      <w:r>
        <w:rPr>
          <w:rFonts w:ascii="Microsoft YaHei" w:hAnsi="Microsoft YaHei" w:cs="Microsoft YaHei" w:eastAsia="Microsoft YaHe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 Take 140 &amp;#181;L of the stock solution (step 2.4.3) and mix it with 1860 &amp;#181;L of 0.9% PS to prepare 2 mL of naringenin solution for 1 day of administeration.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2.4.8 Filter the solution through a 0.2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Naringenin solution administration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Handling and restraint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Lift the mouse by the base of the tail and place it on a solid surface to position its tail gently back.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Grasp the scruff of the neck behind the ears with the left thumb and index finger and position the tail between the little and the ring finger. Keep the mouse in a supine position with its posterior end slightly elevated.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Grasp the back skin of the mouse so that the abdominal skin is taut.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Push the needle (insulin syringe) in at an angle of 10&amp;#176; between the needle and the abdominal surface, approximately 1 cm lateral to the intersection of the root line of both thighs and the anterior midline.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Run the needle subcutaneously in a cranial direction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and then insert it at a 45&amp;#176; angle into the abdominal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When the needle passes through the abdominal wall, the resistance disappears, and no reflux material is withdrawn. Slowly push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After the injection, slowly pull the needle out and rotate it slightly to prevent leakage. The recommended volume is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&amp;#181;L/10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Blood glucose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Test the blood glucose 1 day prior to the injection and 1 and 2 months after the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Fast the mice for 15 h before the blood glucose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Open the test strips and mark the date. Once opened, use the test strips within 3 months. Store the test strips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Tightly close the lid after removing the strip to prevent the formation of moisture.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Wipe the scissors with</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cotton ball/swabs soaked in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75%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Make a cut in the tip of the tail with the scissors and squeeze out a drop of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Wipe the drop of blood with a tissue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Squeeze out another drop of blood and collect it on the edge of a test strip.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Read and record the result displayed on the glucose 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To stop the bleeding, pinch the tail of the mouse with a sterile gauze and wipe the area with 75%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TRAP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Slides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Calibri" w:hAnsi="Calibri" w:cs="Calibri" w:eastAsia="Calibri"/>
          <w:color w:val="auto"/>
          <w:spacing w:val="0"/>
          <w:position w:val="0"/>
          <w:sz w:val="24"/>
          <w:shd w:fill="auto" w:val="clear"/>
        </w:rPr>
        <w:t xml:space="preserve">5.1.1 Perform fasting blood glucose tests on the mice once a week. When the blood glucose levels are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11.1 mmol/L (indicative of successful type II diabetes mice model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euthanize the mice using CO2 and collect the Lumbar 4</w:t>
      </w:r>
      <w:r>
        <w:rPr>
          <w:rFonts w:ascii="Calibri" w:hAnsi="Calibri" w:cs="Calibri" w:eastAsia="Calibri"/>
          <w:color w:val="auto"/>
          <w:spacing w:val="0"/>
          <w:position w:val="0"/>
          <w:sz w:val="24"/>
          <w:shd w:fill="auto" w:val="clear"/>
          <w:vertAlign w:val="superscript"/>
        </w:rPr>
        <w:t xml:space="preserve">th</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(L4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L6) (no euthanasia is performed while fasting blood glucose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5.1.2 Fix the L4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L6 samples with 4% paraformaldehyde for 24 h (ensure that the volume of paraformaldehyde is &amp;gt;20x the volume of the tissue), and then wash for 2 h in continuous flow of tap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To decalcify the samples, immerse them in a 10% ethylenediaminetetraacetic acid (EDTA) solution for 2 weeks at RT in static condition until the samples are softened. Ensure that the volume of the decalcifying solution is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times the volume of the tissue/sample. Change the EDTA solution every other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Dehydrate the sample using a dehydrator.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5.1.4.1 Place the specimens in tissue processing embedding cassettes. Number the cassette using a pencil.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5.1.4.2 Set the dehydrator program as follows: 75% alcohol for 2 h, 85% alcohol for 1 h, 95% alcohol for 1 h, 95% alcohol for 2 h, anhydrous ethanol (I) for 2 h, anhydrous ethanol (II) for 2 h, anhydrous ethanol (III) for 2 h, xylene (I) for 1 h, xylene (II) for 1 h, xylene (III) for 1 h, paraffin wax (I) for 2 h, and paraffin wax (II) for 2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Embed the samples in paraffin wax.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5.1.5.1 Add paraffin wax to the cassette tray of the paraffin embedding station and heat to 60 &amp;#176;C. Immerse the dehydrated specimens for at least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5.1.5.2 Place the tissue cassette in the cassette tray and preheat.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5.1.5.3 Add paraffin wax to the paraffin reservoir and heat to 60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5.1.5.4 After 2 h, take both tissue cassette and specimens to the work area. Pour the preheated paraffin wax from the paraffin reservoir into the tissue cassette. Place the specimen into the paraffin wax, ensure that the paraffin wax completely covers the tissue, and then immediately move the cassette onto an icing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Use a microtome to cut the paraffin-embedded samples into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&amp;#181;m sections. Unfold the sections in 40 &amp;#176;C warm water for less than 10 s. Collect the sections on APS (amino silane) coated glass slides. Dry the slides at RT for 1 h, and then move the slides into an oven set at 60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TRAP reagent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Prepare basic stock incubation solution: Dissolve 9.2 g of sodium acetate anhydrous, 11.4 g of L-(+) tartaric acid, and 2.8 mL of glacial acid in 1000 mL of distilled water. Adjust pH to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and store at RT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Prepare Naphthol-ether solution: Dissolve 0.1 g of naphthol AS-BI phosphate in 5 mL of ethylene glycol monoethyl ether. Store at 4 &amp;#176;C for up to 5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Prepare Sodium nitrite solution: Dissolve 1 g of sodium nitrite in 25 mL of distilled water.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Prepare Pararosaniline dye: Add 1 g of pararosaniline base to 20 mL of 2N HCl (83 mL of HCl in 417 mL of water). Use a stir plate to dissolve the base and filter it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TRAP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Fill two Coplin jars with 50 mL of basic stock incubation solution and place in a 37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oven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Take one Coplin jar and add 0.5 mL of naptol-ether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Place the slides in the Coplin jar and incubate at 37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atleast three slides for each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A few minutes before the incubation time is over, add 1 mL of sodium nitrite solution and 1 mL of pararosaniline dye. Mix gently for 30 s and leave it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Add the solution prepared in step 5.2.2 to the other preheated Coplin jar containing the basic stock solution. Mix the solution well and insert the slides from the Coplin jar in step 5.3.3.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 Incubate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 Rinse the slices in another Coplin jar with 200 mL of PBS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 Counter-stain the slices with 100% hematoxylin for 30 s in a Coplin jar.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5.3.9 Dehydrate the slices with 85%, 95%, and 100% alcohol (200 mL) for 2 min each and treat in xylene (200 mL) for 2 min for 3x. Use Coplin jars to perform each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5.3.10 Secure the section on the cover glass with a coverslip using resin. Ensure to avoid the trapping of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ELISA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Remove the soft tissues from the femur and the tibia of the mouse. Clean the bones with gauze.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Place the bone samples into a 1 mL microcentrifuge tube and store the sample tubes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can also be stored in a liquid nitrogen tank for no more than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Weigh the bone sample. Dilute with 0.9% PS at a ratio of 1:10. For example, dilute 0.1 g of bone with 1 mL of 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Add 3 mm zirconia beads into the tube and grind the samples 3x at 70 Hz for 30 s with 20 s rest in between.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Centrifuge the samples at 4 &amp;#176;C</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Collect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ELISA assay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ELISA according to the assay protocol specified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Add 100 &amp;#181;L of each dilution of standard, blank, and sample into the appropriate wells. Incubate for 90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Decant the liquid from each well and add 100 &amp;#181;L of biotinylated detection antibody working solution. Incubate for 1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Decant the solution, add 350 &amp;#181;L of wash buffer to each well. Soak for 1 min, repeat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Add 100 &amp;#181;L of HRP conjugate working solution to each well. Incubate for 30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Decant the solution. Repeat the wash process 5x as described in step 6.2.3.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 Add 90 &amp;#181;L of the substrate reagent. Incubate for 15 min at 37 &amp;#176;C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 Add 50 &amp;#181;L of the stop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Use a plate reader to record the absorbance of each well at 450 nm.</w:t>
      </w: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Standard curve generation</w:t>
      </w: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Plot the respective mean absorbance values against the serially diluted protein concentrations.</w:t>
      </w: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Join the points to create the best fit curve. Use any appropriate computer application (spreadsheet) to generate the standard curve equation.</w:t>
      </w: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01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Substitute the absorbance value of each sample in the standard curve equation to obtain the concentration of the respective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bodyweight of the high-fat diet-fed and STZ-induced diabetic mice was found to decrease when compared with that of the control groups from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after STZ treatment. The weight loss of naringenin-treated mice was significant compared to the nontreated mice (STZ group) at week 4. The control and STZ groups were administered with the same volume of PS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blood glucose level in diabetic mice dramatically increased within 1 month after STZ induction. It then automatically decreased to a level observed 2 months ago when the animal model was established. Naringenin treatment lowered the blood glucose levels by 51.8% and 34.8% at 1 and 2 months, respectively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STZ-induced diabetic mice exhibited bone loss, as indicated by the decrease in the bone volume/tissue volume (BV/TV) (30.97%) and the number of trabeculae (Tb.N) (11.4%), respectively. The changes in the values of these two parameters suggest that naringenin treatment significantly rescued the bone loss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Osteoclast activity as indicated by N.oc/Tb.Ar (osteoclast number per trabecular bone area)was increased in high-fat diet and STZ-induced diabetic mice, although no statistical significance was observed between the control and the disease models. Naringenin treatment significantly decreased osteoclast activities, as shown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C-terminal telopeptide of type I collagen (CTIX) and N-terminal propeptide of type I procollagen (PINP) were elevated by 68.09% and 204.88% in diabetic animals, respectively, indicating a dramatic increase in the bone resorption rate. Naringenin significantly decreased both indicators of the bone resorption rate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Dissolving naringenin in ethanol.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Naringenin powder in the tube after spin down.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Naringenin + ethanol (400 mg/mL - 3.52 mg of naringenin in 8.8 &amp;#181;L of ethanol).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Naringenin + ethanol (40 mg/mL - 3.52 mg of naringenin in 8.8 &amp;#181;L of ethanol)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Naringenin in 5% (v/v) ethanol and 95% PS (0.9%).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Precipitates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after spin down.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Measurement for obtaining scale bar for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Nar: Naringenin. Scale bar = 1 cm.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Dissolving naringenin in DMSO.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Naringenin + DMSO (400 mg/mL - 3.95 mg of naringenin in 9.8 &amp;#181;L of DMSO).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Naringenin + DMSO (40 mg / mL- 3.95 mg of naringenin in 98 &amp;#181;L of DMSO).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Naringenin in 5% (v/v) DMSO and 95% PS (0.9%).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Precipitates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after spin down. Nar: Naringenin. Scale bar = 1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Dissolving naringenin in DMSO and Tween 80.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Naringenin + DMSO (57.2 mg/mL - 6.69 mg of naringenin in 117.7 &amp;#181;L of DMSO).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Naringenin</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DMSO + Tween (57.2 mg/mL - 6.69 mg of naringenin in 117.7 &amp;#181;L of DMSO and 117.7 &amp;#181;L of Tween 80).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Naringenin in the mixture of 3.5% (v/v) DMSO, 3.5% (v/v) Tween 80, and 93% PS (0.9%).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No precipitates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after spin down. Nar: Naringenin. Scale bar = 1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effect of naringenin on the osteoclast activity of the high-fat diet-fed and STZ-injected (STZ) mice.</w:t>
      </w:r>
      <w:r>
        <w:rPr>
          <w:rFonts w:ascii="Calibri" w:hAnsi="Calibri" w:cs="Calibri" w:eastAsia="Calibri"/>
          <w:color w:val="000000"/>
          <w:spacing w:val="0"/>
          <w:position w:val="0"/>
          <w:sz w:val="24"/>
          <w:shd w:fill="auto" w:val="clear"/>
        </w:rPr>
        <w:t xml:space="preserve"> TRAP staining of trabecular bone and osteoclasts of L4 vertebrae. Triangles indicated osteoclasts. Scale bar = 100 &amp;#181;m. This figure has been modified from Liu et al.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Bodyweight of high-fat diet-fed and STZ-injected (STZ) mice across groups and periods. </w:t>
      </w:r>
      <w:r>
        <w:rPr>
          <w:rFonts w:ascii="Calibri" w:hAnsi="Calibri" w:cs="Calibri" w:eastAsia="Calibri"/>
          <w:color w:val="000000"/>
          <w:spacing w:val="0"/>
          <w:position w:val="0"/>
          <w:sz w:val="24"/>
          <w:shd w:fill="auto" w:val="clear"/>
        </w:rPr>
        <w:t xml:space="preserve">Data are shown as the mean &amp;plusmn; s.d. **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vs. Control, </w:t>
      </w:r>
      <w:r>
        <w:rPr>
          <w:rFonts w:ascii="Calibri" w:hAnsi="Calibri" w:cs="Calibri" w:eastAsia="Calibri"/>
          <w:color w:val="000000"/>
          <w:spacing w:val="0"/>
          <w:position w:val="0"/>
          <w:sz w:val="24"/>
          <w:shd w:fill="auto" w:val="clear"/>
        </w:rPr>
        <w:t xml:space="preserve">ΔΔ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vs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Fasting blood glucose of STZ mice across groups and periods.</w:t>
      </w:r>
      <w:r>
        <w:rPr>
          <w:rFonts w:ascii="Calibri" w:hAnsi="Calibri" w:cs="Calibri" w:eastAsia="Calibri"/>
          <w:color w:val="000000"/>
          <w:spacing w:val="0"/>
          <w:position w:val="0"/>
          <w:sz w:val="24"/>
          <w:shd w:fill="auto" w:val="clear"/>
        </w:rPr>
        <w:t xml:space="preserve"> Data are shown as the mean &amp;plusmn; s.d. *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vs. Control, </w:t>
      </w:r>
      <w:r>
        <w:rPr>
          <w:rFonts w:ascii="Calibri" w:hAnsi="Calibri" w:cs="Calibri" w:eastAsia="Calibri"/>
          <w:color w:val="000000"/>
          <w:spacing w:val="0"/>
          <w:position w:val="0"/>
          <w:sz w:val="24"/>
          <w:shd w:fill="auto" w:val="clear"/>
        </w:rPr>
        <w:t xml:space="preserve">ΔΔ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vs. STZ.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Bone mass related parameters of STZ mice across groups.</w:t>
      </w:r>
      <w:r>
        <w:rPr>
          <w:rFonts w:ascii="Calibri" w:hAnsi="Calibri" w:cs="Calibri" w:eastAsia="Calibri"/>
          <w:color w:val="000000"/>
          <w:spacing w:val="0"/>
          <w:position w:val="0"/>
          <w:sz w:val="24"/>
          <w:shd w:fill="auto" w:val="clear"/>
        </w:rPr>
        <w:t xml:space="preserve"> Data are shown as the mean &amp;plusmn; s.d. *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vs. Control, </w:t>
      </w:r>
      <w:r>
        <w:rPr>
          <w:rFonts w:ascii="Calibri" w:hAnsi="Calibri" w:cs="Calibri" w:eastAsia="Calibri"/>
          <w:color w:val="000000"/>
          <w:spacing w:val="0"/>
          <w:position w:val="0"/>
          <w:sz w:val="24"/>
          <w:shd w:fill="auto" w:val="clear"/>
        </w:rPr>
        <w:t xml:space="preserve">Δ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&amp;lt; 0.05, ΔΔ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vs. STZ.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Osteoclast activity of STZ mice across groups.</w:t>
      </w:r>
      <w:r>
        <w:rPr>
          <w:rFonts w:ascii="Calibri" w:hAnsi="Calibri" w:cs="Calibri" w:eastAsia="Calibri"/>
          <w:color w:val="000000"/>
          <w:spacing w:val="0"/>
          <w:position w:val="0"/>
          <w:sz w:val="24"/>
          <w:shd w:fill="auto" w:val="clear"/>
        </w:rPr>
        <w:t xml:space="preserve"> Data are shown as the mean &amp;plusmn; s.d. </w:t>
      </w:r>
      <w:r>
        <w:rPr>
          <w:rFonts w:ascii="Calibri" w:hAnsi="Calibri" w:cs="Calibri" w:eastAsia="Calibri"/>
          <w:color w:val="000000"/>
          <w:spacing w:val="0"/>
          <w:position w:val="0"/>
          <w:sz w:val="24"/>
          <w:shd w:fill="auto" w:val="clear"/>
        </w:rPr>
        <w:t xml:space="preserve">ΔΔ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vs. STZ.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Bone resorption rate of STZ mice across groups.</w:t>
      </w:r>
      <w:r>
        <w:rPr>
          <w:rFonts w:ascii="Calibri" w:hAnsi="Calibri" w:cs="Calibri" w:eastAsia="Calibri"/>
          <w:color w:val="000000"/>
          <w:spacing w:val="0"/>
          <w:position w:val="0"/>
          <w:sz w:val="24"/>
          <w:shd w:fill="auto" w:val="clear"/>
        </w:rPr>
        <w:t xml:space="preserve"> Data are shown as the mean &amp;plusmn; s.d. *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vs. Control, </w:t>
      </w:r>
      <w:r>
        <w:rPr>
          <w:rFonts w:ascii="Calibri" w:hAnsi="Calibri" w:cs="Calibri" w:eastAsia="Calibri"/>
          <w:color w:val="000000"/>
          <w:spacing w:val="0"/>
          <w:position w:val="0"/>
          <w:sz w:val="24"/>
          <w:shd w:fill="auto" w:val="clear"/>
        </w:rPr>
        <w:t xml:space="preserve">ΔΔ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vs. STZ.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preparation of phytochemical solution is the basis for its application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this protocol, the preparation of naringenin solution was demonstrated by using different solvents, such as ethanol, DMSO, Tween 80, and 0.9% PS. The solution in completely dissolved status needs to be further monitored by allowing it to remain at room temperature for some extended hours, and then filtered before being used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Solvent determination is a critical step in this protocol. There are many solvent options for dissolving compounds, of which ethanol, DMSO, and PS are the most widely used. Ethanol can dissolve many water-insoluble compounds because of its highly polar properties, allowing hydrogen bonding and thus dissolving both polar and nonpolar substances. Moreover, the concentration of ethanol may determine the properties of the compound/phytochemical. For example, 75 wt.% ethanol/water solvent is considered the best for extracting the highest yield of polyphenols and has the strongest anti-oxidant properties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Another study found that ethanol concentration could be lowered to 32.5% at 150 &amp;#176;C for polyphenol extracts to express anti-oxidant property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However, a high concentration of ethanol may cause neurotoxicity and hepatotoxicity</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Ethanol injection (i.p.) in a range of concentrations from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v/v is commonly used for behavioral evaluation and may cause conditional taste aversion and hypothermia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DMSO is a dipolar aprotic solvent of high polarity and is used as a solvent to dissolve numerous organic compounds. A comparative study indicated that DMSO/methanol (50:50 v/v) resulted in the optimum yield of phenolic acids in citrus rinds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However, dose, concentration, and frequency are not ignorable factors when DMSO is delivered to animals. A 17.7 g/kg dose given intraperitoneally in mice attained LD50 while lowering the dose to 2.5 g/kg for 6 weeks in mice did not cause observable adverse effects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Although the suggested DMSO concentration is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DMSO is not capable of dissolving many compounds. Colucci et al. tested the effects of DMSO and DMSO-containing saline at different concentrations by intracerebroventricular and oral administration in mice. The study demonstrated that a solution of 25% DMSO in saline did not change animal behavioral responses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Tween 80 is a nonionic surfactant and is widely used as a co-solvent to increase the solubility of poorly soluble drugs and enhance pharmacokinetic features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 concentration of 1% Tween 80 was chosen considering safety</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Thus, the above solvents and surfactants at different concentrations were used to fully solubilize naringenin for </w:t>
      </w:r>
      <w:r>
        <w:rPr>
          <w:rFonts w:ascii="Calibri" w:hAnsi="Calibri" w:cs="Calibri" w:eastAsia="Calibri"/>
          <w:color w:val="auto"/>
          <w:spacing w:val="0"/>
          <w:position w:val="0"/>
          <w:sz w:val="24"/>
          <w:shd w:fill="auto" w:val="clear"/>
        </w:rPr>
        <w:t xml:space="preserve">intraperitoneal administration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Some suggestions are listed here for consideration. First, we suggest starting from a small amount of phytochemical compound for preliminary experiments considering consumption cost. Second, it is necessary to perform comprehensive literature research, especially close studies regarding animal species, diseases, administration routes, and frequency, before preparing the solution. Third, the concentration ranges of solvents and co-solvents such as surfactants are dependent on the available literature, preliminary experiments, and the purpose of the study design. Fourth, using an insulin syringe instead of a regular syringe is recommended to reduce the injection injury from a relatively high frequency of administration. Fifth, to maintain sterile conditions, it is recommended to sterilize the solution using a </w:t>
      </w:r>
      <w:r>
        <w:rPr>
          <w:rFonts w:ascii="Calibri" w:hAnsi="Calibri" w:cs="Calibri" w:eastAsia="Calibri"/>
          <w:color w:val="auto"/>
          <w:spacing w:val="0"/>
          <w:position w:val="0"/>
          <w:sz w:val="24"/>
          <w:shd w:fill="auto" w:val="clear"/>
        </w:rPr>
        <w:t xml:space="preserve">0.2 &amp;#181;m filter and use sterile syringes and cotton swabs soaked in alcohol when dealing with live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advantages of the protocol are its simple operation and low cost. In summary, the protocol demonstrates the preparation of a phytochemical solution for intraperitoneal administration in mice, with naringenin as an example. The protocol will benefit the researchers dealing with drug screening or pharmacology.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(81973607 and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81573992).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Stoye, D. Solvents. </w:t>
      </w:r>
      <w:r>
        <w:rPr>
          <w:rFonts w:ascii="Calibri" w:hAnsi="Calibri" w:cs="Calibri" w:eastAsia="Calibri"/>
          <w:i/>
          <w:color w:val="auto"/>
          <w:spacing w:val="0"/>
          <w:position w:val="0"/>
          <w:sz w:val="24"/>
          <w:shd w:fill="auto" w:val="clear"/>
        </w:rPr>
        <w:t xml:space="preserve">Ullmann’s Encyclopedia of Industrial Chemistry</w:t>
      </w:r>
      <w:r>
        <w:rPr>
          <w:rFonts w:ascii="Calibri" w:hAnsi="Calibri" w:cs="Calibri" w:eastAsia="Calibri"/>
          <w:color w:val="auto"/>
          <w:spacing w:val="0"/>
          <w:position w:val="0"/>
          <w:sz w:val="24"/>
          <w:shd w:fill="auto" w:val="clear"/>
        </w:rPr>
        <w:t xml:space="preserve">. Wiley Online Library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Bouchard,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Optimization of the solvent-based dissolution method to sample volatile organic compound vapors for compound-specific isotope analysis.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1520</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Turner, P. V., Brabb, T., Pekow, C., Vasbinder, M. A. Administration of substances to laboratory animals: routes of administration and factors to consider. </w:t>
      </w:r>
      <w:r>
        <w:rPr>
          <w:rFonts w:ascii="Calibri" w:hAnsi="Calibri" w:cs="Calibri" w:eastAsia="Calibri"/>
          <w:i/>
          <w:color w:val="auto"/>
          <w:spacing w:val="0"/>
          <w:position w:val="0"/>
          <w:sz w:val="24"/>
          <w:shd w:fill="auto" w:val="clear"/>
        </w:rPr>
        <w:t xml:space="preserve">Journal of the American Association for Laboratory Animal Science: JAALAS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Vandenberg, L.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Hormones and endocrine-disrupting chemicals: low-dose effects and nonmonotonic dose responses.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Hern&amp;#225;ndez-Aquino, E., Muriel, P. Beneficial effects of naringenin in liver diseases: Molecular mechanisms.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(16), 1679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Den Hartogh, D. J., Tsiani, E. Antidiabetic properties of naringenin: A citrus fruit polyphenol.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Tutunchi, H., Naeini, F., Ostadrahimi, A., Hosseinzadeh-Attar, M. J. Naringenin, a flavanone with antiviral and anti-inflammatory effects: A promising treatment strategy against COVID-19. </w:t>
      </w:r>
      <w:r>
        <w:rPr>
          <w:rFonts w:ascii="Calibri" w:hAnsi="Calibri" w:cs="Calibri" w:eastAsia="Calibri"/>
          <w:i/>
          <w:color w:val="auto"/>
          <w:spacing w:val="0"/>
          <w:position w:val="0"/>
          <w:sz w:val="24"/>
          <w:shd w:fill="auto" w:val="clear"/>
        </w:rPr>
        <w:t xml:space="preserve">Phytotherapy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3137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Zaidun, N. H., Thent, Z. C., Latiff, A. A. Combating oxidative stress disorders with citrus flavonoid: Naringenin.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Tsuhako, R., Yoshida, H., Sugita, C., Kurokawa, M. Naringenin suppresses neutrophil infiltration into adipose tissue in high-fat diet-induced obese mice. </w:t>
      </w:r>
      <w:r>
        <w:rPr>
          <w:rFonts w:ascii="Calibri" w:hAnsi="Calibri" w:cs="Calibri" w:eastAsia="Calibri"/>
          <w:i/>
          <w:color w:val="auto"/>
          <w:spacing w:val="0"/>
          <w:position w:val="0"/>
          <w:sz w:val="24"/>
          <w:shd w:fill="auto" w:val="clear"/>
        </w:rPr>
        <w:t xml:space="preserve">Journal of Natural 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Annadurai, T. et al. Antihyperglycemic and anti-oxidant effects of a flavanone, naringenin, in streptozotocin-nicotinamide-induced experimental diabetic rats. </w:t>
      </w:r>
      <w:r>
        <w:rPr>
          <w:rFonts w:ascii="Calibri" w:hAnsi="Calibri" w:cs="Calibri" w:eastAsia="Calibri"/>
          <w:i/>
          <w:color w:val="auto"/>
          <w:spacing w:val="0"/>
          <w:position w:val="0"/>
          <w:sz w:val="24"/>
          <w:shd w:fill="auto" w:val="clear"/>
        </w:rPr>
        <w:t xml:space="preserve">Journal of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Naringenin improves insulin sensitivity in gestational diabetes mellitus mice through AMPK. </w:t>
      </w:r>
      <w:r>
        <w:rPr>
          <w:rFonts w:ascii="Calibri" w:hAnsi="Calibri" w:cs="Calibri" w:eastAsia="Calibri"/>
          <w:i/>
          <w:color w:val="auto"/>
          <w:spacing w:val="0"/>
          <w:position w:val="0"/>
          <w:sz w:val="24"/>
          <w:shd w:fill="auto" w:val="clear"/>
        </w:rPr>
        <w:t xml:space="preserve">Nutrition &amp;amp; 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Devan, S., Janardhanam, V. A. Effect of Naringenin on metabolic markers, lipid profile and expression of GFAP in C6 glioma cells implanted rat’s brain. </w:t>
      </w:r>
      <w:r>
        <w:rPr>
          <w:rFonts w:ascii="Calibri" w:hAnsi="Calibri" w:cs="Calibri" w:eastAsia="Calibri"/>
          <w:i/>
          <w:color w:val="auto"/>
          <w:spacing w:val="0"/>
          <w:position w:val="0"/>
          <w:sz w:val="24"/>
          <w:shd w:fill="auto" w:val="clear"/>
        </w:rPr>
        <w:t xml:space="preserve">Annals of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Burke, A.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Naringenin enhances the regression of atherosclerosis induced by a chow diet in Ldlr-/- mice. </w:t>
      </w:r>
      <w:r>
        <w:rPr>
          <w:rFonts w:ascii="Calibri" w:hAnsi="Calibri" w:cs="Calibri" w:eastAsia="Calibri"/>
          <w:i/>
          <w:color w:val="auto"/>
          <w:spacing w:val="0"/>
          <w:position w:val="0"/>
          <w:sz w:val="24"/>
          <w:shd w:fill="auto" w:val="clear"/>
        </w:rPr>
        <w:t xml:space="preserve">Atherosclerosis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Assini, J.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Naringenin prevents obesity, hepatic steatosis, and glucose intolerance in male mice independent of fibroblast growth factor 21.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(6), 2087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Alifarsangi, A., Esmaeili-Mahani, S., Sheibani, V., Abbasnejad, M. The citrus flavanone naringenin prevents the development of morphine analgesic tolerance and conditioned place preference in male rats. </w:t>
      </w:r>
      <w:r>
        <w:rPr>
          <w:rFonts w:ascii="Calibri" w:hAnsi="Calibri" w:cs="Calibri" w:eastAsia="Calibri"/>
          <w:i/>
          <w:color w:val="auto"/>
          <w:spacing w:val="0"/>
          <w:position w:val="0"/>
          <w:sz w:val="24"/>
          <w:shd w:fill="auto" w:val="clear"/>
        </w:rPr>
        <w:t xml:space="preserve">The American Journal of Drug and Alcohol Abuse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Sirovina, D., Or</w:t>
      </w:r>
      <w:r>
        <w:rPr>
          <w:rFonts w:ascii="Calibri" w:hAnsi="Calibri" w:cs="Calibri" w:eastAsia="Calibri"/>
          <w:color w:val="auto"/>
          <w:spacing w:val="0"/>
          <w:position w:val="0"/>
          <w:sz w:val="24"/>
          <w:shd w:fill="auto" w:val="clear"/>
        </w:rPr>
        <w:t xml:space="preserve">šolić, N., Gregorović, G., Kon&amp;#269;ić, M. Z. Naringenin ameliorates pathological changes in liver and kidney of diabetic mice: a preliminary study. </w:t>
      </w:r>
      <w:r>
        <w:rPr>
          <w:rFonts w:ascii="Calibri" w:hAnsi="Calibri" w:cs="Calibri" w:eastAsia="Calibri"/>
          <w:i/>
          <w:color w:val="auto"/>
          <w:spacing w:val="0"/>
          <w:position w:val="0"/>
          <w:sz w:val="24"/>
          <w:shd w:fill="auto" w:val="clear"/>
        </w:rPr>
        <w:t xml:space="preserve">Archives of Occupational Hygiene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Nguyen-Ngo, C., Willcox, J. C., Lappas, M. Anti-diabetic, anti-inflammatory, and anti-oxidant effects of Naringenin in an In vitro human model and an in vivo murine model of gestational diabetes mellitus. </w:t>
      </w:r>
      <w:r>
        <w:rPr>
          <w:rFonts w:ascii="Calibri" w:hAnsi="Calibri" w:cs="Calibri" w:eastAsia="Calibri"/>
          <w:i/>
          <w:color w:val="auto"/>
          <w:spacing w:val="0"/>
          <w:position w:val="0"/>
          <w:sz w:val="24"/>
          <w:shd w:fill="auto" w:val="clear"/>
        </w:rPr>
        <w:t xml:space="preserve">Molecular Nutrition &amp;amp; Food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(19), e1900224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Ahmed, L. A., Obaid, A. A. Z., Zaki, H. F., Agha, A. M. Naringenin adds to the protective effect of L-arginine in monocrotaline-induced pulmonary hypertension in rats: favorable modulation of oxidative stress, inflammation and nitric oxide. </w:t>
      </w:r>
      <w:r>
        <w:rPr>
          <w:rFonts w:ascii="Calibri" w:hAnsi="Calibri" w:cs="Calibri" w:eastAsia="Calibri"/>
          <w:i/>
          <w:color w:val="auto"/>
          <w:spacing w:val="0"/>
          <w:position w:val="0"/>
          <w:sz w:val="24"/>
          <w:shd w:fill="auto" w:val="clear"/>
        </w:rPr>
        <w:t xml:space="preserve">European 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Park, J. et al. Naringenin ameliorates kainic acid-induced morphological alterations in the dentate gyrus in a mouse model of temporal lobe epilepsy.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(15), 1182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Matsui,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Early-stage Type 2 diabetes mellitus impairs erectile function and neurite outgrowth from the major pelvic ganglion and downregulates the gene expression of neurotrophic factors. </w:t>
      </w:r>
      <w:r>
        <w:rPr>
          <w:rFonts w:ascii="Calibri" w:hAnsi="Calibri" w:cs="Calibri" w:eastAsia="Calibri"/>
          <w:i/>
          <w:color w:val="auto"/>
          <w:spacing w:val="0"/>
          <w:position w:val="0"/>
          <w:sz w:val="24"/>
          <w:shd w:fill="auto" w:val="clear"/>
        </w:rPr>
        <w:t xml:space="preserv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287.e1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287.e7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Sharma, G., Ashhar, M. U., Aeri, V., Katare, D. P. Development and characterization of late-stage diabetes mellitus and -associated vascular complications.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Rowe, R. C., Sheskey, P. J., Owen, S. C. </w:t>
      </w:r>
      <w:r>
        <w:rPr>
          <w:rFonts w:ascii="Calibri" w:hAnsi="Calibri" w:cs="Calibri" w:eastAsia="Calibri"/>
          <w:i/>
          <w:color w:val="auto"/>
          <w:spacing w:val="0"/>
          <w:position w:val="0"/>
          <w:sz w:val="24"/>
          <w:shd w:fill="auto" w:val="clear"/>
        </w:rPr>
        <w:t xml:space="preserve">Handbook of Pharmaceutical Excipients</w:t>
      </w:r>
      <w:r>
        <w:rPr>
          <w:rFonts w:ascii="Calibri" w:hAnsi="Calibri" w:cs="Calibri" w:eastAsia="Calibri"/>
          <w:color w:val="auto"/>
          <w:spacing w:val="0"/>
          <w:position w:val="0"/>
          <w:sz w:val="24"/>
          <w:shd w:fill="auto" w:val="clear"/>
        </w:rPr>
        <w:t xml:space="preserve">. Pharmaceutical Press, London, Chicago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Fallahi, F., Roghani, M., Moghadami, S. Citrus flavonoid naringenin improves aortic reactivity in streptozotocin-diabetic rats. </w:t>
      </w:r>
      <w:r>
        <w:rPr>
          <w:rFonts w:ascii="Calibri" w:hAnsi="Calibri" w:cs="Calibri" w:eastAsia="Calibri"/>
          <w:i/>
          <w:color w:val="auto"/>
          <w:spacing w:val="0"/>
          <w:position w:val="0"/>
          <w:sz w:val="24"/>
          <w:shd w:fill="auto" w:val="clear"/>
        </w:rPr>
        <w:t xml:space="preserve">Indian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Liu, F., Yang, H., Zhou, W. Comparison of the characteristics of induced and spontaneous db/db mouse models of type 2 diabetes mellitus. </w:t>
      </w:r>
      <w:r>
        <w:rPr>
          <w:rFonts w:ascii="Calibri" w:hAnsi="Calibri" w:cs="Calibri" w:eastAsia="Calibri"/>
          <w:i/>
          <w:color w:val="auto"/>
          <w:spacing w:val="0"/>
          <w:position w:val="0"/>
          <w:sz w:val="24"/>
          <w:shd w:fill="auto" w:val="clear"/>
        </w:rPr>
        <w:t xml:space="preserve">Acta Laboratorium Animalis Scientia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Liu, S., Dong, J., Bian, Q. A dual regulatory effect of naringenin on bone homeostasis in two diabetic mice models. </w:t>
      </w:r>
      <w:r>
        <w:rPr>
          <w:rFonts w:ascii="Calibri" w:hAnsi="Calibri" w:cs="Calibri" w:eastAsia="Calibri"/>
          <w:i/>
          <w:color w:val="auto"/>
          <w:spacing w:val="0"/>
          <w:position w:val="0"/>
          <w:sz w:val="24"/>
          <w:shd w:fill="auto" w:val="clear"/>
        </w:rPr>
        <w:t xml:space="preserve">Traditional Medicine and Modern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03</w:t>
      </w:r>
      <w:r>
        <w:rPr>
          <w:rFonts w:ascii="Calibri" w:hAnsi="Calibri" w:cs="Calibri" w:eastAsia="Calibri"/>
          <w:color w:val="auto"/>
          <w:spacing w:val="0"/>
          <w:position w:val="0"/>
          <w:sz w:val="24"/>
          <w:shd w:fill="auto" w:val="clear"/>
        </w:rPr>
        <w:t xml:space="preserve"> (02),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Sun, C., Wu, Z., Wang, Z., Zhang, H. Effect of ethanol/water solvents on phenolic profiles and anti-oxidant properties of beijing propolis extracts. </w:t>
      </w:r>
      <w:r>
        <w:rPr>
          <w:rFonts w:ascii="Calibri" w:hAnsi="Calibri" w:cs="Calibri" w:eastAsia="Calibri"/>
          <w:i/>
          <w:color w:val="auto"/>
          <w:spacing w:val="0"/>
          <w:position w:val="0"/>
          <w:sz w:val="24"/>
          <w:shd w:fill="auto" w:val="clear"/>
        </w:rPr>
        <w:t xml:space="preserve">Evidence-Based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595393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Huaman-Castilla, N. L. et al. The impact of temperature and ethanol concentration on the global recovery of specific polyphenols in an integrated HPLE/RP process on carm&amp;#233;n&amp;#232;re pomace extracts. </w:t>
      </w:r>
      <w:r>
        <w:rPr>
          <w:rFonts w:ascii="Calibri" w:hAnsi="Calibri" w:cs="Calibri" w:eastAsia="Calibri"/>
          <w:i/>
          <w:color w:val="auto"/>
          <w:spacing w:val="0"/>
          <w:position w:val="0"/>
          <w:sz w:val="24"/>
          <w:shd w:fill="auto" w:val="clear"/>
        </w:rPr>
        <w:t xml:space="preserve">Molecules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van Thriel, C. Toxicology of solvents (including alcohol). </w:t>
      </w:r>
      <w:r>
        <w:rPr>
          <w:rFonts w:ascii="Calibri" w:hAnsi="Calibri" w:cs="Calibri" w:eastAsia="Calibri"/>
          <w:i/>
          <w:color w:val="auto"/>
          <w:spacing w:val="0"/>
          <w:position w:val="0"/>
          <w:sz w:val="24"/>
          <w:shd w:fill="auto" w:val="clear"/>
        </w:rPr>
        <w:t xml:space="preserve">Reference Module in Biomedical Sciences</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Linakis, J. G., Cunningham, C. L. Effects of concentration of ethanol injected intraperitoneally on taste aversion, body temperature, and activity.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Magwaza, L. S. et al. Rapid methods for extracting and quantifying phenolic compounds in citrus rinds. </w:t>
      </w:r>
      <w:r>
        <w:rPr>
          <w:rFonts w:ascii="Calibri" w:hAnsi="Calibri" w:cs="Calibri" w:eastAsia="Calibri"/>
          <w:i/>
          <w:color w:val="auto"/>
          <w:spacing w:val="0"/>
          <w:position w:val="0"/>
          <w:sz w:val="24"/>
          <w:shd w:fill="auto" w:val="clear"/>
        </w:rPr>
        <w:t xml:space="preserve">Food Science &amp;amp;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Smith, E. R., Hadidian, Z., Mason, M. M. The single--and repeated--dose toxicity of dimethyl sulfoxide.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Colucci, M. et al. New insights of dimethyl sulphoxide effects (DMSO) on experimental in vivo models of nociception and inflammation.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Kawakami, K., Oda, N., Miyoshi, K., Funaki, T., Ida, Y. Solubilization behavior of a poorly soluble drug under combined use of surfactants and co-solvents. </w:t>
      </w:r>
      <w:r>
        <w:rPr>
          <w:rFonts w:ascii="Calibri" w:hAnsi="Calibri" w:cs="Calibri" w:eastAsia="Calibri"/>
          <w:i/>
          <w:color w:val="auto"/>
          <w:spacing w:val="0"/>
          <w:position w:val="0"/>
          <w:sz w:val="24"/>
          <w:shd w:fill="auto" w:val="clear"/>
        </w:rPr>
        <w:t xml:space="preserve">European 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