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Microelectrode Array Recording of Sinoatrial Node Firing Rate to Identify Intrinsic Cardiac Pacemaking Defects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Praveen Kumar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 Si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Kelsey Paulhus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Edward Glasscock</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Southern Methodist University, Dallas TX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Edward Glasscock</w:t>
        <w:tab/>
        <w:t xml:space="preserve">(</w:t>
      </w:r>
      <w:r>
        <w:rPr>
          <w:rFonts w:ascii="Calibri" w:hAnsi="Calibri" w:cs="Calibri" w:eastAsia="Calibri"/>
          <w:color w:val="000000"/>
          <w:spacing w:val="0"/>
          <w:position w:val="0"/>
          <w:sz w:val="24"/>
          <w:shd w:fill="auto" w:val="clear"/>
        </w:rPr>
        <w:t xml:space="preserve">eglasscock@smu.edu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Praveen Kumar</w:t>
        <w:tab/>
        <w:t xml:space="preserve">(praveenk@smu.edu)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 Si</w:t>
        <w:tab/>
        <w:tab/>
        <w:tab/>
        <w:t xml:space="preserve">(msi@smu.edu)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Kelsey Paulhus</w:t>
        <w:tab/>
        <w:t xml:space="preserve">(kpaulhus@smu.edu)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microelectrode array, sinoatrial node, pacemaking, firing rate, intrinsic cardiac pacemaking, intrinsic firing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describe a new methodology to measure intrinsic cardiac firing rate using microelectrode array recording of the whole sinoatrial node tissue to identify pacemaking defects in mice. Pharmacological agents can also be introduced in this method to study their effects on intrinsic pacemaking.</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sinoatrial node (SAN), located in the right atrium, contains the pacemaker cells of the heart, and dysfunction of this region can cause tachycardia or bradycardia. Reliable identification of cardiac pacemaking defects requires the measurement of intrinsic heart rates by largely preventing the influence of the autonomic nervous system, which can mask rate deficits. Traditional methods to analyze intrinsic cardiac pacemaker function include drug-induced autonomic blockade to measure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heart rates, isolated heart recordings to measure intrinsic heart rates, and sinoatrial strip or single-cell patch-clamp recordings of sinoatrial pacemaker cells to measure spontaneous action potential firing rates. However, these more traditional techniques can be technically challenging and difficult to perform. Here, we present a new methodology to measure intrinsic cardiac firing rate by performing microelectrode array (MEA) recordings of whole-mount sinoatrial node preparations from mice. MEAs are composed of multiple microelectrodes arranged in a grid-like pattern for recording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extracellular field potentials. The method described herein has the combined advantage of being relatively faster, simpler, and more precise than previous approaches for recording intrinsic heart rates, while also allowing easy pharmacological interrogation.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heart is a complex organ governed by both cardiac-intrinsic and extrinsic influences such as those that originate in the brain. The sinoatrial node (SAN) is a defined region in the heart that houses the pacemaker cells (also referred to as sinoatrial cells, or SA cells) responsible for the initiation and perpetuation of the mammalian heartbeat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intrinsic heart rate is the rate driven by the pacemaker cells without influence by other cardiac or neuro-humoral influences, but traditional measures of heart rate in humans and live animals, such as electrocardiograms, reflect both the pacemaker and neural influences on the heart. The most notable neural influence on SA cells is from the autonomic nervous system, which constantly modulates firing patterns to meet the physiological requirements of the body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Supporting this idea, both sympathetic and parasympathetic projections can be found near the SAN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intrinsic cardiac nervous system (ICNS) is another important neural influence where ganglionated plexi, specifically in the right atria, innervate and regulate the activity of the SAN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pacemaking deficits is clinically important, as dysfunction can underlie many cardiac disorders, as well as contribute to the risk of other complications. Sick sinus syndrome (SSS) is a category of diseases characterized by dysfunction of the sinoatrial node which impedes proper pacemaking</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SSS can present with sinus bradycardia, sinus pauses, sinus arrest, sinoatrial exit block, and alternating bradyarrythmias and tachyarrhythmias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can lead to complications including increased risk of embolic stroke and sudden death</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Those with Brugada syndrome, a cardiac disorder marked by ventricular fibrillation with an increased risk of sudden cardiac death, are at greater risk for arrhythmogenic events if they also have comorbid SAN dysfunction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Sinoatrial dysfunction may also have physiological consequences beyond the heart. For example, SSS has been observed to trigger seizures in a patient due to cerebral hypoperfusion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sinoatrial pacemaking deficits, intrinsic heart rates need to be determined by measuring the activity of the SAN without the influence of the autonomic nervous system or humoral factors. Clinically, this can be approximated by pharmacological autonomic blockade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but this same technique can also be applied in mammalian models to study intrinsic cardiac function</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While this approach blocks a large portion of contributing neural influences and allows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cardiac examination, it does not completely eliminate all extrinsic influences on the heart. Another research technique used to study intrinsic cardiac function in animal models is isolated heart recordings using Langendorff-perfused hearts, which typically involve measurements using electrograms, pacing, or epicardial multielectrode arrays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While this technique is more specific to cardiac function since it involves removing the heart from the body, the measurements may still be influenced by mechano-electric autoregulatory mechanisms that could influence intrinsic heart rate measurements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isolated heart recordings may also still be influenced by autonomic regulation through the ICNS</w:t>
      </w:r>
      <w:r>
        <w:rPr>
          <w:rFonts w:ascii="Calibri" w:hAnsi="Calibri" w:cs="Calibri" w:eastAsia="Calibri"/>
          <w:color w:val="auto"/>
          <w:spacing w:val="0"/>
          <w:position w:val="0"/>
          <w:sz w:val="24"/>
          <w:shd w:fill="auto" w:val="clear"/>
          <w:vertAlign w:val="superscript"/>
        </w:rPr>
        <w:t xml:space="preserve">5,6,22,23</w:t>
      </w:r>
      <w:r>
        <w:rPr>
          <w:rFonts w:ascii="Calibri" w:hAnsi="Calibri" w:cs="Calibri" w:eastAsia="Calibri"/>
          <w:color w:val="auto"/>
          <w:spacing w:val="0"/>
          <w:position w:val="0"/>
          <w:sz w:val="24"/>
          <w:shd w:fill="auto" w:val="clear"/>
        </w:rPr>
        <w:t xml:space="preserve">. Furthermore, maintaining a physiologically relevant temperature of the heart, which is critical for cardiac function measurements, can be difficult in isolated heart approaches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 more direct method to study SAN function is to specifically isolate SAN tissue and measure its activity. This can be accomplished through SAN strips (isolated SAN tissue) or isolated SAN pacemaker cells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Both require a high degree of technical training, as the SAN is a very small and highly defined region, and cell isolation poses an even greater challenge as dissociation can damage the overall health of the cell if not performed correctly. Furthermore, these techniques require expert electrophysiological skills in order to successfully record from the tissue or cells using individual recording microelectrodes.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a technique to record the SAN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using a microelectrode array (MEA) to obtain intrinsic heart rate measurements. This approach has the advantage of making highly specific electrophysiological recordings accessible to researchers lacking intensive electrophysiological skillsets. MEAs have previously been used to study cardiomyocyte function in primary cardiomyocyte cultures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cardiac sheets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tissue whole mounts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Previous work has also been done to examine field potentials in SAN tissue</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Here, we provide a methodology to use the MEA to record and analyze murine intrinsic SAN firing rates. We also describe how this technique can be used to test pharmacological effects of drugs on SAN intrinsic firing rates by providing a sample experiment showing the effects of 4-aminopyridine (4-AP), a voltage-gated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 blocker. Using defined anatomical landmarks, we can accurately record the SAN without having to perform the extensive tissue dissections or cell isolations required in other methods. While the MEA can be cost-prohibitive, the recordings provide highly specific and reliable measures of pacemaking that can be used in a vast array of clinical and physiological research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described here have been carried out in accordance with the guidelines of the National Institutes of Health (NIH), as approved by the Institutional Animal Care and Use Committee (IACUC) at Southern Methodist University.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Coating the multielectrode array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 for recording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Make 25 mM borate buffer.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Dissolve 0.953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·10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80 mL of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Adjust the pH to 8.4 with HCl and then add distilled water to a final volume of 100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Make a 0.1% stock solution of polyethyleneimine (PEI).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Add 100 &amp;#181;L of 50% (w/v) PEI to 4.9 mL of distilled water to make a 1% PEI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Dilute the 1% PEI solution to 0.1% in borate buffer by adding 1 mL of the 1% PEI solution to 9 mL of the 25 mM borate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Pipette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mL of the 0.1% PEI solution into the microelectrode array (MEA) dish so that the electrodes are completely covered (</w:t>
      </w:r>
      <w:r>
        <w:rPr>
          <w:rFonts w:ascii="Calibri" w:hAnsi="Calibri" w:cs="Calibri" w:eastAsia="Calibri"/>
          <w:b/>
          <w:color w:val="auto"/>
          <w:spacing w:val="0"/>
          <w:position w:val="0"/>
          <w:sz w:val="24"/>
          <w:shd w:fill="auto" w:val="clear"/>
        </w:rPr>
        <w:t xml:space="preserve">Figure 1A and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microelectrodes of the MEA are typically composed of platinum black or carbon nanotube and insulated with polyimide (or acrylic); both materials are hydrophobic. By coating the MEA with a cationic polymer such as PEI, the hydrophobic MEA surface is made more hydrophilic, allowing tissue samples to make better contact with the MEA surface (</w:t>
      </w:r>
      <w:r>
        <w:rPr>
          <w:rFonts w:ascii="Calibri" w:hAnsi="Calibri" w:cs="Calibri" w:eastAsia="Calibri"/>
          <w:b/>
          <w:color w:val="auto"/>
          <w:spacing w:val="0"/>
          <w:position w:val="0"/>
          <w:sz w:val="24"/>
          <w:shd w:fill="auto" w:val="clear"/>
        </w:rPr>
        <w:t xml:space="preserve">Figure 1A1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Cover the MEA dish with thermoplastic film to reduce evaporation and leave the MEA overnight at room temperature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Aspirate the PEI solution from the MEA dish using a pipette, being careful not to touch the electrode grid which can damage the electrodes, and then rinse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times with distilled water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Store the PEI-coated MEA under 1-2 mL of ultrapure water and sealed with thermoplastic film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needed. Alternatively, store the coated MEA by submerging it in a beaker filled with ultrapure water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PEI coating process only needs to be performed once for the MEA before its first use, and after each recording session, the MEA should be stored submerged in ultrapure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Preparing complete Tyrode’s solution for tissue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Make 1,000 mL of complete Tyrode’s solution for dissection; first, add 8.1816 g of NaCl to 800 mL of ultrapure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the following amount of chemicals to the solution: 0.4025 g of KCl; 0.1633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1.1915 g of HEPES; 0.9999 g of glucose; 0.0952 g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0.2646 g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Adjust the pH to 7.4 with NaOH and then add ultrapure water until the total volume is 1,000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composition of the Complete Tyrode’s solution will be the following (in mM): 140 NaCl, 5.4 KCl, 1.2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5 HEPES, 5.55 glucose, 1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1.8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Preparing oxygenated Tyrode’s solution for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Make 500 mL of Tyrode’s solution; add 4.003 g of NaCl to 400 mL of ultrapure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the following amounts of chemicals to the solution: 0.651 g of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0.042 g of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0.132 g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0.149 g of KCl; 0.0476 g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0.999 g of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Adjust the pH to 7.4 with HCl and then add ultrapure water until the total volume is 500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Oxygenate the solution with carbogen for at least 30 min at room temperature before starting the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composition of the Tyrode’s solution will be the following (in mM): 137 NaCl, 15.5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0.7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1.8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4 KCl, 1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11.1 glucose. This Tyrode’s solution has a slightly different composition from the Complete Tyrode’s solution used for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Preparing 4-aminopyridine (4-AP) solution for pharmacological modulation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Make a 1 mM working solution of 4-AP; add 18.82 mg of 4-AP to 200 mL of the Tyrode’s solution from step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Oxygenate the 4-AP solution for at least 30 min before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Preparing the Petri dish for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Mix silicone elastomer components in a 10:1 ratio (by weight) of the base to curing 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Pour ~15 mL of silicone elastomer mixture into a 60 mm diameter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Allow elastomer to cure at room temperature for 48 h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siliconized Petri dish can be reused for future dissections.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Dissecting the sinoatrial node (SAN)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Prepare heparinized Complete Tyrode’s solution for SAN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Add 400 &amp;#181;L of heparin (1,000 USP/mL) to 40 mL of Complete Tyrode’s solution and warm in a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Inject the mouse intraperitoneally with 200-300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heparin (1000 USP/mL) and allow the animal to sit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Euthanize the heparinized mouse by isoflurane overdose.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Place the mouse in a small glass chamber that contains isoflurane vapors generated by adding 200-300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liquid isoflurane to a filter paper inside a perforated plastic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isoflurane can cause skin irritation and can also be absorbed through the skin, the liquid should not contact the mouse directly. Therefore, the isoflurane-soaked wipe is placed in a perforated tube for administration.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6.3.2. Verify death by cessation of movement and breathing effort and by the absence of a toe pinch reflex. Death usually takes about 1-2 min following placement into the chamber.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Death is usually accompanied by urination.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Place the mouse in a supine position on a dissection board with paws outstretched and fix the paws to the board using 1 inch long, 23-gauge syringe needles. Then remove the fur in the vicinity of the bottom of the rib cage by using surgical scissors and cutting the fur at the roots.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dissection board, polystyrene cooler lids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While holding the skin with a hemostat, use surgical scissors to make a transverse incision in the skin just beneath the bottom of the rib cage from about the left costal arch to the right costal arch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Cut open the peritoneum with surgical scissors and carefully separate the liver from the diaphragm, being careful not to nick the liver, which will cause excessive bleeding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Incise the diaphragm along the thorax to expose the thoracic cavity (</w:t>
      </w:r>
      <w:r>
        <w:rPr>
          <w:rFonts w:ascii="Calibri" w:hAnsi="Calibri" w:cs="Calibri" w:eastAsia="Calibri"/>
          <w:b/>
          <w:color w:val="auto"/>
          <w:spacing w:val="0"/>
          <w:position w:val="0"/>
          <w:sz w:val="24"/>
          <w:shd w:fill="FFFF00" w:val="clear"/>
        </w:rPr>
        <w:t xml:space="preserve">Figure 3C-D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Using surgical scissors, cut the lateral walls of the rib cage from the edges of the costal arches up to the clavicles to expose the heart, being careful to avoid damaging the heart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Then use a 23-gauge syringe needle to pin the rib cage over the shoulder, holding it in place and out of the way of the surgical field.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6.8. Use a transfer pipette to drip warm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heparinized Complete Tyrode’s solution onto the heart to keep it moist.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the heart to dry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Remove the lungs by holding them with extra fine Graefe forceps and severing the trachea with surgical scissors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6.10. Hold the apex of the heart with extra fine Graefe forceps and remove it by cutting the aorta and inferior vena cava with surgical scissors. Transfer the heart to a Petri dish containing cured silicone elastomer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and use a transfer pipette to bathe the heart with 2-3 mL of warm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heparinized Complete Tyrode’s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damage the delicate posterior wall of the right atria, which contains the SAN, and the connected right atrial veins. Bathing the heart with Complete Tyrode’s solution keeps the heart from drying out but do not fully submerge the heart in solution as it will impair visibility during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Orient the heart with the right atrium on the experimenter’s right and the left atrium on the experimenter’s left.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Dissection of the SAN tissue should be done quickly in order to prevent ischemia-related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Attach the apex of the heart to the dish with a dissection pin. Then, while holding the inferior vena cava with Dumont #2 laminectomy forceps, insert a 22 G syringe needle through the inferior and superior vena cava to locate their position in the right atrium, which also identifies the approximate position of the SAN (located in the patch of tissue between the inferior and superior vena cava</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Using small dissection pins, pin the left and right atrial appendages to the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6.13.1. While holding the left atrial appendage with Dumont #2 laminectomy forceps, put a dissection pin through the left atrial appendage to hold it in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6.13.2. While holding the right atrial appendage with Dumont #55 forceps, put a dissection pin through the right atrial appendage to hold it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type of forceps can be used to hold the left and right atrial appendages if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Remove the syringe needle that spans the venae cavae.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 To release blood from the heart, use Castroviejo scissors to remove the apex of the heart (i.e., the bottom half) by making a transverse incision across the ventricles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Then, wash the heart by adding warm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heparinized Complete Tyrode’s solution with a transfer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 Use Castroviejo scissors to cut along the atrioventricular septum keeping the incision closer to the ventricle than the atria. Continue cutting along the atrioventricular septum until the atria are separated from the ventricles.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6.17. Cut along the interatrial septum to remove the left atrium.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6.18. Place dissection pins in the periphery of the right atrium to make it lay flat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 Remove any remaining fat, vessels, or tissue from the atrium using the Castroviejo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6.19. Locate the SAN in the right atrium, which in this orientation is approximately bordered by the superior vena cava (on the top), inferior vena cava (on the bottom), and cristae terminalis (on the left)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crista terminalis appears as a dark muscular ridge between the right atrial appendage and the SAN. Often the SAN artery can also be seen coursing through the SAN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7. Preparing the MEA system for recording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 Add Tyrode’s solution (from step 3) to the input solution bottle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oxygenate it by turning on the flow of carbogen gas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to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Tyrode’s solution used for the recording is slightly different in composition from the Complete Tyrode’s solution used for the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 Verify the flow of carbogen by observing bubbles in the conical flask, which is used to humidify the gas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input solution bottle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 Insert the peristaltic pump inflow tubing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into the Tyrode’s recording solution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Then, insert the peristaltic pump outflow tubing into the collection bottle (</w:t>
      </w:r>
      <w:r>
        <w:rPr>
          <w:rFonts w:ascii="Calibri" w:hAnsi="Calibri" w:cs="Calibri" w:eastAsia="Calibri"/>
          <w:b/>
          <w:color w:val="auto"/>
          <w:spacing w:val="0"/>
          <w:position w:val="0"/>
          <w:sz w:val="24"/>
          <w:shd w:fill="auto" w:val="clear"/>
        </w:rPr>
        <w:t xml:space="preserve">Figure 5I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Set the peristaltic pump to 25 rpm, which gives a flow rate of 2 mL/min and start the pump. Check the system for any buffer leakage or overflow.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7.5. Set the temperature controller to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the physiological temperature of mice (</w:t>
      </w:r>
      <w:r>
        <w:rPr>
          <w:rFonts w:ascii="Calibri" w:hAnsi="Calibri" w:cs="Calibri" w:eastAsia="Calibri"/>
          <w:b/>
          <w:color w:val="auto"/>
          <w:spacing w:val="0"/>
          <w:position w:val="0"/>
          <w:sz w:val="24"/>
          <w:shd w:fill="FFFF00" w:val="clear"/>
        </w:rPr>
        <w:t xml:space="preserve">Figure 5E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Placing the heart tissue on the MEA grid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Transfer the dissected SAN tissue with the help of a paint brush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 from the dissecting Petri dish onto the MEA grid (</w:t>
      </w:r>
      <w:r>
        <w:rPr>
          <w:rFonts w:ascii="Calibri" w:hAnsi="Calibri" w:cs="Calibri" w:eastAsia="Calibri"/>
          <w:b/>
          <w:color w:val="auto"/>
          <w:spacing w:val="0"/>
          <w:position w:val="0"/>
          <w:sz w:val="24"/>
          <w:shd w:fill="FFFF00" w:val="clear"/>
        </w:rPr>
        <w:t xml:space="preserve">Figure 1A1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8.1.1. While looking under an inverted microscope, gently position the tissue with a soft paint brush so that the SAN region overlays the electrode grid.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 Re-position the tissue as necessary to ensure it lays flat on the electrode grid, making good contact with the electrodes.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soft paint brush is required for moving the tissue to avoid damaging the electrode grid.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8.2. Once the tissue is correctly positioned, use bone forceps (or any curved forceps) to place the mesh over the tissue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Then use the bone forceps to place the harp anchor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 on the mesh to hold everything in place (</w:t>
      </w:r>
      <w:r>
        <w:rPr>
          <w:rFonts w:ascii="Calibri" w:hAnsi="Calibri" w:cs="Calibri" w:eastAsia="Calibri"/>
          <w:b/>
          <w:color w:val="auto"/>
          <w:spacing w:val="0"/>
          <w:position w:val="0"/>
          <w:sz w:val="24"/>
          <w:shd w:fill="FFFF00" w:val="clear"/>
        </w:rPr>
        <w:t xml:space="preserve">Figure 6B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Take a picture of the positioning of the tissue on the MEA so that the activity of individual electrodes can be correlated with their anatomical location during the recording. This can be done by holding a smartphone up to the inverted microscope objective or by using an attached microscope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orientation of the MEA is not changed after taking the picture, the top left electrode will appear as the first channel (Ch1) during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8.4. Place the MEA dish on the connector plate (</w:t>
      </w:r>
      <w:r>
        <w:rPr>
          <w:rFonts w:ascii="Calibri" w:hAnsi="Calibri" w:cs="Calibri" w:eastAsia="Calibri"/>
          <w:b/>
          <w:color w:val="auto"/>
          <w:spacing w:val="0"/>
          <w:position w:val="0"/>
          <w:sz w:val="24"/>
          <w:shd w:fill="FFFF00" w:val="clear"/>
        </w:rPr>
        <w:t xml:space="preserve">Figure 5F and 6C</w:t>
      </w:r>
      <w:r>
        <w:rPr>
          <w:rFonts w:ascii="Calibri" w:hAnsi="Calibri" w:cs="Calibri" w:eastAsia="Calibri"/>
          <w:color w:val="auto"/>
          <w:spacing w:val="0"/>
          <w:position w:val="0"/>
          <w:sz w:val="24"/>
          <w:shd w:fill="FFFF00" w:val="clear"/>
        </w:rPr>
        <w:t xml:space="preserve">) and carefully place the perfusion cap (</w:t>
      </w:r>
      <w:r>
        <w:rPr>
          <w:rFonts w:ascii="Calibri" w:hAnsi="Calibri" w:cs="Calibri" w:eastAsia="Calibri"/>
          <w:b/>
          <w:color w:val="auto"/>
          <w:spacing w:val="0"/>
          <w:position w:val="0"/>
          <w:sz w:val="24"/>
          <w:shd w:fill="FFFF00" w:val="clear"/>
        </w:rPr>
        <w:t xml:space="preserve">Figure 6C</w:t>
      </w:r>
      <w:r>
        <w:rPr>
          <w:rFonts w:ascii="Calibri" w:hAnsi="Calibri" w:cs="Calibri" w:eastAsia="Calibri"/>
          <w:color w:val="auto"/>
          <w:spacing w:val="0"/>
          <w:position w:val="0"/>
          <w:sz w:val="24"/>
          <w:shd w:fill="FFFF00" w:val="clear"/>
        </w:rPr>
        <w:t xml:space="preserve">) on the MEA dish without disturbing the harp slice anchor. The perfusion cap can be further secured using a piece of lab tape (</w:t>
      </w:r>
      <w:r>
        <w:rPr>
          <w:rFonts w:ascii="Calibri" w:hAnsi="Calibri" w:cs="Calibri" w:eastAsia="Calibri"/>
          <w:b/>
          <w:color w:val="auto"/>
          <w:spacing w:val="0"/>
          <w:position w:val="0"/>
          <w:sz w:val="24"/>
          <w:shd w:fill="FFFF00" w:val="clear"/>
        </w:rPr>
        <w:t xml:space="preserve">Figure 6C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having adjustable solution inflow and outflow pipes, the cap also has a port for the delivery of gas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In addition, the reference electrode ring runs through the cap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Allow the tissue to recover from handling and to acclimate to the chamber for 15-20 min prior to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9. Setting the data acquisition protocol for recording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describe opening the software protocol for spontaneous beat recording and defining the recording conditions. The specifics of these steps may vary depending on the specific software being used, but the general outline should remain the same.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9.1. Turn on the amplifier (</w:t>
      </w:r>
      <w:r>
        <w:rPr>
          <w:rFonts w:ascii="Calibri" w:hAnsi="Calibri" w:cs="Calibri" w:eastAsia="Calibri"/>
          <w:b/>
          <w:color w:val="auto"/>
          <w:spacing w:val="0"/>
          <w:position w:val="0"/>
          <w:sz w:val="24"/>
          <w:shd w:fill="FFFF00" w:val="clear"/>
        </w:rPr>
        <w:t xml:space="preserve">Figure 5G</w:t>
      </w:r>
      <w:r>
        <w:rPr>
          <w:rFonts w:ascii="Calibri" w:hAnsi="Calibri" w:cs="Calibri" w:eastAsia="Calibri"/>
          <w:color w:val="auto"/>
          <w:spacing w:val="0"/>
          <w:position w:val="0"/>
          <w:sz w:val="24"/>
          <w:shd w:fill="FFFF00" w:val="clear"/>
        </w:rPr>
        <w:t xml:space="preserve">), and set up a workflow for the recording in the software on the computer (</w:t>
      </w:r>
      <w:r>
        <w:rPr>
          <w:rFonts w:ascii="Calibri" w:hAnsi="Calibri" w:cs="Calibri" w:eastAsia="Calibri"/>
          <w:b/>
          <w:color w:val="auto"/>
          <w:spacing w:val="0"/>
          <w:position w:val="0"/>
          <w:sz w:val="24"/>
          <w:shd w:fill="FFFF00" w:val="clear"/>
        </w:rPr>
        <w:t xml:space="preserve">Figure 5H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Open the software and click on the </w:t>
      </w:r>
      <w:r>
        <w:rPr>
          <w:rFonts w:ascii="Calibri" w:hAnsi="Calibri" w:cs="Calibri" w:eastAsia="Calibri"/>
          <w:b/>
          <w:color w:val="auto"/>
          <w:spacing w:val="0"/>
          <w:position w:val="0"/>
          <w:sz w:val="24"/>
          <w:shd w:fill="auto" w:val="clear"/>
        </w:rPr>
        <w:t xml:space="preserve">Workflow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 Select </w:t>
      </w:r>
      <w:r>
        <w:rPr>
          <w:rFonts w:ascii="Calibri" w:hAnsi="Calibri" w:cs="Calibri" w:eastAsia="Calibri"/>
          <w:b/>
          <w:color w:val="auto"/>
          <w:spacing w:val="0"/>
          <w:position w:val="0"/>
          <w:sz w:val="24"/>
          <w:shd w:fill="auto" w:val="clear"/>
        </w:rPr>
        <w:t xml:space="preserve">Open New Folder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 Open the </w:t>
      </w:r>
      <w:r>
        <w:rPr>
          <w:rFonts w:ascii="Calibri" w:hAnsi="Calibri" w:cs="Calibri" w:eastAsia="Calibri"/>
          <w:b/>
          <w:color w:val="auto"/>
          <w:spacing w:val="0"/>
          <w:position w:val="0"/>
          <w:sz w:val="24"/>
          <w:shd w:fill="auto" w:val="clear"/>
        </w:rPr>
        <w:t xml:space="preserve">From Templates</w:t>
      </w:r>
      <w:r>
        <w:rPr>
          <w:rFonts w:ascii="Calibri" w:hAnsi="Calibri" w:cs="Calibri" w:eastAsia="Calibri"/>
          <w:color w:val="auto"/>
          <w:spacing w:val="0"/>
          <w:position w:val="0"/>
          <w:sz w:val="24"/>
          <w:shd w:fill="auto" w:val="clear"/>
        </w:rPr>
        <w:t xml:space="preserve">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 Select </w:t>
      </w:r>
      <w:r>
        <w:rPr>
          <w:rFonts w:ascii="Calibri" w:hAnsi="Calibri" w:cs="Calibri" w:eastAsia="Calibri"/>
          <w:b/>
          <w:color w:val="auto"/>
          <w:spacing w:val="0"/>
          <w:position w:val="0"/>
          <w:sz w:val="24"/>
          <w:shd w:fill="auto" w:val="clear"/>
        </w:rPr>
        <w:t xml:space="preserve">64MD1-1920X1080</w:t>
      </w:r>
      <w:r>
        <w:rPr>
          <w:rFonts w:ascii="Calibri" w:hAnsi="Calibri" w:cs="Calibri" w:eastAsia="Calibri"/>
          <w:color w:val="auto"/>
          <w:spacing w:val="0"/>
          <w:position w:val="0"/>
          <w:sz w:val="24"/>
          <w:shd w:fill="auto" w:val="clear"/>
        </w:rPr>
        <w:t xml:space="preserve"> (depending on the resolution of your desktop).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9.1.5. Open the </w:t>
      </w:r>
      <w:r>
        <w:rPr>
          <w:rFonts w:ascii="Calibri" w:hAnsi="Calibri" w:cs="Calibri" w:eastAsia="Calibri"/>
          <w:b/>
          <w:color w:val="auto"/>
          <w:spacing w:val="0"/>
          <w:position w:val="0"/>
          <w:sz w:val="24"/>
          <w:shd w:fill="auto" w:val="clear"/>
        </w:rPr>
        <w:t xml:space="preserve">QT</w:t>
      </w:r>
      <w:r>
        <w:rPr>
          <w:rFonts w:ascii="Calibri" w:hAnsi="Calibri" w:cs="Calibri" w:eastAsia="Calibri"/>
          <w:color w:val="auto"/>
          <w:spacing w:val="0"/>
          <w:position w:val="0"/>
          <w:sz w:val="24"/>
          <w:shd w:fill="auto" w:val="clear"/>
        </w:rPr>
        <w:t xml:space="preserve">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9.1.6. Open the </w:t>
      </w:r>
      <w:r>
        <w:rPr>
          <w:rFonts w:ascii="Calibri" w:hAnsi="Calibri" w:cs="Calibri" w:eastAsia="Calibri"/>
          <w:b/>
          <w:color w:val="auto"/>
          <w:spacing w:val="0"/>
          <w:position w:val="0"/>
          <w:sz w:val="24"/>
          <w:shd w:fill="auto" w:val="clear"/>
        </w:rPr>
        <w:t xml:space="preserve">Spontaneous recording</w:t>
      </w:r>
      <w:r>
        <w:rPr>
          <w:rFonts w:ascii="Calibri" w:hAnsi="Calibri" w:cs="Calibri" w:eastAsia="Calibri"/>
          <w:color w:val="auto"/>
          <w:spacing w:val="0"/>
          <w:position w:val="0"/>
          <w:sz w:val="24"/>
          <w:shd w:fill="auto" w:val="clear"/>
        </w:rPr>
        <w:t xml:space="preserve">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9.1.7. Select </w:t>
      </w:r>
      <w:r>
        <w:rPr>
          <w:rFonts w:ascii="Calibri" w:hAnsi="Calibri" w:cs="Calibri" w:eastAsia="Calibri"/>
          <w:b/>
          <w:color w:val="auto"/>
          <w:spacing w:val="0"/>
          <w:position w:val="0"/>
          <w:sz w:val="24"/>
          <w:shd w:fill="FFFF00" w:val="clear"/>
        </w:rPr>
        <w:t xml:space="preserve">Beat_recording.moflo</w:t>
      </w:r>
      <w:r>
        <w:rPr>
          <w:rFonts w:ascii="Calibri" w:hAnsi="Calibri" w:cs="Calibri" w:eastAsia="Calibri"/>
          <w:color w:val="auto"/>
          <w:spacing w:val="0"/>
          <w:position w:val="0"/>
          <w:sz w:val="24"/>
          <w:shd w:fill="FFFF00" w:val="clear"/>
        </w:rPr>
        <w:t xml:space="preserve"> template and open it (</w:t>
      </w:r>
      <w:r>
        <w:rPr>
          <w:rFonts w:ascii="Calibri" w:hAnsi="Calibri" w:cs="Calibri" w:eastAsia="Calibri"/>
          <w:b/>
          <w:color w:val="auto"/>
          <w:spacing w:val="0"/>
          <w:position w:val="0"/>
          <w:sz w:val="24"/>
          <w:shd w:fill="FFFF00" w:val="clear"/>
        </w:rPr>
        <w:t xml:space="preserve">Figure 7A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9.2. Set the recording parameters to specify the number of traces, trace duration, trace interval, input voltage, sampling rate, etc., according to the desired recording conditions (</w:t>
      </w:r>
      <w:r>
        <w:rPr>
          <w:rFonts w:ascii="Calibri" w:hAnsi="Calibri" w:cs="Calibri" w:eastAsia="Calibri"/>
          <w:b/>
          <w:color w:val="auto"/>
          <w:spacing w:val="0"/>
          <w:position w:val="0"/>
          <w:sz w:val="24"/>
          <w:shd w:fill="FFFF00" w:val="clear"/>
        </w:rPr>
        <w:t xml:space="preserve">Figure 7B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beat frequency and interspike data acquisition, typically use an input range voltage of 2.9 mV, a 1-Hz high pass filter, a 1000-Hz low pass filter, and a sampling rate of 20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To mark different phases or conditions of the experiment, such as before and after drug administration, click on the </w:t>
      </w:r>
      <w:r>
        <w:rPr>
          <w:rFonts w:ascii="Calibri" w:hAnsi="Calibri" w:cs="Calibri" w:eastAsia="Calibri"/>
          <w:b/>
          <w:color w:val="auto"/>
          <w:spacing w:val="0"/>
          <w:position w:val="0"/>
          <w:sz w:val="24"/>
          <w:shd w:fill="auto" w:val="clear"/>
        </w:rPr>
        <w:t xml:space="preserve">Annotations </w:t>
      </w:r>
      <w:r>
        <w:rPr>
          <w:rFonts w:ascii="Calibri" w:hAnsi="Calibri" w:cs="Calibri" w:eastAsia="Calibri"/>
          <w:color w:val="auto"/>
          <w:spacing w:val="0"/>
          <w:position w:val="0"/>
          <w:sz w:val="24"/>
          <w:shd w:fill="auto" w:val="clear"/>
        </w:rPr>
        <w:t xml:space="preserve">tab to add the desired notations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To specify the file destination for the data to be collected, select the </w:t>
      </w:r>
      <w:r>
        <w:rPr>
          <w:rFonts w:ascii="Calibri" w:hAnsi="Calibri" w:cs="Calibri" w:eastAsia="Calibri"/>
          <w:b/>
          <w:color w:val="auto"/>
          <w:spacing w:val="0"/>
          <w:position w:val="0"/>
          <w:sz w:val="24"/>
          <w:shd w:fill="auto" w:val="clear"/>
        </w:rPr>
        <w:t xml:space="preserve">Enable Storage</w:t>
      </w:r>
      <w:r>
        <w:rPr>
          <w:rFonts w:ascii="Calibri" w:hAnsi="Calibri" w:cs="Calibri" w:eastAsia="Calibri"/>
          <w:color w:val="auto"/>
          <w:spacing w:val="0"/>
          <w:position w:val="0"/>
          <w:sz w:val="24"/>
          <w:shd w:fill="auto" w:val="clear"/>
        </w:rPr>
        <w:t xml:space="preserve"> box and enter the desired file name in the </w:t>
      </w:r>
      <w:r>
        <w:rPr>
          <w:rFonts w:ascii="Calibri" w:hAnsi="Calibri" w:cs="Calibri" w:eastAsia="Calibri"/>
          <w:b/>
          <w:color w:val="auto"/>
          <w:spacing w:val="0"/>
          <w:position w:val="0"/>
          <w:sz w:val="24"/>
          <w:shd w:fill="auto" w:val="clear"/>
        </w:rPr>
        <w:t xml:space="preserve">File name modifier</w:t>
      </w:r>
      <w:r>
        <w:rPr>
          <w:rFonts w:ascii="Calibri" w:hAnsi="Calibri" w:cs="Calibri" w:eastAsia="Calibri"/>
          <w:color w:val="auto"/>
          <w:spacing w:val="0"/>
          <w:position w:val="0"/>
          <w:sz w:val="24"/>
          <w:shd w:fill="auto" w:val="clear"/>
        </w:rPr>
        <w:t xml:space="preser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10. Performing the recording and collecting data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10.1. Click the </w:t>
      </w:r>
      <w:r>
        <w:rPr>
          <w:rFonts w:ascii="Calibri" w:hAnsi="Calibri" w:cs="Calibri" w:eastAsia="Calibri"/>
          <w:b/>
          <w:color w:val="auto"/>
          <w:spacing w:val="0"/>
          <w:position w:val="0"/>
          <w:sz w:val="24"/>
          <w:shd w:fill="FFFF00" w:val="clear"/>
        </w:rPr>
        <w:t xml:space="preserve">Record and Play</w:t>
      </w:r>
      <w:r>
        <w:rPr>
          <w:rFonts w:ascii="Calibri" w:hAnsi="Calibri" w:cs="Calibri" w:eastAsia="Calibri"/>
          <w:color w:val="auto"/>
          <w:spacing w:val="0"/>
          <w:position w:val="0"/>
          <w:sz w:val="24"/>
          <w:shd w:fill="FFFF00" w:val="clear"/>
        </w:rPr>
        <w:t xml:space="preserve"> button on the topmost menu bar of the acquisition software to start the recording. Acquire data for 10 traces of 1 min duration with intervals of 2 min between traces.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From these initial traces, verify that the recorded waveforms are consistent with a healthy and high-quality tissue preparation by confirming that the majority of the recording channels exhibit signal amplitudes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0.5 mV and identical inter-spike intervals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initial assessment of the activity and waveforms of the individual microelectrodes corresponding to their anatomical locations can be performed by referencing the picture acquired after positioning the tissue on the MEA.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To measure the effects of drugs on the tissue, pause the recording after acquiring initial baseline data by clicking the pause button on the topmost menu 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drug response phase of the experiment can be notated in the recording by clicking on the </w:t>
      </w:r>
      <w:r>
        <w:rPr>
          <w:rFonts w:ascii="Calibri" w:hAnsi="Calibri" w:cs="Calibri" w:eastAsia="Calibri"/>
          <w:b/>
          <w:color w:val="auto"/>
          <w:spacing w:val="0"/>
          <w:position w:val="0"/>
          <w:sz w:val="24"/>
          <w:shd w:fill="auto" w:val="clear"/>
        </w:rPr>
        <w:t xml:space="preserve">Annotations</w:t>
      </w:r>
      <w:r>
        <w:rPr>
          <w:rFonts w:ascii="Calibri" w:hAnsi="Calibri" w:cs="Calibri" w:eastAsia="Calibri"/>
          <w:color w:val="auto"/>
          <w:spacing w:val="0"/>
          <w:position w:val="0"/>
          <w:sz w:val="24"/>
          <w:shd w:fill="auto" w:val="clear"/>
        </w:rPr>
        <w:t xml:space="preserve"> tab and adding the desired notation as described above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10.4. Pause the pump and switch the pump inflow tubing from the normal recording solution to Tyrode’s solution containing the desired drug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example experiment, Tyrode’s solution was used with 1 mM 4-aminopyridine (4-AP).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10.5. Restart the pump and un-pause the recording to begin collecting data again.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10.6. Once the drug-infused Tyrode’s solution has reached the tissue, record 10 traces in the same manner as done previously for the baseline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traces will take some time to stabilize as the drug infuses into the recording chamber. The mechanism of action of the drug may also affect recording stability. For drugs that have reversible mechanisms of action, a washout period should also be recorded to confirm restoration of activity to baseline levels, which is an indicator of healthy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 Click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to conclude the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10.8. Take a final picture of the positioning of the tissue on the MEA under the microscope in case the tissue has shifted following the initial recording setup procedure.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Cleaning the setup after the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Clean the MEA.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After finishing recording, gently remove the recording solution from the MEA dish using a 1 mL micropipette.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contact the MEA electrodes which can damage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Remove the mesh and harp anchor with bone forceps (or any curved forceps). Then use a paint brush to dislodge the tissue from the MEA surface always being careful not to touch the individual microelectrodes.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Using a wash bottle, gently rinse the MEA dish with ultrapure water about 3 to 4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 Store the cleaned MEA immersed in ultrapure water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Rinse the system tubing by running ultrapure water through it for at least 5 min using the maximum speed setting on the peristaltic pump.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fungal growth, no water or buffer solution should be left inside the tubing after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12. Analyzing the MEA recordings to measure SAN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beat frequency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Open the saved recorded data file in the “Beat_frequency_analysis” template of the analysis software (</w:t>
      </w:r>
      <w:r>
        <w:rPr>
          <w:rFonts w:ascii="Calibri" w:hAnsi="Calibri" w:cs="Calibri" w:eastAsia="Calibri"/>
          <w:b/>
          <w:color w:val="auto"/>
          <w:spacing w:val="0"/>
          <w:position w:val="0"/>
          <w:sz w:val="24"/>
          <w:shd w:fill="FFFF00" w:val="clear"/>
        </w:rPr>
        <w:t xml:space="preserve">Figure 9</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12.2. Click on the </w:t>
      </w:r>
      <w:r>
        <w:rPr>
          <w:rFonts w:ascii="Calibri" w:hAnsi="Calibri" w:cs="Calibri" w:eastAsia="Calibri"/>
          <w:b/>
          <w:color w:val="auto"/>
          <w:spacing w:val="0"/>
          <w:position w:val="0"/>
          <w:sz w:val="24"/>
          <w:shd w:fill="FFFF00" w:val="clear"/>
        </w:rPr>
        <w:t xml:space="preserve">Play</w:t>
      </w:r>
      <w:r>
        <w:rPr>
          <w:rFonts w:ascii="Calibri" w:hAnsi="Calibri" w:cs="Calibri" w:eastAsia="Calibri"/>
          <w:color w:val="auto"/>
          <w:spacing w:val="0"/>
          <w:position w:val="0"/>
          <w:sz w:val="24"/>
          <w:shd w:fill="FFFF00" w:val="clear"/>
        </w:rPr>
        <w:t xml:space="preserve"> button and allow the entire recording to run to visualize the data set and assign appropriate analysis parameters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 Select the binning window for the desired display format of the data, whether it is displayed as an average per trace or average per time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12.2.2. Select the channels to be included in the analysis and set the desired amplitude maxima or amplitude minima threshold values for automated waveform peak identification (</w:t>
      </w:r>
      <w:r>
        <w:rPr>
          <w:rFonts w:ascii="Calibri" w:hAnsi="Calibri" w:cs="Calibri" w:eastAsia="Calibri"/>
          <w:b/>
          <w:color w:val="auto"/>
          <w:spacing w:val="0"/>
          <w:position w:val="0"/>
          <w:sz w:val="24"/>
          <w:shd w:fill="FFFF00" w:val="clear"/>
        </w:rPr>
        <w:t xml:space="preserve">Figure 10B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individual channel, a combination of channels, or all 64 channels can be selected for analysis at this step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If the threshold values selected are too close to the waveform’s maxima and minima values, some waveform peaks may not be identified by the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 Set the amount of pre-spike and post-spike time to be included in the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Settings of 50 ms pre-spike and 100 ms post-spike usually work well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After setting the analysis conditions, click on the Play button again to rerun the data set and confirm that the analysis parameters are appropriate for spike extraction.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 For analysis, identify the three most stable consecutive traces that exhibit stable beating rate for each trace across the majority of channels both during the baseline period of the experiment and another three consecutive stable traces during the drug exposure period (</w:t>
      </w:r>
      <w:r>
        <w:rPr>
          <w:rFonts w:ascii="Calibri" w:hAnsi="Calibri" w:cs="Calibri" w:eastAsia="Calibri"/>
          <w:b/>
          <w:color w:val="auto"/>
          <w:spacing w:val="0"/>
          <w:position w:val="0"/>
          <w:sz w:val="24"/>
          <w:shd w:fill="FFFF00" w:val="clear"/>
        </w:rPr>
        <w:t xml:space="preserve">Figure 10A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Specify the start and end traces for analysis and enter the time duration of each trace to be analyzed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Before starting the analysis, select the enable boxes for both </w:t>
      </w:r>
      <w:r>
        <w:rPr>
          <w:rFonts w:ascii="Calibri" w:hAnsi="Calibri" w:cs="Calibri" w:eastAsia="Calibri"/>
          <w:b/>
          <w:color w:val="auto"/>
          <w:spacing w:val="0"/>
          <w:position w:val="0"/>
          <w:sz w:val="24"/>
          <w:shd w:fill="auto" w:val="clear"/>
        </w:rPr>
        <w:t xml:space="preserve">Save beat per minute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Save interspike interval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Enter the desired file name in the </w:t>
      </w:r>
      <w:r>
        <w:rPr>
          <w:rFonts w:ascii="Calibri" w:hAnsi="Calibri" w:cs="Calibri" w:eastAsia="Calibri"/>
          <w:b/>
          <w:color w:val="auto"/>
          <w:spacing w:val="0"/>
          <w:position w:val="0"/>
          <w:sz w:val="24"/>
          <w:shd w:fill="auto" w:val="clear"/>
        </w:rPr>
        <w:t xml:space="preserve">File name modifier</w:t>
      </w:r>
      <w:r>
        <w:rPr>
          <w:rFonts w:ascii="Calibri" w:hAnsi="Calibri" w:cs="Calibri" w:eastAsia="Calibri"/>
          <w:color w:val="auto"/>
          <w:spacing w:val="0"/>
          <w:position w:val="0"/>
          <w:sz w:val="24"/>
          <w:shd w:fill="auto" w:val="clear"/>
        </w:rPr>
        <w:t xml:space="preserve"> box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The analyzed data for beat frequency and interspike interval will be saved in the form of ASCII (text)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analyze different conditions (such as baseline and drug response), analysis must be run separately for each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12.8. Click the </w:t>
      </w:r>
      <w:r>
        <w:rPr>
          <w:rFonts w:ascii="Calibri" w:hAnsi="Calibri" w:cs="Calibri" w:eastAsia="Calibri"/>
          <w:b/>
          <w:color w:val="auto"/>
          <w:spacing w:val="0"/>
          <w:position w:val="0"/>
          <w:sz w:val="24"/>
          <w:shd w:fill="FFFF00" w:val="clear"/>
        </w:rPr>
        <w:t xml:space="preserve">Play and Record</w:t>
      </w:r>
      <w:r>
        <w:rPr>
          <w:rFonts w:ascii="Calibri" w:hAnsi="Calibri" w:cs="Calibri" w:eastAsia="Calibri"/>
          <w:color w:val="auto"/>
          <w:spacing w:val="0"/>
          <w:position w:val="0"/>
          <w:sz w:val="24"/>
          <w:shd w:fill="FFFF00" w:val="clear"/>
        </w:rPr>
        <w:t xml:space="preserve"> button on the top tab bar to start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export the data for other applications, select the boxes for </w:t>
      </w:r>
      <w:r>
        <w:rPr>
          <w:rFonts w:ascii="Calibri" w:hAnsi="Calibri" w:cs="Calibri" w:eastAsia="Calibri"/>
          <w:b/>
          <w:color w:val="auto"/>
          <w:spacing w:val="0"/>
          <w:position w:val="0"/>
          <w:sz w:val="24"/>
          <w:shd w:fill="auto" w:val="clear"/>
        </w:rPr>
        <w:t xml:space="preserve">Save beat per minute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Save interspike interval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Enter the desired file name in the </w:t>
      </w:r>
      <w:r>
        <w:rPr>
          <w:rFonts w:ascii="Calibri" w:hAnsi="Calibri" w:cs="Calibri" w:eastAsia="Calibri"/>
          <w:b/>
          <w:color w:val="auto"/>
          <w:spacing w:val="0"/>
          <w:position w:val="0"/>
          <w:sz w:val="24"/>
          <w:shd w:fill="auto" w:val="clear"/>
        </w:rPr>
        <w:t xml:space="preserve">File name modifier</w:t>
      </w:r>
      <w:r>
        <w:rPr>
          <w:rFonts w:ascii="Calibri" w:hAnsi="Calibri" w:cs="Calibri" w:eastAsia="Calibri"/>
          <w:color w:val="auto"/>
          <w:spacing w:val="0"/>
          <w:position w:val="0"/>
          <w:sz w:val="24"/>
          <w:shd w:fill="auto" w:val="clear"/>
        </w:rPr>
        <w:t xml:space="preserve"> box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to save the analyzed data in ASCII text format in the selected folder.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allowing the tissue to acclimate in the dish for 15 min, 10 one-min traces are recorded. Our current protocol records activity for over an hour, but we have recorded stable firing patterns for 4 h in unpublished data not shown here. If an experimental preparation is good for data collection, each recording channel should exhibit consistent and evenly spaced recurring waveforms (i.e., spikes) of uniform shape for a given channel (</w:t>
      </w:r>
      <w:r>
        <w:rPr>
          <w:rFonts w:ascii="Calibri" w:hAnsi="Calibri" w:cs="Calibri" w:eastAsia="Calibri"/>
          <w:b/>
          <w:color w:val="auto"/>
          <w:spacing w:val="0"/>
          <w:position w:val="0"/>
          <w:sz w:val="24"/>
          <w:shd w:fill="auto" w:val="clear"/>
        </w:rPr>
        <w:t xml:space="preserve">Figure 11D</w:t>
      </w:r>
      <w:r>
        <w:rPr>
          <w:rFonts w:ascii="Calibri" w:hAnsi="Calibri" w:cs="Calibri" w:eastAsia="Calibri"/>
          <w:color w:val="auto"/>
          <w:spacing w:val="0"/>
          <w:position w:val="0"/>
          <w:sz w:val="24"/>
          <w:shd w:fill="auto" w:val="clear"/>
        </w:rPr>
        <w:t xml:space="preserve">). These waveforms correspond to individual heart beats that reflect intrinsic cardiac pacemaking activity. The interspike intervals should be the same for every channel even if they may not be perfectly aligned across channels due to small differences in their location relative to the initiation site of depolarization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Although the shape of the waveforms for a given channel should be consistent, the shape of the waveforms will vary across channels depending on the location of the electrode in the tissue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degree of contact of the tissue with the electrode may also influence waveform characteristics, such as the amplitude. However, the amplitude maxima should be at least 0.5 mV for the majority of channels if the preparation is satisfactory. From the 10 recorded traces, the three consecutive channels that best meet the quality criteria described above were chosen for further analysis described below.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shows a sample of stable beat frequency (top panel) and interspike interval (middle panel) for three consecutive traces. Tissue that does not meet these criteria should not be recorded as there is likely tissue damage that will hinder accurate data collection.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shows examples of bad extracted spike patterns which are either absent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influenced by noise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unstable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data displayed in the figures was collected from a 45-day old male wildtype Black Swiss (Tac:N:NIHS-BC) mouse. The analysis procedure depicted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was used to extract the intrinsic firing rate and display baseline spikes that can be seen in </w:t>
      </w:r>
      <w:r>
        <w:rPr>
          <w:rFonts w:ascii="Calibri" w:hAnsi="Calibri" w:cs="Calibri" w:eastAsia="Calibri"/>
          <w:b/>
          <w:color w:val="auto"/>
          <w:spacing w:val="0"/>
          <w:position w:val="0"/>
          <w:sz w:val="24"/>
          <w:shd w:fill="auto" w:val="clear"/>
        </w:rPr>
        <w:t xml:space="preserve">Figure 12A</w:t>
      </w:r>
      <w:r>
        <w:rPr>
          <w:rFonts w:ascii="Calibri" w:hAnsi="Calibri" w:cs="Calibri" w:eastAsia="Calibri"/>
          <w:color w:val="auto"/>
          <w:spacing w:val="0"/>
          <w:position w:val="0"/>
          <w:sz w:val="24"/>
          <w:shd w:fill="auto" w:val="clear"/>
        </w:rPr>
        <w:t xml:space="preserve">. The firing rate is the average rate across 60,000 ms from each of the three traces, but the spike pattern in </w:t>
      </w:r>
      <w:r>
        <w:rPr>
          <w:rFonts w:ascii="Calibri" w:hAnsi="Calibri" w:cs="Calibri" w:eastAsia="Calibri"/>
          <w:b/>
          <w:color w:val="auto"/>
          <w:spacing w:val="0"/>
          <w:position w:val="0"/>
          <w:sz w:val="24"/>
          <w:shd w:fill="auto" w:val="clear"/>
        </w:rPr>
        <w:t xml:space="preserve">Figure 12A</w:t>
      </w:r>
      <w:r>
        <w:rPr>
          <w:rFonts w:ascii="Calibri" w:hAnsi="Calibri" w:cs="Calibri" w:eastAsia="Calibri"/>
          <w:color w:val="auto"/>
          <w:spacing w:val="0"/>
          <w:position w:val="0"/>
          <w:sz w:val="24"/>
          <w:shd w:fill="auto" w:val="clear"/>
        </w:rPr>
        <w:t xml:space="preserve"> shows 5 s of representative spiking from a single trace. Using automated analysis software, the intrinsic firing rate (i.e., beat frequency) of the selected three traces across all 64 channels was found to be approximately 320 bpm in our sample data (</w:t>
      </w:r>
      <w:r>
        <w:rPr>
          <w:rFonts w:ascii="Calibri" w:hAnsi="Calibri" w:cs="Calibri" w:eastAsia="Calibri"/>
          <w:b/>
          <w:color w:val="auto"/>
          <w:spacing w:val="0"/>
          <w:position w:val="0"/>
          <w:sz w:val="24"/>
          <w:shd w:fill="auto" w:val="clear"/>
        </w:rPr>
        <w:t xml:space="preserve">Figure 12A</w:t>
      </w:r>
      <w:r>
        <w:rPr>
          <w:rFonts w:ascii="Calibri" w:hAnsi="Calibri" w:cs="Calibri" w:eastAsia="Calibri"/>
          <w:color w:val="auto"/>
          <w:spacing w:val="0"/>
          <w:position w:val="0"/>
          <w:sz w:val="24"/>
          <w:shd w:fill="auto" w:val="clear"/>
        </w:rPr>
        <w:t xml:space="preserve">). In general, we observe a range of values of about 290-340 bpm in our recordings for wildtype mice. The firing rate can also be used as a secondary method to assess preparation quality. Rates that are either unstable or significantly lower than 300 bpm are less likely to be good for analysis. These values are comparable to both isolated heart and single cell recordings which report intrinsic heart rates in the range of approximately 300-500 bpm</w:t>
      </w:r>
      <w:r>
        <w:rPr>
          <w:rFonts w:ascii="Calibri" w:hAnsi="Calibri" w:cs="Calibri" w:eastAsia="Calibri"/>
          <w:color w:val="auto"/>
          <w:spacing w:val="0"/>
          <w:position w:val="0"/>
          <w:sz w:val="24"/>
          <w:shd w:fill="auto" w:val="clear"/>
          <w:vertAlign w:val="superscript"/>
        </w:rPr>
        <w:t xml:space="preserve">25,48,49</w:t>
      </w:r>
      <w:r>
        <w:rPr>
          <w:rFonts w:ascii="Calibri" w:hAnsi="Calibri" w:cs="Calibri" w:eastAsia="Calibri"/>
          <w:color w:val="auto"/>
          <w:spacing w:val="0"/>
          <w:position w:val="0"/>
          <w:sz w:val="24"/>
          <w:shd w:fill="auto" w:val="clear"/>
        </w:rPr>
        <w:t xml:space="preserve">. Therefore, the MEA recording technique is capable of generating reliable and accurate measures of intrinsic heart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 advantage of the MEA system is that it allows easy application of drug agents to test pharmacological effects. In the sample experiment, we tested the effects of 1 mM 4-AP on firing rate, which should slow SAN activity since blockade of voltage-gated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channels is known to impair action potential repolarization in SA cells</w:t>
      </w:r>
      <w:r>
        <w:rPr>
          <w:rFonts w:ascii="Calibri" w:hAnsi="Calibri" w:cs="Calibri" w:eastAsia="Calibri"/>
          <w:color w:val="auto"/>
          <w:spacing w:val="0"/>
          <w:position w:val="0"/>
          <w:sz w:val="24"/>
          <w:shd w:fill="auto" w:val="clear"/>
          <w:vertAlign w:val="superscript"/>
        </w:rPr>
        <w:t xml:space="preserve">24,50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12B</w:t>
      </w:r>
      <w:r>
        <w:rPr>
          <w:rFonts w:ascii="Calibri" w:hAnsi="Calibri" w:cs="Calibri" w:eastAsia="Calibri"/>
          <w:color w:val="auto"/>
          <w:spacing w:val="0"/>
          <w:position w:val="0"/>
          <w:sz w:val="24"/>
          <w:shd w:fill="auto" w:val="clear"/>
        </w:rPr>
        <w:t xml:space="preserve"> shows that the introduction of 4-AP increased the interspike intervals as expected. This prolonged spike interval corresponded to a decrease in the beat frequency from 320 bpm to 210 bpm. This firing rate following 4-AP administration is similar to a previous study that examined the effects of 4-AP on SAN firing rate using single electrode recordings of isolated tissue. That study measured a firing rate of approximately 190 bpm in the presence of 4-AP</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Thus, the MEA system can be used as a convenient and valuable tool for testing pharmacological effects of drug interventions on intrinsic cardiac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Coating the microelectrode array (MEA) prior to use.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MEA is composed of a small plastic dish with a grid array of 64 microelectrodes in the center (as shown in the panel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and four reference electrodes around the periphery in a square pattern.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Addition of 1 mL of PEI buffer to coat the MEA.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Covering the MEA dish with thermoplastic film for incubation overnight at room temperature.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Aspirating the PEI buffer from the MEA dish, which is followed by at least four rinses with distilled water.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Storing the coated MEA probe under ultrapure water to prevent it from drying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Tools used for sinoatrial node (SAN) dissection. </w:t>
      </w:r>
      <w:r>
        <w:rPr>
          <w:rFonts w:ascii="Calibri" w:hAnsi="Calibri" w:cs="Calibri" w:eastAsia="Calibri"/>
          <w:color w:val="auto"/>
          <w:spacing w:val="0"/>
          <w:position w:val="0"/>
          <w:sz w:val="24"/>
          <w:shd w:fill="auto" w:val="clear"/>
        </w:rPr>
        <w:t xml:space="preserve">The following tools are used during the dissection part of the protocol: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 Petri dish with silicone elastomer and small dissection pins; (ii) Plastic transfer pipette; (iii) Castroviejo scissor, size 4”; (iv) Surgical scissors (straight) for cutting procedures; (v) Dumont #2 Laminectomy forceps; (vi) Dumont #55 forceps; (vii) Extra fine Graefe forceps; (viii) Hemostats (curved).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Removal of the heart.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Transverse incision in the skin just beneath the bottom of the rib cage from about the left costal arch to the right costal arch.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Peritoneal incision.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Incision of the diaphragm along the thorax to expose the thoracic cavity.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Removal of the heart following excision of the lungs.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Dissection of the sinoatrial (SAN) node.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appearance of the heart in the Petri dish following removal from the 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Insertion of the syringe needle through the inferior vena cava (IVC) and superior vena cava (SVC) of the right atrium. The pin in the apex of the heart is also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Excision of the apex (i.e., the bottom half) of the heart to release the blood. The pins in the atrial appendages are also shown.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final appearance of the SAN region of the right atrium at the end of dissection. The boxed region corresponds to the approximate location of the SAN. The SAN artery can also be faintly seen coursing through the SAN in a vertical orientation. The Abbreviations: AO, aorta; CT, crista terminalis; IVC, inferior vena cava; LA, left atrium; RA, right atrium; RAA, right atrial appendage; SAN, sinoatrial node; SVC, superior vena cava.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Schematic of the microelectrode array (MEA) recording system setup. </w:t>
      </w:r>
      <w:r>
        <w:rPr>
          <w:rFonts w:ascii="Calibri" w:hAnsi="Calibri" w:cs="Calibri" w:eastAsia="Calibri"/>
          <w:color w:val="auto"/>
          <w:spacing w:val="0"/>
          <w:position w:val="0"/>
          <w:sz w:val="24"/>
          <w:shd w:fill="auto" w:val="clear"/>
        </w:rPr>
        <w:t xml:space="preserve">The following components comprise the system: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gas cylinder (carbogen: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conical flask with distilled water to humidify the gas;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recording Tyrode’s solution bottle that provides inflow to the MEA dish;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peristaltic pump to pump solution to and from the MEA dish;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temperature regulator;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MEA connector plate which receives signals from the MEA dish;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amplifier;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computer;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collection bottle for used waste solution from the MEA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Positioning of the SA nodal tissue on MEA.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Tools used in positioning the tissue: (i) Mesh with 1.5-mm grid size, (ii) harp anchor, (iii) bone forceps, (iv) paint brush.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Positioning of the tissue on the MEA. The yellow box indicates the approximate area of the sinoatrial node region under the mesh and anchor in the MEA dish.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Arrangement of the MEA dish with enclosed tissue on the connector plate for field potential recording: (i) inlet for the recording solution; (ii) inlet for gas (carbogen); (iii) outlet for the solution; (iv) microelectrode connector plate; (v) perfusion cap; (vi) reference electrode ring attached to the cap; (vii) tape to hold the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Setting the data acquisition protocol in the software.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recording template showing arrangement of all 64 channels.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 of the software input properties for the recording conditions.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example of the </w:t>
      </w:r>
      <w:r>
        <w:rPr>
          <w:rFonts w:ascii="Calibri" w:hAnsi="Calibri" w:cs="Calibri" w:eastAsia="Calibri"/>
          <w:b/>
          <w:color w:val="auto"/>
          <w:spacing w:val="0"/>
          <w:position w:val="0"/>
          <w:sz w:val="24"/>
          <w:shd w:fill="auto" w:val="clear"/>
        </w:rPr>
        <w:t xml:space="preserve">Annotations</w:t>
      </w:r>
      <w:r>
        <w:rPr>
          <w:rFonts w:ascii="Calibri" w:hAnsi="Calibri" w:cs="Calibri" w:eastAsia="Calibri"/>
          <w:color w:val="auto"/>
          <w:spacing w:val="0"/>
          <w:position w:val="0"/>
          <w:sz w:val="24"/>
          <w:shd w:fill="auto" w:val="clear"/>
        </w:rPr>
        <w:t xml:space="preserve"> menu showing how to </w:t>
      </w:r>
      <w:r>
        <w:rPr>
          <w:rFonts w:ascii="Calibri" w:hAnsi="Calibri" w:cs="Calibri" w:eastAsia="Calibri"/>
          <w:b/>
          <w:color w:val="auto"/>
          <w:spacing w:val="0"/>
          <w:position w:val="0"/>
          <w:sz w:val="24"/>
          <w:shd w:fill="auto" w:val="clear"/>
        </w:rPr>
        <w:t xml:space="preserve">Add New Phase</w:t>
      </w:r>
      <w:r>
        <w:rPr>
          <w:rFonts w:ascii="Calibri" w:hAnsi="Calibri" w:cs="Calibri" w:eastAsia="Calibri"/>
          <w:color w:val="auto"/>
          <w:spacing w:val="0"/>
          <w:position w:val="0"/>
          <w:sz w:val="24"/>
          <w:shd w:fill="auto" w:val="clear"/>
        </w:rPr>
        <w:t xml:space="preserve"> during the recording, such as for measuring drug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Different regions of the tissues showing different activity waveforms. </w:t>
      </w:r>
      <w:r>
        <w:rPr>
          <w:rFonts w:ascii="Calibri" w:hAnsi="Calibri" w:cs="Calibri" w:eastAsia="Calibri"/>
          <w:color w:val="auto"/>
          <w:spacing w:val="0"/>
          <w:position w:val="0"/>
          <w:sz w:val="24"/>
          <w:shd w:fill="auto" w:val="clear"/>
        </w:rPr>
        <w:t xml:space="preserve">Example screen shot showing waveforms with different shapes and amplitudes in different channels. However, all channels show identical interspike intervals and firing frequencies. The channels within the red box correspond approximately to the electrodes placed within the SAN region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Beat frequency analysis template. </w:t>
      </w:r>
      <w:r>
        <w:rPr>
          <w:rFonts w:ascii="Calibri" w:hAnsi="Calibri" w:cs="Calibri" w:eastAsia="Calibri"/>
          <w:color w:val="auto"/>
          <w:spacing w:val="0"/>
          <w:position w:val="0"/>
          <w:sz w:val="24"/>
          <w:shd w:fill="auto" w:val="clear"/>
        </w:rPr>
        <w:t xml:space="preserve">Example template showing arrangement of all 64 channels in beat frequency analysis template. The </w:t>
      </w:r>
      <w:r>
        <w:rPr>
          <w:rFonts w:ascii="Calibri" w:hAnsi="Calibri" w:cs="Calibri" w:eastAsia="Calibri"/>
          <w:b/>
          <w:color w:val="auto"/>
          <w:spacing w:val="0"/>
          <w:position w:val="0"/>
          <w:sz w:val="24"/>
          <w:shd w:fill="auto" w:val="clear"/>
        </w:rPr>
        <w:t xml:space="preserve">Replay Raw Data File</w:t>
      </w:r>
      <w:r>
        <w:rPr>
          <w:rFonts w:ascii="Calibri" w:hAnsi="Calibri" w:cs="Calibri" w:eastAsia="Calibri"/>
          <w:color w:val="auto"/>
          <w:spacing w:val="0"/>
          <w:position w:val="0"/>
          <w:sz w:val="24"/>
          <w:shd w:fill="auto" w:val="clear"/>
        </w:rPr>
        <w:t xml:space="preserve"> inset shows an example of the input properties of the analysis window. In this example, traces 5 to 7 have been selected for analysis and the duration of analysis for each trace has been designated as 60,000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Defining analysis parameters for spike extraction.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analysis template results for 3 selected traces of a single channel. The top panel displays beat frequency for the three selected traces (three defined groupings of data points), and each point represents a 10-s average for beat frequency during the specific trace. The middle panel displays inter-spike interval for the three selected traces (three defined groupings of data points), and each data point represents the inter-spike interval between two consecutive spikes. The lower left panel shows selected representative extracted spikes for the last 5 s of the third trace, whereas the lower right panel shows an extracted waveform derived from the 5-s group of extracted spikes in the lower left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Expanded view of the analysis window showing parameters used in the analysis of beating frequency for the 3 traces.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Representative figure showing good versus bad data extraction for a particular channel. </w:t>
      </w:r>
      <w:r>
        <w:rPr>
          <w:rFonts w:ascii="Calibri" w:hAnsi="Calibri" w:cs="Calibri" w:eastAsia="Calibri"/>
          <w:color w:val="auto"/>
          <w:spacing w:val="0"/>
          <w:position w:val="0"/>
          <w:sz w:val="24"/>
          <w:shd w:fill="auto" w:val="clear"/>
        </w:rPr>
        <w:t xml:space="preserve">Bad data extraction: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Absence of extracted spikes;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Extracted spikes with noise signals;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Unstable extracted spikes.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Good data showing stable extracted spikes without noise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Recordings at baseline and after administration of 1mM 4-Aminopyridine (4-AP).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Baseline recording from a single microelectrode shows waveforms with a stable firing frequency of 320 bpm in a WT heart.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administration of 4-AP, the firing frequency slows to a stable rate of 210 bpm.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Practicing and mastering the SAN dissection process is imperative since the tissue is fragile and healthy tissue is necessary for a successful recording. During the SAN dissection, correct orientation is essential to obtain the proper region of tissue. However, the original orientation of the heart can be easily lost during the dissection process, which complicates this endeavor. Therefore, to ensure the proper left-right orientation, the atria should be visually inspected. Typically, the right atrium tends to be more transparent, whereas the left atrium is usually darker and more red in color</w:t>
      </w:r>
      <w:r>
        <w:rPr>
          <w:rFonts w:ascii="Calibri" w:hAnsi="Calibri" w:cs="Calibri" w:eastAsia="Calibri"/>
          <w:color w:val="auto"/>
          <w:spacing w:val="0"/>
          <w:position w:val="0"/>
          <w:sz w:val="24"/>
          <w:shd w:fill="auto" w:val="clear"/>
          <w:vertAlign w:val="superscript"/>
        </w:rPr>
        <w:t xml:space="preserve">25,48</w:t>
      </w:r>
      <w:r>
        <w:rPr>
          <w:rFonts w:ascii="Calibri" w:hAnsi="Calibri" w:cs="Calibri" w:eastAsia="Calibri"/>
          <w:color w:val="auto"/>
          <w:spacing w:val="0"/>
          <w:position w:val="0"/>
          <w:sz w:val="24"/>
          <w:shd w:fill="auto" w:val="clear"/>
        </w:rPr>
        <w:t xml:space="preserve">. Furthermore, it is essential not to stretch the SAN tissue while working with it or mounting it onto the electrode grid, as the tissue is easily mechanically damaged</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 tip to verify healthy and properly dissected SAN tissue is to examine it in Complete Tyrode’s solution under the microscope to verify that the tissue is beating. Once the technique is mastered, at least 90% of tissue preparations should be good for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considerations can improve the likelihood of successful recordings and subsequent data analysis. To ensure the best recordings, solutions should be carefully prepared and tested on practice mouse samples prior to experimental recordings. We worked extensively to adapt and modify the recording solution to optimize the health of the SAN tissue. Additionally, ensure that the gas used for the recording is carbogen (i.e.,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Single cell recordings often use pure oxygen due to the specific chemical composition of the Tyrode’s solution used for that application, but the solution used for recording on the MEA requires carbogen in order to maintain a stable pH. Using pure oxygen with the Tyrode’s solution for the MEA recordings will cause fluctuations in the pH which can lead to rapid deterioration of the tissue. Assessing the amplitude maxima in the channels as previously described will help determine if the tissue is of good recording quality. Finally, to aid analysis after the recording, taking an image of the mounted SAN tissue on the MEA electrode array after the recording is finished is very helpful. The tissue can shift slightly during the initial set up of the MEA, and this provides the most accurate assessment of electrode placement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propose MEA recordings as a thorough and accurate way to characterize SAN firing rate. An advantage of the MEA technique is that it allows the experimenter to capture firing rates on par with single cell recordings without the need to have extensive electrophysiological expertise. The MEA technique also has the advantage of eliminating the potential confounding influences of neurohumoral and mechano-electric mechanisms, which are inherent in isolated heart recordings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autonomic blockade measurements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Ventricular contraction and respiration are the main mechano-electric influences that could alter SAN firing, but they are eliminated in our tissue preparation </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While our technique eliminates most of the autonomic influences on the SAN, a limited number of remaining ICNS projections in the right atria could potentially impact SAN firing, a theoretical limitation which should be kept in mind during the interpretation of results</w:t>
      </w:r>
      <w:r>
        <w:rPr>
          <w:rFonts w:ascii="Calibri" w:hAnsi="Calibri" w:cs="Calibri" w:eastAsia="Calibri"/>
          <w:color w:val="auto"/>
          <w:spacing w:val="0"/>
          <w:position w:val="0"/>
          <w:sz w:val="24"/>
          <w:shd w:fill="auto" w:val="clear"/>
          <w:vertAlign w:val="superscript"/>
        </w:rPr>
        <w:t xml:space="preserve">5,6,22,23</w:t>
      </w:r>
      <w:r>
        <w:rPr>
          <w:rFonts w:ascii="Calibri" w:hAnsi="Calibri" w:cs="Calibri" w:eastAsia="Calibri"/>
          <w:color w:val="auto"/>
          <w:spacing w:val="0"/>
          <w:position w:val="0"/>
          <w:sz w:val="24"/>
          <w:shd w:fill="auto" w:val="clear"/>
        </w:rPr>
        <w:t xml:space="preserve">. Another advantage of the MEA technique described here is that it can be adapted for many other types of cardiac studies. For example, although this protocol demonstrated the effects of 4-AP on SAN activity, future studies could look at an almost limitless number of pharmacological agents, as well as the effects of gene mutations on SAN intrinsic firing. For example, ivabradine, a specific blocker of the SAN-specific Hcn4 channel, could be used to study funny current contributions to the firing rate</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The MEA system can also be used to measure cardiac function in other regions of the heart, allowing for detailed, region-specific characterization. However, recording from other heart regions would require different dissection approaches and the possibility of thin tissue sectioning before recording. One potentially significant limitation of this technique is the high cost of purchasing an MEA system which can be prohibitive. Several MEA systems are available on the market with similar characteristics and functionality, but the high cost remains the same. However, once the initial equipment and software is acquired, the cost to maintain and use the MEA system is fairly low. Another limitation is that the MEA system only allows recording of extracellular field potentials which are not conducive to precise comparisons of action potential characteristics (e.g., amplitude and shape) between preparations such as can be attained with single cell intracellular recordings. In summary, this protocol provides an efficient workflow to measure and analyze intrinsic cardiac firing rates in mouse SAN tissue with the ability to study the effects of pharmacological intervention on firing rate in a highly specific manner.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Institutes of Health, grant numbers R01NS100954 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R01NS099188.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Marionneau, C. et al. Specific pattern of ionic channel gene expression associated with pacemaker activity in the mouse heart.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562</w:t>
      </w:r>
      <w:r>
        <w:rPr>
          <w:rFonts w:ascii="Calibri" w:hAnsi="Calibri" w:cs="Calibri" w:eastAsia="Calibri"/>
          <w:color w:val="auto"/>
          <w:spacing w:val="0"/>
          <w:position w:val="0"/>
          <w:sz w:val="24"/>
          <w:shd w:fill="auto" w:val="clear"/>
        </w:rPr>
        <w:t xml:space="preserve"> (1),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Josea, A. D., Collison, D. The normal range and determinants of the intrinsic heart rate in man.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(4),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Peters, C. H., Sharpe, E. J., Proenza, C. Annual Review of Physiology Cardiac Pacemaker Activity and Aging.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Keith, A., Flack, M. The form and nature of the muscular connections between the primary divisions of the vertebrate heart. </w:t>
      </w:r>
      <w:r>
        <w:rPr>
          <w:rFonts w:ascii="Calibri" w:hAnsi="Calibri" w:cs="Calibri" w:eastAsia="Calibri"/>
          <w:i/>
          <w:color w:val="auto"/>
          <w:spacing w:val="0"/>
          <w:position w:val="0"/>
          <w:sz w:val="24"/>
          <w:shd w:fill="auto" w:val="clear"/>
        </w:rPr>
        <w:t xml:space="preserve">Journal of Anatomy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(1907).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Wake, E., Brack, K. Characterization of the intrinsic cardiac nervous system. </w:t>
      </w:r>
      <w:r>
        <w:rPr>
          <w:rFonts w:ascii="Calibri" w:hAnsi="Calibri" w:cs="Calibri" w:eastAsia="Calibri"/>
          <w:i/>
          <w:color w:val="auto"/>
          <w:spacing w:val="0"/>
          <w:position w:val="0"/>
          <w:sz w:val="24"/>
          <w:shd w:fill="auto" w:val="clear"/>
        </w:rPr>
        <w:t xml:space="preserve">Autonomic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Fedele, L., Brand, T. The intrinsic cardiac nervous system and its role in cardiac pacemaking and conduction. </w:t>
      </w:r>
      <w:r>
        <w:rPr>
          <w:rFonts w:ascii="Calibri" w:hAnsi="Calibri" w:cs="Calibri" w:eastAsia="Calibri"/>
          <w:i/>
          <w:color w:val="auto"/>
          <w:spacing w:val="0"/>
          <w:position w:val="0"/>
          <w:sz w:val="24"/>
          <w:shd w:fill="auto" w:val="clear"/>
        </w:rPr>
        <w:t xml:space="preserve">Journal of Cardiovascular Development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Mangrum, J. M., DiMarco, J. P. The evaluation and management of bradycardia.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(10), 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Adan, V., Crown, L. A. Diagnosis and treatment of Sick Sinus Syndrome. </w:t>
      </w:r>
      <w:r>
        <w:rPr>
          <w:rFonts w:ascii="Calibri" w:hAnsi="Calibri" w:cs="Calibri" w:eastAsia="Calibri"/>
          <w:i/>
          <w:color w:val="auto"/>
          <w:spacing w:val="0"/>
          <w:position w:val="0"/>
          <w:sz w:val="24"/>
          <w:shd w:fill="auto" w:val="clear"/>
        </w:rPr>
        <w:t xml:space="preserve">American Family Physician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(8), 1725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Semelka, M., Gera, J., Usman, S. Sick Sinus Syndrome: A Review. </w:t>
      </w:r>
      <w:r>
        <w:rPr>
          <w:rFonts w:ascii="Calibri" w:hAnsi="Calibri" w:cs="Calibri" w:eastAsia="Calibri"/>
          <w:i/>
          <w:color w:val="auto"/>
          <w:spacing w:val="0"/>
          <w:position w:val="0"/>
          <w:sz w:val="24"/>
          <w:shd w:fill="auto" w:val="clear"/>
        </w:rPr>
        <w:t xml:space="preserve">American Family Physician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(10), 691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Zaragoza, M. V. et al. Exome sequencing identifies a novel LMNA splice-site mutation and multigenic heterozygosity of potential modifiers in a family with Sick Sinus Syndrome, dilated cardiomyopathy, and sudden cardiac death.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e0155421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Brugada, J., Campuzano, O., Arbelo, E., Sarquella-Brugada, G., Brugada, R. Present status of Brugada Syndrome: JACC State-of-the-Art Review.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(9), 1046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Rollin, A. et al. Prevalence, characteristics, and prognosis role of type 1 ST elevation in the peripheral ECG leads in patients with Brugada syndrome. </w:t>
      </w:r>
      <w:r>
        <w:rPr>
          <w:rFonts w:ascii="Calibri" w:hAnsi="Calibri" w:cs="Calibri" w:eastAsia="Calibri"/>
          <w:i/>
          <w:color w:val="auto"/>
          <w:spacing w:val="0"/>
          <w:position w:val="0"/>
          <w:sz w:val="24"/>
          <w:shd w:fill="auto" w:val="clear"/>
        </w:rPr>
        <w:t xml:space="preserve">Heart Rhythm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1012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Patel, N., Majeed, F., Sule, A. A. Seizure triggered by Sick Sinus Syndrome. </w:t>
      </w:r>
      <w:r>
        <w:rPr>
          <w:rFonts w:ascii="Calibri" w:hAnsi="Calibri" w:cs="Calibri" w:eastAsia="Calibri"/>
          <w:i/>
          <w:color w:val="auto"/>
          <w:spacing w:val="0"/>
          <w:position w:val="0"/>
          <w:sz w:val="24"/>
          <w:shd w:fill="auto" w:val="clear"/>
        </w:rPr>
        <w:t xml:space="preserve">BMJ case reports.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bcr2017222011.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Knecht, S. et al. Impact of pharmacological autonomic blockade on complex fractionated atrial electrograms. </w:t>
      </w:r>
      <w:r>
        <w:rPr>
          <w:rFonts w:ascii="Calibri" w:hAnsi="Calibri" w:cs="Calibri" w:eastAsia="Calibri"/>
          <w:i/>
          <w:color w:val="auto"/>
          <w:spacing w:val="0"/>
          <w:position w:val="0"/>
          <w:sz w:val="24"/>
          <w:shd w:fill="auto" w:val="clear"/>
        </w:rPr>
        <w:t xml:space="preserve">Journal of Cardiovascular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766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Saba, S., London, B., Ganz, L. Autonomic blockade unmasks maturational differences in rate-dependent atrioventricular nodal conduction and facilitation in the mouse. </w:t>
      </w:r>
      <w:r>
        <w:rPr>
          <w:rFonts w:ascii="Calibri" w:hAnsi="Calibri" w:cs="Calibri" w:eastAsia="Calibri"/>
          <w:i/>
          <w:color w:val="auto"/>
          <w:spacing w:val="0"/>
          <w:position w:val="0"/>
          <w:sz w:val="24"/>
          <w:shd w:fill="auto" w:val="clear"/>
        </w:rPr>
        <w:t xml:space="preserve">Journal of Cardiovascular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Shusterman, V. et al. Strain-specific patterns of autonomic nervous system activity and heart failure susceptibility in mice.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(6),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Tse, G., Tse, V., Yeo, J. M., Sun, B. Atrial anti-arrhythmic effects of heptanol in Langendorff-perfused mouse hearts.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e0148858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Tse, G. et al. Quantification of beat-to-beat variability of action potential durations in Langendorff-perfused mouse hearts.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(1578), e01578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Avula, U. M. R. et al. Heterogeneity of the action potential duration is required for sustained atrial fibrillation.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e128765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Jungen, C. et al. Impact of intracardiac neurons on cardiac electrophysiology and arrhythmogenesis in an ex vivo Langendorff system.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(135), e57617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Quinn, A. T., Kohl, P. Cardiac mechano-electric coupling: Acute effects of mechanical stimulation on heart rate and rhythm.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Ripplinger, C. M., Noujaim, S. F., Linz, D. The nervous heart. </w:t>
      </w:r>
      <w:r>
        <w:rPr>
          <w:rFonts w:ascii="Calibri" w:hAnsi="Calibri" w:cs="Calibri" w:eastAsia="Calibri"/>
          <w:i/>
          <w:color w:val="auto"/>
          <w:spacing w:val="0"/>
          <w:position w:val="0"/>
          <w:sz w:val="24"/>
          <w:shd w:fill="auto" w:val="clear"/>
        </w:rPr>
        <w:t xml:space="preserve">Progress in Biophysics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Pauza, D. H., Pauziene, N., Pakeltyte, G., Stropus, R. Comparative quantitative study of the intrinsic cardiac ganglia and neurons in the rat, guinea pig, dog and human as revealed by histochemical staining for acetylcholinesterase. </w:t>
      </w:r>
      <w:r>
        <w:rPr>
          <w:rFonts w:ascii="Calibri" w:hAnsi="Calibri" w:cs="Calibri" w:eastAsia="Calibri"/>
          <w:i/>
          <w:color w:val="auto"/>
          <w:spacing w:val="0"/>
          <w:position w:val="0"/>
          <w:sz w:val="24"/>
          <w:shd w:fill="auto" w:val="clear"/>
        </w:rPr>
        <w:t xml:space="preserve">Annals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Golovko, V., Gonotkov, M., Lebedeva, E. Effects of 4-aminopyridine on action potentials generation in mouse sinoauricular node strips.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e12447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Sharpe, E. J., St. Clair, J. R., Proenza, C. Methods for the isolation, culture, and functional characterization of sinoatrial node myocytes from adult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(116), e54555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Doi, M., Ogawa, E., Arai, T. Effect of a photosensitization reaction performed during the first 3 min after exposure of rat myocardial cells to talaporfin sodium in vitro. </w:t>
      </w:r>
      <w:r>
        <w:rPr>
          <w:rFonts w:ascii="Calibri" w:hAnsi="Calibri" w:cs="Calibri" w:eastAsia="Calibri"/>
          <w:i/>
          <w:color w:val="auto"/>
          <w:spacing w:val="0"/>
          <w:position w:val="0"/>
          <w:sz w:val="24"/>
          <w:shd w:fill="auto" w:val="clear"/>
        </w:rPr>
        <w:t xml:space="preserve">Lasers in 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1873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Takanari, H. et al. A new in vitro co-culture model using magnetic force-based nanotechnology.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(10), 2249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Nakashima, T. et al. Rapid electrical stimulation causes alterations in cardiac intercellular junction proteins of cardiomyocytes.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(9), H1324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H1333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Suzuki, S. et al. Effects of aldosterone on Cx43 gap junction expression in neonatal rat cultured cardiomyocytes. </w:t>
      </w:r>
      <w:r>
        <w:rPr>
          <w:rFonts w:ascii="Calibri" w:hAnsi="Calibri" w:cs="Calibri" w:eastAsia="Calibri"/>
          <w:i/>
          <w:color w:val="auto"/>
          <w:spacing w:val="0"/>
          <w:position w:val="0"/>
          <w:sz w:val="24"/>
          <w:shd w:fill="auto" w:val="clear"/>
        </w:rPr>
        <w:t xml:space="preserve">Circulation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(8), eCJ-08-1065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Horiba, M. et al. T-type Ca2+ channel blockers prevent cardiac cell hypertrophy through an inhibition of calcineurin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NFAT3 activation as well as L-type Ca2+ channel blockers.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Inoue, N. et al. Rapid electrical stimulation of contraction modulates gap junction protein in neonatal rat cultured cardiomyocytes: involvement of mitogen-activated protein kinases and effects of angiotensin II receptor agonist.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914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Aalders, J. et al. Effects of fibrillin mutations on the behavior of heart muscle cells in Marfan syndrome.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(16756)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Matsuura, K. et al. Creation of mouse embryonic stem cell-derived cardiac cell sheets.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(30), 7355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7362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Fujita, H., Shimizu, K., Nagamori, E. Application of a cell sheet-polymer film complex with temperature sensitivity for increased mechanical strength and cell alignment capability.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 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Baba, S. et al. Generation of cardiac and endothelial cells from neonatal mouse testis-derived multipotent germline stem cells.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1375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Baba, S. et al. Flk1+ cardiac stem/progenitor cells derived from embryonic stem cells improve cardiac function in a dilated cardiomyopathy mouse model.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Shimizu, K. et al. Construction of multi-layered cardiomyocyte sheets using magnetite nanoparticles and magnetic force.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(4),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Haraguchi, Y., Shimizu, T., Yamato, M., Kikuchi, A., Okano, T. Electrical coupling of cardiomyocyte sheets occurs rapidly via functional gap junction formation.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(27), 4765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Miyagawa, S. et al. Tissue cardiomyoplasty using bioengineered contractile cardiomyocyte sheets to repair damaged myocardium: Their integration with recipient myocardium.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(11), 1586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Watts, M. et al. Decreased bioavailability of hydrogen sulfide links vascular endothelium and atrial remodeling in atrial fibrillation.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101817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Feng, Y., Cao, H., Zhang, Y. Prediction model of sinoatrial node field potential using high order partial least squares. </w:t>
      </w:r>
      <w:r>
        <w:rPr>
          <w:rFonts w:ascii="Calibri" w:hAnsi="Calibri" w:cs="Calibri" w:eastAsia="Calibri"/>
          <w:i/>
          <w:color w:val="auto"/>
          <w:spacing w:val="0"/>
          <w:position w:val="0"/>
          <w:sz w:val="24"/>
          <w:shd w:fill="auto" w:val="clear"/>
        </w:rPr>
        <w:t xml:space="preserve">Bio-Medical Materials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S1805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S1811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Feng, Y., Cao, H., Wang, Y., Zhang, Y. Fuzzy linguistic prediction model for sinoatrial node field potential analysis in acute hyperglycemia environment. </w:t>
      </w:r>
      <w:r>
        <w:rPr>
          <w:rFonts w:ascii="Calibri" w:hAnsi="Calibri" w:cs="Calibri" w:eastAsia="Calibri"/>
          <w:i/>
          <w:color w:val="auto"/>
          <w:spacing w:val="0"/>
          <w:position w:val="0"/>
          <w:sz w:val="24"/>
          <w:shd w:fill="auto" w:val="clear"/>
        </w:rPr>
        <w:t xml:space="preserve">Bio-Medical Materials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(Suppl 1), S881-887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Suzuki, K., Matsumoto, A., Nishida, H., Reien, Y., Maruyama, H., Nakaya, H. Termination of aconitine-induced atrial fibrillation by the KACh-channel blocker tertiapin: underlying electrophysiological mechanism. </w:t>
      </w:r>
      <w:r>
        <w:rPr>
          <w:rFonts w:ascii="Calibri" w:hAnsi="Calibri" w:cs="Calibri" w:eastAsia="Calibri"/>
          <w:i/>
          <w:color w:val="auto"/>
          <w:spacing w:val="0"/>
          <w:position w:val="0"/>
          <w:sz w:val="24"/>
          <w:shd w:fill="auto" w:val="clear"/>
        </w:rPr>
        <w:t xml:space="preserve">Journal of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 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Chang, S.-L. et al. Heart failure enhances arrhythmogenesis in pulmonary veins. </w:t>
      </w:r>
      <w:r>
        <w:rPr>
          <w:rFonts w:ascii="Calibri" w:hAnsi="Calibri" w:cs="Calibri" w:eastAsia="Calibri"/>
          <w:i/>
          <w:color w:val="auto"/>
          <w:spacing w:val="0"/>
          <w:position w:val="0"/>
          <w:sz w:val="24"/>
          <w:shd w:fill="auto" w:val="clear"/>
        </w:rPr>
        <w:t xml:space="preserve">Clinical and Experimental Pharmacology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 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Wang, Y.-J. et al. Time-dependent block of ultrarapid-delayed rectifier K+ currents by aconitine, a potent cardiotoxin, in heart-derived H9c2 myoblasts and in neonatal rat ventricular myocytes. </w:t>
      </w:r>
      <w:r>
        <w:rPr>
          <w:rFonts w:ascii="Calibri" w:hAnsi="Calibri" w:cs="Calibri" w:eastAsia="Calibri"/>
          <w:i/>
          <w:color w:val="auto"/>
          <w:spacing w:val="0"/>
          <w:position w:val="0"/>
          <w:sz w:val="24"/>
          <w:shd w:fill="auto" w:val="clear"/>
        </w:rPr>
        <w:t xml:space="preserve">Toxicological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Lai, Y.-J., Huang, E. Y.-K., Yeh, H.-I., Chen, Y.-L., Lin, J. J.-C., Lin, C.-I. On the mechanisms of arrhythmias in the myocardium of mXin</w:t>
      </w:r>
      <w:r>
        <w:rPr>
          <w:rFonts w:ascii="Calibri" w:hAnsi="Calibri" w:cs="Calibri" w:eastAsia="Calibri"/>
          <w:color w:val="auto"/>
          <w:spacing w:val="0"/>
          <w:position w:val="0"/>
          <w:sz w:val="24"/>
          <w:shd w:fill="auto" w:val="clear"/>
        </w:rPr>
        <w:t xml:space="preserve">α-deficient murine left atrial-pulmonary veins.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Gustafson-Wagner, E. A. et al. Loss of mXin</w:t>
      </w:r>
      <w:r>
        <w:rPr>
          <w:rFonts w:ascii="Calibri" w:hAnsi="Calibri" w:cs="Calibri" w:eastAsia="Calibri"/>
          <w:color w:val="auto"/>
          <w:spacing w:val="0"/>
          <w:position w:val="0"/>
          <w:sz w:val="24"/>
          <w:shd w:fill="auto" w:val="clear"/>
        </w:rPr>
        <w:t xml:space="preserve">α, an intercalated disk protein, results in cardiac hypertrophy and cardiomyopathy with conduction defects.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(5), H2680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H2692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Clark, R. B. et al. A rapidly activating delayed rectifier K+ current regulates pacemaker activity in adult mouse sinoatrial node cells.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H1757-1766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Bell, R. M., Mocanu, M. M., Yellon, D. M. Retrograde heart perfusion: The Langendorff technique of isolated heart perfusion.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Nikmaram, M. R. et al. Characterization of the effects of Ryanodine, TTX, E-4031 and 4-AP on the sinoatrial and atrioventricular nodes. </w:t>
      </w:r>
      <w:r>
        <w:rPr>
          <w:rFonts w:ascii="Calibri" w:hAnsi="Calibri" w:cs="Calibri" w:eastAsia="Calibri"/>
          <w:i/>
          <w:color w:val="auto"/>
          <w:spacing w:val="0"/>
          <w:position w:val="0"/>
          <w:sz w:val="24"/>
          <w:shd w:fill="auto" w:val="clear"/>
        </w:rPr>
        <w:t xml:space="preserve">Progress in Biophysics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Fenske, S. et al. Comprehensive multilevel in vivo and in vitro analysis of heart rate fluctuations in mice by ECG telemetry and electrophysiology.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Masé, M., Glass, L., Ravelli, F. A model for mechano-electrical feedback effects on atrial flutter interval variability. </w:t>
      </w:r>
      <w:r>
        <w:rPr>
          <w:rFonts w:ascii="Calibri" w:hAnsi="Calibri" w:cs="Calibri" w:eastAsia="Calibri"/>
          <w:i/>
          <w:color w:val="auto"/>
          <w:spacing w:val="0"/>
          <w:position w:val="0"/>
          <w:sz w:val="24"/>
          <w:shd w:fill="auto" w:val="clear"/>
        </w:rPr>
        <w:t xml:space="preserve">Bulletin of Mathematical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(5), 1326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Franz, M. R., Bode, F. Mechano-electrical feedback underlying arrhythmias: The atrial fibrillation case. </w:t>
      </w:r>
      <w:r>
        <w:rPr>
          <w:rFonts w:ascii="Calibri" w:hAnsi="Calibri" w:cs="Calibri" w:eastAsia="Calibri"/>
          <w:i/>
          <w:color w:val="auto"/>
          <w:spacing w:val="0"/>
          <w:position w:val="0"/>
          <w:sz w:val="24"/>
          <w:shd w:fill="auto" w:val="clear"/>
        </w:rPr>
        <w:t xml:space="preserve">Progress in Biophysics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Bucchi, A., Tognati, A., Milanesi, R., Baruscotti, M., DiFrancesco, D. Properties of ivabradine-induced block of HCN1 and HCN4 pacemaker channels.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572</w:t>
      </w:r>
      <w:r>
        <w:rPr>
          <w:rFonts w:ascii="Calibri" w:hAnsi="Calibri" w:cs="Calibri" w:eastAsia="Calibri"/>
          <w:color w:val="auto"/>
          <w:spacing w:val="0"/>
          <w:position w:val="0"/>
          <w:sz w:val="24"/>
          <w:shd w:fill="auto" w:val="clear"/>
        </w:rPr>
        <w:t xml:space="preserve"> (2), 335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(2006).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