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Function of Differential Subsets of Cutaneous Dendritic Cells to Induce Th17 Immunity in Intradermal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Jeyun Park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Sung Hee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Joohee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Lihua Che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Won Seok Roh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Chang Ook Park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Min-Geol Lee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Tae-Gyun Kim</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Dermatology, Severance Hospital, Cutaneous Biology Research Institute, Yonsei University College of Medicine, Seoul,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Brain Korea 21 FOUR Project for Medical Science, Yonsei University College of Medicine, Seoul,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Immunology and Immunological Diseases, Yonsei University College of Medicine, Seoul,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Jeyun Park</w:t>
        <w:tab/>
        <w:tab/>
        <w:tab/>
        <w:tab/>
        <w:t xml:space="preserve">(</w:t>
      </w:r>
      <w:r>
        <w:rPr>
          <w:rFonts w:ascii="Calibri" w:hAnsi="Calibri" w:cs="Calibri" w:eastAsia="Calibri"/>
          <w:color w:val="auto"/>
          <w:spacing w:val="0"/>
          <w:position w:val="0"/>
          <w:sz w:val="24"/>
          <w:u w:val="single"/>
          <w:shd w:fill="auto" w:val="clear"/>
        </w:rPr>
        <w:t xml:space="preserve">pdeyon2@yuhs.ac)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Sung Hee Kim</w:t>
        <w:tab/>
        <w:tab/>
        <w:tab/>
        <w:tab/>
        <w:t xml:space="preserve">(</w:t>
      </w:r>
      <w:r>
        <w:rPr>
          <w:rFonts w:ascii="Calibri" w:hAnsi="Calibri" w:cs="Calibri" w:eastAsia="Calibri"/>
          <w:color w:val="auto"/>
          <w:spacing w:val="0"/>
          <w:position w:val="0"/>
          <w:sz w:val="24"/>
          <w:u w:val="single"/>
          <w:shd w:fill="auto" w:val="clear"/>
        </w:rPr>
        <w:t xml:space="preserve">SYPZWSH@yuhs.ac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Joohee Lee</w:t>
        <w:tab/>
        <w:tab/>
        <w:tab/>
        <w:tab/>
        <w:t xml:space="preserve">(</w:t>
      </w:r>
      <w:r>
        <w:rPr>
          <w:rFonts w:ascii="Calibri" w:hAnsi="Calibri" w:cs="Calibri" w:eastAsia="Calibri"/>
          <w:color w:val="auto"/>
          <w:spacing w:val="0"/>
          <w:position w:val="0"/>
          <w:sz w:val="24"/>
          <w:u w:val="single"/>
          <w:shd w:fill="auto" w:val="clear"/>
        </w:rPr>
        <w:t xml:space="preserve">JHLEE53@yuhs.ac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Lihua Che</w:t>
        <w:tab/>
        <w:tab/>
        <w:tab/>
        <w:tab/>
        <w:t xml:space="preserve">(</w:t>
      </w:r>
      <w:r>
        <w:rPr>
          <w:rFonts w:ascii="Calibri" w:hAnsi="Calibri" w:cs="Calibri" w:eastAsia="Calibri"/>
          <w:color w:val="auto"/>
          <w:spacing w:val="0"/>
          <w:position w:val="0"/>
          <w:sz w:val="24"/>
          <w:u w:val="single"/>
          <w:shd w:fill="auto" w:val="clear"/>
        </w:rPr>
        <w:t xml:space="preserve">LHCHE@yuhs.ac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Won Seok Roh</w:t>
        <w:tab/>
        <w:tab/>
        <w:tab/>
        <w:tab/>
        <w:t xml:space="preserve">(</w:t>
      </w:r>
      <w:r>
        <w:rPr>
          <w:rFonts w:ascii="Calibri" w:hAnsi="Calibri" w:cs="Calibri" w:eastAsia="Calibri"/>
          <w:color w:val="auto"/>
          <w:spacing w:val="0"/>
          <w:position w:val="0"/>
          <w:sz w:val="24"/>
          <w:u w:val="single"/>
          <w:shd w:fill="auto" w:val="clear"/>
        </w:rPr>
        <w:t xml:space="preserve">RWS1009@yuhs.ac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 Ook Park</w:t>
        <w:tab/>
        <w:tab/>
        <w:tab/>
        <w:t xml:space="preserve">(</w:t>
      </w:r>
      <w:r>
        <w:rPr>
          <w:rFonts w:ascii="Calibri" w:hAnsi="Calibri" w:cs="Calibri" w:eastAsia="Calibri"/>
          <w:color w:val="auto"/>
          <w:spacing w:val="0"/>
          <w:position w:val="0"/>
          <w:sz w:val="24"/>
          <w:u w:val="single"/>
          <w:shd w:fill="auto" w:val="clear"/>
        </w:rPr>
        <w:t xml:space="preserve">copark@yuhs.ac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Min-Geol Lee</w:t>
        <w:tab/>
        <w:tab/>
        <w:tab/>
        <w:tab/>
        <w:t xml:space="preserve">(</w:t>
      </w:r>
      <w:r>
        <w:rPr>
          <w:rFonts w:ascii="Calibri" w:hAnsi="Calibri" w:cs="Calibri" w:eastAsia="Calibri"/>
          <w:color w:val="auto"/>
          <w:spacing w:val="0"/>
          <w:position w:val="0"/>
          <w:sz w:val="24"/>
          <w:u w:val="single"/>
          <w:shd w:fill="auto" w:val="clear"/>
        </w:rPr>
        <w:t xml:space="preserve">mglee@yuhs.ac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Tae-Gyun Kim</w:t>
        <w:tab/>
        <w:tab/>
        <w:tab/>
        <w:tab/>
        <w:t xml:space="preserve">(</w:t>
      </w:r>
      <w:r>
        <w:rPr>
          <w:rFonts w:ascii="Calibri" w:hAnsi="Calibri" w:cs="Calibri" w:eastAsia="Calibri"/>
          <w:color w:val="auto"/>
          <w:spacing w:val="0"/>
          <w:position w:val="0"/>
          <w:sz w:val="24"/>
          <w:u w:val="single"/>
          <w:shd w:fill="auto" w:val="clear"/>
        </w:rPr>
        <w:t xml:space="preserve">tgmed83@yuhs.ac)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the</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function of cutaneous dendritic cell subsets in Th17 immunity of deep dermal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skin is the outermost barrier organ in the body, which contains several types of dendritic cells (DCs), a group of professional antigen-presenting cells. When the skin encounters invading pathogens, different cutaneous DCs initiate a distinct T cell immune response to protect the body. Among the invading pathogens, fungal infection specifically drives a protective interleukin-17-producing Th17 immune response. A protocol was developed to efficiently differentiate Th17 cells by intradermal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infection to investigate a subset of cutaneous DCs responsible for inducing Th17 immunity. Flow cytometry and gene expression analyses revealed a prominent induction of Th17 immune response in skin-draining lymph nodes and infected skin. Using diphtheria toxin-induced DC subset-depleting mouse strains, CD301b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dermal DCs were found to be responsible for mounting optimal Th17 differentiation in this model. Thus, this protocol provides a valuable method to study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function of differential subsets of cutaneous DCs to determine Th17 immunity against deep skin fungal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skin is the outermost barrier organ, which protects the body from invading external pathogens and stimuli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Skin is composed of two distinct layers, including the epidermis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stratified epithelium of keratinocytes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the underlying dermis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dense network of collagen and other structural components. As a primary epithelial barrier tissue, the skin chiefly provides physical barriers and contributes to additional immunological barriers as it contains numerous resident immune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Among the cutaneous immune cells, dendritic cells (DCs) are a type of professional antigen-presenting cells, which actively take up self- and non-self-antigens and migrate to the regional lymph nodes (LNs) to initiate antigen-specific T cell responses and tolerance according to the nature of antigens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skin harbors epidermal antigen-presenting cells, namely the Langerhans cells (LCs) and at least two types of DCs, including dermal type 1 conventional DCs (cDC1) and dermal type 2 conventional DCs (cDC2)</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Epidermal LCs are of embryonic monocytic origin and maintain their cell number by self-perpetuation under homeostatic conditions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contrast, dermal cDC1 and cDC2 are of hematopoietic stem cell origin and are continuously replenished by DC-committed progenitors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Cutaneous DCs are characterized by their surface markers, roughly divided into Langerin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(including LCs and cDC1) and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Langerin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(mainly cDC2). In addition, this group has revealed that the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Langerin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 population is further classified into two subsets according to CD301b expression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important functional features of cutaneous DCs are centered on a division of labor, determined mainly by the intrinsic nature of each subset of DCs,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locations of the DCs, the tissue microenvironment, and local inflammatory cues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functional characteristics of cutaneous DCs necessitate the investigation of the role of specific subsets of DCs during certain types of immune response of the skin. Upon antigenic stimulation by cutaneous DCs in the draining LNs, na&amp;#239;ve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differentiate into specific subsets of helper T cells, which produce a set of defined cytokines for exerting their effector function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Among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helper T cell subsets, interleukin-17 (IL-17)-producing Th17 cells play a crucial role in autoimmune diseases and antifungal immunity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this regard, cutaneous fungal infection has been a robust model to study Th17 immunity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When tape-stripped skins are epicutaneously exposed to the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yeast, epidermal LCs play a pivotal role in driving antigen-specific Th17 differentiation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Protective immunity against intradermal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requires innate immunity such as the fibrinolytic activity of fibroblasts and phagocytes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little is known about the role of cutaneous DC subsets in establishing Th17 immunity in deep 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This paper describes a method of intradermal skin infection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which produces local and regional Th17 immune responses. The application of diphtheria toxin (DT)-induced DC subset depletion mouse strains revealed that CD301b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dermal DCs are crucial for Th17 immunity in this model. The approach described here allows for the study of the Th17 response to deep dermal invasive fungal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animal experiments were approved by the Institution Animal Care and Use Committee (IACUC, Approval ID: 2019-0056, 2019-0055). Six to 8-week-old wild-type (WT) C57BL/6 female mice weighing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g were used for this study. Some studies were performed using female Langerin-diphtheria toxin receptor (DTR) and CD301b-DTR mice of the same age and weight. Four to six mice were used in each group for an experiment, and the data are representative of three independent experiments. This work was conducted under Biosafety Level 3 conditions, which could also be carried out under Biosafety Level 2 conditions according to institutional guidelines (room temperature 23 &amp;#176;C &amp;plusmn; 3 &amp;#176;C, humidity 50% &amp;plusmn;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w:t>
      </w:r>
      <w:r>
        <w:rPr>
          <w:rFonts w:ascii="Calibri" w:hAnsi="Calibri" w:cs="Calibri" w:eastAsia="Calibri"/>
          <w:b/>
          <w:i/>
          <w:color w:val="auto"/>
          <w:spacing w:val="0"/>
          <w:position w:val="0"/>
          <w:sz w:val="24"/>
          <w:shd w:fill="auto" w:val="clear"/>
        </w:rPr>
        <w:t xml:space="preserve">Candida albicans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Experiments in this section were performed in a biological 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Streak </w:t>
      </w:r>
      <w:r>
        <w:rPr>
          <w:rFonts w:ascii="Calibri" w:hAnsi="Calibri" w:cs="Calibri" w:eastAsia="Calibri"/>
          <w:i/>
          <w:color w:val="auto"/>
          <w:spacing w:val="0"/>
          <w:position w:val="0"/>
          <w:sz w:val="24"/>
          <w:shd w:fill="FFFF00" w:val="clear"/>
        </w:rPr>
        <w:t xml:space="preserve">C. albicans</w:t>
      </w:r>
      <w:r>
        <w:rPr>
          <w:rFonts w:ascii="Calibri" w:hAnsi="Calibri" w:cs="Calibri" w:eastAsia="Calibri"/>
          <w:color w:val="auto"/>
          <w:spacing w:val="0"/>
          <w:position w:val="0"/>
          <w:sz w:val="24"/>
          <w:shd w:fill="FFFF00" w:val="clear"/>
        </w:rPr>
        <w:t xml:space="preserve"> strain SC5314 onto a yeast-peptone-dextrose-adenine (YPDA) agar plate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an inoculation loop and needle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Incubate the plate upside down for 2 days at 30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YPDA agar plate with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can be stored at 4 &amp;#176;C for up to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Isolate a single colony from the plate for inoculation into 10 mL of YPDA medium in a 50 mL tube using a sterile pipette tip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Incubate at 30 &amp;#176;C with shaking at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230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 rpm for ~17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Place the yeast suspension in a cuvette, and measure the optical density (OD) at 600 nm every 30 min using a UV-VIS spectrophotometer until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reaches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may take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Spin the yeast suspension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00" w:val="clear"/>
        </w:rPr>
        <w:t xml:space="preserve">Discard the supernatant and resuspend the yeast cells in an appropriate amount of sterile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00" w:val="clear"/>
        </w:rPr>
        <w:t xml:space="preserve">Count the </w:t>
      </w:r>
      <w:r>
        <w:rPr>
          <w:rFonts w:ascii="Calibri" w:hAnsi="Calibri" w:cs="Calibri" w:eastAsia="Calibri"/>
          <w:i/>
          <w:color w:val="auto"/>
          <w:spacing w:val="0"/>
          <w:position w:val="0"/>
          <w:sz w:val="24"/>
          <w:shd w:fill="FFFF00" w:val="clear"/>
        </w:rPr>
        <w:t xml:space="preserve">C. albicans</w:t>
      </w:r>
      <w:r>
        <w:rPr>
          <w:rFonts w:ascii="Calibri" w:hAnsi="Calibri" w:cs="Calibri" w:eastAsia="Calibri"/>
          <w:color w:val="auto"/>
          <w:spacing w:val="0"/>
          <w:position w:val="0"/>
          <w:sz w:val="24"/>
          <w:shd w:fill="FFFF00" w:val="clear"/>
        </w:rPr>
        <w:t xml:space="preserve"> cells using a hemocytometer</w:t>
      </w:r>
      <w:r>
        <w:rPr>
          <w:rFonts w:ascii="Calibri" w:hAnsi="Calibri" w:cs="Calibri" w:eastAsia="Calibri"/>
          <w:color w:val="auto"/>
          <w:spacing w:val="0"/>
          <w:position w:val="0"/>
          <w:sz w:val="24"/>
          <w:shd w:fill="auto" w:val="clear"/>
        </w:rPr>
        <w:t xml:space="preserve"> and spin the suspension at 1000</w:t>
      </w:r>
      <w:r>
        <w:rPr>
          <w:rFonts w:ascii="Calibri" w:hAnsi="Calibri" w:cs="Calibri" w:eastAsia="Calibri"/>
          <w:b/>
          <w:color w:val="auto"/>
          <w:spacing w:val="0"/>
          <w:position w:val="0"/>
          <w:sz w:val="24"/>
          <w:shd w:fill="auto" w:val="clear"/>
        </w:rPr>
        <w:t xml:space="preserve"> &amp;#215;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Discard the supernatant, and </w:t>
      </w:r>
      <w:r>
        <w:rPr>
          <w:rFonts w:ascii="Calibri" w:hAnsi="Calibri" w:cs="Calibri" w:eastAsia="Calibri"/>
          <w:color w:val="auto"/>
          <w:spacing w:val="0"/>
          <w:position w:val="0"/>
          <w:sz w:val="24"/>
          <w:shd w:fill="FFFF00" w:val="clear"/>
        </w:rPr>
        <w:t xml:space="preserve">resuspend the </w:t>
      </w:r>
      <w:r>
        <w:rPr>
          <w:rFonts w:ascii="Calibri" w:hAnsi="Calibri" w:cs="Calibri" w:eastAsia="Calibri"/>
          <w:i/>
          <w:color w:val="auto"/>
          <w:spacing w:val="0"/>
          <w:position w:val="0"/>
          <w:sz w:val="24"/>
          <w:shd w:fill="FFFF00" w:val="clear"/>
        </w:rPr>
        <w:t xml:space="preserve">C. albicans</w:t>
      </w:r>
      <w:r>
        <w:rPr>
          <w:rFonts w:ascii="Calibri" w:hAnsi="Calibri" w:cs="Calibri" w:eastAsia="Calibri"/>
          <w:color w:val="auto"/>
          <w:spacing w:val="0"/>
          <w:position w:val="0"/>
          <w:sz w:val="24"/>
          <w:shd w:fill="FFFF00" w:val="clear"/>
        </w:rPr>
        <w:t xml:space="preserve"> cells in PBS to a concentration of 1 &amp;#215; 10</w:t>
      </w:r>
      <w:r>
        <w:rPr>
          <w:rFonts w:ascii="Calibri" w:hAnsi="Calibri" w:cs="Calibri" w:eastAsia="Calibri"/>
          <w:color w:val="auto"/>
          <w:spacing w:val="0"/>
          <w:position w:val="0"/>
          <w:sz w:val="24"/>
          <w:shd w:fill="FFFF00" w:val="clear"/>
        </w:rPr>
        <w:t xml:space="preserve">⁷</w:t>
      </w:r>
      <w:r>
        <w:rPr>
          <w:rFonts w:ascii="Calibri" w:hAnsi="Calibri" w:cs="Calibri" w:eastAsia="Calibri"/>
          <w:color w:val="auto"/>
          <w:spacing w:val="0"/>
          <w:position w:val="0"/>
          <w:sz w:val="24"/>
          <w:shd w:fill="FFFF00" w:val="clear"/>
        </w:rPr>
        <w:t xml:space="preserve"> cells</w:t>
      </w:r>
      <w:r>
        <w:rPr>
          <w:rFonts w:ascii="Calibri" w:hAnsi="Calibri" w:cs="Calibri" w:eastAsia="Calibri"/>
          <w:color w:val="auto"/>
          <w:spacing w:val="0"/>
          <w:position w:val="0"/>
          <w:sz w:val="24"/>
          <w:shd w:fill="auto" w:val="clear"/>
        </w:rPr>
        <w:t xml:space="preserve"> in 40 &amp;#181;L of PBS per footpad.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For the preparation of heat-killed (HK)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kill the yeast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heating at 65 &amp;#176;C for 60 min using a heating mixer after determining the cell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Mouse footpad infection with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Anesthetize the mice with isoflurane in an induction chamber until the mice have a slow respiratory rate and show no withdrawal responses to toe or tail pinches.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anesthesia, eye ointment is recommended to prevent dry eyes, especially for anesthesia lasting longer than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Remove the cap from a 31 G needle, and load the 0.3 mL insulin syringe with the prepared </w:t>
      </w:r>
      <w:r>
        <w:rPr>
          <w:rFonts w:ascii="Calibri" w:hAnsi="Calibri" w:cs="Calibri" w:eastAsia="Calibri"/>
          <w:i/>
          <w:color w:val="auto"/>
          <w:spacing w:val="0"/>
          <w:position w:val="0"/>
          <w:sz w:val="24"/>
          <w:shd w:fill="FFFF00" w:val="clear"/>
        </w:rPr>
        <w:t xml:space="preserve">C. albicans </w:t>
      </w:r>
      <w:r>
        <w:rPr>
          <w:rFonts w:ascii="Calibri" w:hAnsi="Calibri" w:cs="Calibri" w:eastAsia="Calibri"/>
          <w:color w:val="auto"/>
          <w:spacing w:val="0"/>
          <w:position w:val="0"/>
          <w:sz w:val="24"/>
          <w:shd w:fill="FFFF00" w:val="clear"/>
        </w:rPr>
        <w:t xml:space="preserve">from step 1.9</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after mixing the cells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Remove the anesthetized mouse from the induction chamber, and gently inject 40 &amp;#181;L of the yeast cells (1 &amp;#215; 10</w:t>
      </w:r>
      <w:r>
        <w:rPr>
          <w:rFonts w:ascii="Calibri" w:hAnsi="Calibri" w:cs="Calibri" w:eastAsia="Calibri"/>
          <w:color w:val="auto"/>
          <w:spacing w:val="0"/>
          <w:position w:val="0"/>
          <w:sz w:val="24"/>
          <w:shd w:fill="FFFF00" w:val="clear"/>
        </w:rPr>
        <w:t xml:space="preserve">⁷</w:t>
      </w:r>
      <w:r>
        <w:rPr>
          <w:rFonts w:ascii="Calibri" w:hAnsi="Calibri" w:cs="Calibri" w:eastAsia="Calibri"/>
          <w:color w:val="auto"/>
          <w:spacing w:val="0"/>
          <w:position w:val="0"/>
          <w:sz w:val="24"/>
          <w:shd w:fill="FFFF00" w:val="clear"/>
        </w:rPr>
        <w:t xml:space="preserve"> cells) into the deep dermis of the right footpad for </w:t>
      </w:r>
      <w:r>
        <w:rPr>
          <w:rFonts w:ascii="Calibri" w:hAnsi="Calibri" w:cs="Calibri" w:eastAsia="Calibri"/>
          <w:i/>
          <w:color w:val="auto"/>
          <w:spacing w:val="0"/>
          <w:position w:val="0"/>
          <w:sz w:val="24"/>
          <w:shd w:fill="FFFF00" w:val="clear"/>
        </w:rPr>
        <w:t xml:space="preserve">C. albicans</w:t>
      </w:r>
      <w:r>
        <w:rPr>
          <w:rFonts w:ascii="Calibri" w:hAnsi="Calibri" w:cs="Calibri" w:eastAsia="Calibri"/>
          <w:color w:val="auto"/>
          <w:spacing w:val="0"/>
          <w:position w:val="0"/>
          <w:sz w:val="24"/>
          <w:shd w:fill="FFFF00" w:val="clear"/>
        </w:rPr>
        <w:t xml:space="preserve"> sensitization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volume that can be injected into a footpad is 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Withdraw the syringe needle slowly from the injection site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Place each mouse alone in a cage until it has fully recovered from anesthesia and then return it safely to the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To develop an antigen-specific response to </w:t>
      </w:r>
      <w:r>
        <w:rPr>
          <w:rFonts w:ascii="Calibri" w:hAnsi="Calibri" w:cs="Calibri" w:eastAsia="Calibri"/>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challenge the right footpad of the mice with the prepared HK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via intradermal injection 7 days after the sensitization, as described previously (1 &amp;#215; 10</w:t>
      </w:r>
      <w:r>
        <w:rPr>
          <w:rFonts w:ascii="Calibri" w:hAnsi="Calibri" w:cs="Calibri" w:eastAsia="Calibri"/>
          <w:color w:val="auto"/>
          <w:spacing w:val="0"/>
          <w:position w:val="0"/>
          <w:sz w:val="24"/>
          <w:shd w:fill="auto" w:val="clear"/>
        </w:rPr>
        <w:t xml:space="preserve">⁷</w:t>
      </w:r>
      <w:r>
        <w:rPr>
          <w:rFonts w:ascii="Calibri" w:hAnsi="Calibri" w:cs="Calibri" w:eastAsia="Calibri"/>
          <w:color w:val="auto"/>
          <w:spacing w:val="0"/>
          <w:position w:val="0"/>
          <w:sz w:val="24"/>
          <w:shd w:fill="auto" w:val="clear"/>
        </w:rPr>
        <w:t xml:space="preserve"> cells; 40 &amp;#181;L per footpad; 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Harvest skin-draining LNs 7 days after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sensitization or lesional footpad tissues 24 h after antigen challenge after euthanasia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Diphtheria toxin-induced dendritic cell depletion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both Langerin-DTR and CD301b-DTR mice were treated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DT 1 day before and after intradermal sensitization to</w:t>
      </w:r>
      <w:r>
        <w:rPr>
          <w:rFonts w:ascii="Calibri" w:hAnsi="Calibri" w:cs="Calibri" w:eastAsia="Calibri"/>
          <w:i/>
          <w:color w:val="auto"/>
          <w:spacing w:val="0"/>
          <w:position w:val="0"/>
          <w:sz w:val="24"/>
          <w:shd w:fill="auto" w:val="clear"/>
        </w:rPr>
        <w:t xml:space="preserve"> C. albicans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Prepare a 10 &amp;#181;g/mL solution of DT in PBS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Remove the cap from the needle of a 1 mL insulin syringe, mix the DT, and fill the syringe with the DT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Properly restrain the mice in a head-down position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Disinfect the ventral side of the mice with 70% ethanol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Slowly inject each mouse with 100 &amp;#181;L of 1 &amp;#181;g DT intraperitoneally into the lower left quadrant of the abdomen</w:t>
      </w:r>
      <w:r>
        <w:rPr>
          <w:rFonts w:ascii="Calibri" w:hAnsi="Calibri" w:cs="Calibri" w:eastAsia="Calibri"/>
          <w:color w:val="auto"/>
          <w:spacing w:val="0"/>
          <w:position w:val="0"/>
          <w:sz w:val="24"/>
          <w:shd w:fill="auto" w:val="clear"/>
        </w:rPr>
        <w:t xml:space="preserve"> to deplete specific dendritic cell subsets.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damage organs during the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Wait for 5 s; then, slowly remove the needle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Quantitative real-time polymerase chain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Place the mouse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until no breathing movement is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Disinfect the mouse with 75% ethanol, and cut the lesion from the hind footpad skin into small pieces using forceps and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Completely immerse the sliced tissues in RNA isolation reagent.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Homogenize the samples using a tissue homogenizer according to the manufacturer’s instructions (2 cycles of 3 min at 30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Stainless steel beads were used for tissue lysis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Spin at 10,000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Carefully transfer the supernatant to a fresh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Isolate total RNA from the lesional skin using a total RNA isolation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Determine the RNA concentration using a UV-Vis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Synthesize cDNA using a reverse transcription kit for quantitative real-time polymerase chain reaction (qPCR).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Perform real-time qPCR with the real-time PCR system by monitoring the synthesis of double-stranded DNA during PCR cycles using green fluorescent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results were normalized to the level of hypoxanthine-guanine phosphoribosyltransferase (</w:t>
      </w:r>
      <w:r>
        <w:rPr>
          <w:rFonts w:ascii="Calibri" w:hAnsi="Calibri" w:cs="Calibri" w:eastAsia="Calibri"/>
          <w:i/>
          <w:color w:val="auto"/>
          <w:spacing w:val="0"/>
          <w:position w:val="0"/>
          <w:sz w:val="24"/>
          <w:shd w:fill="auto" w:val="clear"/>
        </w:rPr>
        <w:t xml:space="preserve">Hprt</w:t>
      </w:r>
      <w:r>
        <w:rPr>
          <w:rFonts w:ascii="Calibri" w:hAnsi="Calibri" w:cs="Calibri" w:eastAsia="Calibri"/>
          <w:color w:val="auto"/>
          <w:spacing w:val="0"/>
          <w:position w:val="0"/>
          <w:sz w:val="24"/>
          <w:shd w:fill="auto" w:val="clear"/>
        </w:rPr>
        <w:t xml:space="preserve">). The primer sequences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PCR protocol is as follows: initial denaturation at 95 &amp;#176;C for 30 s, amplification for 42 cycles (95 &amp;#176;C for 5 s, 60 &amp;#176;C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Cell isolation and flow cytometric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After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euthanasia, </w:t>
      </w:r>
      <w:r>
        <w:rPr>
          <w:rFonts w:ascii="Calibri" w:hAnsi="Calibri" w:cs="Calibri" w:eastAsia="Calibri"/>
          <w:color w:val="auto"/>
          <w:spacing w:val="0"/>
          <w:position w:val="0"/>
          <w:sz w:val="24"/>
          <w:shd w:fill="FFFF00" w:val="clear"/>
        </w:rPr>
        <w:t xml:space="preserve">dissect the mice using forceps and scissors, carefully exposing and harvesting the footpad-draining LNs called popliteal LNs, located behind the knee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Prepare single-cell suspensions from the footpad-draining LNs of each mouse by filtering the tissues through a 70 &amp;#181;m strainer after homogenization using the plunger of a 3 mL syringe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Wash the cells with PBS and spin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Discard the supernatant, and wash the cells with PBS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Spin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4"/>
          <w:shd w:fill="FFFF00" w:val="clear"/>
        </w:rPr>
        <w:t xml:space="preserve">Discard the supernatant and resuspend the cells in complete RPMI-10 medium containing 55 &amp;#181;M &amp;#946;-mercaptoethanol, 50 ng/mL phorbol 12-myristate 13-acetate (PMA), and 500 ng/mL ionomycin in a 24 well-plate for T cell stimulation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After 1 h, add 10 &amp;#181;g/mL of brefeldin A and 1000x monensin to the cell suspension and culture for an additional 5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Harvest the cells and wash them with fluorescence-activated cell sorting (FACS) buffer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r>
      <w:r>
        <w:rPr>
          <w:rFonts w:ascii="Calibri" w:hAnsi="Calibri" w:cs="Calibri" w:eastAsia="Calibri"/>
          <w:color w:val="auto"/>
          <w:spacing w:val="0"/>
          <w:position w:val="0"/>
          <w:sz w:val="24"/>
          <w:shd w:fill="FFFF00" w:val="clear"/>
        </w:rPr>
        <w:t xml:space="preserve">Spin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and discard the supernatant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r>
      <w:r>
        <w:rPr>
          <w:rFonts w:ascii="Calibri" w:hAnsi="Calibri" w:cs="Calibri" w:eastAsia="Calibri"/>
          <w:color w:val="auto"/>
          <w:spacing w:val="0"/>
          <w:position w:val="0"/>
          <w:sz w:val="24"/>
          <w:shd w:fill="FFFF00" w:val="clear"/>
        </w:rPr>
        <w:t xml:space="preserve">Stain the dead cells with a fixable dead cell-staining dye and incubate for 30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Wash the samples with FACS buffer</w:t>
      </w:r>
      <w:r>
        <w:rPr>
          <w:rFonts w:ascii="Calibri" w:hAnsi="Calibri" w:cs="Calibri" w:eastAsia="Calibri"/>
          <w:color w:val="auto"/>
          <w:spacing w:val="0"/>
          <w:position w:val="0"/>
          <w:sz w:val="24"/>
          <w:shd w:fill="auto" w:val="clear"/>
        </w:rPr>
        <w:t xml:space="preserve"> and spin them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D</w:t>
      </w:r>
      <w:r>
        <w:rPr>
          <w:rFonts w:ascii="Calibri" w:hAnsi="Calibri" w:cs="Calibri" w:eastAsia="Calibri"/>
          <w:color w:val="auto"/>
          <w:spacing w:val="0"/>
          <w:position w:val="0"/>
          <w:sz w:val="24"/>
          <w:shd w:fill="FFFF00" w:val="clear"/>
        </w:rPr>
        <w:t xml:space="preserve">iscard the supernatant, and stain the cells with fluorochrome-conjugated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surface marker antibodies and Fc receptor blocker for 30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r>
      <w:r>
        <w:rPr>
          <w:rFonts w:ascii="Calibri" w:hAnsi="Calibri" w:cs="Calibri" w:eastAsia="Calibri"/>
          <w:color w:val="auto"/>
          <w:spacing w:val="0"/>
          <w:position w:val="0"/>
          <w:sz w:val="24"/>
          <w:shd w:fill="FFFF00" w:val="clear"/>
        </w:rPr>
        <w:t xml:space="preserve">Wash the samples with FACS buffer</w:t>
      </w:r>
      <w:r>
        <w:rPr>
          <w:rFonts w:ascii="Calibri" w:hAnsi="Calibri" w:cs="Calibri" w:eastAsia="Calibri"/>
          <w:color w:val="auto"/>
          <w:spacing w:val="0"/>
          <w:position w:val="0"/>
          <w:sz w:val="24"/>
          <w:shd w:fill="auto" w:val="clear"/>
        </w:rPr>
        <w:t xml:space="preserve"> and spin them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Discard the supernatant and </w:t>
      </w:r>
      <w:r>
        <w:rPr>
          <w:rFonts w:ascii="Calibri" w:hAnsi="Calibri" w:cs="Calibri" w:eastAsia="Calibri"/>
          <w:color w:val="auto"/>
          <w:spacing w:val="0"/>
          <w:position w:val="0"/>
          <w:sz w:val="24"/>
          <w:shd w:fill="FFFF00" w:val="clear"/>
        </w:rPr>
        <w:t xml:space="preserve">resuspend the pelleted cells in fixation and permeabilization solution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at 4 &amp;#176;C for intracellular staining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r>
      <w:r>
        <w:rPr>
          <w:rFonts w:ascii="Calibri" w:hAnsi="Calibri" w:cs="Calibri" w:eastAsia="Calibri"/>
          <w:color w:val="auto"/>
          <w:spacing w:val="0"/>
          <w:position w:val="0"/>
          <w:sz w:val="24"/>
          <w:shd w:fill="FFFF00" w:val="clear"/>
        </w:rPr>
        <w:t xml:space="preserve">Wash the samples</w:t>
      </w:r>
      <w:r>
        <w:rPr>
          <w:rFonts w:ascii="Calibri" w:hAnsi="Calibri" w:cs="Calibri" w:eastAsia="Calibri"/>
          <w:color w:val="auto"/>
          <w:spacing w:val="0"/>
          <w:position w:val="0"/>
          <w:sz w:val="24"/>
          <w:shd w:fill="auto" w:val="clear"/>
        </w:rPr>
        <w:t xml:space="preserve"> with 1x washing buffer and spin them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r>
      <w:r>
        <w:rPr>
          <w:rFonts w:ascii="Calibri" w:hAnsi="Calibri" w:cs="Calibri" w:eastAsia="Calibri"/>
          <w:color w:val="auto"/>
          <w:spacing w:val="0"/>
          <w:position w:val="0"/>
          <w:sz w:val="24"/>
          <w:shd w:fill="FFFF00" w:val="clear"/>
        </w:rPr>
        <w:t xml:space="preserve">Discard the supernatant, and perform intracellular cytokine staining for 30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r>
      <w:r>
        <w:rPr>
          <w:rFonts w:ascii="Calibri" w:hAnsi="Calibri" w:cs="Calibri" w:eastAsia="Calibri"/>
          <w:color w:val="auto"/>
          <w:spacing w:val="0"/>
          <w:position w:val="0"/>
          <w:sz w:val="24"/>
          <w:shd w:fill="FFFF00" w:val="clear"/>
        </w:rPr>
        <w:t xml:space="preserve">Wash the samples</w:t>
      </w:r>
      <w:r>
        <w:rPr>
          <w:rFonts w:ascii="Calibri" w:hAnsi="Calibri" w:cs="Calibri" w:eastAsia="Calibri"/>
          <w:color w:val="auto"/>
          <w:spacing w:val="0"/>
          <w:position w:val="0"/>
          <w:sz w:val="24"/>
          <w:shd w:fill="auto" w:val="clear"/>
        </w:rPr>
        <w:t xml:space="preserve"> with 1x washing buffer and spin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r>
      <w:r>
        <w:rPr>
          <w:rFonts w:ascii="Calibri" w:hAnsi="Calibri" w:cs="Calibri" w:eastAsia="Calibri"/>
          <w:color w:val="auto"/>
          <w:spacing w:val="0"/>
          <w:position w:val="0"/>
          <w:sz w:val="24"/>
          <w:shd w:fill="FFFF00" w:val="clear"/>
        </w:rPr>
        <w:t xml:space="preserve">Resuspend the cells in the appropriate volume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&amp;#181;L) of FACS buffer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r>
      <w:r>
        <w:rPr>
          <w:rFonts w:ascii="Calibri" w:hAnsi="Calibri" w:cs="Calibri" w:eastAsia="Calibri"/>
          <w:color w:val="auto"/>
          <w:spacing w:val="0"/>
          <w:position w:val="0"/>
          <w:sz w:val="24"/>
          <w:shd w:fill="FFFF00" w:val="clear"/>
        </w:rPr>
        <w:t xml:space="preserve">Analyze protein expression using flow cytometry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demonstrated an intradermal infection model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to study the role of cutaneous DC-mediated Th17 immune response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Following an initial intradermal injection with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into the footpad, the skin-draining LNs were enlarged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During the sensitization period, the ratio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effector T cells was notably increased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Additionally, the effector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abundantly produced IL-17A relative to the effector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These results indicated that intradermal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potently drives IL-17A-producing-CD4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immunity.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expression of interferon gamma (</w:t>
      </w:r>
      <w:r>
        <w:rPr>
          <w:rFonts w:ascii="Calibri" w:hAnsi="Calibri" w:cs="Calibri" w:eastAsia="Calibri"/>
          <w:i/>
          <w:color w:val="auto"/>
          <w:spacing w:val="0"/>
          <w:position w:val="0"/>
          <w:sz w:val="24"/>
          <w:shd w:fill="auto" w:val="clear"/>
        </w:rPr>
        <w:t xml:space="preserve">Ifn&amp;#947;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Il4,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Il17a</w:t>
      </w:r>
      <w:r>
        <w:rPr>
          <w:rFonts w:ascii="Calibri" w:hAnsi="Calibri" w:cs="Calibri" w:eastAsia="Calibri"/>
          <w:color w:val="auto"/>
          <w:spacing w:val="0"/>
          <w:position w:val="0"/>
          <w:sz w:val="24"/>
          <w:shd w:fill="auto" w:val="clear"/>
        </w:rPr>
        <w:t xml:space="preserve"> was observed in the challenged footpad skin with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Although the initial sensitization with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led to increased levels of </w:t>
      </w:r>
      <w:r>
        <w:rPr>
          <w:rFonts w:ascii="Calibri" w:hAnsi="Calibri" w:cs="Calibri" w:eastAsia="Calibri"/>
          <w:i/>
          <w:color w:val="auto"/>
          <w:spacing w:val="0"/>
          <w:position w:val="0"/>
          <w:sz w:val="24"/>
          <w:shd w:fill="auto" w:val="clear"/>
        </w:rPr>
        <w:t xml:space="preserve">Ifn&amp;#947;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Il4</w:t>
      </w:r>
      <w:r>
        <w:rPr>
          <w:rFonts w:ascii="Calibri" w:hAnsi="Calibri" w:cs="Calibri" w:eastAsia="Calibri"/>
          <w:color w:val="auto"/>
          <w:spacing w:val="0"/>
          <w:position w:val="0"/>
          <w:sz w:val="24"/>
          <w:shd w:fill="auto" w:val="clear"/>
        </w:rPr>
        <w:t xml:space="preserve"> mRNA at day 7, there was no increase in </w:t>
      </w:r>
      <w:r>
        <w:rPr>
          <w:rFonts w:ascii="Calibri" w:hAnsi="Calibri" w:cs="Calibri" w:eastAsia="Calibri"/>
          <w:i/>
          <w:color w:val="auto"/>
          <w:spacing w:val="0"/>
          <w:position w:val="0"/>
          <w:sz w:val="24"/>
          <w:shd w:fill="auto" w:val="clear"/>
        </w:rPr>
        <w:t xml:space="preserve">Il17a</w:t>
      </w:r>
      <w:r>
        <w:rPr>
          <w:rFonts w:ascii="Calibri" w:hAnsi="Calibri" w:cs="Calibri" w:eastAsia="Calibri"/>
          <w:color w:val="auto"/>
          <w:spacing w:val="0"/>
          <w:position w:val="0"/>
          <w:sz w:val="24"/>
          <w:shd w:fill="auto" w:val="clear"/>
        </w:rPr>
        <w:t xml:space="preserve"> at this time point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Importantly, the mice showed a profound elevation of local </w:t>
      </w:r>
      <w:r>
        <w:rPr>
          <w:rFonts w:ascii="Calibri" w:hAnsi="Calibri" w:cs="Calibri" w:eastAsia="Calibri"/>
          <w:i/>
          <w:color w:val="auto"/>
          <w:spacing w:val="0"/>
          <w:position w:val="0"/>
          <w:sz w:val="24"/>
          <w:shd w:fill="auto" w:val="clear"/>
        </w:rPr>
        <w:t xml:space="preserve">Il17a</w:t>
      </w:r>
      <w:r>
        <w:rPr>
          <w:rFonts w:ascii="Calibri" w:hAnsi="Calibri" w:cs="Calibri" w:eastAsia="Calibri"/>
          <w:color w:val="auto"/>
          <w:spacing w:val="0"/>
          <w:position w:val="0"/>
          <w:sz w:val="24"/>
          <w:shd w:fill="auto" w:val="clear"/>
        </w:rPr>
        <w:t xml:space="preserve"> expression 24 h after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re-exposure. However, the challenge with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did not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 increase the mRNA levels of </w:t>
      </w:r>
      <w:r>
        <w:rPr>
          <w:rFonts w:ascii="Calibri" w:hAnsi="Calibri" w:cs="Calibri" w:eastAsia="Calibri"/>
          <w:i/>
          <w:color w:val="auto"/>
          <w:spacing w:val="0"/>
          <w:position w:val="0"/>
          <w:sz w:val="24"/>
          <w:shd w:fill="auto" w:val="clear"/>
        </w:rPr>
        <w:t xml:space="preserve">Ifn&amp;#947;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Il4.</w:t>
      </w:r>
      <w:r>
        <w:rPr>
          <w:rFonts w:ascii="Calibri" w:hAnsi="Calibri" w:cs="Calibri" w:eastAsia="Calibri"/>
          <w:color w:val="auto"/>
          <w:spacing w:val="0"/>
          <w:position w:val="0"/>
          <w:sz w:val="24"/>
          <w:shd w:fill="auto" w:val="clear"/>
        </w:rPr>
        <w:t xml:space="preserve"> These results indicated that re-exposure to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via the intradermal route, described in this protocol, efficiently induces an antigen-specific IL-17 response in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Skin DCs migrate and present antigens in the skin-draining LNs after exposure to antigens, initiating antigen-specific immune responses. A DT-induced, DC subset-depleted mouse system was used to determine which DC subsets are responsible for the Th17 immunity to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Depletion of Langerin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DCs (LCs and cDC1) resulted in comparable ratios of CD4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to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IL-17A production from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effector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skin-draining LNs (</w:t>
      </w:r>
      <w:r>
        <w:rPr>
          <w:rFonts w:ascii="Calibri" w:hAnsi="Calibri" w:cs="Calibri" w:eastAsia="Calibri"/>
          <w:b/>
          <w:color w:val="auto"/>
          <w:spacing w:val="0"/>
          <w:position w:val="0"/>
          <w:sz w:val="24"/>
          <w:shd w:fill="auto" w:val="clear"/>
        </w:rPr>
        <w:t xml:space="preserve">Figure 4D,E</w:t>
      </w:r>
      <w:r>
        <w:rPr>
          <w:rFonts w:ascii="Calibri" w:hAnsi="Calibri" w:cs="Calibri" w:eastAsia="Calibri"/>
          <w:color w:val="auto"/>
          <w:spacing w:val="0"/>
          <w:position w:val="0"/>
          <w:sz w:val="24"/>
          <w:shd w:fill="auto" w:val="clear"/>
        </w:rPr>
        <w:t xml:space="preserve">). Meanwhile, the depletion of CD301b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cDC2 significantly attenuated IL-17A expression along with a relative decline in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These findings demonstrate that CD301b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dermal DCs invoke a protective Th17 immune response against deep 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intradermal </w:t>
      </w:r>
      <w:r>
        <w:rPr>
          <w:rFonts w:ascii="Calibri" w:hAnsi="Calibri" w:cs="Calibri" w:eastAsia="Calibri"/>
          <w:b/>
          <w:i/>
          <w:color w:val="auto"/>
          <w:spacing w:val="0"/>
          <w:position w:val="0"/>
          <w:sz w:val="24"/>
          <w:shd w:fill="auto" w:val="clear"/>
        </w:rPr>
        <w:t xml:space="preserve">Candida albicans</w:t>
      </w:r>
      <w:r>
        <w:rPr>
          <w:rFonts w:ascii="Calibri" w:hAnsi="Calibri" w:cs="Calibri" w:eastAsia="Calibri"/>
          <w:b/>
          <w:color w:val="auto"/>
          <w:spacing w:val="0"/>
          <w:position w:val="0"/>
          <w:sz w:val="24"/>
          <w:shd w:fill="auto" w:val="clear"/>
        </w:rPr>
        <w:t xml:space="preserve"> infection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hind footpads of mice were injected intradermally with 1 &amp;#215; 10</w:t>
      </w:r>
      <w:r>
        <w:rPr>
          <w:rFonts w:ascii="Calibri" w:hAnsi="Calibri" w:cs="Calibri" w:eastAsia="Calibri"/>
          <w:color w:val="auto"/>
          <w:spacing w:val="0"/>
          <w:position w:val="0"/>
          <w:sz w:val="24"/>
          <w:shd w:fill="auto" w:val="clear"/>
        </w:rPr>
        <w:t xml:space="preserve">⁷</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After 7 days, the footpads of mice were re-exposed to 1 &amp;#215; 10</w:t>
      </w:r>
      <w:r>
        <w:rPr>
          <w:rFonts w:ascii="Calibri" w:hAnsi="Calibri" w:cs="Calibri" w:eastAsia="Calibri"/>
          <w:color w:val="auto"/>
          <w:spacing w:val="0"/>
          <w:position w:val="0"/>
          <w:sz w:val="24"/>
          <w:shd w:fill="auto" w:val="clear"/>
        </w:rPr>
        <w:t xml:space="preserve">⁷</w:t>
      </w:r>
      <w:r>
        <w:rPr>
          <w:rFonts w:ascii="Calibri" w:hAnsi="Calibri" w:cs="Calibri" w:eastAsia="Calibri"/>
          <w:color w:val="auto"/>
          <w:spacing w:val="0"/>
          <w:position w:val="0"/>
          <w:sz w:val="24"/>
          <w:shd w:fill="auto" w:val="clear"/>
        </w:rPr>
        <w:t xml:space="preserve"> HK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by intradermal injection, and the delayed-type hypersensitivity response was measured 24 h after antigen challenge. Local Immune response during</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sensitization was analyzed after 7 days in skin-draining LNs.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Images of footpads before intradermal footpad injection with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Injection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into the deep dermis of the right footpad. (</w:t>
      </w:r>
      <w:r>
        <w:rPr>
          <w:rFonts w:ascii="Calibri" w:hAnsi="Calibri" w:cs="Calibri" w:eastAsia="Calibri"/>
          <w:b/>
          <w:color w:val="auto"/>
          <w:spacing w:val="0"/>
          <w:position w:val="0"/>
          <w:sz w:val="24"/>
          <w:shd w:fill="auto" w:val="clear"/>
        </w:rPr>
        <w:t xml:space="preserve">F, 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Clinical signs of redness and swelling following footpad injection of the right footpad.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 sketch showing lymphatic pathways from the footpad to popliteal LNs following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injection.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Exposed popliteal LNs located behind the knee 7 days after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injection and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without injection. Abbreviations: HK = heat-killed; LNs = lymph nodes.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Intradermal </w:t>
      </w:r>
      <w:r>
        <w:rPr>
          <w:rFonts w:ascii="Calibri" w:hAnsi="Calibri" w:cs="Calibri" w:eastAsia="Calibri"/>
          <w:b/>
          <w:i/>
          <w:color w:val="auto"/>
          <w:spacing w:val="0"/>
          <w:position w:val="0"/>
          <w:sz w:val="24"/>
          <w:shd w:fill="auto" w:val="clear"/>
        </w:rPr>
        <w:t xml:space="preserve">Candida albicans</w:t>
      </w:r>
      <w:r>
        <w:rPr>
          <w:rFonts w:ascii="Calibri" w:hAnsi="Calibri" w:cs="Calibri" w:eastAsia="Calibri"/>
          <w:b/>
          <w:color w:val="auto"/>
          <w:spacing w:val="0"/>
          <w:position w:val="0"/>
          <w:sz w:val="24"/>
          <w:shd w:fill="auto" w:val="clear"/>
        </w:rPr>
        <w:t xml:space="preserve"> infection induces Th17 cell differentiation in skin-draining LNs.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 skin-draining LNs in na&amp;#239;ve (upper) or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-sensitized mice (lower) 7 days after intradermal injection into the footpad.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Gating strategies for the effector T cells of skin-draining LNs at day 7 post-infection.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proportion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effector T cell population in skin-draining LNs 7 days after intradermal sensitization.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flow cytometric plots of intracellular IL-17A expression from effector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skin-draining LNs 7 days after intradermal infection.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absolute cell numbers of </w:t>
      </w:r>
      <w:r>
        <w:rPr>
          <w:rFonts w:ascii="Calibri" w:hAnsi="Calibri" w:cs="Calibri" w:eastAsia="Calibri"/>
          <w:color w:val="auto"/>
          <w:spacing w:val="0"/>
          <w:position w:val="0"/>
          <w:sz w:val="24"/>
          <w:shd w:fill="FFFFFF" w:val="clear"/>
        </w:rPr>
        <w:t xml:space="preserve">IL-17A-producing cells from effector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FFFFFF" w:val="clear"/>
        </w:rPr>
        <w:t xml:space="preserve"> or </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Data are from at least two independent experiments with four to seven mice per group. Error bars indicate mean &amp;plusmn; standard error of the mean.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 Abbreviations: LNs= lymph nodes; CD = cluster of differentiation; IL = interleukin; FSC = forward scatter; SSC = side scatter; A = area of peak; TCR = T cell receptor; ns = not significant.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Figure 3: The lesional skin re-exposed to </w:t>
      </w:r>
      <w:r>
        <w:rPr>
          <w:rFonts w:ascii="Calibri" w:hAnsi="Calibri" w:cs="Calibri" w:eastAsia="Calibri"/>
          <w:b/>
          <w:i/>
          <w:color w:val="auto"/>
          <w:spacing w:val="0"/>
          <w:position w:val="0"/>
          <w:sz w:val="24"/>
          <w:shd w:fill="auto" w:val="clear"/>
        </w:rPr>
        <w:t xml:space="preserve">Candida albicans</w:t>
      </w:r>
      <w:r>
        <w:rPr>
          <w:rFonts w:ascii="Calibri" w:hAnsi="Calibri" w:cs="Calibri" w:eastAsia="Calibri"/>
          <w:b/>
          <w:color w:val="auto"/>
          <w:spacing w:val="0"/>
          <w:position w:val="0"/>
          <w:sz w:val="24"/>
          <w:shd w:fill="auto" w:val="clear"/>
        </w:rPr>
        <w:t xml:space="preserve"> characteristically exhibits an antigen-specific IL-17 response. </w:t>
      </w:r>
      <w:r>
        <w:rPr>
          <w:rFonts w:ascii="Calibri" w:hAnsi="Calibri" w:cs="Calibri" w:eastAsia="Calibri"/>
          <w:color w:val="auto"/>
          <w:spacing w:val="0"/>
          <w:position w:val="0"/>
          <w:sz w:val="24"/>
          <w:shd w:fill="auto" w:val="clear"/>
        </w:rPr>
        <w:t xml:space="preserve">Gene expression analysis of </w:t>
      </w:r>
      <w:r>
        <w:rPr>
          <w:rFonts w:ascii="Calibri" w:hAnsi="Calibri" w:cs="Calibri" w:eastAsia="Calibri"/>
          <w:i/>
          <w:color w:val="auto"/>
          <w:spacing w:val="0"/>
          <w:position w:val="0"/>
          <w:sz w:val="24"/>
          <w:shd w:fill="auto" w:val="clear"/>
        </w:rPr>
        <w:t xml:space="preserve">Ifng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Il4</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Il17a</w:t>
      </w:r>
      <w:r>
        <w:rPr>
          <w:rFonts w:ascii="Calibri" w:hAnsi="Calibri" w:cs="Calibri" w:eastAsia="Calibri"/>
          <w:color w:val="auto"/>
          <w:spacing w:val="0"/>
          <w:position w:val="0"/>
          <w:sz w:val="24"/>
          <w:shd w:fill="auto" w:val="clear"/>
        </w:rPr>
        <w:t xml:space="preserve"> in the footpad skin before (7 days after sensitization) and 24 h after HK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challenge via intradermal injection compared to the na&amp;#239;ve skin. Data are from at least two independent experiments with four to five mice per group. Error bars indicate mean &amp;plusmn; standard error of the mean.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&amp;lt;0.005. Abbreviations: HK = heat-killed; IL = interleukin; IL = interleukin; </w:t>
      </w:r>
      <w:r>
        <w:rPr>
          <w:rFonts w:ascii="Calibri" w:hAnsi="Calibri" w:cs="Calibri" w:eastAsia="Calibri"/>
          <w:i/>
          <w:color w:val="auto"/>
          <w:spacing w:val="0"/>
          <w:position w:val="0"/>
          <w:sz w:val="24"/>
          <w:shd w:fill="auto" w:val="clear"/>
        </w:rPr>
        <w:t xml:space="preserve">Ifng</w:t>
      </w:r>
      <w:r>
        <w:rPr>
          <w:rFonts w:ascii="Calibri" w:hAnsi="Calibri" w:cs="Calibri" w:eastAsia="Calibri"/>
          <w:color w:val="auto"/>
          <w:spacing w:val="0"/>
          <w:position w:val="0"/>
          <w:sz w:val="24"/>
          <w:shd w:fill="auto" w:val="clear"/>
        </w:rPr>
        <w:t xml:space="preserve"> = interferon gamma gene; ns = not significant.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CD301b</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dermal DCs drive Th17 immunity against deep dermal </w:t>
      </w:r>
      <w:r>
        <w:rPr>
          <w:rFonts w:ascii="Calibri" w:hAnsi="Calibri" w:cs="Calibri" w:eastAsia="Calibri"/>
          <w:b/>
          <w:i/>
          <w:color w:val="auto"/>
          <w:spacing w:val="0"/>
          <w:position w:val="0"/>
          <w:sz w:val="24"/>
          <w:shd w:fill="auto" w:val="clear"/>
        </w:rPr>
        <w:t xml:space="preserve">Candida albicans</w:t>
      </w:r>
      <w:r>
        <w:rPr>
          <w:rFonts w:ascii="Calibri" w:hAnsi="Calibri" w:cs="Calibri" w:eastAsia="Calibri"/>
          <w:b/>
          <w:color w:val="auto"/>
          <w:spacing w:val="0"/>
          <w:position w:val="0"/>
          <w:sz w:val="24"/>
          <w:shd w:fill="auto" w:val="clear"/>
        </w:rPr>
        <w:t xml:space="preserve"> infection. </w:t>
      </w:r>
      <w:r>
        <w:rPr>
          <w:rFonts w:ascii="Calibri" w:hAnsi="Calibri" w:cs="Calibri" w:eastAsia="Calibri"/>
          <w:color w:val="auto"/>
          <w:spacing w:val="0"/>
          <w:position w:val="0"/>
          <w:sz w:val="24"/>
          <w:shd w:fill="auto" w:val="clear"/>
        </w:rPr>
        <w:t xml:space="preserve">The skin-draining LNs of na&amp;#239;ve, WT, Langerin-DTR, and CD301b-DTR mice with DT treatment were analyzed by flow cytometry 7 days after intradermal</w:t>
      </w:r>
      <w:r>
        <w:rPr>
          <w:rFonts w:ascii="Calibri" w:hAnsi="Calibri" w:cs="Calibri" w:eastAsia="Calibri"/>
          <w:i/>
          <w:color w:val="auto"/>
          <w:spacing w:val="0"/>
          <w:position w:val="0"/>
          <w:sz w:val="24"/>
          <w:shd w:fill="auto" w:val="clear"/>
        </w:rPr>
        <w:t xml:space="preserve"> C. albicans </w:t>
      </w:r>
      <w:r>
        <w:rPr>
          <w:rFonts w:ascii="Calibri" w:hAnsi="Calibri" w:cs="Calibri" w:eastAsia="Calibri"/>
          <w:color w:val="auto"/>
          <w:spacing w:val="0"/>
          <w:position w:val="0"/>
          <w:sz w:val="24"/>
          <w:shd w:fill="auto" w:val="clear"/>
        </w:rPr>
        <w:t xml:space="preserve">infection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Validation for the depletion of specific DC subsets in the epidermis and dermis of WT, Langerin-DTR, and CD301b-DTR mice after DT treatment.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Gating strategies for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of skin-draining LNs at day 7 post-infection.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ratios of CD4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to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each experimental group.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flow cytometric plots of intracellular IL-17A production from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effector T cells in each experimental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absolute numbers of </w:t>
      </w:r>
      <w:r>
        <w:rPr>
          <w:rFonts w:ascii="Calibri" w:hAnsi="Calibri" w:cs="Calibri" w:eastAsia="Calibri"/>
          <w:color w:val="auto"/>
          <w:spacing w:val="0"/>
          <w:position w:val="0"/>
          <w:sz w:val="24"/>
          <w:shd w:fill="FFFFFF" w:val="clear"/>
        </w:rPr>
        <w:t xml:space="preserve">IL-17A-producing </w:t>
      </w:r>
      <w:r>
        <w:rPr>
          <w:rFonts w:ascii="Calibri" w:hAnsi="Calibri" w:cs="Calibri" w:eastAsia="Calibri"/>
          <w:color w:val="auto"/>
          <w:spacing w:val="0"/>
          <w:position w:val="0"/>
          <w:sz w:val="24"/>
          <w:shd w:fill="auto" w:val="clear"/>
        </w:rPr>
        <w:t xml:space="preserve">Th17 cells in each experimental group. Data are from at least two independent experiments with five to six mice per group. Error bars indicate mean &amp;plusmn; standard error of the mean.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 Abbreviations: DCs = dendritic cells; WT = wild-type; DTR = diphtheria toxin receptor; DT = diphtheria toxin; CD = cluster of differentiation; LNs = lymph nodes; IL = interleukin; Th17 = T helper 17 cells; ns = not significant.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 sequences.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method of intradermal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that allows the study of the role of cutaneous DCs in Th17 immune response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By applying multiparametric flow cytometric analysis with DT-induced mouse strains, we found that CD301b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dermal DCs are a crucial cutaneous DC subset for initiating Th17 immunity against deep 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Moreover, the results showed that the IL-17-producing T cell response was mainly produced by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but not by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indicating that this model is a faithful model of Th17 immunity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elegant studies have shown that epicutaneous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led to Th17 immunity through IL-6-producing epidermal LCs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Moreover, a Th17 response to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epicutaneous infection was specifically induced by the yeast form but not by the hyphal form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suggesting that the morphology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is crucial for antifungal Th17 immunity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Therefore, this protocol also utilizes the yeast form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which would transform into the hyphal form under nutrition-enriched and higher temperature conditions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unclear whether an intradermal injection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hyphae would induce Th17 immunity. Although previous studies have demonstrated the role of innate immunity against intradermal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hyphal infection that resulted in a high interferon-&amp;#947; immune response, they did not evaluate the IL-17 response</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Future studies would be needed to demonstrate differences in Th17 immunity between the yeast and hyphal forms of intradermal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dermis contains all subsets of cutaneous DCs. In contrast to epicutaneous infection, this protocol shows that CD301b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dermal DCs are crucial for inducing Th17 immunity against intradermal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in the regional LNs. Compared to the epicutaneous infection of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an intradermal administration route could bypass the persistent exposure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on the epidermal surface and the resultant epidermal injury mediated by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pseudohyphae invasion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might induce a lesser degree of epidermal LC activation, which requires IL-1&amp;#946; production and subsequent keratinocyte-derived tumor necrosis factor-alpha (TNF-&amp;#945;) for their migration to regional LNs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an initial intradermal location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would lead to strong activation and enhanced uptake by dermal DCs. Among the dermal DCs, previous studies have shown that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cDC2 and CD301b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cDC2 mediate a Th17 immune response both in the intestine and the skin</w:t>
      </w:r>
      <w:r>
        <w:rPr>
          <w:rFonts w:ascii="Calibri" w:hAnsi="Calibri" w:cs="Calibri" w:eastAsia="Calibri"/>
          <w:color w:val="auto"/>
          <w:spacing w:val="0"/>
          <w:position w:val="0"/>
          <w:sz w:val="24"/>
          <w:shd w:fill="auto" w:val="clear"/>
          <w:vertAlign w:val="superscript"/>
        </w:rPr>
        <w:t xml:space="preserve">7,20</w:t>
      </w:r>
      <w:r>
        <w:rPr>
          <w:rFonts w:ascii="Calibri" w:hAnsi="Calibri" w:cs="Calibri" w:eastAsia="Calibri"/>
          <w:color w:val="auto"/>
          <w:spacing w:val="0"/>
          <w:position w:val="0"/>
          <w:sz w:val="24"/>
          <w:shd w:fill="auto" w:val="clear"/>
        </w:rPr>
        <w:t xml:space="preserve">. The results herein demonstrate the crucial role of CD301b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dermal DCs for Th17 cell priming in the intradermal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model. Thus, this model provides an important experimental protocol to study Th17-centered immunological features of deep dermal fungal infection, which is more prevalent in immunocompromised individuals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use of immunodeficient mouse strains in this protocol will shed light on the new immunopathogenesis of the deep cutaneous fungal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successful experiment to analyze the Th17 immune response to deep dermal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 users must be familiar with the anatomical dissection of skin-draining popliteal LNs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addition, users must be trained in multicolor flow cytometric analysis of T cells in the LNs. Advanced knowledge of cutaneous immunology is also required to follow this protocol. The use of this method is therefore ideal to better understand the roles of each cutaneous DC subset during deep fungal skin infections.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Samjung-Dalim Faculty research grant of Yonsei University College of Medicine (6-2019-0125), by a Basic Science Research Program through the National Research Foundation of Republic of Korea funded by the Ministry of Education (2019R1A6A1A03032869) and Ministry of Science and Information and Communications Technology (2018R1A5A2025079, 2019M3A9E8022135, and 2020R1C1C1014513), and by </w:t>
      </w:r>
      <w:r>
        <w:rPr>
          <w:rFonts w:ascii="Calibri" w:hAnsi="Calibri" w:cs="Calibri" w:eastAsia="Calibri"/>
          <w:color w:val="auto"/>
          <w:spacing w:val="0"/>
          <w:position w:val="0"/>
          <w:sz w:val="24"/>
          <w:shd w:fill="FFFFFF" w:val="clear"/>
        </w:rPr>
        <w:t xml:space="preserve">Korea Centers for Disease Control and Prevention (KCDC, 2020-ER6714-00)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Nestle, F. O., Di Meglio, P., Qin, J. Z., Nickoloff, B. J. Skin immune sentinels in health and disease.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Bouwstra, J. A., Ponec, M. The skin barrier in healthy and diseased state.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1758</w:t>
      </w:r>
      <w:r>
        <w:rPr>
          <w:rFonts w:ascii="Calibri" w:hAnsi="Calibri" w:cs="Calibri" w:eastAsia="Calibri"/>
          <w:color w:val="auto"/>
          <w:spacing w:val="0"/>
          <w:position w:val="0"/>
          <w:sz w:val="24"/>
          <w:shd w:fill="auto" w:val="clear"/>
        </w:rPr>
        <w:t xml:space="preserve"> (12), 2080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Kabashima, K., Honda, T., Ginhoux, F., Egawa, G. The immunological anatomy of the skin.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Banchereau,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Immunobiology of dendritic cells.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Kashem, S. W., Haniffa, M., Kaplan, D. H. Antigen-presenting cells in the skin.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Kaplan, D. H. Ontogeny and function of murine epidermal Langerhans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1068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T.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Skin-specific CD301b(+) dermal dendritic cells drive IL-17-mediated psoriasis-like immune response in mice.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(4), 844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Durai, V., Murphy, K. M. Functions of murine dendritic cells.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O'Shea, J. J., Paul, W. E. Mechanisms underlying lineage commitment and plasticity of helper CD4+ T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(5969), 1098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Korn, T., Bettelli, E., Oukka, M., Kuchroo, V. K. IL-17 and Th17 cells.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Hernandez-Santos, N., Gaffen, S. L. Th17 cells in immunity to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Burstein, V. L. et al. IL-17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mediated immunity controls skin infection and T helper 1 response during experimental </w:t>
      </w:r>
      <w:r>
        <w:rPr>
          <w:rFonts w:ascii="Calibri" w:hAnsi="Calibri" w:cs="Calibri" w:eastAsia="Calibri"/>
          <w:i/>
          <w:color w:val="auto"/>
          <w:spacing w:val="0"/>
          <w:position w:val="0"/>
          <w:sz w:val="24"/>
          <w:shd w:fill="auto" w:val="clear"/>
        </w:rPr>
        <w:t xml:space="preserve">Microsporum canis</w:t>
      </w:r>
      <w:r>
        <w:rPr>
          <w:rFonts w:ascii="Calibri" w:hAnsi="Calibri" w:cs="Calibri" w:eastAsia="Calibri"/>
          <w:color w:val="auto"/>
          <w:spacing w:val="0"/>
          <w:position w:val="0"/>
          <w:sz w:val="24"/>
          <w:shd w:fill="auto" w:val="clear"/>
        </w:rPr>
        <w:t xml:space="preserve"> dermatophytosis. </w:t>
      </w:r>
      <w:r>
        <w:rPr>
          <w:rFonts w:ascii="Calibri" w:hAnsi="Calibri" w:cs="Calibri" w:eastAsia="Calibri"/>
          <w:i/>
          <w:color w:val="auto"/>
          <w:spacing w:val="0"/>
          <w:position w:val="0"/>
          <w:sz w:val="24"/>
          <w:shd w:fill="auto" w:val="clear"/>
        </w:rPr>
        <w:t xml:space="preserve">Journal of Investivative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(8), 1744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Sparber, F. et al. The skin commensal yeast </w:t>
      </w:r>
      <w:r>
        <w:rPr>
          <w:rFonts w:ascii="Calibri" w:hAnsi="Calibri" w:cs="Calibri" w:eastAsia="Calibri"/>
          <w:i/>
          <w:color w:val="auto"/>
          <w:spacing w:val="0"/>
          <w:position w:val="0"/>
          <w:sz w:val="24"/>
          <w:shd w:fill="auto" w:val="clear"/>
        </w:rPr>
        <w:t xml:space="preserve">Malassezia</w:t>
      </w:r>
      <w:r>
        <w:rPr>
          <w:rFonts w:ascii="Calibri" w:hAnsi="Calibri" w:cs="Calibri" w:eastAsia="Calibri"/>
          <w:color w:val="auto"/>
          <w:spacing w:val="0"/>
          <w:position w:val="0"/>
          <w:sz w:val="24"/>
          <w:shd w:fill="auto" w:val="clear"/>
        </w:rPr>
        <w:t xml:space="preserve"> triggers a type 17 response that coordinates anti-fungal immunity and exacerbates skin inflammation.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Igyarto, B.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Skin-resident murine dendritic cell subsets promote distinct and opposing antigen-specific T helper cell responses.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Santus,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Skin infections are eliminated by cooperation of the fibrinolytic and innate immune systems. </w:t>
      </w:r>
      <w:r>
        <w:rPr>
          <w:rFonts w:ascii="Calibri" w:hAnsi="Calibri" w:cs="Calibri" w:eastAsia="Calibri"/>
          <w:i/>
          <w:color w:val="auto"/>
          <w:spacing w:val="0"/>
          <w:position w:val="0"/>
          <w:sz w:val="24"/>
          <w:shd w:fill="auto" w:val="clear"/>
        </w:rPr>
        <w:t xml:space="preserve">Science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(15), eaan2725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Kashem, S.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morphology and dendritic cell subsets determine T helper cell differentiation.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356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Chen, H., Zhou, X., Ren, B., Cheng, L. The regulation of hyphae growth in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Santus, W., Mingozzi, F., Vai, M., Granucci, F., Zanoni, I. Deep dermal injection as a model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skin infection for histological analyses.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(136), 57574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Villablanca, E. J., Mora, J. R. A two-step model for Langerhans cell migration to skin-draining LN.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(11), 2975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Persson, 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IRF4 transcription-factor-dependent CD103(+)CD11b(+) dendritic cells drive mucosal T helper 17 cell differentiation.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Marcoux, D. et al. Deep cutaneous fungal infections in immunocompromised children. </w:t>
      </w:r>
      <w:r>
        <w:rPr>
          <w:rFonts w:ascii="Calibri" w:hAnsi="Calibri" w:cs="Calibri" w:eastAsia="Calibri"/>
          <w:i/>
          <w:color w:val="auto"/>
          <w:spacing w:val="0"/>
          <w:position w:val="0"/>
          <w:sz w:val="24"/>
          <w:shd w:fill="auto" w:val="clear"/>
        </w:rPr>
        <w:t xml:space="preserve">Journal of the American Academy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864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