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Cell Development Studies by Short Hairpin RNA-Mediated Gene Knockdown in a Hematopoietic Stem and Progenitor Cell Line </w:t>
      </w:r>
      <w:r>
        <w:rPr>
          <w:rFonts w:ascii="Calibri" w:hAnsi="Calibri" w:cs="Calibri" w:eastAsia="Calibri"/>
          <w:i/>
          <w:color w:val="000000"/>
          <w:spacing w:val="0"/>
          <w:position w:val="0"/>
          <w:sz w:val="24"/>
          <w:shd w:fill="auto" w:val="clear"/>
        </w:rPr>
        <w:t xml:space="preserve">In Vitro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Yu-Ling Hsiao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Hans H&amp;#228;cker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Chien-Kuo Lee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Institute of Immunology, National Taiwan University College of Medicine,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Division of Microbiology and Immunology, University of Utah,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Chien-Kuo Lee </w:t>
        <w:tab/>
        <w:t xml:space="preserve">(leeck@ntu.edu.tw)</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Yu-Ling Hsiao </w:t>
        <w:tab/>
        <w:tab/>
      </w:r>
      <w:r>
        <w:rPr>
          <w:rFonts w:ascii="Calibri" w:hAnsi="Calibri" w:cs="Calibri" w:eastAsia="Calibri"/>
          <w:color w:val="7F7F7F"/>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s8742778@gmail.com</w:t>
      </w:r>
      <w:r>
        <w:rPr>
          <w:rFonts w:ascii="Calibri" w:hAnsi="Calibri" w:cs="Calibri" w:eastAsia="Calibri"/>
          <w:color w:val="7F7F7F"/>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Hans H&amp;#228;cker</w:t>
      </w:r>
      <w:r>
        <w:rPr>
          <w:rFonts w:ascii="Calibri" w:hAnsi="Calibri" w:cs="Calibri" w:eastAsia="Calibri"/>
          <w:color w:val="808080"/>
          <w:spacing w:val="0"/>
          <w:position w:val="0"/>
          <w:sz w:val="24"/>
          <w:shd w:fill="auto" w:val="clear"/>
        </w:rPr>
        <w:t xml:space="preserve"> </w:t>
        <w:tab/>
        <w:tab/>
        <w:t xml:space="preserve">(</w:t>
      </w:r>
      <w:r>
        <w:rPr>
          <w:rFonts w:ascii="Calibri" w:hAnsi="Calibri" w:cs="Calibri" w:eastAsia="Calibri"/>
          <w:color w:val="000000"/>
          <w:spacing w:val="0"/>
          <w:position w:val="0"/>
          <w:sz w:val="24"/>
          <w:shd w:fill="auto" w:val="clear"/>
        </w:rPr>
        <w:t xml:space="preserve">hans.haecker@path.utah.edu</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Chien-Kuo Lee </w:t>
        <w:tab/>
        <w:t xml:space="preserve">(leeck@ntu.edu.tw)</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dendritic cell, knockdown, progenitors, hematopoiesis, transcription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protocol for screening potential transcription factors involved in the development of dendritic cell (DC) using lentiviral transduction of shRNA to obtain stable knockdown cell lines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DC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cells (DCs) are important antigen-presenting cells that connect innate and adaptive immune responses. DCs are heterogeneous and can be divided into conventional DCs (cDCs) and plasmacytoid DCs (pDCs). cDCs specializes in presenting antigens to and activate na&amp;#239;ve T cells. On the other hand, pDCs can produce large quantities of type I interferons (IFN-I) during viral infection. The specification of DCs occurs at an early stage of DC progenitors in the bone marrow (BM) and is defined by a network of transcription factors (TFs). For example, cDCs highly express ID2, while pDCs highly express E2-2. Since more and more subsets of DCs are being identified, there is a growing interest in understanding specific TFs controlling DC development. Here, we establish a method to screen TFs critical for DCs differentiation</w:t>
      </w:r>
      <w:r>
        <w:rPr>
          <w:rFonts w:ascii="Calibri" w:hAnsi="Calibri" w:cs="Calibri" w:eastAsia="Calibri"/>
          <w:i/>
          <w:color w:val="000000"/>
          <w:spacing w:val="0"/>
          <w:position w:val="0"/>
          <w:sz w:val="24"/>
          <w:shd w:fill="auto" w:val="clear"/>
        </w:rPr>
        <w:t xml:space="preserve"> in vitro</w:t>
      </w:r>
      <w:r>
        <w:rPr>
          <w:rFonts w:ascii="Calibri" w:hAnsi="Calibri" w:cs="Calibri" w:eastAsia="Calibri"/>
          <w:color w:val="000000"/>
          <w:spacing w:val="0"/>
          <w:position w:val="0"/>
          <w:sz w:val="24"/>
          <w:shd w:fill="auto" w:val="clear"/>
        </w:rPr>
        <w:t xml:space="preserve"> by delivering lentivirus carrying short hairpin RNA (shRNA) into an immortalized hematopoietic stem and progenitor cell (iHSPCs) line. After the selection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cDC and pDC potential of the stable knockdown cell lines are analyzed by flow cytometry. This approach provides a platform to identify genes potentially governing DC fates from progenitors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DCs are key regulators of innate and adaptive immunity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DCs are mainly classified into two functionally distinct populations, namely pDCs and cDCs. Moreover, cDCs comprise two subsets, namely, type I and type II cDCs or cDC1s and cDC2s, respectively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pDCs, expressing BST2, Siglec-H, and intermediate levels of CD11c in mice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are the cells that can secrete large amounts of IFN-I during inflammation and viral infection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Due to their robust IFN-I-producing ability, they are also suspected to play a key role in the progression of autoimmune diseases, including systemic lupus erythematosus (SLE)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cDC1s, defined by the surface expression of XCR1, CD8a, CLEC9A, and CD103 in mice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are specialized in the activation and polarization of cytotoxic CD8</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 cells (CTLs) through the antigen cross-presentation, thereby initiating type I immunity in response to intracellular pathogens and cancer</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On the other hand, cDC2s, expressing CD11b and CD172&amp;#945; (also known as Sirp&amp;#945;) in both humans and mice, can activate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and promote type II immune response against allergen and parasites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well as modulate type III immunity following extracellular bacteria and microbiota recognition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t>
      </w:r>
    </w:p>
    <w:p>
      <w:pPr>
        <w:tabs>
          <w:tab w:val="right" w:pos="83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83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Diversification of DCs is determined by a group of TFs from hematopoietic stem and progenitor cells (HSPCs) in the BM. E2-2 (encoded by </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is a master regulator for differentiation and function of pDCs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In contrast, the inhibitor of DNA binding 2 (ID2) drives cDC specification and inhibits pDC development through blocking E protein activity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Moreover, the development of cDC1s requires IRF8 and BATF3, while differentiation of cDC2s highly depends on IRF4</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Recent works have explored the heterogeneity of pDCs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cDCs and their transcriptional regulation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Because of the complexity of DC network, there is an unmet need to establish a platform to identify other TFs controlling the development and functionality of DCs. </w:t>
      </w:r>
    </w:p>
    <w:p>
      <w:pPr>
        <w:tabs>
          <w:tab w:val="right" w:pos="83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83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used an iHSPC that was generated by expressing estrogen-regulated nuclear translocation of Hoxb8 in BM cells (also referred to as Hoxb8-FL cells)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iHSPCs can proliferate and remain in an undifferentiated stage in the presence of </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estradiol and Flt3 ligand (FL), whereas they start to differentiate into different DC types in the presence of FL upon withdrawal of </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estradiol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Based on this feature, we can knock down genes of interest at the progenitor stage, followed by examining the effect 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of pDCs and cDCs. Therefore, this method is a powerful tool to discover the genes that regulate the development and function of DCs.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Handling of lentivirus is performed as per the regulation of the Department of Environmental Health and Safety of National Taiwan University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immortalized hematopoietic stem and progenitor cell lines (iHSPCs)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000000"/>
          <w:spacing w:val="0"/>
          <w:position w:val="0"/>
          <w:sz w:val="24"/>
          <w:shd w:fill="FFFF00" w:val="clear"/>
        </w:rPr>
        <w:t xml:space="preserve">Maintain iHSPC cell line in complete RPMI </w:t>
      </w:r>
      <w:r>
        <w:rPr>
          <w:rFonts w:ascii="Calibri" w:hAnsi="Calibri" w:cs="Calibri" w:eastAsia="Calibri"/>
          <w:color w:val="auto"/>
          <w:spacing w:val="0"/>
          <w:position w:val="0"/>
          <w:sz w:val="24"/>
          <w:shd w:fill="FFFF00" w:val="clear"/>
        </w:rPr>
        <w:t xml:space="preserve">1640 medium containing 100 ng/mL FL and 1 &amp;#181;M &amp;#946;-estradiol.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Passage the cells at a ratio of 1:10 every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complete RPMI 1640 medium by supplementing with 10% fetal bovine serum (FBS), 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M &amp;#946;-mercaptoethanol, and 10 &amp;#181;g/mL </w:t>
      </w:r>
      <w:r>
        <w:rPr>
          <w:rFonts w:ascii="Calibri" w:hAnsi="Calibri" w:cs="Calibri" w:eastAsia="Calibri"/>
          <w:color w:val="000000"/>
          <w:spacing w:val="0"/>
          <w:position w:val="0"/>
          <w:sz w:val="24"/>
          <w:shd w:fill="auto" w:val="clear"/>
        </w:rPr>
        <w:t xml:space="preserve">gentamicin</w:t>
      </w:r>
      <w:r>
        <w:rPr>
          <w:rFonts w:ascii="Calibri" w:hAnsi="Calibri" w:cs="Calibri" w:eastAsia="Calibri"/>
          <w:color w:val="auto"/>
          <w:spacing w:val="0"/>
          <w:position w:val="0"/>
          <w:sz w:val="24"/>
          <w:shd w:fill="auto" w:val="clear"/>
        </w:rPr>
        <w:t xml:space="preserve">. Recombinant murine FL is also commercially available.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Lentiviral transduction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Plate iHSPCs at a density of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cells/well in 12-well plates in 1 mL of complete medium containing 100 ng/mL FL, 1 &amp;#181;M &amp;#946;-estradiol, and 8 &amp;#181;g/mL polybrene.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polybrene depends on the cell types and is usually in the range of 4-8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Add shRNA-carrying lentivirus in each well at a multiplicity of infection (MOI) of 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lentiviral vector is pLKO.1-Puro with a puromycin selection marker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target sequences of shRNAs against </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Id2, </w:t>
      </w:r>
      <w:r>
        <w:rPr>
          <w:rFonts w:ascii="Calibri" w:hAnsi="Calibri" w:cs="Calibri" w:eastAsia="Calibri"/>
          <w:color w:val="000000"/>
          <w:spacing w:val="0"/>
          <w:position w:val="0"/>
          <w:sz w:val="24"/>
          <w:shd w:fill="auto" w:val="clear"/>
        </w:rPr>
        <w:t xml:space="preserve">respectively,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MOI is defined by the number of virions that are added per cell during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Spin the plates at 1,100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90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Spin infection is carried out using a swing bucket rotor.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Incubate the plate containing infected cells for overnight at 37 &amp;#176;C in an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cells are sensitive to polybrene, then refresh the cells with the complete medium without polybrene after the spin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 Refresh cells with complete medium containing 100 ng/mL FL and 1 &amp;#181;M &amp;#946;-estradiol 24 h after the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6 &amp;#181;g/mL of puromycin to the medium to select the infected cells after an additional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Transduced lentiviral vector usually takes 48 h for expressing genes, including puromycin resistant gene. Ensure that the concentration of puromycin is optimized for each cell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 Refresh the selection medium containing 100 ng/mL FL, 1 &amp;#181;M &amp;#946;-estradiol, and 6 &amp;#181;g/mL puromycin every 3 days and maintain the cells for at least one week to expand the stably transduced iHSPC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Puromycin selection usually takes effect 48 h later, and the period of selection depends on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Measurement of knockdown efficiency by reverse transcription and real-time PCR (RT-PCR)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Extract total RNA from 1 x 10</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sh</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sh</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and sh</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 stable knockdown iHSPC cells </w:t>
      </w:r>
      <w:r>
        <w:rPr>
          <w:rFonts w:ascii="Calibri" w:hAnsi="Calibri" w:cs="Calibri" w:eastAsia="Calibri"/>
          <w:color w:val="auto"/>
          <w:spacing w:val="0"/>
          <w:position w:val="0"/>
          <w:sz w:val="24"/>
          <w:shd w:fill="auto" w:val="clear"/>
        </w:rPr>
        <w:t xml:space="preserve">using commercial</w:t>
      </w:r>
      <w:r>
        <w:rPr>
          <w:rFonts w:ascii="Calibri" w:hAnsi="Calibri" w:cs="Calibri" w:eastAsia="Calibri"/>
          <w:color w:val="000000"/>
          <w:spacing w:val="0"/>
          <w:position w:val="0"/>
          <w:sz w:val="24"/>
          <w:shd w:fill="auto" w:val="clear"/>
        </w:rPr>
        <w:t xml:space="preserve"> RNA extraction reagent and precipitate RNA from the aqueous layer with isopropanol, followed by washing the RNA precipitate with 75%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Dissolve the RNA </w:t>
      </w:r>
      <w:r>
        <w:rPr>
          <w:rFonts w:ascii="Calibri" w:hAnsi="Calibri" w:cs="Calibri" w:eastAsia="Calibri"/>
          <w:color w:val="auto"/>
          <w:spacing w:val="0"/>
          <w:position w:val="0"/>
          <w:sz w:val="24"/>
          <w:shd w:fill="auto" w:val="clear"/>
        </w:rPr>
        <w:t xml:space="preserve">(~ 5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with 5 &amp;#181;L of DEPC-treated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adjust the concentration to 1 &amp;#181;g/&amp;#181;L.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Take 1-3 &amp;#181;g of RNA, mix with DEPC-treated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final volume of 17.4</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&amp;#181;L, add 1 &amp;#181;L of 1 unit/&amp;#181;L RNase-free DNase I and incubate for 20 min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to digest the genomic DNA in the RNA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Add 1 &amp;#181;L of 20 mM EDTA to the RNA samples, incubate at 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10 min to inactivate DNase I, and put the RNA samples immediately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Add 11.6 &amp;#181;L of the reaction mix containing 1 &amp;#181;L of </w:t>
      </w:r>
      <w:r>
        <w:rPr>
          <w:rFonts w:ascii="Calibri" w:hAnsi="Calibri" w:cs="Calibri" w:eastAsia="Calibri"/>
          <w:color w:val="auto"/>
          <w:spacing w:val="0"/>
          <w:position w:val="0"/>
          <w:sz w:val="24"/>
          <w:shd w:fill="auto" w:val="clear"/>
        </w:rPr>
        <w:t xml:space="preserve">oligo (dT) primers (45</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&amp;#181;M), 6 &amp;#181;L of 5x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strand buffer, 3 &amp;#181;L of dNTP (2 mM), 0.6 &amp;#181;L of RNase inhibitor (50 Unit/&amp;#181;L) and 1</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&amp;#181;L of </w:t>
      </w:r>
      <w:r>
        <w:rPr>
          <w:rFonts w:ascii="Calibri" w:hAnsi="Calibri" w:cs="Calibri" w:eastAsia="Calibri"/>
          <w:color w:val="auto"/>
          <w:spacing w:val="0"/>
          <w:position w:val="0"/>
          <w:sz w:val="24"/>
          <w:shd w:fill="auto" w:val="clear"/>
        </w:rPr>
        <w:t xml:space="preserve">reverse transcriptase (200 </w:t>
      </w:r>
      <w:r>
        <w:rPr>
          <w:rFonts w:ascii="Calibri" w:hAnsi="Calibri" w:cs="Calibri" w:eastAsia="Calibri"/>
          <w:color w:val="000000"/>
          <w:spacing w:val="0"/>
          <w:position w:val="0"/>
          <w:sz w:val="24"/>
          <w:shd w:fill="auto" w:val="clear"/>
        </w:rPr>
        <w:t xml:space="preserve">Unit/&amp;#181;L) </w:t>
      </w:r>
      <w:r>
        <w:rPr>
          <w:rFonts w:ascii="Calibri" w:hAnsi="Calibri" w:cs="Calibri" w:eastAsia="Calibri"/>
          <w:color w:val="auto"/>
          <w:spacing w:val="0"/>
          <w:position w:val="0"/>
          <w:sz w:val="24"/>
          <w:shd w:fill="auto" w:val="clear"/>
        </w:rPr>
        <w:t xml:space="preserve">to the RNA samples and incubate at 40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Stop the reaction by heating at 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10 min and dilute the reaction mix with 30 &amp;#181;L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Take 2 &amp;#181;L of the diluted RT reaction mix as a DNA template and PCR amplify it using primers against Tcf4 or Id2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thermocycler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primer sequences are included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differentiation of the stable knockdown iHSPC cell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Maintain the stable single knockdown of </w:t>
      </w:r>
      <w:r>
        <w:rPr>
          <w:rFonts w:ascii="Calibri" w:hAnsi="Calibri" w:cs="Calibri" w:eastAsia="Calibri"/>
          <w:i/>
          <w:color w:val="auto"/>
          <w:spacing w:val="0"/>
          <w:position w:val="0"/>
          <w:sz w:val="24"/>
          <w:shd w:fill="FFFF00" w:val="clear"/>
        </w:rPr>
        <w:t xml:space="preserve">LacZ </w:t>
      </w:r>
      <w:r>
        <w:rPr>
          <w:rFonts w:ascii="Calibri" w:hAnsi="Calibri" w:cs="Calibri" w:eastAsia="Calibri"/>
          <w:color w:val="auto"/>
          <w:spacing w:val="0"/>
          <w:position w:val="0"/>
          <w:sz w:val="24"/>
          <w:shd w:fill="FFFF00" w:val="clear"/>
        </w:rPr>
        <w:t xml:space="preserve">(sh</w:t>
      </w:r>
      <w:r>
        <w:rPr>
          <w:rFonts w:ascii="Calibri" w:hAnsi="Calibri" w:cs="Calibri" w:eastAsia="Calibri"/>
          <w:i/>
          <w:color w:val="auto"/>
          <w:spacing w:val="0"/>
          <w:position w:val="0"/>
          <w:sz w:val="24"/>
          <w:shd w:fill="FFFF00" w:val="clear"/>
        </w:rPr>
        <w:t xml:space="preserve">LacZ</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Tcf4 </w:t>
      </w:r>
      <w:r>
        <w:rPr>
          <w:rFonts w:ascii="Calibri" w:hAnsi="Calibri" w:cs="Calibri" w:eastAsia="Calibri"/>
          <w:color w:val="auto"/>
          <w:spacing w:val="0"/>
          <w:position w:val="0"/>
          <w:sz w:val="24"/>
          <w:shd w:fill="FFFF00" w:val="clear"/>
        </w:rPr>
        <w:t xml:space="preserve">(sh</w:t>
      </w:r>
      <w:r>
        <w:rPr>
          <w:rFonts w:ascii="Calibri" w:hAnsi="Calibri" w:cs="Calibri" w:eastAsia="Calibri"/>
          <w:i/>
          <w:color w:val="auto"/>
          <w:spacing w:val="0"/>
          <w:position w:val="0"/>
          <w:sz w:val="24"/>
          <w:shd w:fill="FFFF00" w:val="clear"/>
        </w:rPr>
        <w:t xml:space="preserve">Tcf4</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Id2</w:t>
      </w:r>
      <w:r>
        <w:rPr>
          <w:rFonts w:ascii="Calibri" w:hAnsi="Calibri" w:cs="Calibri" w:eastAsia="Calibri"/>
          <w:color w:val="auto"/>
          <w:spacing w:val="0"/>
          <w:position w:val="0"/>
          <w:sz w:val="24"/>
          <w:shd w:fill="FFFF00" w:val="clear"/>
        </w:rPr>
        <w:t xml:space="preserve"> (sh</w:t>
      </w:r>
      <w:r>
        <w:rPr>
          <w:rFonts w:ascii="Calibri" w:hAnsi="Calibri" w:cs="Calibri" w:eastAsia="Calibri"/>
          <w:i/>
          <w:color w:val="auto"/>
          <w:spacing w:val="0"/>
          <w:position w:val="0"/>
          <w:sz w:val="24"/>
          <w:shd w:fill="FFFF00" w:val="clear"/>
        </w:rPr>
        <w:t xml:space="preserve">Id2</w:t>
      </w:r>
      <w:r>
        <w:rPr>
          <w:rFonts w:ascii="Calibri" w:hAnsi="Calibri" w:cs="Calibri" w:eastAsia="Calibri"/>
          <w:color w:val="auto"/>
          <w:spacing w:val="0"/>
          <w:position w:val="0"/>
          <w:sz w:val="24"/>
          <w:shd w:fill="FFFF00" w:val="clear"/>
        </w:rPr>
        <w:t xml:space="preserve">) in iHSPCs in complete medium containing 100 ng/mL of FL and 1 &amp;#181;M &amp;#946;-estradiol.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Collect sh</w:t>
      </w:r>
      <w:r>
        <w:rPr>
          <w:rFonts w:ascii="Calibri" w:hAnsi="Calibri" w:cs="Calibri" w:eastAsia="Calibri"/>
          <w:i/>
          <w:color w:val="auto"/>
          <w:spacing w:val="0"/>
          <w:position w:val="0"/>
          <w:sz w:val="24"/>
          <w:shd w:fill="FFFF00" w:val="clear"/>
        </w:rPr>
        <w:t xml:space="preserve">LacZ</w:t>
      </w:r>
      <w:r>
        <w:rPr>
          <w:rFonts w:ascii="Calibri" w:hAnsi="Calibri" w:cs="Calibri" w:eastAsia="Calibri"/>
          <w:color w:val="auto"/>
          <w:spacing w:val="0"/>
          <w:position w:val="0"/>
          <w:sz w:val="24"/>
          <w:shd w:fill="FFFF00" w:val="clear"/>
        </w:rPr>
        <w:t xml:space="preserve">, sh</w:t>
      </w:r>
      <w:r>
        <w:rPr>
          <w:rFonts w:ascii="Calibri" w:hAnsi="Calibri" w:cs="Calibri" w:eastAsia="Calibri"/>
          <w:i/>
          <w:color w:val="auto"/>
          <w:spacing w:val="0"/>
          <w:position w:val="0"/>
          <w:sz w:val="24"/>
          <w:shd w:fill="FFFF00" w:val="clear"/>
        </w:rPr>
        <w:t xml:space="preserve">Tcf4</w:t>
      </w:r>
      <w:r>
        <w:rPr>
          <w:rFonts w:ascii="Calibri" w:hAnsi="Calibri" w:cs="Calibri" w:eastAsia="Calibri"/>
          <w:color w:val="auto"/>
          <w:spacing w:val="0"/>
          <w:position w:val="0"/>
          <w:sz w:val="24"/>
          <w:shd w:fill="FFFF00" w:val="clear"/>
        </w:rPr>
        <w:t xml:space="preserve">, and sh</w:t>
      </w:r>
      <w:r>
        <w:rPr>
          <w:rFonts w:ascii="Calibri" w:hAnsi="Calibri" w:cs="Calibri" w:eastAsia="Calibri"/>
          <w:i/>
          <w:color w:val="auto"/>
          <w:spacing w:val="0"/>
          <w:position w:val="0"/>
          <w:sz w:val="24"/>
          <w:shd w:fill="FFFF00" w:val="clear"/>
        </w:rPr>
        <w:t xml:space="preserve">Id2</w:t>
      </w:r>
      <w:r>
        <w:rPr>
          <w:rFonts w:ascii="Calibri" w:hAnsi="Calibri" w:cs="Calibri" w:eastAsia="Calibri"/>
          <w:color w:val="auto"/>
          <w:spacing w:val="0"/>
          <w:position w:val="0"/>
          <w:sz w:val="24"/>
          <w:shd w:fill="FFFF00" w:val="clear"/>
        </w:rPr>
        <w:t xml:space="preserve"> un-differentiated iHSPCs into a 15 mL tube and centrifuge for 5 min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pellet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Discard the supernatant and add 10 mL of PBS to wash the cells. Repeat this step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Resuspend and seed the iHSPC cells at a density of</w:t>
      </w:r>
      <w:r>
        <w:rPr>
          <w:rFonts w:ascii="Calibri" w:hAnsi="Calibri" w:cs="Calibri" w:eastAsia="Calibri"/>
          <w:color w:val="000000"/>
          <w:spacing w:val="0"/>
          <w:position w:val="0"/>
          <w:sz w:val="24"/>
          <w:shd w:fill="FFFF00" w:val="clear"/>
        </w:rPr>
        <w:t xml:space="preserve">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into a 12-well plate in 1 mL of </w:t>
      </w:r>
      <w:r>
        <w:rPr>
          <w:rFonts w:ascii="Calibri" w:hAnsi="Calibri" w:cs="Calibri" w:eastAsia="Calibri"/>
          <w:color w:val="auto"/>
          <w:spacing w:val="0"/>
          <w:position w:val="0"/>
          <w:sz w:val="24"/>
          <w:shd w:fill="FFFF00" w:val="clear"/>
        </w:rPr>
        <w:t xml:space="preserve">complete medium containing 100 ng/mL FL only.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1 mL of fresh complete medium containing 100 ng/mL FL three days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Analyze the differentiated cells (sh</w:t>
      </w:r>
      <w:r>
        <w:rPr>
          <w:rFonts w:ascii="Calibri" w:hAnsi="Calibri" w:cs="Calibri" w:eastAsia="Calibri"/>
          <w:i/>
          <w:color w:val="auto"/>
          <w:spacing w:val="0"/>
          <w:position w:val="0"/>
          <w:sz w:val="24"/>
          <w:shd w:fill="FFFF00" w:val="clear"/>
        </w:rPr>
        <w:t xml:space="preserve">LacZ</w:t>
      </w:r>
      <w:r>
        <w:rPr>
          <w:rFonts w:ascii="Calibri" w:hAnsi="Calibri" w:cs="Calibri" w:eastAsia="Calibri"/>
          <w:color w:val="auto"/>
          <w:spacing w:val="0"/>
          <w:position w:val="0"/>
          <w:sz w:val="24"/>
          <w:shd w:fill="FFFF00" w:val="clear"/>
        </w:rPr>
        <w:t xml:space="preserve">, sh</w:t>
      </w:r>
      <w:r>
        <w:rPr>
          <w:rFonts w:ascii="Calibri" w:hAnsi="Calibri" w:cs="Calibri" w:eastAsia="Calibri"/>
          <w:i/>
          <w:color w:val="auto"/>
          <w:spacing w:val="0"/>
          <w:position w:val="0"/>
          <w:sz w:val="24"/>
          <w:shd w:fill="FFFF00" w:val="clear"/>
        </w:rPr>
        <w:t xml:space="preserve">Tcf4</w:t>
      </w:r>
      <w:r>
        <w:rPr>
          <w:rFonts w:ascii="Calibri" w:hAnsi="Calibri" w:cs="Calibri" w:eastAsia="Calibri"/>
          <w:color w:val="auto"/>
          <w:spacing w:val="0"/>
          <w:position w:val="0"/>
          <w:sz w:val="24"/>
          <w:shd w:fill="FFFF00" w:val="clear"/>
        </w:rPr>
        <w:t xml:space="preserve">, and sh</w:t>
      </w:r>
      <w:r>
        <w:rPr>
          <w:rFonts w:ascii="Calibri" w:hAnsi="Calibri" w:cs="Calibri" w:eastAsia="Calibri"/>
          <w:i/>
          <w:color w:val="auto"/>
          <w:spacing w:val="0"/>
          <w:position w:val="0"/>
          <w:sz w:val="24"/>
          <w:shd w:fill="FFFF00" w:val="clear"/>
        </w:rPr>
        <w:t xml:space="preserve">Id2</w:t>
      </w:r>
      <w:r>
        <w:rPr>
          <w:rFonts w:ascii="Calibri" w:hAnsi="Calibri" w:cs="Calibri" w:eastAsia="Calibri"/>
          <w:color w:val="auto"/>
          <w:spacing w:val="0"/>
          <w:position w:val="0"/>
          <w:sz w:val="24"/>
          <w:shd w:fill="FFFF00" w:val="clear"/>
        </w:rPr>
        <w:t xml:space="preserve"> iHSPCs) by flow cytometry two days later.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Flow cytometric analysis of the differentiated DCs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Collect the cells into 1.5 mL tubes by pipetting the cells up and down 2-3 times in the plate, and centrifuge for 5 min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differentiated DCs will slightly attach to the plates. Gentle pipetting will help recover DCs from the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Discard the supernatant and resuspend the cells in 50 &amp;#181;L of FACS buffer. Next, add 50 &amp;#181;L of anti-CD16/32 hybridoma supernatant and incubate for 5-10 min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Fc blocking antibody prevents nonspecific binding of antibodies to Fc receptors expressing on some myeloid cells and B cells and is commercially available through various vendors.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Add fluorescent dye-conjugated antibodies (0.04 &amp;#181;g for each antibody) directly to the cells and incubate for 15 min on ice in the dark. The antibodies used are APC/cy7 anti-mouse CD11c, FITC anti-mouse CD11b, and PE anti-mouse B220.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pDCs are defined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cDCs are defined as CD11c</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Wash cells with 1 mL of FACS buffer and centrifuge for 5 min at 500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Resuspend the cells in 100 &amp;#181;L of FACS buffer and analyze by flow cytometry.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map of lentiviral vector pLKO.1-Puro is shown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After the delivery of lentivirus expressing shRNA against</w:t>
      </w:r>
      <w:r>
        <w:rPr>
          <w:rFonts w:ascii="Calibri" w:hAnsi="Calibri" w:cs="Calibri" w:eastAsia="Calibri"/>
          <w:i/>
          <w:color w:val="000000"/>
          <w:spacing w:val="0"/>
          <w:position w:val="0"/>
          <w:sz w:val="24"/>
          <w:shd w:fill="auto" w:val="clear"/>
        </w:rPr>
        <w:t xml:space="preserve"> LacZ</w:t>
      </w:r>
      <w:r>
        <w:rPr>
          <w:rFonts w:ascii="Calibri" w:hAnsi="Calibri" w:cs="Calibri" w:eastAsia="Calibri"/>
          <w:color w:val="000000"/>
          <w:spacing w:val="0"/>
          <w:position w:val="0"/>
          <w:sz w:val="24"/>
          <w:shd w:fill="auto" w:val="clear"/>
        </w:rPr>
        <w:t xml:space="preserve"> (a non-targeting control), </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Id2 </w:t>
      </w:r>
      <w:r>
        <w:rPr>
          <w:rFonts w:ascii="Calibri" w:hAnsi="Calibri" w:cs="Calibri" w:eastAsia="Calibri"/>
          <w:color w:val="000000"/>
          <w:spacing w:val="0"/>
          <w:position w:val="0"/>
          <w:sz w:val="24"/>
          <w:shd w:fill="auto" w:val="clear"/>
        </w:rPr>
        <w:t xml:space="preserve">in iHSPCs, the knockdown efficie</w:t>
      </w:r>
      <w:r>
        <w:rPr>
          <w:rFonts w:ascii="Calibri" w:hAnsi="Calibri" w:cs="Calibri" w:eastAsia="Calibri"/>
          <w:color w:val="auto"/>
          <w:spacing w:val="0"/>
          <w:position w:val="0"/>
          <w:sz w:val="24"/>
          <w:shd w:fill="auto" w:val="clear"/>
        </w:rPr>
        <w:t xml:space="preserve">ncy confirmed by RT-qPCR revealed that the expression of </w:t>
      </w:r>
      <w:r>
        <w:rPr>
          <w:rFonts w:ascii="Calibri" w:hAnsi="Calibri" w:cs="Calibri" w:eastAsia="Calibri"/>
          <w:i/>
          <w:color w:val="auto"/>
          <w:spacing w:val="0"/>
          <w:position w:val="0"/>
          <w:sz w:val="24"/>
          <w:shd w:fill="auto" w:val="clear"/>
        </w:rPr>
        <w:t xml:space="preserve">Tcf4</w:t>
      </w:r>
      <w:r>
        <w:rPr>
          <w:rFonts w:ascii="Calibri" w:hAnsi="Calibri" w:cs="Calibri" w:eastAsia="Calibri"/>
          <w:color w:val="auto"/>
          <w:spacing w:val="0"/>
          <w:position w:val="0"/>
          <w:sz w:val="24"/>
          <w:shd w:fill="auto" w:val="clear"/>
        </w:rPr>
        <w:t xml:space="preserve"> was reduced in sh</w:t>
      </w:r>
      <w:r>
        <w:rPr>
          <w:rFonts w:ascii="Calibri" w:hAnsi="Calibri" w:cs="Calibri" w:eastAsia="Calibri"/>
          <w:i/>
          <w:color w:val="auto"/>
          <w:spacing w:val="0"/>
          <w:position w:val="0"/>
          <w:sz w:val="24"/>
          <w:shd w:fill="auto" w:val="clear"/>
        </w:rPr>
        <w:t xml:space="preserve">Tcf4 </w:t>
      </w:r>
      <w:r>
        <w:rPr>
          <w:rFonts w:ascii="Calibri" w:hAnsi="Calibri" w:cs="Calibri" w:eastAsia="Calibri"/>
          <w:color w:val="auto"/>
          <w:spacing w:val="0"/>
          <w:position w:val="0"/>
          <w:sz w:val="24"/>
          <w:shd w:fill="auto" w:val="clear"/>
        </w:rPr>
        <w:t xml:space="preserve">iHSPCs, compared to sh</w:t>
      </w:r>
      <w:r>
        <w:rPr>
          <w:rFonts w:ascii="Calibri" w:hAnsi="Calibri" w:cs="Calibri" w:eastAsia="Calibri"/>
          <w:i/>
          <w:color w:val="auto"/>
          <w:spacing w:val="0"/>
          <w:position w:val="0"/>
          <w:sz w:val="24"/>
          <w:shd w:fill="auto" w:val="clear"/>
        </w:rPr>
        <w:t xml:space="preserve">La</w:t>
      </w:r>
      <w:r>
        <w:rPr>
          <w:rFonts w:ascii="Calibri" w:hAnsi="Calibri" w:cs="Calibri" w:eastAsia="Calibri"/>
          <w:i/>
          <w:color w:val="000000"/>
          <w:spacing w:val="0"/>
          <w:position w:val="0"/>
          <w:sz w:val="24"/>
          <w:shd w:fill="auto" w:val="clear"/>
        </w:rPr>
        <w:t xml:space="preserve">cZ</w:t>
      </w:r>
      <w:r>
        <w:rPr>
          <w:rFonts w:ascii="Calibri" w:hAnsi="Calibri" w:cs="Calibri" w:eastAsia="Calibri"/>
          <w:color w:val="000000"/>
          <w:spacing w:val="0"/>
          <w:position w:val="0"/>
          <w:sz w:val="24"/>
          <w:shd w:fill="auto" w:val="clear"/>
        </w:rPr>
        <w:t xml:space="preserve"> iHSPCs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On the other hand, the decreased expression of </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 was also observed in sh</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 iHSPCs, compared to sh</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iHSPCs control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sh</w:t>
      </w:r>
      <w:r>
        <w:rPr>
          <w:rFonts w:ascii="Calibri" w:hAnsi="Calibri" w:cs="Calibri" w:eastAsia="Calibri"/>
          <w:i/>
          <w:color w:val="auto"/>
          <w:spacing w:val="0"/>
          <w:position w:val="0"/>
          <w:sz w:val="24"/>
          <w:shd w:fill="auto" w:val="clear"/>
        </w:rPr>
        <w:t xml:space="preserve">La</w:t>
      </w:r>
      <w:r>
        <w:rPr>
          <w:rFonts w:ascii="Calibri" w:hAnsi="Calibri" w:cs="Calibri" w:eastAsia="Calibri"/>
          <w:i/>
          <w:color w:val="000000"/>
          <w:spacing w:val="0"/>
          <w:position w:val="0"/>
          <w:sz w:val="24"/>
          <w:shd w:fill="auto" w:val="clear"/>
        </w:rPr>
        <w:t xml:space="preserve">cZ</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w:t>
      </w:r>
      <w:r>
        <w:rPr>
          <w:rFonts w:ascii="Calibri" w:hAnsi="Calibri" w:cs="Calibri" w:eastAsia="Calibri"/>
          <w:i/>
          <w:color w:val="auto"/>
          <w:spacing w:val="0"/>
          <w:position w:val="0"/>
          <w:sz w:val="24"/>
          <w:shd w:fill="auto" w:val="clear"/>
        </w:rPr>
        <w:t xml:space="preserve">Tcf4</w:t>
      </w:r>
      <w:r>
        <w:rPr>
          <w:rFonts w:ascii="Calibri" w:hAnsi="Calibri" w:cs="Calibri" w:eastAsia="Calibri"/>
          <w:color w:val="auto"/>
          <w:spacing w:val="0"/>
          <w:position w:val="0"/>
          <w:sz w:val="24"/>
          <w:shd w:fill="auto" w:val="clear"/>
        </w:rPr>
        <w:t xml:space="preserve">, and</w:t>
      </w:r>
      <w:r>
        <w:rPr>
          <w:rFonts w:ascii="Calibri" w:hAnsi="Calibri" w:cs="Calibri" w:eastAsia="Calibri"/>
          <w:color w:val="000000"/>
          <w:spacing w:val="0"/>
          <w:position w:val="0"/>
          <w:sz w:val="24"/>
          <w:shd w:fill="auto" w:val="clear"/>
        </w:rPr>
        <w:t xml:space="preserve"> sh</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 iHSPCs cell lines were differentiated into pDCs and cDCs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with FL. After five-day culture of sh</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iHSPCs, the frequency of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which represent DC population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was around 95%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left panel). However, knockdown of </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 slightly decreased the generation of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DCs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middle and right panel). Moreover, further analysis of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DCs revealed that sh</w:t>
      </w:r>
      <w:r>
        <w:rPr>
          <w:rFonts w:ascii="Calibri" w:hAnsi="Calibri" w:cs="Calibri" w:eastAsia="Calibri"/>
          <w:i/>
          <w:color w:val="000000"/>
          <w:spacing w:val="0"/>
          <w:position w:val="0"/>
          <w:sz w:val="24"/>
          <w:shd w:fill="auto" w:val="clear"/>
        </w:rPr>
        <w:t xml:space="preserve">LacZ </w:t>
      </w:r>
      <w:r>
        <w:rPr>
          <w:rFonts w:ascii="Calibri" w:hAnsi="Calibri" w:cs="Calibri" w:eastAsia="Calibri"/>
          <w:color w:val="000000"/>
          <w:spacing w:val="0"/>
          <w:position w:val="0"/>
          <w:sz w:val="24"/>
          <w:shd w:fill="auto" w:val="clear"/>
        </w:rPr>
        <w:t xml:space="preserve">iHSPCs differentiated into 70% of cDCs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22% of pDCs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left panel). However, sh</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iHSPCs generated a significantly lower percentage of pDCs (4 %) than</w:t>
      </w:r>
      <w:r>
        <w:rPr>
          <w:rFonts w:ascii="Calibri" w:hAnsi="Calibri" w:cs="Calibri" w:eastAsia="Calibri"/>
          <w:color w:val="auto"/>
          <w:spacing w:val="0"/>
          <w:position w:val="0"/>
          <w:sz w:val="24"/>
          <w:shd w:fill="auto" w:val="clear"/>
        </w:rPr>
        <w:t xml:space="preserve"> did sh</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control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middle panel). On the other hand, sh</w:t>
      </w:r>
      <w:r>
        <w:rPr>
          <w:rFonts w:ascii="Calibri" w:hAnsi="Calibri" w:cs="Calibri" w:eastAsia="Calibri"/>
          <w:i/>
          <w:color w:val="auto"/>
          <w:spacing w:val="0"/>
          <w:position w:val="0"/>
          <w:sz w:val="24"/>
          <w:shd w:fill="auto" w:val="clear"/>
        </w:rPr>
        <w:t xml:space="preserve">Id2 </w:t>
      </w:r>
      <w:r>
        <w:rPr>
          <w:rFonts w:ascii="Calibri" w:hAnsi="Calibri" w:cs="Calibri" w:eastAsia="Calibri"/>
          <w:color w:val="auto"/>
          <w:spacing w:val="0"/>
          <w:position w:val="0"/>
          <w:sz w:val="24"/>
          <w:shd w:fill="auto" w:val="clear"/>
        </w:rPr>
        <w:t xml:space="preserve">iHSPCs generated a significantly</w:t>
      </w:r>
      <w:r>
        <w:rPr>
          <w:rFonts w:ascii="Calibri" w:hAnsi="Calibri" w:cs="Calibri" w:eastAsia="Calibri"/>
          <w:color w:val="000000"/>
          <w:spacing w:val="0"/>
          <w:position w:val="0"/>
          <w:sz w:val="24"/>
          <w:shd w:fill="auto" w:val="clear"/>
        </w:rPr>
        <w:t xml:space="preserve"> lower percentage of cDCs (54%) but a higher percentage of pDCs (39%) than </w:t>
      </w:r>
      <w:r>
        <w:rPr>
          <w:rFonts w:ascii="Calibri" w:hAnsi="Calibri" w:cs="Calibri" w:eastAsia="Calibri"/>
          <w:color w:val="auto"/>
          <w:spacing w:val="0"/>
          <w:position w:val="0"/>
          <w:sz w:val="24"/>
          <w:shd w:fill="auto" w:val="clear"/>
        </w:rPr>
        <w:t xml:space="preserve">did </w:t>
      </w:r>
      <w:r>
        <w:rPr>
          <w:rFonts w:ascii="Calibri" w:hAnsi="Calibri" w:cs="Calibri" w:eastAsia="Calibri"/>
          <w:color w:val="000000"/>
          <w:spacing w:val="0"/>
          <w:position w:val="0"/>
          <w:sz w:val="24"/>
          <w:shd w:fill="auto" w:val="clear"/>
        </w:rPr>
        <w:t xml:space="preserve">sh</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control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right panel). Therefore, these results suggest iHSPCs faithfully reflect the same requirement of tran</w:t>
      </w:r>
      <w:r>
        <w:rPr>
          <w:rFonts w:ascii="Calibri" w:hAnsi="Calibri" w:cs="Calibri" w:eastAsia="Calibri"/>
          <w:color w:val="auto"/>
          <w:spacing w:val="0"/>
          <w:position w:val="0"/>
          <w:sz w:val="24"/>
          <w:shd w:fill="auto" w:val="clear"/>
        </w:rPr>
        <w:t xml:space="preserve">scription factors for controlling D</w:t>
      </w:r>
      <w:r>
        <w:rPr>
          <w:rFonts w:ascii="Calibri" w:hAnsi="Calibri" w:cs="Calibri" w:eastAsia="Calibri"/>
          <w:color w:val="000000"/>
          <w:spacing w:val="0"/>
          <w:position w:val="0"/>
          <w:sz w:val="24"/>
          <w:shd w:fill="auto" w:val="clear"/>
        </w:rPr>
        <w:t xml:space="preserve">C development.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construct of lentiviral vector pLKO.1-Puro.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knockdown efficiency of sh</w:t>
      </w:r>
      <w:r>
        <w:rPr>
          <w:rFonts w:ascii="Calibri" w:hAnsi="Calibri" w:cs="Calibri" w:eastAsia="Calibri"/>
          <w:b/>
          <w:i/>
          <w:color w:val="000000"/>
          <w:spacing w:val="0"/>
          <w:position w:val="0"/>
          <w:sz w:val="24"/>
          <w:shd w:fill="auto" w:val="clear"/>
        </w:rPr>
        <w:t xml:space="preserve">Tcf4</w:t>
      </w:r>
      <w:r>
        <w:rPr>
          <w:rFonts w:ascii="Calibri" w:hAnsi="Calibri" w:cs="Calibri" w:eastAsia="Calibri"/>
          <w:b/>
          <w:color w:val="000000"/>
          <w:spacing w:val="0"/>
          <w:position w:val="0"/>
          <w:sz w:val="24"/>
          <w:shd w:fill="auto" w:val="clear"/>
        </w:rPr>
        <w:t xml:space="preserve"> and sh</w:t>
      </w:r>
      <w:r>
        <w:rPr>
          <w:rFonts w:ascii="Calibri" w:hAnsi="Calibri" w:cs="Calibri" w:eastAsia="Calibri"/>
          <w:b/>
          <w:i/>
          <w:color w:val="000000"/>
          <w:spacing w:val="0"/>
          <w:position w:val="0"/>
          <w:sz w:val="24"/>
          <w:shd w:fill="auto" w:val="clear"/>
        </w:rPr>
        <w:t xml:space="preserve">Id2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w:t>
      </w:r>
      <w:r>
        <w:rPr>
          <w:rFonts w:ascii="Calibri" w:hAnsi="Calibri" w:cs="Calibri" w:eastAsia="Calibri"/>
          <w:color w:val="auto"/>
          <w:spacing w:val="0"/>
          <w:position w:val="0"/>
          <w:sz w:val="24"/>
          <w:shd w:fill="auto" w:val="clear"/>
        </w:rPr>
        <w:t xml:space="preserve">stable gene knockdown, RNAs were isolated from sh</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sh</w:t>
      </w:r>
      <w:r>
        <w:rPr>
          <w:rFonts w:ascii="Calibri" w:hAnsi="Calibri" w:cs="Calibri" w:eastAsia="Calibri"/>
          <w:i/>
          <w:color w:val="auto"/>
          <w:spacing w:val="0"/>
          <w:position w:val="0"/>
          <w:sz w:val="24"/>
          <w:shd w:fill="auto" w:val="clear"/>
        </w:rPr>
        <w:t xml:space="preserve">Tcf4</w:t>
      </w:r>
      <w:r>
        <w:rPr>
          <w:rFonts w:ascii="Calibri" w:hAnsi="Calibri" w:cs="Calibri" w:eastAsia="Calibri"/>
          <w:color w:val="auto"/>
          <w:spacing w:val="0"/>
          <w:position w:val="0"/>
          <w:sz w:val="24"/>
          <w:shd w:fill="auto" w:val="clear"/>
        </w:rPr>
        <w:t xml:space="preserve">, and sh</w:t>
      </w:r>
      <w:r>
        <w:rPr>
          <w:rFonts w:ascii="Calibri" w:hAnsi="Calibri" w:cs="Calibri" w:eastAsia="Calibri"/>
          <w:i/>
          <w:color w:val="auto"/>
          <w:spacing w:val="0"/>
          <w:position w:val="0"/>
          <w:sz w:val="24"/>
          <w:shd w:fill="auto" w:val="clear"/>
        </w:rPr>
        <w:t xml:space="preserve">Id2</w:t>
      </w:r>
      <w:r>
        <w:rPr>
          <w:rFonts w:ascii="Calibri" w:hAnsi="Calibri" w:cs="Calibri" w:eastAsia="Calibri"/>
          <w:color w:val="auto"/>
          <w:spacing w:val="0"/>
          <w:position w:val="0"/>
          <w:sz w:val="24"/>
          <w:shd w:fill="auto" w:val="clear"/>
        </w:rPr>
        <w:t xml:space="preserve"> iHSPCs and reversely transcribed into cDNA, and the expression of </w:t>
      </w:r>
      <w:r>
        <w:rPr>
          <w:rFonts w:ascii="Calibri" w:hAnsi="Calibri" w:cs="Calibri" w:eastAsia="Calibri"/>
          <w:i/>
          <w:color w:val="auto"/>
          <w:spacing w:val="0"/>
          <w:position w:val="0"/>
          <w:sz w:val="24"/>
          <w:shd w:fill="auto" w:val="clear"/>
        </w:rPr>
        <w:t xml:space="preserve">Tcf4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Id2</w:t>
      </w:r>
      <w:r>
        <w:rPr>
          <w:rFonts w:ascii="Calibri" w:hAnsi="Calibri" w:cs="Calibri" w:eastAsia="Calibri"/>
          <w:color w:val="auto"/>
          <w:spacing w:val="0"/>
          <w:position w:val="0"/>
          <w:sz w:val="24"/>
          <w:shd w:fill="auto" w:val="clear"/>
        </w:rPr>
        <w:t xml:space="preserve"> was measured by RT-qPCR. Relative gene expression was normalized to </w:t>
      </w:r>
      <w:r>
        <w:rPr>
          <w:rFonts w:ascii="Calibri" w:hAnsi="Calibri" w:cs="Calibri" w:eastAsia="Calibri"/>
          <w:i/>
          <w:color w:val="auto"/>
          <w:spacing w:val="0"/>
          <w:position w:val="0"/>
          <w:sz w:val="24"/>
          <w:shd w:fill="auto" w:val="clear"/>
        </w:rPr>
        <w:t xml:space="preserve">Rpl7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The expression of </w:t>
      </w:r>
      <w:r>
        <w:rPr>
          <w:rFonts w:ascii="Calibri" w:hAnsi="Calibri" w:cs="Calibri" w:eastAsia="Calibri"/>
          <w:i/>
          <w:color w:val="auto"/>
          <w:spacing w:val="0"/>
          <w:position w:val="0"/>
          <w:sz w:val="24"/>
          <w:shd w:fill="auto" w:val="clear"/>
        </w:rPr>
        <w:t xml:space="preserve">Tcf4</w:t>
      </w:r>
      <w:r>
        <w:rPr>
          <w:rFonts w:ascii="Calibri" w:hAnsi="Calibri" w:cs="Calibri" w:eastAsia="Calibri"/>
          <w:color w:val="auto"/>
          <w:spacing w:val="0"/>
          <w:position w:val="0"/>
          <w:sz w:val="24"/>
          <w:shd w:fill="auto" w:val="clear"/>
        </w:rPr>
        <w:t xml:space="preserve"> in sh</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and sh</w:t>
      </w:r>
      <w:r>
        <w:rPr>
          <w:rFonts w:ascii="Calibri" w:hAnsi="Calibri" w:cs="Calibri" w:eastAsia="Calibri"/>
          <w:i/>
          <w:color w:val="auto"/>
          <w:spacing w:val="0"/>
          <w:position w:val="0"/>
          <w:sz w:val="24"/>
          <w:shd w:fill="auto" w:val="clear"/>
        </w:rPr>
        <w:t xml:space="preserve">Tcf4</w:t>
      </w:r>
      <w:r>
        <w:rPr>
          <w:rFonts w:ascii="Calibri" w:hAnsi="Calibri" w:cs="Calibri" w:eastAsia="Calibri"/>
          <w:color w:val="auto"/>
          <w:spacing w:val="0"/>
          <w:position w:val="0"/>
          <w:sz w:val="24"/>
          <w:shd w:fill="auto" w:val="clear"/>
        </w:rPr>
        <w:t xml:space="preserve"> iHSPCs.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expression</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 in sh</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and sh</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 iHSPCs.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Knockdown of </w:t>
      </w:r>
      <w:r>
        <w:rPr>
          <w:rFonts w:ascii="Calibri" w:hAnsi="Calibri" w:cs="Calibri" w:eastAsia="Calibri"/>
          <w:b/>
          <w:i/>
          <w:color w:val="000000"/>
          <w:spacing w:val="0"/>
          <w:position w:val="0"/>
          <w:sz w:val="24"/>
          <w:shd w:fill="auto" w:val="clear"/>
        </w:rPr>
        <w:t xml:space="preserve">Tcf4</w:t>
      </w:r>
      <w:r>
        <w:rPr>
          <w:rFonts w:ascii="Calibri" w:hAnsi="Calibri" w:cs="Calibri" w:eastAsia="Calibri"/>
          <w:b/>
          <w:color w:val="000000"/>
          <w:spacing w:val="0"/>
          <w:position w:val="0"/>
          <w:sz w:val="24"/>
          <w:shd w:fill="auto" w:val="clear"/>
        </w:rPr>
        <w:t xml:space="preserve"> impairs pDC development, whereas knockdown of </w:t>
      </w:r>
      <w:r>
        <w:rPr>
          <w:rFonts w:ascii="Calibri" w:hAnsi="Calibri" w:cs="Calibri" w:eastAsia="Calibri"/>
          <w:b/>
          <w:i/>
          <w:color w:val="000000"/>
          <w:spacing w:val="0"/>
          <w:position w:val="0"/>
          <w:sz w:val="24"/>
          <w:shd w:fill="auto" w:val="clear"/>
        </w:rPr>
        <w:t xml:space="preserve">Id2</w:t>
      </w:r>
      <w:r>
        <w:rPr>
          <w:rFonts w:ascii="Calibri" w:hAnsi="Calibri" w:cs="Calibri" w:eastAsia="Calibri"/>
          <w:b/>
          <w:color w:val="000000"/>
          <w:spacing w:val="0"/>
          <w:position w:val="0"/>
          <w:sz w:val="24"/>
          <w:shd w:fill="auto" w:val="clear"/>
        </w:rPr>
        <w:t xml:space="preserve"> reduces cDC generation from iHSPCs </w:t>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iHSPCs were stably transduced with sh</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sh</w:t>
      </w:r>
      <w:r>
        <w:rPr>
          <w:rFonts w:ascii="Calibri" w:hAnsi="Calibri" w:cs="Calibri" w:eastAsia="Calibri"/>
          <w:i/>
          <w:color w:val="000000"/>
          <w:spacing w:val="0"/>
          <w:position w:val="0"/>
          <w:sz w:val="24"/>
          <w:shd w:fill="auto" w:val="clear"/>
        </w:rPr>
        <w:t xml:space="preserve">Tcf4</w:t>
      </w:r>
      <w:r>
        <w:rPr>
          <w:rFonts w:ascii="Calibri" w:hAnsi="Calibri" w:cs="Calibri" w:eastAsia="Calibri"/>
          <w:color w:val="000000"/>
          <w:spacing w:val="0"/>
          <w:position w:val="0"/>
          <w:sz w:val="24"/>
          <w:shd w:fill="auto" w:val="clear"/>
        </w:rPr>
        <w:t xml:space="preserve">, and sh</w:t>
      </w:r>
      <w:r>
        <w:rPr>
          <w:rFonts w:ascii="Calibri" w:hAnsi="Calibri" w:cs="Calibri" w:eastAsia="Calibri"/>
          <w:i/>
          <w:color w:val="000000"/>
          <w:spacing w:val="0"/>
          <w:position w:val="0"/>
          <w:sz w:val="24"/>
          <w:shd w:fill="auto" w:val="clear"/>
        </w:rPr>
        <w:t xml:space="preserve">Id2</w:t>
      </w:r>
      <w:r>
        <w:rPr>
          <w:rFonts w:ascii="Calibri" w:hAnsi="Calibri" w:cs="Calibri" w:eastAsia="Calibri"/>
          <w:color w:val="000000"/>
          <w:spacing w:val="0"/>
          <w:position w:val="0"/>
          <w:sz w:val="24"/>
          <w:shd w:fill="auto" w:val="clear"/>
        </w:rPr>
        <w:t xml:space="preserve">-carrying lentiviruses, then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differentiated into DCs with FL (100 ng/mL). After culture for 5 days, the cells were stained and analyzed by flow cytometry.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percentage of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is shown.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The analysis for pDCs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cDCs (CD11c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B220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CD11b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are shown.</w:t>
      </w:r>
    </w:p>
    <w:p>
      <w:pPr>
        <w:tabs>
          <w:tab w:val="left" w:pos="2724"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ab/>
      </w:r>
    </w:p>
    <w:p>
      <w:pPr>
        <w:tabs>
          <w:tab w:val="left" w:pos="272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Thermocycler conditions for PCR.</w:t>
      </w:r>
    </w:p>
    <w:p>
      <w:pPr>
        <w:tabs>
          <w:tab w:val="left" w:pos="272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Lentivirus-based shRNA vectors are often used for gene silencing by viral transduction into cells and permit stable integration into the host genome. However, various transduction efficiency in different cell types needs to be considered, and a number of approaches have been taken to overcome this problem.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Polybrene is a polycationic polymer that can neutralize the charges on the cell membrane, thereby enhancing the binding of the virion to the cells during transduction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Although it is an effective way to increase the transduction rate, it is also toxic to some cell types when adding excessive amounts. In this case, it is required to test the toxicity of polybrene and optimize the concentration in different cells. Protamine sulfate, a cationic compound, maybe an alternative approach to increase cell viability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Moreover, refresh complete media on the same day of infection can improve the represent survival rate after transduction.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shRNA delivery systems have a selective marker for eliminating cells that have not been successfully infected. The lentiviral system we used contains a puromycin-resistant gene so that the infected cells could be selected after transduction. Moreover, lentivirus expressing GFP is also another option for the selection. However, there are both advantages and disadvantages to both methods. Using puromycin as a selection method is hard to directly measure the transduction efficiency unless the expression of target genes was confirmed by qPCR. But puromycin provides stress for selection to keep the foreign DNA inside the cells and maintain the knockdown phenotype. In contrast, GFP is also a selection method that does not provide stress to the cells even though the transduction efficiency can be immediately evaluated by flow cytometry.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limitations of this method is the relatively small number of cDC1 cells generated by iHSPCs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Although iHSPCs have pDCs and cDCs potential driven by FL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most of cDC subtypes generated is cDC2s, but not cDC1s. This is likely due to the requirement of Notch signaling during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cDC1 differentiation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Therefore, co-culture with OP9-DL1 stromal cells which express the Notch ligand Delta-like 1 may restore cDC1 potential of iHSPCs, thereby improving the mechanistic studies on cDC1s.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 of this protocol not only for investigating the role of TFs but also for other genes, like metabolic genes likely to participate in the development of DCs or other cell types. An emerging concept highlights that DC developmental pathway is associated with different cellular metabolism</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Therefore, gene knockdown in DC progenitors is a powerful strategy to study metabolic regulation in response to environmental cues and determine how different metabolic pathways regulate DC differentiation by knocking down critical genes in metabolism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On the other hand, iHSPCs have the capacity to differentiate into myeloid cells beyond DC lineages by utilizing specific differentiation factors. The use of macrophage colony-stimulating factor (M-CSF) and granulocyte-colony stimulating factor (G-CSF) results in the development of macrophages and granulocytes, respectively, from iHSPCs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Based on the same strategy, this method could also apply to the research of myeloid cell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Collectively, the described protocol from gene knockdown to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of iHSPCs provides a rapid and effective way to facilitate the study of DC development and answers fundamental questions of immune cell development in the future.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are grateful for technical support from Dr. Tz-Ling Chen. </w:t>
      </w:r>
      <w:r>
        <w:rPr>
          <w:rFonts w:ascii="Calibri" w:hAnsi="Calibri" w:cs="Calibri" w:eastAsia="Calibri"/>
          <w:color w:val="000000"/>
          <w:spacing w:val="0"/>
          <w:position w:val="0"/>
          <w:sz w:val="24"/>
          <w:shd w:fill="auto" w:val="clear"/>
        </w:rPr>
        <w:t xml:space="preserve">We thank the National RNAi Core Facility (Academia Sinica, Taiwan) for providing shRNA lentivirus </w:t>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http://rnai.genmed.sinica.edu.tw</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work was supported by the Ministry of Science and Technology, Taiwan (MOST 108-2320-B-002-037-MY3 and MOST 109-2320-B-002-054-MY3).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120" w:after="12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Steinman, R. M., Witmer, M. D. Lymphoid dendritic cells are potent stimulators of the primary mixed leukocyte reaction in mice.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(10), 5132-5136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Guilliams,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Dendritic cells, monocytes and macrophages: a unified nomenclature based on ontogeny.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571-578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Blasius, A. L., Cella, M., Maldonado, J., Takai, T., Colonna, M. Siglec-H is an IPC-specific receptor that modulates type I IFN secretion through DAP12.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 2474-2476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Swiecki, M., Colonna, M. Unraveling the functions of plasmacytoid dendritic cells during viral infections, autoimmunity, and tolerance. </w:t>
      </w:r>
      <w:r>
        <w:rPr>
          <w:rFonts w:ascii="Calibri" w:hAnsi="Calibri" w:cs="Calibri" w:eastAsia="Calibri"/>
          <w:i/>
          <w:color w:val="000000"/>
          <w:spacing w:val="0"/>
          <w:position w:val="0"/>
          <w:sz w:val="24"/>
          <w:shd w:fill="auto" w:val="clear"/>
        </w:rPr>
        <w:t xml:space="preserve">Immunology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(1), 142-162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Liu, Y.-J. IPC: Professional Type 1 interferon-producing cells and plasmacytoid dendritic cell precursors. </w:t>
      </w:r>
      <w:r>
        <w:rPr>
          <w:rFonts w:ascii="Calibri" w:hAnsi="Calibri" w:cs="Calibri" w:eastAsia="Calibri"/>
          <w:i/>
          <w:color w:val="000000"/>
          <w:spacing w:val="0"/>
          <w:position w:val="0"/>
          <w:sz w:val="24"/>
          <w:shd w:fill="auto" w:val="clear"/>
        </w:rPr>
        <w:t xml:space="preserve">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275-306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Panda, S. K., Kolbeck, R., Sanjuan, M. A. Plasmacytoid dendritic cells in autoimmunity.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20-25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Durai, V., Murphy, K. M. Functions of murine dendritic cells.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 719-736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Mashayekhi,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CD8&amp;#945;(+) dendritic cells are the critical source of interleukin-12 that controls acute infection by Toxoplasma gondii tachyzoites.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249-259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Anderson, D. A., Dutertre, C.-A., Ginhoux, F., Murphy, K. M. Genetic models of human and mouse dendritic cell development and function.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101-115 (2021).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Plantinga,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Conventional and monocyte-derived CD11b(+) dendritic cells initiate and maintain T helper 2 cell-mediated immunity to house dust mite allergen.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 322-335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Persson, E.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IRF4 transcription-factor-dependent CD103(+)CD11b(+) dendritic cells drive mucosal T helper 17 cell differentiation.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958-969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Kumamoto, Y. et al. CD301b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dermal dendritic cells drive T helper 2 cell-mediated immunity.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733-743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Cisse, B. et al. Transcription factor E2-2 is an essential and specific regulator of plasmacytoid dendritic cell development.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 37-48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Grajkowska, L.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Isoform-specific expression and feedback regulation of E protein TCF4 control dendritic cell lineage specification.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 65-77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Jackson, J.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Id2 expression delineates differential checkpoints in the genetic program of CD8&amp;#945;+ and CD103+ dendritic cell lineages.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(13), 2690-2704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Suzuki,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Critical roles of interferon regulatory factor 4 in CD11bhighCD8alpha- dendritic cell development.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(24), 8981-8986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Rodrigues, P.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Distinct progenitor lineages contribute to the heterogeneity of plasmacytoid dendritic cells.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 711-722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Brown, C. C. et al. Transcriptional basis of mouse and human dendritic cell heterogeneity.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(4), 846-863.e824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Redecke, V. et al. Hematopoietic progenitor cell lines with myeloid and lymphoid potential.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795-803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Abe, A., Miyanohara, A., Friedmann, T. Polybrene increases the efficiency of gene transfer by lipofection.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708-711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Sorgi, F. L., Bhattacharya, S., Huang, L. Protamine sulfate enhances lipid-mediated gene transfer.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961-968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Kirkling, M.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Notch signaling facilitates in vitro generation of cross-presenting classical dendritic cells.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 3658-3672.e3656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Pearce, E. J., Everts, B. Dendritic cell metabolism.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18-29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Wculek, S. K., Khouili, S. C., Priego, E., Heras-Murillo, I., Sancho, D. Metabolic Control of Dendritic Cell Functions: Digesting Information.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(775)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Saxton, R. A., Sabatini, D. M. mTOR signaling in growth, metabolism, and disease.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(6), 960-976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nai.genmed.sinica.edu.tw/"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