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Targeting the Corticospinal Tract in Neonatal Rats with a Double-viral Vector Using Combined Brain and Spine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Rupert D. Smit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J. Campion III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Rachel L. Stingel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Pushti H. Shah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George M. Smith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Shriners Hospitals Pediatric Research Center, Lewis Katz School of Medicine, Temple University, Philadelphia, PA,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J. Campion III</w:t>
        <w:tab/>
        <w:tab/>
        <w:t xml:space="preserve">(thomas.james.campion@temple.edu)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L. Stingel </w:t>
        <w:tab/>
        <w:tab/>
        <w:t xml:space="preserve">(rachel.stingel@temple.edu)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Pushti H. Shah</w:t>
        <w:tab/>
        <w:tab/>
        <w:tab/>
        <w:t xml:space="preserve">(pushti.shah@temple.edu)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Chen</w:t>
        <w:tab/>
        <w:tab/>
        <w:tab/>
        <w:t xml:space="preserve">(jie.chen0121@temple.edu)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M. Smith</w:t>
        <w:tab/>
        <w:tab/>
        <w:t xml:space="preserve">(george.smith@temple.edu)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Rupert D. Smit</w:t>
        <w:tab/>
        <w:tab/>
        <w:tab/>
        <w:t xml:space="preserve">(</w:t>
      </w:r>
      <w:r>
        <w:rPr>
          <w:rFonts w:ascii="Calibri" w:hAnsi="Calibri" w:cs="Calibri" w:eastAsia="Calibri"/>
          <w:color w:val="auto"/>
          <w:spacing w:val="0"/>
          <w:position w:val="0"/>
          <w:sz w:val="24"/>
          <w:u w:val="single"/>
          <w:shd w:fill="auto" w:val="clear"/>
        </w:rPr>
        <w:t xml:space="preserve">rupert.smit@temple.edu)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cervical spine injury, neonate, axon regeneration, sprouting, gene therapy, Designer Receptors Exclusively Activated by Designer Drugs (DREADDs)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w:t>
      </w:r>
      <w:r>
        <w:rPr>
          <w:rFonts w:ascii="Calibri" w:hAnsi="Calibri" w:cs="Calibri" w:eastAsia="Calibri"/>
          <w:b/>
          <w:color w:val="000000"/>
          <w:spacing w:val="0"/>
          <w:position w:val="0"/>
          <w:sz w:val="24"/>
          <w:shd w:fill="auto" w:val="clear"/>
        </w:rPr>
        <w:t xml:space="preserve">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novel method for applying gene therapies to subpopulations of cells in neonatal rats at postnatal ages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by injecting an anterograde chemogenetic modifier into the somatomotor cortex and a retrogradely transportable Cre recombinase into the cervical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Successfully tackling the obstacles that constrain research on neonatal rats is important for studying the differences in outcomes seen in pediatric spinal cord injuries (SCIs) compared to adult SCIs. In addition, reliably introducing therapies into the target cells of the central nervous system (CNS) can be challenging, and inaccuracies can compromise the efficacy of the study or therapy. This protocol combines viral vector technology with a novel surgical methodology to accurately introduce gene therapies into neonatal rats at postnatal day 5. Here, a virus engineered for retrograde transport (retroAAV2) of Cre is introduced at the axon terminals of corticospinal neurons in the spinal cord, where it is subsequently transported to the cell bodies. A double-floxed, inverted-orientation designer receptor exclusively activated by designer drug(s) (DREADD) virus is then injected into the somatomotor cortex of the brain. This double-infection technique promotes the expression of the DREADDs only in the co-infected corticospinal tract (CST) neurons. This is the first protocol demonstrating successful co-infection of the CST in neonatal rats. Thus, the simultaneous co-injection of the somatomotor cortex and cervical CST terminals is a valid method for studying the chemogenetic modulation of recovery following cervical SCI models in neonatal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SCI is a relatively rare occurrence in the pediatric population, it is particularly traumatic and causes a permanent disability requiring immense logistical foresight. Furthermore, a higher proportion of pediatric SCIs is classified as cervical and complete compared to the adult population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hallmark across mammalian species is that neonates recover notably better from SCI than adults, and this offers an opportunity to assess the driving mechanisms for recovery in younger populations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Despite this, there are fewer multimodal studies tackling neonate and infant rodent research, partly due to the added difficulty of accurately targeting select populations of neurons in the much tighter anatomical landmarks of younger animals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article focuses on the direct injection of highly efficient anterograde and retrograde adeno-associated vectors into the rat spinal cord to modulate major motor pathways with the application of Cre-dependent-DREADDs, expanding the reach of multimodal regeneration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vectors are important biological tools with a breadth of applications, including the introduction of genetic material to substitute for target genes, upregulate growth proteins, and trace the anatomical landscape of the CNS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Many of the anatomical details of spinal motor pathways have been studied using classical tracers, i.e., biotinylated dextran amine. While traditional tracers have been instrumental in unearthing neuroanatomy, they are not without their disadvantages: they indiscriminately label pathways even if correctly injected, and studies have found that they are taken up by damaged axons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Consequently, this could lead to incorrect interpretations in regeneration studies where severed axons could be mistaken for regenerating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method utilizes the two-viral vector system recently popularized in modulation studies, with two different viral vectors in two separate areas of the same neuron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first is a vector that locally infects the cell bodies of projection neurons. The other is a retrograde vector being transported from the axon terminals of the projection neurons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retrograde vector carries Cre recombinase, and the local vector incorporates the “Cre-On” double-floxed sequence in which a fluorescent protein (mCherry) is encoded. The native transgene expressing both hM3Dq and mCherry is inverted relative to the promoter and is flanked by two LoxP sites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mCherry is only expressed in the doubly transduced projection neurons where Cre recombinase induces a recombination event between the LoxP sites, flipping the orientation of the transgene into the appropriate reading frame and allowing the expression of both DREADD and the fluorescent protein. Once the viral transgene is in the correct orientation, and when applicable, the DREADDs can transiently induce neuromodulation through a separately injected ligand, i.e., clozapine-N-oxide. The protocol was designed to authenticate inducible neuromodulation research in neonates, wherein DREADDS are injected to modulate the CSTs selectively. The two-viral system acts as an insurance policy, ensuring that every DREADD-permeable cell is traceable under fluorescence with high fidelity to validate the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helps to bridge the gap in neonatal research. Pediatric SCI presents its challenges, and research analyzing regeneration, sprouting, or plasticity should emphasize the differences between neonates and adults</w:t>
      </w:r>
      <w:r>
        <w:rPr>
          <w:rFonts w:ascii="Calibri" w:hAnsi="Calibri" w:cs="Calibri" w:eastAsia="Calibri"/>
          <w:color w:val="auto"/>
          <w:spacing w:val="0"/>
          <w:position w:val="0"/>
          <w:sz w:val="24"/>
          <w:shd w:fill="auto" w:val="clear"/>
          <w:vertAlign w:val="superscript"/>
        </w:rPr>
        <w:t xml:space="preserve">3,15-17</w:t>
      </w:r>
      <w:r>
        <w:rPr>
          <w:rFonts w:ascii="Calibri" w:hAnsi="Calibri" w:cs="Calibri" w:eastAsia="Calibri"/>
          <w:color w:val="auto"/>
          <w:spacing w:val="0"/>
          <w:position w:val="0"/>
          <w:sz w:val="24"/>
          <w:shd w:fill="auto" w:val="clear"/>
        </w:rPr>
        <w:t xml:space="preserve">. By optimizing the surgical procedure and performing prior anatomical studies with Nissl staining, the coordinates for both the cranial and spinal injections were validated. The aim was to provide a method for dual injections into a neonatal rat with increased fidelity and survivability.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current model, the anterograde vector was injected into the cell bodies of the somatomotor cortex using bregma as reference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terms of the spinal injections, the retrograde vector was injected into laminae 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VII, where the CST axon terminals reside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There are many fundamental questions underlying how certain lesion models affect younger animals differently, and how the subsequent recovery diverges from an older animal. This study demonstrates a robust means of studying cervical injuries and the recoverability of forelimb function in neonatal rodents. In contrast, the majority of previous studies have addressed recovery locomotion following lumbar or thoracic injuries</w:t>
      </w:r>
      <w:r>
        <w:rPr>
          <w:rFonts w:ascii="Calibri" w:hAnsi="Calibri" w:cs="Calibri" w:eastAsia="Calibri"/>
          <w:color w:val="auto"/>
          <w:spacing w:val="0"/>
          <w:position w:val="0"/>
          <w:sz w:val="24"/>
          <w:shd w:fill="auto" w:val="clear"/>
          <w:vertAlign w:val="superscript"/>
        </w:rPr>
        <w:t xml:space="preserve">5,22-24</w:t>
      </w:r>
      <w:r>
        <w:rPr>
          <w:rFonts w:ascii="Calibri" w:hAnsi="Calibri" w:cs="Calibri" w:eastAsia="Calibri"/>
          <w:color w:val="auto"/>
          <w:spacing w:val="0"/>
          <w:position w:val="0"/>
          <w:sz w:val="24"/>
          <w:shd w:fill="auto" w:val="clear"/>
        </w:rPr>
        <w:t xml:space="preserve">. By pairing the double-viral vector with the novel injection technique described here, this protocol helps mitigate certain issues (i.e., survivability) that may plague neonatal rodent investigations. This method is robust, practical, and versatile: slight variations in the technique will allow for targeting different pathways, i.e., ventral CST, dorsal CST, and the ascending dorsal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system, one locally acting virus (e.g., AAV2) is injected in the region of the neuronal cell bodies of interest. In contrast, a second retrogradely transported virus that controls the expression of the local virus is injected at the axon terminals for that neuronal population. Thus, by definition, only corticospinal neurons are labeled. The retroAAV-Cre virus was chosen with a constitutively active CMV promoter as the shuttle plasmid is used to generate several AAV serotypes for Cre-dependent expression in several cell types. For cortical injections, AAV2 was chosen with the transgene driven by the synapsin-1 promotor to limit any expression to neurons. Because the 2-viral system relies more on the origin and termination of the neuronal population of interest, several different promoters could be used, if they can drive the expression of the genes of interest within the neuronal population of interest. For example, the excitatory promoter, CamKII, could be substituted for the synapsin-1. In addition to the use of these AAV serotypes, retrograde transport into immature, and to a much lesser extent, adult corticospinal motor neurons can also be achieved using the high retrograde transportable lentivirus (HiRet)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HiRet lentiviruses use a chimeric Rabies/VSV glycoprotein to target uptake at the synapse for retrograde transport. Combined with a Tet-On promoter, this 2-viral system supports inducible expression in a retrograde-dependent fashion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Retrograde viruses insert vectors into the synaptic space of a target neuron, allowing it to be taken up by that cell’s axon and transported to the cell body. While lentiviral vectors have previously had tremendous success, providing long-term expression in gene therapy studies, this method pivoted towards adeno-associated viral vectors for a few simple reasons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AAV is more economical, similarly effective, and presents less of a logistical burden, given that it has a lower biosafety level designation</w:t>
      </w:r>
      <w:r>
        <w:rPr>
          <w:rFonts w:ascii="Calibri" w:hAnsi="Calibri" w:cs="Calibri" w:eastAsia="Calibri"/>
          <w:color w:val="auto"/>
          <w:spacing w:val="0"/>
          <w:position w:val="0"/>
          <w:sz w:val="24"/>
          <w:shd w:fill="auto" w:val="clear"/>
          <w:vertAlign w:val="superscript"/>
        </w:rPr>
        <w:t xml:space="preserve">29-32</w:t>
      </w:r>
      <w:r>
        <w:rPr>
          <w:rFonts w:ascii="Calibri" w:hAnsi="Calibri" w:cs="Calibri" w:eastAsia="Calibri"/>
          <w:color w:val="auto"/>
          <w:spacing w:val="0"/>
          <w:position w:val="0"/>
          <w:sz w:val="24"/>
          <w:shd w:fill="auto" w:val="clear"/>
        </w:rPr>
        <w:t xml:space="preserve">. While AAV2, the most used serotype, demonstrates robust transfection of CST axons, future researchers may note that  AAV1 offers some versatility as it labels transynaptically, thus putting forth several possible iterations in future studies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final adaptation is to encode the retrograde virus with Cre-recombinase so that multiple anterograde vectors can be introduced simultaneously, thereby reducing unnecessary in-house virus waste and maximizing the likelihood of the DREADDs expressing in the correct orientation.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this protocol demonstrates simultaneous injection into the cortex and cervical spine, specifically targeting the cell bodies and the axon terminals of the corticospinal tract, respectively. High-fidelity transfection is seen in the cerebral cortex and spinal cord. While the protocol described was perfected for Sprague Dawley rats 5 days of age, it is suitable for postnatal days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with minor adjustments to stereotactic coordinates and anesthesia.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of the following surgical and animal care procedures have been approved by the Animal Care and Use Committee of Temple University. The protocol described is a survival surgery, and the animals were eventually euthanized by intraperitoneal injection of 100 mg/kg sodium phenobarbital at the completion of their time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Pre-surgical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at least two pulled glass needles for viral injection using 3.5 nL glass capillary pipettes; one needle for the DREADD and one needle for the rCre. As a precautionary measure, prepare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needles in case they break intraoperatively.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Using microscissors, cut off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of excess glass from the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each needle, position it at 30&amp;#176;, use a micropipette beveller to create a tip with a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&amp;#181;m aperture and a 45&amp;#176; beveled 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Store the needles in a covered Petri dish and then sterilize them by placing the Petri dish in a biosafety hood under UV light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necessary viruses by removing a suitable volume from the -80 &amp;#176;C freezer before the procedure, bearing in mind that each animal will require 3 &amp;#181;L of each 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Transport and store the virus on ice when not in use. This protocol was developed using AAV2-hM3Dq-mCherry and AAV2-retroCre to inject 3 &amp;#181;L of each virus per animal. The DREADD plasmid, pAAV-hSyn-DIO-hM3Dq-mCherry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make the anterograde AAV2 with a viral titer of 1.54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genome copies (GC)/mL. The Cre plasmid, pAAV-CMV-scCre, was used to make the retrograde AAV2 with a viral titer of 4.27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Plug the injector into the micropump and place it in a micromanipulator with a Vernier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 help visually confirm the presence or absence of virus in the needle, load colored dye, i.e., red oil, into the needle. Avoid bubbles in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Insert the glass needle into the injector, ensuring that the needle fits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If available, repeat the entire process with a separate injecting pump for each virus. If there is only one available injecting pump, prepare two separate needles and replace the used needle when it is time to swap the 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 and surgical site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Weigh the animal on a digital scale. Record the preoperative weight to determine the volume of anesthetic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found that the most reliable anesthetic technique to ensure a satisfactory anesthetic plane throughout the operative time is a combination of ketamine and hypothermia. Ketamine is insufficient to ensure anesthesia on its own, and supplementing it with xylazine has a narrow threshold before increasing intraoperative mortality. Hypothermia on its own is not sufficient for prolonged surgeries (dual spine and brain surgery likely require &amp;gt;1 h of steady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Anesthetize the pup by injecting diluted ketamine (10 mg/mL) subcutaneously so that the animal receives a 100 mg/kg dose of ketamine; wait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at postnatal day 5, a rat pup weighs &amp;plusmn; 10 g and receives 0.1 mL of the diluted ketamine solution (10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pup on crushed ice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min. Protect it against frostbite by placing the animal in a latex glove or parafilm to avoid direct contact with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Pinch the foot firmly using forceps to confirm an appropriate anesthetic plane. If reflexive withdrawal occurs, leave for an additional 2 min on ice before proceeding.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Broadly apply antiseptic to the animal’s head and back area using sterile gauze soaked with a 5% iodine solution. Then, sterilize with gauze soaked in 70% ethanol. Apply the antiseptic wipes three times each, alternating between iodine and ethanol to soak the gauze.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need for eye care as young pups only open their eyes at &amp;plusmn; 14 days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If an animal is to receive dual surgery (brain + spine), provide a normal saline bolus before surgery (0.02 mL/g) subcutaneously.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animal becomes responsive during the surgery and further anesthesia is required, then replace the animal onto 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Surgical field and instrument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Autoclave the surgical tools that include a scalpel holder, rongeurs, hemostats, medium point curved forceps, and retractors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Ready the microscope and install the neonatal rat stereotaxic adaptor to firmly position it within the adult stereotaxic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Conduct the surgery using sterilized gloves. Open a pack of prepackaged sterile surgical gloves and place the sterile glove wrap on the table, using the wrapper as an additional area to place used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follow good surgical practice and maintain sterility throughout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Secure a 11- blade in the scalpel holder. Position sterile saline, 4.0 chromic catgut suture, 4.0 silk suture, and materials to control bleeding, e.g., sterile gauze, sterile cotton-tipped applicators, and triangles.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 up two surgical fields as described above, with one site assigned for craniotomy and the other site assigned for cervical laminectomy.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Retrieve the animal and secure it in the stereotaxic adaptor: as the neonates are very cartilaginous, fix them gently by directing the earbars broadly towards the mandibular joints. Once horizontally stabilized, gently introduce the front mouthpiece.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nonbinding rule used to provide a “flat” surgical area is to fix the earbars at the same height and the mouthpiece at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levels lower.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Performing the craniotomy and exposing the somatomotor cortex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Identify the area where the incision will be made by pressing the forceps in the midline on the top of the scalp, feeling for the sagittal suture. Make a 2 cm incision along the sagittal suture plane, starting immediately above the eyeline. Hold the skin taut to ensure a clean, straight, and precise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Identify bregma (the convergence of the coronal and sagittal sutures) by gently probing the forceps along the surface of the skull and paying close attention to the suture lines as well as any indentation caused by the forceps running along the parietal and frontal bones.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Maintain the opening with the application of weighted hooks on the side of interest. Note that the spinal injection is made on the right side, the cranial injection is on the left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Clear the aponeurosis with a combination of the cotton tips and microscissors to maximize the exposure of bregma for increased accuracy. Ensure that the coronal suture is in clear view far enough laterally to provide a rough template for subsequent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Using the microscissors, cut out approximately a 3 x 2 mm section of the left frontal skull bone immediately adjacent to bregma.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bone flap has been carefully removed, there should be a clear window with exposed brain matter ready for injection. The remaining suture lines on the contralateral side of the brain will act as a visual guide for maintaining accuracy along the anterior-posterior (AP)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Clear up any debris, cerebrospinal fluid (CSF), and blood with cotton tips.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normal for blood or CSF to slightly obscure the visual line, so it is advisable to clear the area with cotton tips regularly.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Loading the virus and positioning the injector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Load the virus into the injector by pipetting ~5 &amp;#181;L onto a piece of parafilm, and position the needle so that the tip is resting atop the droplet of the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Ensure that extra virus is loaded into the injector to ensure smooth injection. For example, when injecting a total of 3 &amp;#181;L (1 &amp;#181;L for each injection site), withdraw 4 &amp;#181;L of the virus at a rate of 250 nL/s using the micropump.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Remove the excess virus with a laboratory wipe.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Position the micromanipulator so that the Vernier scale is visible, and position the needle above the sagittal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Lower the needle to just above the area representing bregma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note down the AP and medial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lateral (ML) coordinates.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Given that the injections will be on the left-side, generate target coordinates by subtracting 1, 1.5, and 2.0 mm (ML: -1.0, -1.5, -2.0) from the ML coordinates for bregma.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 position will be +0.5mm from bregma for all three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Move the needle into position for the first injection. AP: +0.5, ML: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Lower the needle to the exposed brain until it is indenting the outer cortex. Note down the height of the needle and bring the needle down into position by subtracting 0.6 mm from the height of the surface of the brain. Depth of injection: cortical surface -0.6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note the depth of the surface for each injection as slight disruptions to the rat’s positioning may occur.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Injecting virus into the somatomotor cortex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Once the needle is in place, program the injector to inject 1 &amp;#181;L at a rate of 250 nL/min.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Once the injection is completed, allow the needle to rest in the cortex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Repeat the injections for the other coordinates: a total of 3 injections along the cortex in relation to bregma, all at a depth of -0.6 mm: 1) AP: +0.5 mm, ML: -1.0 mm 2) AP: +0.5 mm, ML: -1.5 mm 3) AP: +0.5 mm, ML: -2.0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After completion of the injections, refer to section 9 to suture, and transfer the animal to the other operating table for cervical laminectomy.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w:t>
        <w:tab/>
      </w:r>
      <w:r>
        <w:rPr>
          <w:rFonts w:ascii="Calibri" w:hAnsi="Calibri" w:cs="Calibri" w:eastAsia="Calibri"/>
          <w:b/>
          <w:color w:val="auto"/>
          <w:spacing w:val="0"/>
          <w:position w:val="0"/>
          <w:sz w:val="24"/>
          <w:shd w:fill="FFFF00" w:val="clear"/>
        </w:rPr>
        <w:t xml:space="preserve">Creating a spinal window for precise spinal cord injections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Identify the incision site by using fingers to palpate the base of the skull. At midline, begin the incision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posterior to the skull base using a #11 blade and extend the incision 1 cm posterior to expose the superficial muscle. Hold the skin taut by applying tension with the thumb and index finger to ensure a clean incision.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Using the sharp point of the blade, gently make a series of cuts along the midline of the superficial muscle to expose the spinal cavity and deep spinal muscles. Use a pair of forceps to spread open the muscle and visualize the surgical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superficial muscle will appear light pink, while the deep spinal muscles will appear a light whitish-grey.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Once the deep spinal muscles have been exposed, insert retractors into the surgical window. If necessary, use forceps to grab onto the lateral skin and muscles to stretch them around the teeth of the retractors. Retract the surgical window to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mm in width, allowing an unobstructed view of the spine.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Identify the second cervical (C2 or axis) vertebra by its prominent spinous process that projects dorsally and encapsulation in a large dome-shaped muscle. Use forceps or a blunt probe to feel for and identify this process, as this will be the guiding landmark.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adjacent C3 vertebra is often slightly occluded by the large C2 muscle; therefore, gentle dissection of muscle at C3 with forceps or a bone scraper helps to define the vertebra and aid in vertebral counting.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Using the flat edge of a bone scraper, expose C3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C7 vertebrae by gently scraping away the deep spinal muscle to the sides. Start medial and scrape laterally along the direction parallel to the vertebral laminae to ensure proper exposure, which will allow clear distinction of vertebral laminae. Control any bleeding with cotton tips.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Using a pair of microscissors, carefully cut the lateral edges of the cartilaginous laminae at C6 and C7. Use C2 as a guide when counting vertebral levels.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Using a pair of fine forceps, carefully remove the dissected portion of the lamina to expose the spinal cord. Make sure the spinal window is large enough to accommodate the desired injection site. Remove any sharp or jagged parts of bone that may puncture the spinal cord with microscissors and forceps as described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Set the animal up in the stereotaxic cranial holder as described in section 3.6. In addition, place a rolled-up piece of gauze under the animal’s trunk to elevate its hindquarters.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Elevation of the animal’s hindquarters effectively lifts the thorax off the surface of the holder to prevent respiratory movements from affecting the position of the needle during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Before beginning injections, clear the spinal window of any blood or cerebrospinal fluid by gently applying cotton tips and Sugi triangles to the area without insulting the spinal cord. Further, create a barrier around the perimeter of the window to prevent occlusion of the injection site by continuous bleeding or CSF leakage. To do this, place a small piece of absorbable cotton in the lateral portions of the spinal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Direct injections into the spinal cord targeting axon terminals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Using the tip of the glass injection needle, approximate the midline of the spinal cord by identifying the spinal artery. However, if the spinal artery is noticeably off-center or deviates in any way, approximate the midline by using the position of the C2 spinous process and extrapolating this down the length of the spine.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section 5.1 for instructions on loading the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Once identified, situate the needle just posterior to the C5 lamina at the approximate midline and use this as the reference point. Then, using the micromanipulator, move the needle laterally to the right by 0.3 mm. Lower the needle until it just touches the surface of the spinal cord; from this depth, plunge the needle 0.6 mm into the spinal cord. If necessary, continue to plunge the needle until it punctures the spinal cord; then, retract or lower the needle to the appropriate depth.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Inject 1 &amp;#181;L of retroAAV2-scCre at 250 nL/min. After the injection is complete, wait 2 min for the virus to diffuse into the spinal cord before slowly withdrawing the needle. Repeat the injections using the same lateral and depth coordinates at two more sites within the spinal window, one at the midpoint and the final just anterior to the T1 lamina.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Wound closure and 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Remove the animal from the stereotaxic holder and take out the retractors or hooks. Clear out the wound area with a few drops of sterile normal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Suture the scalp with 4.0 silk suture, two or 3 sutures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When suturing the cervical opening, use 4.0 chromic gut to tightly reattach the muscle layers (2 sutures should suffice). Suture the cervical skin opening with 4.0 silk (4 sutures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Once the animal is closed up, judiciously apply liquid bandage across the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Place the animal under a heating lamp and monitor it closely until entirely re-awakened. Once the animal is awake, moving, and dry, gently clean the wounds with sterile gauze. Do not leave the animal unattended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Return the animal to the homecage with its mother. Take care to prevent neglect and infant cannibalization from the mother towards the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9.6.1.</w:t>
        <w:tab/>
        <w:t xml:space="preserve">Familiarize the investigators with the mother in anticipation of surgery through gentle handling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twice daily, beginning one week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9.6.2.</w:t>
        <w:tab/>
        <w:t xml:space="preserve">Return the pups to the homecage together to limit disruption to the mother.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9.6.3.</w:t>
        <w:tab/>
        <w:t xml:space="preserve">Inject the mother with acepromazine 1.5 mg/kg q12 h subcutaneously on the day of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Pain management serves the dual purpose of providing analgesia for the pups and encouraging earlier return to activity, thus promoting reintegration with the mother.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9.6.4.</w:t>
        <w:tab/>
        <w:t xml:space="preserve">Inject buprenorphine 0.05 mg/kg subcutaneously q8 h starting after surgery for 3 days total (postoperative days 0, 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injection and transport of the viral vector should result in the transduction of unilateral neurons in the spinal cord and the motor cortex.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demonstrates the labeling of layer V CST neurons in the motor cortex of a brain coronal section expressing Cre-dependent-DREADDs-mCherry co-injected with a contralateral spine injection of rCre. The sections were stained with dsRed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illustration demonstrating the two-viral injection methods as used in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the viral constructs used in this protocol, along with the double-floxed inverted orientation being corrected by the retroAAV2-scCRE.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schematic illustration of the cranial injection coordinates (mm) relative to bregma.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Transduction of neurons in the motor cortex.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Magnification of 5x. dsRed immunohistochemistry demonstrating mCherry expression in layer V neurons of the animal’s left motor cortex. Scale bar = 500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Magnification of 10x. dsRed immunohistochemistry demonstrating mCherry expression in layer V neurons of the animal’s left motor cortex.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Inducible genetic modulation of brain activity with injectable chemogenetic modifiers is a powerful tool in studying the various mechanisms that underlie the recovery from SCI. The accuracy of the targeting for the inducible G-protein-coupled receptors (DREADDs) is further increased when considering that fluorescence tracing validates the anatomical precision in histology. This paper discusses a reliable method for exploring whether or not inhibiting or stimulating select neuronal pathways (with either excitatory or inhibitory DREADDS) results in enhanced axon regeneration or sprouting</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Injection of a retrogradely transportable vector into the spinal cord can bring attention to select neuronal populations, either directly or via their synaptic connection, making this method an excellent choice for assessing the neurobiological response to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illustrated, studying SCI in neonatal models to elucidate any previously unknown discrepancies between pediatric populations and adult populations only serves to complicate the research further. As such, the study designs are narrower. The consensus in neonatal research is that the improved outcomes seen following SCI depend on increased axonal regeneration and increased sprouting until around postnatal day 7 in rodents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However, this amplified plasticity is not seen beyond postnatal day 10 and recovery plateaus until it represents adult rodent injury models too</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The underlying mechanisms for the enhanced plasticity in neonates are elusive and remain debated, highlighting the importance of developing easily replicated, survivable, and efficient surgical models to facilitate focused research on neonatal SCI.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some have posited that the disproportionate level of sprouting seen in younger animals negates certain aspects of functional recovery from CST insult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Ultimately, questions remain whether the spontaneous recovery is due to organic regeneration or simply increased sprouting of aberrant pathways that conveniently bypass the lesion. The protocol described here is relatively straightforward and is modular and tunable to study corticospinal tract regeneration or sprouting and artificially inhibiting or stimulating recovery processes with the advent of inducible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viruses used in this study were chosen to provide a blueprint for future research investigating the plausibility of influencing recovery from SCI in younger rodents. By design, the transgene expressing mCherry would only label positively under fluorescence if the DREADD (hM3Dq) were expressing simultaneously, as they are both present on the same transgene. While the current protocol does not include behavioral and phenotypic assessments, it has laid the groundwork for successfully investigating DREADD activity in future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elements to successful injections of viral vectors are knowing the correct anatomy and ensuring sufficient diffusion of virus. With regards to injecting the anterograde vector into the sensorimotor cortex, there are numerous methods described in the literature, including three injections in the vicinity of bregma at a shallow depth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 mm). Targeting the correct area for the retrograde injection of a vector into the spinal cord requires precision and a deft understanding of the neurobiology of the neurons of interest. The majority of the CST terminals are localized to laminae 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VII throughout the spinal cord grey matter, and successful transfection may require injections at multiple cervical levels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For instance, segments C4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 can be located with distinct landmarks, thus priming the surgical window for routine laminectomies and subsequent injections. Ensuring adequate diffusion of the injected material is dependent on the properties of the vector, volume of the injection, and the density of the neuronal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Fortunately, the neonatal brain is very receptive to transfection as the lower density allows for a more rapid and disseminated spread of the injected material. The spinal component is more complex, with a significantly tighter injection window. Nevertheless, retroAAV is efficient at transducing the target synapses. It is important to note that the retrograde vector takes time to reach the cell body and flip the DREADD vector into the correct sequence, so the recommended time before conducting behavioral assessments or histological studies is &amp;plusmn; 4 weeks from the date of injection. In summary, the retrograde AAV is appropriate, given that it has several immediate advantages, and given that the double-floxed system only fluorescently expresses target neuronal populations. Despite the narrow operative window, the neonatal spinal cord is similarly receptive to transfection and demonstrates florid expression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spinal cord research is a niche within a field that has many barriers to multilayered investigations. With each new iteration and surgical breakthrough in methodology, the research itself becomes easier, and in turn, the likelihood of uncovering deterministic outcomes increases. Accurately injecting a viral vector into a spinal cord pathway is useful for a host of investigational reasons, and expanding the viral vector technology to include DREADDs is useful for selectively enhancing or attenuating target proteins. The hope is that the improved accuracy from the double-floxed injection system paired with the novel surgical protocol will foster a multitude of similar research goals.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fellowship grant from Shriners Hospitals for Children SHC-84706.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Parent, S., Mac-Thiong, J., Roy-Beaudry, M., Sosa, J. F., Labelle, H. Spinal cord injury in the pediatric population: A systematic review of the literature.</w:t>
      </w:r>
      <w:r>
        <w:rPr>
          <w:rFonts w:ascii="Calibri" w:hAnsi="Calibri" w:cs="Calibri" w:eastAsia="Calibri"/>
          <w:i/>
          <w:color w:val="auto"/>
          <w:spacing w:val="0"/>
          <w:position w:val="0"/>
          <w:sz w:val="24"/>
          <w:shd w:fill="FFFFFF" w:val="clear"/>
        </w:rPr>
        <w:t xml:space="preserve"> Journal of Neurotrauma. </w:t>
      </w:r>
      <w:r>
        <w:rPr>
          <w:rFonts w:ascii="Calibri" w:hAnsi="Calibri" w:cs="Calibri" w:eastAsia="Calibri"/>
          <w:b/>
          <w:color w:val="auto"/>
          <w:spacing w:val="0"/>
          <w:position w:val="0"/>
          <w:sz w:val="24"/>
          <w:shd w:fill="FFFFFF" w:val="clear"/>
        </w:rPr>
        <w:t xml:space="preserve">28</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(8), 1515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1524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Vitale, M. G., Goss, J. M., Matsumoto, H., Roye, D. P. Epidemiology of pediatric spinal cord injury in the united states: Years 1997 and 2000.</w:t>
      </w:r>
      <w:r>
        <w:rPr>
          <w:rFonts w:ascii="Calibri" w:hAnsi="Calibri" w:cs="Calibri" w:eastAsia="Calibri"/>
          <w:i/>
          <w:color w:val="auto"/>
          <w:spacing w:val="0"/>
          <w:position w:val="0"/>
          <w:sz w:val="24"/>
          <w:shd w:fill="FFFFFF" w:val="clear"/>
        </w:rPr>
        <w:t xml:space="preserve"> Journal of Pediatric Orthopedics. </w:t>
      </w:r>
      <w:r>
        <w:rPr>
          <w:rFonts w:ascii="Calibri" w:hAnsi="Calibri" w:cs="Calibri" w:eastAsia="Calibri"/>
          <w:b/>
          <w:color w:val="auto"/>
          <w:spacing w:val="0"/>
          <w:position w:val="0"/>
          <w:sz w:val="24"/>
          <w:shd w:fill="FFFFFF" w:val="clear"/>
        </w:rPr>
        <w:t xml:space="preserve">26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(6), 745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749 (2006).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Bregman, B. S., Goldberger, M. E. Anatomical plasticity and sparing of function after spinal cord damage in neonatal cats.</w:t>
      </w:r>
      <w:r>
        <w:rPr>
          <w:rFonts w:ascii="Calibri" w:hAnsi="Calibri" w:cs="Calibri" w:eastAsia="Calibri"/>
          <w:i/>
          <w:color w:val="auto"/>
          <w:spacing w:val="0"/>
          <w:position w:val="0"/>
          <w:sz w:val="24"/>
          <w:shd w:fill="FFFFFF" w:val="clear"/>
        </w:rPr>
        <w:t xml:space="preserve"> Science. </w:t>
      </w:r>
      <w:r>
        <w:rPr>
          <w:rFonts w:ascii="Calibri" w:hAnsi="Calibri" w:cs="Calibri" w:eastAsia="Calibri"/>
          <w:b/>
          <w:color w:val="auto"/>
          <w:spacing w:val="0"/>
          <w:position w:val="0"/>
          <w:sz w:val="24"/>
          <w:shd w:fill="FFFFFF" w:val="clear"/>
        </w:rPr>
        <w:t xml:space="preserve">217</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(4559), 553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555 (1982).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Castro, A. J. Ipsilateral corticospinal projections after large lesions of the cerebral hemisphere in neonatal rats.</w:t>
      </w:r>
      <w:r>
        <w:rPr>
          <w:rFonts w:ascii="Calibri" w:hAnsi="Calibri" w:cs="Calibri" w:eastAsia="Calibri"/>
          <w:i/>
          <w:color w:val="auto"/>
          <w:spacing w:val="0"/>
          <w:position w:val="0"/>
          <w:sz w:val="24"/>
          <w:shd w:fill="FFFFFF" w:val="clear"/>
        </w:rPr>
        <w:t xml:space="preserve"> Experimental Neurology. </w:t>
      </w:r>
      <w:r>
        <w:rPr>
          <w:rFonts w:ascii="Calibri" w:hAnsi="Calibri" w:cs="Calibri" w:eastAsia="Calibri"/>
          <w:b/>
          <w:color w:val="auto"/>
          <w:spacing w:val="0"/>
          <w:position w:val="0"/>
          <w:sz w:val="24"/>
          <w:shd w:fill="FFFFFF" w:val="clear"/>
        </w:rPr>
        <w:t xml:space="preserve">46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 (1975).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Commissiong, J. W., Toffano, G. Complete spinal cord transection at different postnatal ages: Recovery of motor coordination correlated with spinal cord catecholamines.</w:t>
      </w:r>
      <w:r>
        <w:rPr>
          <w:rFonts w:ascii="Calibri" w:hAnsi="Calibri" w:cs="Calibri" w:eastAsia="Calibri"/>
          <w:i/>
          <w:color w:val="auto"/>
          <w:spacing w:val="0"/>
          <w:position w:val="0"/>
          <w:sz w:val="24"/>
          <w:shd w:fill="FFFFFF" w:val="clear"/>
        </w:rPr>
        <w:t xml:space="preserve"> Experimental Brain Research. </w:t>
      </w:r>
      <w:r>
        <w:rPr>
          <w:rFonts w:ascii="Calibri" w:hAnsi="Calibri" w:cs="Calibri" w:eastAsia="Calibri"/>
          <w:b/>
          <w:color w:val="auto"/>
          <w:spacing w:val="0"/>
          <w:position w:val="0"/>
          <w:sz w:val="24"/>
          <w:shd w:fill="FFFFFF" w:val="clear"/>
        </w:rPr>
        <w:t xml:space="preserve">78</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597-603 (1989).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Yuan, Q., Su, H., Chiu, K., Wu, W., Lin, Z. Contrasting neuropathology and functional recovery after spinal cord injury in developing and adult rats.</w:t>
      </w:r>
      <w:r>
        <w:rPr>
          <w:rFonts w:ascii="Calibri" w:hAnsi="Calibri" w:cs="Calibri" w:eastAsia="Calibri"/>
          <w:i/>
          <w:color w:val="auto"/>
          <w:spacing w:val="0"/>
          <w:position w:val="0"/>
          <w:sz w:val="24"/>
          <w:shd w:fill="FFFFFF" w:val="clear"/>
        </w:rPr>
        <w:t xml:space="preserve"> Neuroscience Bulletin. </w:t>
      </w:r>
      <w:r>
        <w:rPr>
          <w:rFonts w:ascii="Calibri" w:hAnsi="Calibri" w:cs="Calibri" w:eastAsia="Calibri"/>
          <w:b/>
          <w:color w:val="auto"/>
          <w:spacing w:val="0"/>
          <w:position w:val="0"/>
          <w:sz w:val="24"/>
          <w:shd w:fill="FFFFFF" w:val="clear"/>
        </w:rPr>
        <w:t xml:space="preserve">29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 509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516 (2013).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Kim, J. et al. Viral transduction of the neonatal brain delivers controllable genetic mosaicism for visualizing and manipulating neuronal circuits in vivo.</w:t>
      </w:r>
      <w:r>
        <w:rPr>
          <w:rFonts w:ascii="Calibri" w:hAnsi="Calibri" w:cs="Calibri" w:eastAsia="Calibri"/>
          <w:i/>
          <w:color w:val="auto"/>
          <w:spacing w:val="0"/>
          <w:position w:val="0"/>
          <w:sz w:val="24"/>
          <w:shd w:fill="FFFFFF" w:val="clear"/>
        </w:rPr>
        <w:t xml:space="preserve"> The European Journal of Neuroscience. </w:t>
      </w:r>
      <w:r>
        <w:rPr>
          <w:rFonts w:ascii="Calibri" w:hAnsi="Calibri" w:cs="Calibri" w:eastAsia="Calibri"/>
          <w:b/>
          <w:color w:val="auto"/>
          <w:spacing w:val="0"/>
          <w:position w:val="0"/>
          <w:sz w:val="24"/>
          <w:shd w:fill="FFFFFF" w:val="clear"/>
        </w:rPr>
        <w:t xml:space="preserve">37</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(8), 1203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1220 (2013).</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Pawliuk, R. et al. Correction of sickle cell disease in transgenic mouse models by gene therapy.</w:t>
      </w:r>
      <w:r>
        <w:rPr>
          <w:rFonts w:ascii="Calibri" w:hAnsi="Calibri" w:cs="Calibri" w:eastAsia="Calibri"/>
          <w:i/>
          <w:color w:val="auto"/>
          <w:spacing w:val="0"/>
          <w:position w:val="0"/>
          <w:sz w:val="24"/>
          <w:shd w:fill="FFFFFF" w:val="clear"/>
        </w:rPr>
        <w:t xml:space="preserve"> Science. </w:t>
      </w:r>
      <w:r>
        <w:rPr>
          <w:rFonts w:ascii="Calibri" w:hAnsi="Calibri" w:cs="Calibri" w:eastAsia="Calibri"/>
          <w:b/>
          <w:color w:val="auto"/>
          <w:spacing w:val="0"/>
          <w:position w:val="0"/>
          <w:sz w:val="24"/>
          <w:shd w:fill="FFFFFF" w:val="clear"/>
        </w:rPr>
        <w:t xml:space="preserve">294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(5550), 2368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2371 (2001).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Atasoy, D., Sternson, S. M. Chemogenetic tools for causal cellular and neuronal biology.</w:t>
      </w:r>
      <w:r>
        <w:rPr>
          <w:rFonts w:ascii="Calibri" w:hAnsi="Calibri" w:cs="Calibri" w:eastAsia="Calibri"/>
          <w:i/>
          <w:color w:val="auto"/>
          <w:spacing w:val="0"/>
          <w:position w:val="0"/>
          <w:sz w:val="24"/>
          <w:shd w:fill="FFFFFF" w:val="clear"/>
        </w:rPr>
        <w:t xml:space="preserve"> Physiological Reviews. </w:t>
      </w:r>
      <w:r>
        <w:rPr>
          <w:rFonts w:ascii="Calibri" w:hAnsi="Calibri" w:cs="Calibri" w:eastAsia="Calibri"/>
          <w:b/>
          <w:color w:val="auto"/>
          <w:spacing w:val="0"/>
          <w:position w:val="0"/>
          <w:sz w:val="24"/>
          <w:shd w:fill="FFFFFF" w:val="clear"/>
        </w:rPr>
        <w:t xml:space="preserve">98</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391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418 (2018).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Brandt, H. M., Apkarian, A. V. Biotin-dextran: A sensitive anterograde tracer for neuroanatomic studies in rat and monkey.</w:t>
      </w:r>
      <w:r>
        <w:rPr>
          <w:rFonts w:ascii="Calibri" w:hAnsi="Calibri" w:cs="Calibri" w:eastAsia="Calibri"/>
          <w:i/>
          <w:color w:val="auto"/>
          <w:spacing w:val="0"/>
          <w:position w:val="0"/>
          <w:sz w:val="24"/>
          <w:shd w:fill="FFFFFF" w:val="clear"/>
        </w:rPr>
        <w:t xml:space="preserve"> Journal of Neuroscience Methods. </w:t>
      </w:r>
      <w:r>
        <w:rPr>
          <w:rFonts w:ascii="Calibri" w:hAnsi="Calibri" w:cs="Calibri" w:eastAsia="Calibri"/>
          <w:b/>
          <w:color w:val="auto"/>
          <w:spacing w:val="0"/>
          <w:position w:val="0"/>
          <w:sz w:val="24"/>
          <w:shd w:fill="FFFFFF" w:val="clear"/>
        </w:rPr>
        <w:t xml:space="preserve">45</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 (1992).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Veenman, C. L., Reiner, A., Honig, M. G. (1992). Biotinylated dextran amine as an anterograde tracer for single- and double-labeling studies.</w:t>
      </w:r>
      <w:r>
        <w:rPr>
          <w:rFonts w:ascii="Calibri" w:hAnsi="Calibri" w:cs="Calibri" w:eastAsia="Calibri"/>
          <w:i/>
          <w:color w:val="auto"/>
          <w:spacing w:val="0"/>
          <w:position w:val="0"/>
          <w:sz w:val="24"/>
          <w:shd w:fill="FFFFFF" w:val="clear"/>
        </w:rPr>
        <w:t xml:space="preserve"> Journal of Neuroscience Methods. </w:t>
      </w:r>
      <w:r>
        <w:rPr>
          <w:rFonts w:ascii="Calibri" w:hAnsi="Calibri" w:cs="Calibri" w:eastAsia="Calibri"/>
          <w:b/>
          <w:color w:val="auto"/>
          <w:spacing w:val="0"/>
          <w:position w:val="0"/>
          <w:sz w:val="24"/>
          <w:shd w:fill="FFFFFF" w:val="clear"/>
        </w:rPr>
        <w:t xml:space="preserve">41</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239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Reiner, A. et al. Pathway tracing using biotinylated dextran amines.</w:t>
      </w:r>
      <w:r>
        <w:rPr>
          <w:rFonts w:ascii="Calibri" w:hAnsi="Calibri" w:cs="Calibri" w:eastAsia="Calibri"/>
          <w:i/>
          <w:color w:val="auto"/>
          <w:spacing w:val="0"/>
          <w:position w:val="0"/>
          <w:sz w:val="24"/>
          <w:shd w:fill="auto" w:val="clear"/>
        </w:rPr>
        <w:t xml:space="preserve"> Journal of Neuroscience Methods.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(2000).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Oguchi, M. et al. Double virus vector infection to the prefrontal network of the macaque brain.</w:t>
      </w:r>
      <w:r>
        <w:rPr>
          <w:rFonts w:ascii="Calibri" w:hAnsi="Calibri" w:cs="Calibri" w:eastAsia="Calibri"/>
          <w:i/>
          <w:color w:val="auto"/>
          <w:spacing w:val="0"/>
          <w:position w:val="0"/>
          <w:sz w:val="24"/>
          <w:shd w:fill="FFFFFF" w:val="clear"/>
        </w:rPr>
        <w:t xml:space="preserve"> PloS One. </w:t>
      </w:r>
      <w:r>
        <w:rPr>
          <w:rFonts w:ascii="Calibri" w:hAnsi="Calibri" w:cs="Calibri" w:eastAsia="Calibri"/>
          <w:b/>
          <w:color w:val="auto"/>
          <w:spacing w:val="0"/>
          <w:position w:val="0"/>
          <w:sz w:val="24"/>
          <w:shd w:fill="FFFFFF" w:val="clear"/>
        </w:rPr>
        <w:t xml:space="preserve">10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 e0132825 (2015).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Kinoshita, M. et al. Genetic dissection of the circuit for hand dexterity in primates.</w:t>
      </w:r>
      <w:r>
        <w:rPr>
          <w:rFonts w:ascii="Calibri" w:hAnsi="Calibri" w:cs="Calibri" w:eastAsia="Calibri"/>
          <w:i/>
          <w:color w:val="auto"/>
          <w:spacing w:val="0"/>
          <w:position w:val="0"/>
          <w:sz w:val="24"/>
          <w:shd w:fill="FFFFFF" w:val="clear"/>
        </w:rPr>
        <w:t xml:space="preserve"> Nature. </w:t>
      </w:r>
      <w:r>
        <w:rPr>
          <w:rFonts w:ascii="Calibri" w:hAnsi="Calibri" w:cs="Calibri" w:eastAsia="Calibri"/>
          <w:b/>
          <w:color w:val="auto"/>
          <w:spacing w:val="0"/>
          <w:position w:val="0"/>
          <w:sz w:val="24"/>
          <w:shd w:fill="FFFFFF" w:val="clear"/>
        </w:rPr>
        <w:t xml:space="preserve">487</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(7406), 235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238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Bernstein, D. R., Stelzner, D. J. Plasticity of the corticospinal tract following midthoracic spinal injury in the postnatal rat.</w:t>
      </w:r>
      <w:r>
        <w:rPr>
          <w:rFonts w:ascii="Calibri" w:hAnsi="Calibri" w:cs="Calibri" w:eastAsia="Calibri"/>
          <w:i/>
          <w:color w:val="auto"/>
          <w:spacing w:val="0"/>
          <w:position w:val="0"/>
          <w:sz w:val="24"/>
          <w:shd w:fill="FFFFFF" w:val="clear"/>
        </w:rPr>
        <w:t xml:space="preserve"> The Journal of Comparative Neurology. </w:t>
      </w:r>
      <w:r>
        <w:rPr>
          <w:rFonts w:ascii="Calibri" w:hAnsi="Calibri" w:cs="Calibri" w:eastAsia="Calibri"/>
          <w:b/>
          <w:color w:val="auto"/>
          <w:spacing w:val="0"/>
          <w:position w:val="0"/>
          <w:sz w:val="24"/>
          <w:shd w:fill="FFFFFF" w:val="clear"/>
        </w:rPr>
        <w:t xml:space="preserve">221</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 382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400 (1983).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Brown, K., Wolfe, B., Wrathall, J. Rapid functional recovery after spinal cord injury in young rats.</w:t>
      </w:r>
      <w:r>
        <w:rPr>
          <w:rFonts w:ascii="Calibri" w:hAnsi="Calibri" w:cs="Calibri" w:eastAsia="Calibri"/>
          <w:i/>
          <w:color w:val="auto"/>
          <w:spacing w:val="0"/>
          <w:position w:val="0"/>
          <w:sz w:val="24"/>
          <w:shd w:fill="FFFFFF" w:val="clear"/>
        </w:rPr>
        <w:t xml:space="preserve"> Journal of Neurotrauma.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559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574 (2005).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Tillakaratne, N. J. K. et al. Functional recovery of stepping in rats after a complete neonatal spinal cord transection is not due to regrowth across the lesion site.</w:t>
      </w:r>
      <w:r>
        <w:rPr>
          <w:rFonts w:ascii="Calibri" w:hAnsi="Calibri" w:cs="Calibri" w:eastAsia="Calibri"/>
          <w:i/>
          <w:color w:val="auto"/>
          <w:spacing w:val="0"/>
          <w:position w:val="0"/>
          <w:sz w:val="24"/>
          <w:shd w:fill="FFFFFF" w:val="clear"/>
        </w:rPr>
        <w:t xml:space="preserve"> Neuroscience. </w:t>
      </w:r>
      <w:r>
        <w:rPr>
          <w:rFonts w:ascii="Calibri" w:hAnsi="Calibri" w:cs="Calibri" w:eastAsia="Calibri"/>
          <w:b/>
          <w:color w:val="auto"/>
          <w:spacing w:val="0"/>
          <w:position w:val="0"/>
          <w:sz w:val="24"/>
          <w:shd w:fill="FFFFFF" w:val="clear"/>
        </w:rPr>
        <w:t xml:space="preserve">166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23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 (2010).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Kartje-Tillotson, G., Neafsey, E. J., Castro, A. J. Electrophysiological analysis of motor cortical plasticity after cortical lesions in newborn rats.</w:t>
      </w:r>
      <w:r>
        <w:rPr>
          <w:rFonts w:ascii="Calibri" w:hAnsi="Calibri" w:cs="Calibri" w:eastAsia="Calibri"/>
          <w:i/>
          <w:color w:val="auto"/>
          <w:spacing w:val="0"/>
          <w:position w:val="0"/>
          <w:sz w:val="24"/>
          <w:shd w:fill="FFFFFF" w:val="clear"/>
        </w:rPr>
        <w:t xml:space="preserve"> Brain Research. </w:t>
      </w:r>
      <w:r>
        <w:rPr>
          <w:rFonts w:ascii="Calibri" w:hAnsi="Calibri" w:cs="Calibri" w:eastAsia="Calibri"/>
          <w:b/>
          <w:color w:val="auto"/>
          <w:spacing w:val="0"/>
          <w:position w:val="0"/>
          <w:sz w:val="24"/>
          <w:shd w:fill="FFFFFF" w:val="clear"/>
        </w:rPr>
        <w:t xml:space="preserve">332</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103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111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Gennaro, M. et al. Focal stroke in the developing rat motor cortex induces age- and experience-dependent maladaptive plasticity of corticospinal system.</w:t>
      </w:r>
      <w:r>
        <w:rPr>
          <w:rFonts w:ascii="Calibri" w:hAnsi="Calibri" w:cs="Calibri" w:eastAsia="Calibri"/>
          <w:i/>
          <w:color w:val="auto"/>
          <w:spacing w:val="0"/>
          <w:position w:val="0"/>
          <w:sz w:val="24"/>
          <w:shd w:fill="FFFFFF" w:val="clear"/>
        </w:rPr>
        <w:t xml:space="preserve"> Frontiers in Neural Circuits.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47 (2017).</w:t>
      </w:r>
      <w:r>
        <w:rPr>
          <w:rFonts w:ascii="Calibri" w:hAnsi="Calibri" w:cs="Calibri" w:eastAsia="Calibri"/>
          <w: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Brichta, A. M., Grant, G. Cytoarchitectural organization of the spinal cord. In </w:t>
      </w:r>
      <w:r>
        <w:rPr>
          <w:rFonts w:ascii="Calibri" w:hAnsi="Calibri" w:cs="Calibri" w:eastAsia="Calibri"/>
          <w:i/>
          <w:color w:val="auto"/>
          <w:spacing w:val="0"/>
          <w:position w:val="0"/>
          <w:sz w:val="24"/>
          <w:shd w:fill="FFFFFF" w:val="clear"/>
        </w:rPr>
        <w:t xml:space="preserve">The rat nervous system. </w:t>
      </w:r>
      <w:r>
        <w:rPr>
          <w:rFonts w:ascii="Calibri" w:hAnsi="Calibri" w:cs="Calibri" w:eastAsia="Calibri"/>
          <w:color w:val="auto"/>
          <w:spacing w:val="0"/>
          <w:position w:val="0"/>
          <w:sz w:val="24"/>
          <w:shd w:fill="FFFFFF" w:val="clear"/>
        </w:rPr>
        <w:t xml:space="preserve">Paxinos, G. (Ed), New York:</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Academic Press,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294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309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Kjell, J., Olson, L. Rat models of spinal cord injury: From pathology to potential therapies.</w:t>
      </w:r>
      <w:r>
        <w:rPr>
          <w:rFonts w:ascii="Calibri" w:hAnsi="Calibri" w:cs="Calibri" w:eastAsia="Calibri"/>
          <w:i/>
          <w:color w:val="auto"/>
          <w:spacing w:val="0"/>
          <w:position w:val="0"/>
          <w:sz w:val="24"/>
          <w:shd w:fill="FFFFFF" w:val="clear"/>
        </w:rPr>
        <w:t xml:space="preserve"> Disease Models &amp;amp; Mechanisms. </w:t>
      </w:r>
      <w:r>
        <w:rPr>
          <w:rFonts w:ascii="Calibri" w:hAnsi="Calibri" w:cs="Calibri" w:eastAsia="Calibri"/>
          <w:b/>
          <w:color w:val="auto"/>
          <w:spacing w:val="0"/>
          <w:position w:val="0"/>
          <w:sz w:val="24"/>
          <w:shd w:fill="FFFFFF" w:val="clear"/>
        </w:rPr>
        <w:t xml:space="preserve">9 </w:t>
      </w:r>
      <w:r>
        <w:rPr>
          <w:rFonts w:ascii="Calibri" w:hAnsi="Calibri" w:cs="Calibri" w:eastAsia="Calibri"/>
          <w:color w:val="auto"/>
          <w:spacing w:val="0"/>
          <w:position w:val="0"/>
          <w:sz w:val="24"/>
          <w:shd w:fill="FFFFFF" w:val="clear"/>
        </w:rPr>
        <w:t xml:space="preserve">(10), 1125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1137 (2016).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Takeoka, A., Arber, S. Functional local proprioceptive feedback circuits initiate and maintain locomotor recovery after spinal cord injury.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w:t>
      </w:r>
      <w:r>
        <w:rPr>
          <w:rFonts w:ascii="Calibri" w:hAnsi="Calibri" w:cs="Calibri" w:eastAsia="Calibri"/>
          <w:color w:val="auto"/>
          <w:spacing w:val="0"/>
          <w:position w:val="0"/>
          <w:sz w:val="24"/>
          <w:shd w:fill="FFFFFF" w:val="clear"/>
        </w:rPr>
        <w:t xml:space="preserve"> (1), 71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85.e3 (2019).</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Flynn, J. R., Graham, B. A., Galea, M. P., Callister, R. J. The role of propriospinal interneurons in recovery from spinal cord injury.</w:t>
      </w:r>
      <w:r>
        <w:rPr>
          <w:rFonts w:ascii="Calibri" w:hAnsi="Calibri" w:cs="Calibri" w:eastAsia="Calibri"/>
          <w:i/>
          <w:color w:val="auto"/>
          <w:spacing w:val="0"/>
          <w:position w:val="0"/>
          <w:sz w:val="24"/>
          <w:shd w:fill="FFFFFF" w:val="clear"/>
        </w:rPr>
        <w:t xml:space="preserve"> Neuropharmacology. </w:t>
      </w:r>
      <w:r>
        <w:rPr>
          <w:rFonts w:ascii="Calibri" w:hAnsi="Calibri" w:cs="Calibri" w:eastAsia="Calibri"/>
          <w:b/>
          <w:color w:val="auto"/>
          <w:spacing w:val="0"/>
          <w:position w:val="0"/>
          <w:sz w:val="24"/>
          <w:shd w:fill="FFFFFF" w:val="clear"/>
        </w:rPr>
        <w:t xml:space="preserve">60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(5), 809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822 (2011).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Ohne, H. et al. Mechanism of forelimb motor function restoration in rats with cervical spinal cord hemisection-neuroanatomical validation.</w:t>
      </w:r>
      <w:r>
        <w:rPr>
          <w:rFonts w:ascii="Calibri" w:hAnsi="Calibri" w:cs="Calibri" w:eastAsia="Calibri"/>
          <w:i/>
          <w:color w:val="auto"/>
          <w:spacing w:val="0"/>
          <w:position w:val="0"/>
          <w:sz w:val="24"/>
          <w:shd w:fill="FFFFFF" w:val="clear"/>
        </w:rPr>
        <w:t xml:space="preserve"> IBRO Reports.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 (2019).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Wang, X. et al. Deconstruction of corticospinal circuits for goal-directed motor skills.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171</w:t>
      </w:r>
      <w:r>
        <w:rPr>
          <w:rFonts w:ascii="Calibri" w:hAnsi="Calibri" w:cs="Calibri" w:eastAsia="Calibri"/>
          <w:color w:val="auto"/>
          <w:spacing w:val="0"/>
          <w:position w:val="0"/>
          <w:sz w:val="24"/>
          <w:shd w:fill="FFFFFF" w:val="clear"/>
        </w:rPr>
        <w:t xml:space="preserve"> (2), 440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455.e14 (2017).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Sheikh, I. S. et al. Retrogradely transportable lentivirus tracers for mapping spinal cord locomotor circuits.</w:t>
      </w:r>
      <w:r>
        <w:rPr>
          <w:rFonts w:ascii="Calibri" w:hAnsi="Calibri" w:cs="Calibri" w:eastAsia="Calibri"/>
          <w:i/>
          <w:color w:val="auto"/>
          <w:spacing w:val="0"/>
          <w:position w:val="0"/>
          <w:sz w:val="24"/>
          <w:shd w:fill="FFFFFF" w:val="clear"/>
        </w:rPr>
        <w:t xml:space="preserve"> Frontiers in Neural Circuits.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FF" w:val="clear"/>
        </w:rPr>
        <w:t xml:space="preserve">Kinoshita, M. et al. Genetic dissection of the circuit for hand dexterity in primates.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487</w:t>
      </w:r>
      <w:r>
        <w:rPr>
          <w:rFonts w:ascii="Calibri" w:hAnsi="Calibri" w:cs="Calibri" w:eastAsia="Calibri"/>
          <w:color w:val="auto"/>
          <w:spacing w:val="0"/>
          <w:position w:val="0"/>
          <w:sz w:val="24"/>
          <w:shd w:fill="FFFFFF" w:val="clear"/>
        </w:rPr>
        <w:t xml:space="preserve">, 235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238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Keefe, K. M., Junker, I. P., Sheikh, I. S., Campion, T. J., Smith, G. M. Direct injection of a lentiviral vector highlights multiple motor pathways in the rat spinal cord.</w:t>
      </w:r>
      <w:r>
        <w:rPr>
          <w:rFonts w:ascii="Calibri" w:hAnsi="Calibri" w:cs="Calibri" w:eastAsia="Calibri"/>
          <w:i/>
          <w:color w:val="auto"/>
          <w:spacing w:val="0"/>
          <w:position w:val="0"/>
          <w:sz w:val="24"/>
          <w:shd w:fill="FFFFFF" w:val="clear"/>
        </w:rPr>
        <w:t xml:space="preserve"> Journal of Visualized Experiments: JoVE. </w:t>
      </w:r>
      <w:r>
        <w:rPr>
          <w:rFonts w:ascii="Calibri" w:hAnsi="Calibri" w:cs="Calibri" w:eastAsia="Calibri"/>
          <w:color w:val="auto"/>
          <w:spacing w:val="0"/>
          <w:position w:val="0"/>
          <w:sz w:val="24"/>
          <w:shd w:fill="FFFFFF" w:val="clear"/>
        </w:rPr>
        <w:t xml:space="preserve">(145) doi:10.3791/59160 (2019).</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Hutson, T. H., Verhaagen, J., Y&amp;#225;&amp;#241;ez-Mu&amp;#241;oz, R. J., Moon, L. D. F. Corticospinal tract transduction: A comparison of seven adeno-associated viral vector serotypes and a non-integrating lentiviral vector.</w:t>
      </w:r>
      <w:r>
        <w:rPr>
          <w:rFonts w:ascii="Calibri" w:hAnsi="Calibri" w:cs="Calibri" w:eastAsia="Calibri"/>
          <w:i/>
          <w:color w:val="auto"/>
          <w:spacing w:val="0"/>
          <w:position w:val="0"/>
          <w:sz w:val="24"/>
          <w:shd w:fill="FFFFFF" w:val="clear"/>
        </w:rPr>
        <w:t xml:space="preserve"> Gene Therapy. </w:t>
      </w:r>
      <w:r>
        <w:rPr>
          <w:rFonts w:ascii="Calibri" w:hAnsi="Calibri" w:cs="Calibri" w:eastAsia="Calibri"/>
          <w:b/>
          <w:color w:val="auto"/>
          <w:spacing w:val="0"/>
          <w:position w:val="0"/>
          <w:sz w:val="24"/>
          <w:shd w:fill="FFFFFF" w:val="clear"/>
        </w:rPr>
        <w:t xml:space="preserve">19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49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w:t>
        <w:tab/>
        <w:t xml:space="preserve">Liu, Y., Keefe, K., Tang, X., Lin, S., Smith, G. M. Use of self-complementary adeno-associated virus serotype 2 as a tracer for labeling axons: Implications for axon regeneration.</w:t>
      </w:r>
      <w:r>
        <w:rPr>
          <w:rFonts w:ascii="Calibri" w:hAnsi="Calibri" w:cs="Calibri" w:eastAsia="Calibri"/>
          <w:i/>
          <w:color w:val="auto"/>
          <w:spacing w:val="0"/>
          <w:position w:val="0"/>
          <w:sz w:val="24"/>
          <w:shd w:fill="FFFFFF" w:val="clear"/>
        </w:rPr>
        <w:t xml:space="preserve"> Plos One. </w:t>
      </w:r>
      <w:r>
        <w:rPr>
          <w:rFonts w:ascii="Calibri" w:hAnsi="Calibri" w:cs="Calibri" w:eastAsia="Calibri"/>
          <w:b/>
          <w:color w:val="auto"/>
          <w:spacing w:val="0"/>
          <w:position w:val="0"/>
          <w:sz w:val="24"/>
          <w:shd w:fill="FFFFFF" w:val="clear"/>
        </w:rPr>
        <w:t xml:space="preserve">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 e87447 (2014).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Tervo, D. G. R. et al. A designer AAV variant permits efficient retrograde access to projection neurons.</w:t>
      </w:r>
      <w:r>
        <w:rPr>
          <w:rFonts w:ascii="Calibri" w:hAnsi="Calibri" w:cs="Calibri" w:eastAsia="Calibri"/>
          <w:i/>
          <w:color w:val="auto"/>
          <w:spacing w:val="0"/>
          <w:position w:val="0"/>
          <w:sz w:val="24"/>
          <w:shd w:fill="FFFFFF" w:val="clear"/>
        </w:rPr>
        <w:t xml:space="preserve"> Neuron. </w:t>
      </w:r>
      <w:r>
        <w:rPr>
          <w:rFonts w:ascii="Calibri" w:hAnsi="Calibri" w:cs="Calibri" w:eastAsia="Calibri"/>
          <w:b/>
          <w:color w:val="auto"/>
          <w:spacing w:val="0"/>
          <w:position w:val="0"/>
          <w:sz w:val="24"/>
          <w:shd w:fill="FFFFFF" w:val="clear"/>
        </w:rPr>
        <w:t xml:space="preserve">92</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 372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382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Abdellatif, A. A. et al. Gene delivery to the spinal cord: Comparison between lentiviral, adenoviral, and retroviral vector delivery systems.</w:t>
      </w:r>
      <w:r>
        <w:rPr>
          <w:rFonts w:ascii="Calibri" w:hAnsi="Calibri" w:cs="Calibri" w:eastAsia="Calibri"/>
          <w:i/>
          <w:color w:val="auto"/>
          <w:spacing w:val="0"/>
          <w:position w:val="0"/>
          <w:sz w:val="24"/>
          <w:shd w:fill="FFFFFF" w:val="clear"/>
        </w:rPr>
        <w:t xml:space="preserve"> Journal of Neuroscience Research. </w:t>
      </w:r>
      <w:r>
        <w:rPr>
          <w:rFonts w:ascii="Calibri" w:hAnsi="Calibri" w:cs="Calibri" w:eastAsia="Calibri"/>
          <w:b/>
          <w:color w:val="auto"/>
          <w:spacing w:val="0"/>
          <w:position w:val="0"/>
          <w:sz w:val="24"/>
          <w:shd w:fill="FFFFFF" w:val="clear"/>
        </w:rPr>
        <w:t xml:space="preserve">84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553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567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Zingg, B., Peng, B., Huang, J., Tao, H. W., Zhang, L. I. Synaptic specificity and application of anterograde transsynaptic AAV for probing neural circuitry.</w:t>
      </w:r>
      <w:r>
        <w:rPr>
          <w:rFonts w:ascii="Calibri" w:hAnsi="Calibri" w:cs="Calibri" w:eastAsia="Calibri"/>
          <w:i/>
          <w:color w:val="auto"/>
          <w:spacing w:val="0"/>
          <w:position w:val="0"/>
          <w:sz w:val="24"/>
          <w:shd w:fill="FFFFFF" w:val="clear"/>
        </w:rPr>
        <w:t xml:space="preserve"> The Journal of Neuroscience. </w:t>
      </w:r>
      <w:r>
        <w:rPr>
          <w:rFonts w:ascii="Calibri" w:hAnsi="Calibri" w:cs="Calibri" w:eastAsia="Calibri"/>
          <w:b/>
          <w:color w:val="auto"/>
          <w:spacing w:val="0"/>
          <w:position w:val="0"/>
          <w:sz w:val="24"/>
          <w:shd w:fill="FFFFFF" w:val="clear"/>
        </w:rPr>
        <w:t xml:space="preserve">40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(16), 3250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3267 (2020).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Armbruster, B. N., Li, X., Pausch, M. H., Herlitze, S., Roth, B. L. Evolving the lock to fit the key to create a family of G protein-coupled receptors potently activated by an inert ligand.</w:t>
      </w:r>
      <w:r>
        <w:rPr>
          <w:rFonts w:ascii="Calibri" w:hAnsi="Calibri" w:cs="Calibri" w:eastAsia="Calibri"/>
          <w:i/>
          <w:color w:val="auto"/>
          <w:spacing w:val="0"/>
          <w:position w:val="0"/>
          <w:sz w:val="24"/>
          <w:shd w:fill="FFFFFF" w:val="clear"/>
        </w:rPr>
        <w:t xml:space="preserve"> Proceedings of the National Academy of Sciences of the United States of America. </w:t>
      </w:r>
      <w:r>
        <w:rPr>
          <w:rFonts w:ascii="Calibri" w:hAnsi="Calibri" w:cs="Calibri" w:eastAsia="Calibri"/>
          <w:b/>
          <w:color w:val="auto"/>
          <w:spacing w:val="0"/>
          <w:position w:val="0"/>
          <w:sz w:val="24"/>
          <w:shd w:fill="FFFFFF" w:val="clear"/>
        </w:rPr>
        <w:t xml:space="preserve">104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(12), 5163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5168 (2007).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Roth, B. L. DREADDs for neuroscientists.</w:t>
      </w:r>
      <w:r>
        <w:rPr>
          <w:rFonts w:ascii="Calibri" w:hAnsi="Calibri" w:cs="Calibri" w:eastAsia="Calibri"/>
          <w:i/>
          <w:color w:val="auto"/>
          <w:spacing w:val="0"/>
          <w:position w:val="0"/>
          <w:sz w:val="24"/>
          <w:shd w:fill="FFFFFF" w:val="clear"/>
        </w:rPr>
        <w:t xml:space="preserve"> Neuron. </w:t>
      </w:r>
      <w:r>
        <w:rPr>
          <w:rFonts w:ascii="Calibri" w:hAnsi="Calibri" w:cs="Calibri" w:eastAsia="Calibri"/>
          <w:color w:val="auto"/>
          <w:spacing w:val="0"/>
          <w:position w:val="0"/>
          <w:sz w:val="24"/>
          <w:shd w:fill="FFFFFF" w:val="clear"/>
        </w:rPr>
        <w:t xml:space="preserve">89</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 683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694 (2016).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t xml:space="preserve">Hasegawa, A. et al. Mechanism of forelimb motor function restoration after cervical spinal cord hemisection in rats: A comparison of juveniles and adults.</w:t>
      </w:r>
      <w:r>
        <w:rPr>
          <w:rFonts w:ascii="Calibri" w:hAnsi="Calibri" w:cs="Calibri" w:eastAsia="Calibri"/>
          <w:i/>
          <w:color w:val="auto"/>
          <w:spacing w:val="0"/>
          <w:position w:val="0"/>
          <w:sz w:val="24"/>
          <w:shd w:fill="FFFFFF" w:val="clear"/>
        </w:rPr>
        <w:t xml:space="preserve"> Behavioural Neurology. </w:t>
      </w:r>
      <w:r>
        <w:rPr>
          <w:rFonts w:ascii="Calibri" w:hAnsi="Calibri" w:cs="Calibri" w:eastAsia="Calibri"/>
          <w:b/>
          <w:color w:val="auto"/>
          <w:spacing w:val="0"/>
          <w:position w:val="0"/>
          <w:sz w:val="24"/>
          <w:shd w:fill="FFFFFF" w:val="clear"/>
        </w:rPr>
        <w:t xml:space="preserve">2016</w:t>
      </w:r>
      <w:r>
        <w:rPr>
          <w:rFonts w:ascii="Calibri" w:hAnsi="Calibri" w:cs="Calibri" w:eastAsia="Calibri"/>
          <w:color w:val="auto"/>
          <w:spacing w:val="0"/>
          <w:position w:val="0"/>
          <w:sz w:val="24"/>
          <w:shd w:fill="FFFFFF" w:val="clear"/>
        </w:rPr>
        <w:t xml:space="preserve">, 1035473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w:t>
        <w:tab/>
        <w:t xml:space="preserve">Alstermark, B., Isa, T. Circuits for skilled reaching and grasping.</w:t>
      </w:r>
      <w:r>
        <w:rPr>
          <w:rFonts w:ascii="Calibri" w:hAnsi="Calibri" w:cs="Calibri" w:eastAsia="Calibri"/>
          <w:i/>
          <w:color w:val="auto"/>
          <w:spacing w:val="0"/>
          <w:position w:val="0"/>
          <w:sz w:val="24"/>
          <w:shd w:fill="FFFFFF" w:val="clear"/>
        </w:rPr>
        <w:t xml:space="preserve"> Annual Review of Neuroscience.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559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578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w:t>
        <w:tab/>
        <w:t xml:space="preserve">Garc&amp;#237;a-Al&amp;#237;as, G., Truong, K., Shah, P. K., Roy, R. R., Edgerton, V. R. Plasticity of subcortical pathways promote recovery of skilled hand function in rats after corticospinal and rubrospinal tract injuries.</w:t>
      </w:r>
      <w:r>
        <w:rPr>
          <w:rFonts w:ascii="Calibri" w:hAnsi="Calibri" w:cs="Calibri" w:eastAsia="Calibri"/>
          <w:i/>
          <w:color w:val="auto"/>
          <w:spacing w:val="0"/>
          <w:position w:val="0"/>
          <w:sz w:val="24"/>
          <w:shd w:fill="FFFFFF" w:val="clear"/>
        </w:rPr>
        <w:t xml:space="preserve"> Experimental Neurology. </w:t>
      </w:r>
      <w:r>
        <w:rPr>
          <w:rFonts w:ascii="Calibri" w:hAnsi="Calibri" w:cs="Calibri" w:eastAsia="Calibri"/>
          <w:b/>
          <w:color w:val="auto"/>
          <w:spacing w:val="0"/>
          <w:position w:val="0"/>
          <w:sz w:val="24"/>
          <w:shd w:fill="FFFFFF" w:val="clear"/>
        </w:rPr>
        <w:t xml:space="preserve">266</w:t>
      </w:r>
      <w:r>
        <w:rPr>
          <w:rFonts w:ascii="Calibri" w:hAnsi="Calibri" w:cs="Calibri" w:eastAsia="Calibri"/>
          <w:color w:val="auto"/>
          <w:spacing w:val="0"/>
          <w:position w:val="0"/>
          <w:sz w:val="24"/>
          <w:shd w:fill="FFFFFF" w:val="clear"/>
        </w:rPr>
        <w:t xml:space="preserve">, 112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119 (2015).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39.</w:t>
        <w:tab/>
        <w:t xml:space="preserve">Tohyama, T. et al. Contribution of propriospinal neurons to recovery of hand dexterity after corticospinal tract lesions in monkeys.</w:t>
      </w:r>
      <w:r>
        <w:rPr>
          <w:rFonts w:ascii="Calibri" w:hAnsi="Calibri" w:cs="Calibri" w:eastAsia="Calibri"/>
          <w:i/>
          <w:color w:val="auto"/>
          <w:spacing w:val="0"/>
          <w:position w:val="0"/>
          <w:sz w:val="24"/>
          <w:shd w:fill="FFFFFF" w:val="clear"/>
        </w:rPr>
        <w:t xml:space="preserve"> Proceedings of the National Academy of Sciences of the United States of America. </w:t>
      </w:r>
      <w:r>
        <w:rPr>
          <w:rFonts w:ascii="Calibri" w:hAnsi="Calibri" w:cs="Calibri" w:eastAsia="Calibri"/>
          <w:b/>
          <w:color w:val="auto"/>
          <w:spacing w:val="0"/>
          <w:position w:val="0"/>
          <w:sz w:val="24"/>
          <w:shd w:fill="FFFFFF" w:val="clear"/>
        </w:rPr>
        <w:t xml:space="preserve">114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604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609 (2017).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40.</w:t>
        <w:tab/>
        <w:t xml:space="preserve">Z'Graggen, W. J. et al. Compensatory sprouting and impulse rerouting after unilateral pyramidal tract lesion. </w:t>
      </w:r>
      <w:r>
        <w:rPr>
          <w:rFonts w:ascii="Calibri" w:hAnsi="Calibri" w:cs="Calibri" w:eastAsia="Calibri"/>
          <w:i/>
          <w:color w:val="auto"/>
          <w:spacing w:val="0"/>
          <w:position w:val="0"/>
          <w:sz w:val="24"/>
          <w:shd w:fill="FFFFFF" w:val="clear"/>
        </w:rPr>
        <w:t xml:space="preserve">Journal of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(17), 6561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6569 (2000).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FF" w:val="clear"/>
        </w:rPr>
        <w:t xml:space="preserve">Ueno, M. et al. Corticospinal circuits from the sensory and motor cortices differentially regulate skilled movements through distinct spinal interneurons.</w:t>
      </w:r>
      <w:r>
        <w:rPr>
          <w:rFonts w:ascii="Calibri" w:hAnsi="Calibri" w:cs="Calibri" w:eastAsia="Calibri"/>
          <w:i/>
          <w:color w:val="auto"/>
          <w:spacing w:val="0"/>
          <w:position w:val="0"/>
          <w:sz w:val="24"/>
          <w:shd w:fill="FFFFFF" w:val="clear"/>
        </w:rPr>
        <w:t xml:space="preserve"> Cell Reports. </w:t>
      </w:r>
      <w:r>
        <w:rPr>
          <w:rFonts w:ascii="Calibri" w:hAnsi="Calibri" w:cs="Calibri" w:eastAsia="Calibri"/>
          <w:b/>
          <w:color w:val="auto"/>
          <w:spacing w:val="0"/>
          <w:position w:val="0"/>
          <w:sz w:val="24"/>
          <w:shd w:fill="FFFFFF" w:val="clear"/>
        </w:rPr>
        <w:t xml:space="preserve">23</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(5), 1286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1300.e7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FF" w:val="clear"/>
        </w:rPr>
        <w:t xml:space="preserve">Kim, J., Grunke, S. D., Levites, Y., Golde, T. E., Jankowsky, J. L. Intracerebroventricular viral injection of the neonatal mouse brain for persistent and widespread neuronal transduction.</w:t>
      </w:r>
      <w:r>
        <w:rPr>
          <w:rFonts w:ascii="Calibri" w:hAnsi="Calibri" w:cs="Calibri" w:eastAsia="Calibri"/>
          <w:i/>
          <w:color w:val="auto"/>
          <w:spacing w:val="0"/>
          <w:position w:val="0"/>
          <w:sz w:val="24"/>
          <w:shd w:fill="FFFFFF" w:val="clear"/>
        </w:rPr>
        <w:t xml:space="preserve"> Journal of Visualized Experiments: JoVE. </w:t>
      </w:r>
      <w:r>
        <w:rPr>
          <w:rFonts w:ascii="Calibri" w:hAnsi="Calibri" w:cs="Calibri" w:eastAsia="Calibri"/>
          <w:color w:val="auto"/>
          <w:spacing w:val="0"/>
          <w:position w:val="0"/>
          <w:sz w:val="24"/>
          <w:shd w:fill="FFFFFF" w:val="clear"/>
        </w:rPr>
        <w:t xml:space="preserve">(91) doi:10.3791/51863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