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Evaluation of </w:t>
      </w: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Antitumor Activity of Polyanhydride IL-1&amp;#945; Nanoparticles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M. Hasibuzzaman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Kathleen Ross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Aliasger Salem</w:t>
      </w:r>
      <w:r>
        <w:rPr>
          <w:rFonts w:ascii="Calibri" w:hAnsi="Calibri" w:cs="Calibri" w:eastAsia="Calibri"/>
          <w:color w:val="000000"/>
          <w:spacing w:val="0"/>
          <w:position w:val="0"/>
          <w:sz w:val="24"/>
          <w:shd w:fill="auto" w:val="clear"/>
          <w:vertAlign w:val="superscript"/>
        </w:rPr>
        <w:t xml:space="preserve">1,4,5,6</w:t>
      </w:r>
      <w:r>
        <w:rPr>
          <w:rFonts w:ascii="Calibri" w:hAnsi="Calibri" w:cs="Calibri" w:eastAsia="Calibri"/>
          <w:color w:val="000000"/>
          <w:spacing w:val="0"/>
          <w:position w:val="0"/>
          <w:sz w:val="24"/>
          <w:shd w:fill="auto" w:val="clear"/>
        </w:rPr>
        <w:t xml:space="preserve">, Balaji Narasimhan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Andrean L. Simons</w:t>
      </w:r>
      <w:r>
        <w:rPr>
          <w:rFonts w:ascii="Calibri" w:hAnsi="Calibri" w:cs="Calibri" w:eastAsia="Calibri"/>
          <w:color w:val="000000"/>
          <w:spacing w:val="0"/>
          <w:position w:val="0"/>
          <w:sz w:val="24"/>
          <w:shd w:fill="auto" w:val="clear"/>
          <w:vertAlign w:val="superscript"/>
        </w:rPr>
        <w:t xml:space="preserve">1,2,4,5,6,7</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Interdisciplinary Graduate Program in Human Toxicology, University of Iowa, Iowa City, IA.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Pathology,</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University of Iowa, Iowa City, 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Chemical and Biological Engineering, College of Engineering, Iowa State University, Ames, IA.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Nanovaccine Institute, Iowa State University, Ames, 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Division of Pharmaceutics and Translational Therapeutics, College of Pharmacy, University of Iowa, Iowa City, 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Holden Comprehensive Cancer Center, University of Iowa, Iowa City, 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Department of Oral Pathology, Radiology and Medicine, College of Dentistry, University of Iowa, Iowa City, 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M. Hasibuzzaman</w:t>
        <w:tab/>
        <w:t xml:space="preserve">(mm-hasibuzzaman@uiowa.edu)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Kathleen Ross</w:t>
        <w:tab/>
        <w:tab/>
        <w:t xml:space="preserve">(kaross09@iastate.edu)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Aliasger Salem</w:t>
        <w:tab/>
        <w:tab/>
        <w:t xml:space="preserve">(aliasger-salem@uiowa.edu)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Balaji Narasimhan</w:t>
        <w:tab/>
        <w:t xml:space="preserve">(nbalaji@iastate.edu)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Andrean L. Simons</w:t>
        <w:tab/>
        <w:t xml:space="preserve">(andrean-simons@uiowa.edu)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Andrean L. Simons</w:t>
        <w:tab/>
        <w:t xml:space="preserve">(andrean-simons@uiowa.edu)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Interleukin-1, nanoparticles, HNSCC syngeneic mouse model, cytokines, multiplex, single-cell preparation,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standard protocol is described to study the antitumor activity and associated toxicity of </w:t>
      </w:r>
      <w:r>
        <w:rPr>
          <w:rFonts w:ascii="Calibri" w:hAnsi="Calibri" w:cs="Calibri" w:eastAsia="Calibri"/>
          <w:color w:val="000000"/>
          <w:spacing w:val="0"/>
          <w:position w:val="0"/>
          <w:sz w:val="24"/>
          <w:shd w:fill="auto" w:val="clear"/>
        </w:rPr>
        <w:t xml:space="preserve">IL-1&amp;#945;</w:t>
      </w:r>
      <w:r>
        <w:rPr>
          <w:rFonts w:ascii="Calibri" w:hAnsi="Calibri" w:cs="Calibri" w:eastAsia="Calibri"/>
          <w:color w:val="auto"/>
          <w:spacing w:val="0"/>
          <w:position w:val="0"/>
          <w:sz w:val="24"/>
          <w:shd w:fill="auto" w:val="clear"/>
        </w:rPr>
        <w:t xml:space="preserve"> in a syngeneic mouse model of HNSCC.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Cytokine therapy is a promising immunotherapeutic strategy that can produce robust antitumor immune responses in cancer patients. The proinflammatory cytokine interleukin-1 alpha (IL-1&amp;#945;) has been evaluated as an anticancer agent in several preclinical and clinical studies. However, dose-limiting toxicities, including flu-like symptoms and hypotension, have dampened the enthusiasm for this therapeutic strategy. Polyanhydride nanoparticle (NP)-based delivery of IL-1&amp;#945; would represent an effective approach in this context since this may allow for a slow and controlled release of IL-1&amp;#945; systemically while reducing toxic side effects. Here an analysis of the antitumor activity of IL-1&amp;#945;-loaded polyanhydride NPs in a head and neck squamous cell carcinoma (HNSCC) syngeneic mouse model is described. Murine oropharyngeal epithelial cells stably expressing HPV16 E6/E7 together with hRAS and luciferase (mEERL) cells were injected subcutaneously into the right flank of C57BL/6J mice. Once tumors reached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mm in any direction, a 1.5% 20:80 1,8-bis(p-carboxyphenoxy)-3,6-dioxaoctane:1,6-bis(p-carboxyphenoxy)hexane (CPTEG: CPH) nanoparticle (IL-1&amp;#945;-NP) formulation was administered to mice intraperitoneally. Tumor size and body weight were continuously measured until tumor size or weight loss reached euthanasia criteria. Blood samples were taken to evaluate antitumor immune responses by submandibular venipuncture, and inflammatory cytokines were measured through cytokine multiplex assays. Tumor and inguinal lymph nodes were resected and homogenized into a single-cell suspension to analyze various immune cells through multicolor flow cytometry. These standard methods will allow investigators to study the antitumor immune response and potential mechanism of immunostimulatory NPs and other immunotherapy agents for cancer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92B2C"/>
          <w:spacing w:val="0"/>
          <w:position w:val="0"/>
          <w:sz w:val="24"/>
          <w:shd w:fill="FFFFFF" w:val="clear"/>
        </w:rPr>
        <w:t xml:space="preserve">One of the emerging areas of cancer immunotherapy is the use of inflammatory cytokines to activate patients’ immune system against their tumor cells. Several proinflammatory cytokines (i.e., interferon-alpha (IFN&amp;#945;), interleukin-2 (IL-2), and interleukin-1 (IL-1)) can mount significant antitumor immunity, which has generated interest in exploring the </w:t>
      </w:r>
      <w:r>
        <w:rPr>
          <w:rFonts w:ascii="Calibri" w:hAnsi="Calibri" w:cs="Calibri" w:eastAsia="Calibri"/>
          <w:color w:val="222222"/>
          <w:spacing w:val="0"/>
          <w:position w:val="0"/>
          <w:sz w:val="24"/>
          <w:shd w:fill="FFFFFF" w:val="clear"/>
        </w:rPr>
        <w:t xml:space="preserve">antitumor properties as well as the safety of cytokine-based drugs.</w:t>
      </w:r>
      <w:r>
        <w:rPr>
          <w:rFonts w:ascii="Calibri" w:hAnsi="Calibri" w:cs="Calibri" w:eastAsia="Calibri"/>
          <w:color w:val="000000"/>
          <w:spacing w:val="0"/>
          <w:position w:val="0"/>
          <w:sz w:val="24"/>
          <w:shd w:fill="auto" w:val="clear"/>
        </w:rPr>
        <w:t xml:space="preserve"> Interleukin-1 alpha (IL-1&amp;#945;) in particular, is a </w:t>
      </w:r>
      <w:r>
        <w:rPr>
          <w:rFonts w:ascii="Calibri" w:hAnsi="Calibri" w:cs="Calibri" w:eastAsia="Calibri"/>
          <w:color w:val="292B2C"/>
          <w:spacing w:val="0"/>
          <w:position w:val="0"/>
          <w:sz w:val="24"/>
          <w:shd w:fill="FFFFFF" w:val="clear"/>
        </w:rPr>
        <w:t xml:space="preserve">proinflammatory cytokine known as the master cytokine of inflammation</w:t>
      </w:r>
      <w:r>
        <w:rPr>
          <w:rFonts w:ascii="Calibri" w:hAnsi="Calibri" w:cs="Calibri" w:eastAsia="Calibri"/>
          <w:color w:val="292B2C"/>
          <w:spacing w:val="0"/>
          <w:position w:val="0"/>
          <w:sz w:val="24"/>
          <w:shd w:fill="FFFFFF" w:val="clear"/>
          <w:vertAlign w:val="superscript"/>
        </w:rPr>
        <w:t xml:space="preserve">1</w:t>
      </w:r>
      <w:r>
        <w:rPr>
          <w:rFonts w:ascii="Calibri" w:hAnsi="Calibri" w:cs="Calibri" w:eastAsia="Calibri"/>
          <w:color w:val="292B2C"/>
          <w:spacing w:val="0"/>
          <w:position w:val="0"/>
          <w:sz w:val="24"/>
          <w:shd w:fill="FFFFFF" w:val="clear"/>
        </w:rPr>
        <w:t xml:space="preserve">. Since the discovery of this cytokine in the late 1970s, it has been investigated as</w:t>
      </w:r>
      <w:r>
        <w:rPr>
          <w:rFonts w:ascii="Calibri" w:hAnsi="Calibri" w:cs="Calibri" w:eastAsia="Calibri"/>
          <w:color w:val="000000"/>
          <w:spacing w:val="0"/>
          <w:position w:val="0"/>
          <w:sz w:val="24"/>
          <w:shd w:fill="auto" w:val="clear"/>
        </w:rPr>
        <w:t xml:space="preserve"> an anticancer agent as well as a hematopoietic drug to treat the negative effects of chemotherapy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During the late 1980s, several preclinical and clinical studies were conducted to determine the anticancer effects of IL-1&amp;#945;</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These studies found promising antitumor activity of recombinant IL-1&amp;#945; (rIL-1&amp;#945;) against melanoma, renal cell carcinoma, and ovarian carcinoma. However, toxicities, including fever, nausea, vomiting, flu-like symptoms, and most severely dose-limiting hypotension were commonly observed. Unfortunately, these dose-related toxicities dampened the enthusiasm for further clinical use of rIL-1&amp;#945;.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131413"/>
          <w:spacing w:val="0"/>
          <w:position w:val="0"/>
          <w:sz w:val="24"/>
          <w:shd w:fill="auto" w:val="clear"/>
        </w:rPr>
      </w:pPr>
      <w:r>
        <w:rPr>
          <w:rFonts w:ascii="Calibri" w:hAnsi="Calibri" w:cs="Calibri" w:eastAsia="Calibri"/>
          <w:color w:val="000000"/>
          <w:spacing w:val="0"/>
          <w:position w:val="0"/>
          <w:sz w:val="24"/>
          <w:shd w:fill="auto" w:val="clear"/>
        </w:rPr>
        <w:t xml:space="preserve">To attempt to address the critical issue of IL-1&amp;#945;-mediated toxicities, polyanhydride nanoparticle (NP) formulations that allow for the controlled release of IL-1&amp;#945; by surface erosion kinetics will be investigated. These NP formulations are intended to reap the benefits of the antitumor properties of IL-1&amp;#945; while reducing dose-limiting side effects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Polyanhydrides are FDA-approved polymers that degrade through surface erosion resulting in nearly zero-order release of encapsulated agents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Amphiphilic polyanhydride copolymers containing 1,8-bis-(</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-carboxyphenoxy)-3,6-dioxaoctane (CPTEG) and 1,6-bis-(</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-carboxyphenoxy) hexane (CPH), have been reported to be excellent delivery systems for various payloads in oncology and immunology-based research</w:t>
      </w:r>
      <w:r>
        <w:rPr>
          <w:rFonts w:ascii="Calibri" w:hAnsi="Calibri" w:cs="Calibri" w:eastAsia="Calibri"/>
          <w:color w:val="000000"/>
          <w:spacing w:val="0"/>
          <w:position w:val="0"/>
          <w:sz w:val="24"/>
          <w:shd w:fill="auto" w:val="clear"/>
          <w:vertAlign w:val="superscript"/>
        </w:rPr>
        <w:t xml:space="preserve">8,12</w:t>
      </w:r>
      <w:r>
        <w:rPr>
          <w:rFonts w:ascii="Calibri" w:hAnsi="Calibri" w:cs="Calibri" w:eastAsia="Calibri"/>
          <w:color w:val="000000"/>
          <w:spacing w:val="0"/>
          <w:position w:val="0"/>
          <w:sz w:val="24"/>
          <w:shd w:fill="auto" w:val="clear"/>
        </w:rPr>
        <w:t xml:space="preserve">. </w:t>
      </w:r>
      <w:r>
        <w:rPr>
          <w:rFonts w:ascii="Calibri" w:hAnsi="Calibri" w:cs="Calibri" w:eastAsia="Calibri"/>
          <w:color w:val="131413"/>
          <w:spacing w:val="0"/>
          <w:position w:val="0"/>
          <w:sz w:val="24"/>
          <w:shd w:fill="auto" w:val="clear"/>
        </w:rPr>
        <w:t xml:space="preserve">In the following protocol </w:t>
      </w:r>
      <w:r>
        <w:rPr>
          <w:rFonts w:ascii="Calibri" w:hAnsi="Calibri" w:cs="Calibri" w:eastAsia="Calibri"/>
          <w:color w:val="000000"/>
          <w:spacing w:val="0"/>
          <w:position w:val="0"/>
          <w:sz w:val="24"/>
          <w:shd w:fill="auto" w:val="clear"/>
        </w:rPr>
        <w:t xml:space="preserve">20:80 CPTEG:CPH NPs loaded with</w:t>
      </w:r>
      <w:r>
        <w:rPr>
          <w:rFonts w:ascii="Calibri" w:hAnsi="Calibri" w:cs="Calibri" w:eastAsia="Calibri"/>
          <w:color w:val="131413"/>
          <w:spacing w:val="0"/>
          <w:position w:val="0"/>
          <w:sz w:val="24"/>
          <w:shd w:fill="auto" w:val="clear"/>
        </w:rPr>
        <w:t xml:space="preserve"> 1.5 wt.% rIL-1&amp;#945; (IL-1&amp;#945;-NPs) will be used to study the antitumor activity and toxicity of </w:t>
      </w:r>
      <w:r>
        <w:rPr>
          <w:rFonts w:ascii="Calibri" w:hAnsi="Calibri" w:cs="Calibri" w:eastAsia="Calibri"/>
          <w:color w:val="000000"/>
          <w:spacing w:val="0"/>
          <w:position w:val="0"/>
          <w:sz w:val="24"/>
          <w:shd w:fill="auto" w:val="clear"/>
        </w:rPr>
        <w:t xml:space="preserve">this cytokine in </w:t>
      </w:r>
      <w:r>
        <w:rPr>
          <w:rFonts w:ascii="Calibri" w:hAnsi="Calibri" w:cs="Calibri" w:eastAsia="Calibri"/>
          <w:color w:val="131413"/>
          <w:spacing w:val="0"/>
          <w:position w:val="0"/>
          <w:sz w:val="24"/>
          <w:shd w:fill="auto" w:val="clear"/>
        </w:rPr>
        <w:t xml:space="preserve">a mouse model of HNSCC.</w:t>
      </w:r>
    </w:p>
    <w:p>
      <w:pPr>
        <w:spacing w:before="0" w:after="0" w:line="240"/>
        <w:ind w:right="0" w:left="0" w:firstLine="0"/>
        <w:jc w:val="both"/>
        <w:rPr>
          <w:rFonts w:ascii="Calibri" w:hAnsi="Calibri" w:cs="Calibri" w:eastAsia="Calibri"/>
          <w:color w:val="131413"/>
          <w:spacing w:val="0"/>
          <w:position w:val="0"/>
          <w:sz w:val="24"/>
          <w:shd w:fill="auto" w:val="clear"/>
        </w:rPr>
      </w:pPr>
    </w:p>
    <w:p>
      <w:pPr>
        <w:spacing w:before="0" w:after="0" w:line="240"/>
        <w:ind w:right="0" w:left="0" w:firstLine="0"/>
        <w:jc w:val="both"/>
        <w:rPr>
          <w:rFonts w:ascii="Calibri" w:hAnsi="Calibri" w:cs="Calibri" w:eastAsia="Calibri"/>
          <w:color w:val="131413"/>
          <w:spacing w:val="0"/>
          <w:position w:val="0"/>
          <w:sz w:val="24"/>
          <w:shd w:fill="auto" w:val="clear"/>
        </w:rPr>
      </w:pPr>
      <w:r>
        <w:rPr>
          <w:rFonts w:ascii="Calibri" w:hAnsi="Calibri" w:cs="Calibri" w:eastAsia="Calibri"/>
          <w:color w:val="131413"/>
          <w:spacing w:val="0"/>
          <w:position w:val="0"/>
          <w:sz w:val="24"/>
          <w:shd w:fill="auto" w:val="clear"/>
        </w:rPr>
        <w:t xml:space="preserve">The overall goal of the following procedures is to assess the antitumor activity of IL-1&amp;#945;-NPs on HNSCCs. The procedures described, including assessing tumor growth and survival, can be applied to any immune-modulatory agent of interest. These procedures should be performed in a syngeneic mouse model with an intact immune system</w:t>
      </w:r>
      <w:r>
        <w:rPr>
          <w:rFonts w:ascii="Calibri" w:hAnsi="Calibri" w:cs="Calibri" w:eastAsia="Calibri"/>
          <w:color w:val="131413"/>
          <w:spacing w:val="0"/>
          <w:position w:val="0"/>
          <w:sz w:val="24"/>
          <w:shd w:fill="auto" w:val="clear"/>
          <w:vertAlign w:val="superscript"/>
        </w:rPr>
        <w:t xml:space="preserve">13</w:t>
      </w:r>
      <w:r>
        <w:rPr>
          <w:rFonts w:ascii="Calibri" w:hAnsi="Calibri" w:cs="Calibri" w:eastAsia="Calibri"/>
          <w:color w:val="131413"/>
          <w:spacing w:val="0"/>
          <w:position w:val="0"/>
          <w:sz w:val="24"/>
          <w:shd w:fill="auto" w:val="clear"/>
        </w:rPr>
        <w:t xml:space="preserve"> to maximize clinical relevancy. IL-1&amp;#945;-NP toxicity will also be assessed by measuring changes in circulating levels of proinflammatory cytokines and animal weight. There are many methods to determine </w:t>
      </w:r>
      <w:r>
        <w:rPr>
          <w:rFonts w:ascii="Calibri" w:hAnsi="Calibri" w:cs="Calibri" w:eastAsia="Calibri"/>
          <w:i/>
          <w:color w:val="131413"/>
          <w:spacing w:val="0"/>
          <w:position w:val="0"/>
          <w:sz w:val="24"/>
          <w:shd w:fill="auto" w:val="clear"/>
        </w:rPr>
        <w:t xml:space="preserve">in vivo</w:t>
      </w:r>
      <w:r>
        <w:rPr>
          <w:rFonts w:ascii="Calibri" w:hAnsi="Calibri" w:cs="Calibri" w:eastAsia="Calibri"/>
          <w:color w:val="131413"/>
          <w:spacing w:val="0"/>
          <w:position w:val="0"/>
          <w:sz w:val="24"/>
          <w:shd w:fill="auto" w:val="clear"/>
        </w:rPr>
        <w:t xml:space="preserve"> drug toxicity; however, the most widely used methods involve the measurement of serum enzymes for organ toxicity and histological changes in those organs. However, to perform histological analyses, the animal needs to be sacrificed, which will affect the survival curves of the experiment. Therefore, this protocol will include a protocol for the collection of blood from live mice for the measurement of cytokines in serum samples. The collected serum can be used for the measurement of any desired serum analytes for organ toxicity. Multicolor flow cytometry will be used to understand the changes in the immune cell population in the tumor microenvironment and immune cell migration to the lymph node. Other methods can be utilized to identify immune cells, including immunohistochemistry and/or immunofluorescence of preserved sections</w:t>
      </w:r>
      <w:r>
        <w:rPr>
          <w:rFonts w:ascii="Calibri" w:hAnsi="Calibri" w:cs="Calibri" w:eastAsia="Calibri"/>
          <w:color w:val="131413"/>
          <w:spacing w:val="0"/>
          <w:position w:val="0"/>
          <w:sz w:val="24"/>
          <w:shd w:fill="auto" w:val="clear"/>
          <w:vertAlign w:val="superscript"/>
        </w:rPr>
        <w:t xml:space="preserve">14</w:t>
      </w:r>
      <w:r>
        <w:rPr>
          <w:rFonts w:ascii="Calibri" w:hAnsi="Calibri" w:cs="Calibri" w:eastAsia="Calibri"/>
          <w:color w:val="131413"/>
          <w:spacing w:val="0"/>
          <w:position w:val="0"/>
          <w:sz w:val="24"/>
          <w:shd w:fill="auto" w:val="clear"/>
        </w:rPr>
        <w:t xml:space="preserve">. However, these techniques can be time-consuming and tedious to perform on a large number of animals. Overall, the following methods will allow investigators to study the antitumor immune response and potential mechanisms of immunostimulatory agents for cancer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the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procedures used in this study were approved by the Institutional Animal Care and Use</w:t>
      </w:r>
      <w:r>
        <w:rPr>
          <w:rFonts w:ascii="Roboto" w:hAnsi="Roboto" w:cs="Roboto" w:eastAsia="Roboto"/>
          <w:color w:val="000000"/>
          <w:spacing w:val="0"/>
          <w:position w:val="0"/>
          <w:sz w:val="21"/>
          <w:shd w:fill="FFFFFF" w:val="clear"/>
        </w:rPr>
        <w:t xml:space="preserve"> </w:t>
      </w:r>
      <w:r>
        <w:rPr>
          <w:rFonts w:ascii="Calibri" w:hAnsi="Calibri" w:cs="Calibri" w:eastAsia="Calibri"/>
          <w:color w:val="000000"/>
          <w:spacing w:val="0"/>
          <w:position w:val="0"/>
          <w:sz w:val="24"/>
          <w:shd w:fill="FFFFFF" w:val="clear"/>
        </w:rPr>
        <w:t xml:space="preserve">Committee (IACUC) of the University of Iowa.</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and maintenance of HNSCC cell line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In this study, the murine oropharyngeal epithelial cell line stably transformed with HPV E6 and E7 together with hRas and luciferase (mEERL) will be used. This cell line was developed from </w:t>
      </w:r>
      <w:r>
        <w:rPr>
          <w:rFonts w:ascii="Calibri" w:hAnsi="Calibri" w:cs="Calibri" w:eastAsia="Calibri"/>
          <w:color w:val="000000"/>
          <w:spacing w:val="0"/>
          <w:position w:val="0"/>
          <w:sz w:val="24"/>
          <w:shd w:fill="auto" w:val="clear"/>
        </w:rPr>
        <w:t xml:space="preserve">C57BL/6J mouse strain and was a</w:t>
      </w:r>
      <w:r>
        <w:rPr>
          <w:rFonts w:ascii="Calibri" w:hAnsi="Calibri" w:cs="Calibri" w:eastAsia="Calibri"/>
          <w:color w:val="000000"/>
          <w:spacing w:val="0"/>
          <w:position w:val="0"/>
          <w:sz w:val="24"/>
          <w:shd w:fill="FFFFFF" w:val="clear"/>
        </w:rPr>
        <w:t xml:space="preserve"> gift from Dr. Paola D. Vermeer (Department of Surgery, University of South Dakota Sanford School of Medicine, South Dakota, USA).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Thaw a frozen vial of mEERL cells in a pre-heated (37 &amp;#176;C) water bath and then transfer to a 15 mL conical tube containing warm culture media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Dulbecco’s Modified Eagle Medium [DMEM] supplemented with 40.5% 1:1 DMEM/Hams F12, 10% Fetal Bovine Serum [FBS], 0.1% gentamicin, 0.005% hydrocortisone, 0.05% transferrin, 0.05% insulin, 0.0014% tri-iodothyronine, and 0.005% epidermal growth factor)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Centrifuge the conical tube at 277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25 &amp;#176;C to remove the media. Then, resuspend the cell pellet in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mL fresh media and transfer it to a T-25 cell culture flask</w:t>
      </w:r>
      <w:r>
        <w:rPr>
          <w:rFonts w:ascii="Calibri" w:hAnsi="Calibri" w:cs="Calibri" w:eastAsia="Calibri"/>
          <w:color w:val="000000"/>
          <w:spacing w:val="0"/>
          <w:position w:val="0"/>
          <w:sz w:val="24"/>
          <w:shd w:fill="auto" w:val="clear"/>
        </w:rPr>
        <w:t xml:space="preserve">. For optimal recovery from frozen storage, </w:t>
      </w:r>
      <w:r>
        <w:rPr>
          <w:rFonts w:ascii="Calibri" w:hAnsi="Calibri" w:cs="Calibri" w:eastAsia="Calibri"/>
          <w:color w:val="202124"/>
          <w:spacing w:val="0"/>
          <w:position w:val="0"/>
          <w:sz w:val="24"/>
          <w:shd w:fill="FFFFFF" w:val="clear"/>
        </w:rPr>
        <w:t xml:space="preserve">plate cells at high density.</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T-25 flasks were used because of their smaller size, results in faster recovery times from frozen storage when cells are in close proximity compared to T-75 flasks.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Let the cells grow in a humidified incubator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expand to larger flasks (i.e., T-75 or T-150), and passage every 3 days. When there are enough cells for the desired implantation into all mice, remove the flasks, discard the media, and gently rinse the cells with phosphate buffered saline (PBS). Then, add 4 mL (if using T150 flasks) of 0.25% trypsin-EDTA, and incubate at 37 &amp;#176;C for 2 min</w:t>
      </w:r>
      <w:r>
        <w:rPr>
          <w:rFonts w:ascii="Calibri" w:hAnsi="Calibri" w:cs="Calibri" w:eastAsia="Calibri"/>
          <w:color w:val="000000"/>
          <w:spacing w:val="0"/>
          <w:position w:val="0"/>
          <w:sz w:val="24"/>
          <w:shd w:fill="auto" w:val="clear"/>
        </w:rPr>
        <w:t xml:space="preserve">. Scale the amount of trypsin up or down depending on the dish/flask size being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type of cell line and degree of confluency may affect trypsinization times. Long trypsinization periods can damage cells resulting in low viability. Use the minimum amount of time needed for trypsinization.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Under the microscope, the detached cells on trypsinization move freely. If some cells are still attached, very gently tap the flask to mobilize the remaining adherent cells. </w:t>
      </w:r>
      <w:r>
        <w:rPr>
          <w:rFonts w:ascii="Calibri" w:hAnsi="Calibri" w:cs="Calibri" w:eastAsia="Calibri"/>
          <w:color w:val="000000"/>
          <w:spacing w:val="0"/>
          <w:position w:val="0"/>
          <w:sz w:val="24"/>
          <w:shd w:fill="FFFF00" w:val="clear"/>
        </w:rPr>
        <w:t xml:space="preserve">Add fresh media (scale amount of media as desired) to stop the trypsin reaction and collect the cell suspension in 50 mL conical tubes.</w:t>
      </w:r>
      <w:r>
        <w:rPr>
          <w:rFonts w:ascii="Calibri" w:hAnsi="Calibri" w:cs="Calibri" w:eastAsia="Calibri"/>
          <w:color w:val="000000"/>
          <w:spacing w:val="0"/>
          <w:position w:val="0"/>
          <w:sz w:val="24"/>
          <w:shd w:fill="auto" w:val="clear"/>
        </w:rPr>
        <w:t xml:space="preserve"> Centrifuge at 277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25 &amp;#176;C to remove the media.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Resuspend the cells in fresh media and count the cells. Centrifuge once more (as described above), and then add cold PBS to the cells to make a final concentration of 10 &amp;#215;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cells/mL. Keep the cell suspension(s) on ice before injection to mice.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Tumor implantation, drug treatment, and measurement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experimental animals were kept in the Animal Care Facility at the University of Iowa and followed appropriate aseptic procedures to handle them.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Anesthetize C57Bl/6 mice with ketamine (80 mg/kg) and xylazine (10 mg/kg) mix. Carefully shave the flank area or desired injection site with an electric razor.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000000"/>
          <w:spacing w:val="0"/>
          <w:position w:val="0"/>
          <w:sz w:val="24"/>
          <w:shd w:fill="auto" w:val="clear"/>
        </w:rPr>
        <w:t xml:space="preserve">Remember to document the use of controlled substances as required by institutional (or other) rules and regulations.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Disinfect the flank area with an ethanol pad and slowly inject 100 &amp;#181;L (containing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of the cell suspension subcutaneously using a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G syringe. Anesthetize the mice before injection to prevent sudden movements and cell loss. Before each injection, gently mix the cell suspension to prevent cells from settling to the bottom of the vial or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2.3.</w:t>
        <w:tab/>
      </w:r>
      <w:r>
        <w:rPr>
          <w:rFonts w:ascii="Calibri" w:hAnsi="Calibri" w:cs="Calibri" w:eastAsia="Calibri"/>
          <w:color w:val="000000"/>
          <w:spacing w:val="0"/>
          <w:position w:val="0"/>
          <w:sz w:val="24"/>
          <w:shd w:fill="FFFF00" w:val="clear"/>
        </w:rPr>
        <w:t xml:space="preserve">After taking up the cell suspension into the syringe, remove all the bubbles and dead space from the top. Inject the cell suspension in a slow and steady manner.</w:t>
      </w:r>
      <w:r>
        <w:rPr>
          <w:rFonts w:ascii="Calibri" w:hAnsi="Calibri" w:cs="Calibri" w:eastAsia="Calibri"/>
          <w:color w:val="000000"/>
          <w:spacing w:val="0"/>
          <w:position w:val="0"/>
          <w:sz w:val="24"/>
          <w:shd w:fill="auto" w:val="clear"/>
        </w:rPr>
        <w:t xml:space="preserve"> Do not use the same needle on multiple mice. Always make extra cell suspensions to account for accidental loss.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Place the animal in their respective cages and monitor them until they recover from anesthesia.</w:t>
      </w:r>
      <w:r>
        <w:rPr>
          <w:rFonts w:ascii="Calibri" w:hAnsi="Calibri" w:cs="Calibri" w:eastAsia="Calibri"/>
          <w:color w:val="000000"/>
          <w:spacing w:val="0"/>
          <w:position w:val="0"/>
          <w:sz w:val="24"/>
          <w:shd w:fill="auto" w:val="clear"/>
        </w:rPr>
        <w:t xml:space="preserve"> During anesthesia, animals are at risk of hypothermia; therefore, provide supplemental heat or place the mice close to each other to keep warm (if housed in the same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When tumors reach 3 mm in any direction, randomize the mice (by tumor size and/or weight) in the treatment groups and then start the drug treatment. Inject the mice intraperitoneally (i.p.) with NPs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containing 3.75 &amp;#181;g rIL-1&amp;#945;/mouse on Days 4 and 9. Measure and record the tumor volume and the mouse weight ((length x width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2) daily or every other day until the tumor size or the mice reach euthanasia criteria.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000000"/>
          <w:spacing w:val="0"/>
          <w:position w:val="0"/>
          <w:sz w:val="24"/>
          <w:shd w:fill="auto" w:val="clear"/>
        </w:rPr>
        <w:t xml:space="preserve">Even with an experienced researcher, it is difficult to implant the same-sized tumor in all mice. Randomize animals into experimental groups based on the tumor size and mouse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Blood collection and serum separation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000000"/>
          <w:spacing w:val="0"/>
          <w:position w:val="0"/>
          <w:sz w:val="24"/>
          <w:shd w:fill="auto" w:val="clear"/>
        </w:rPr>
        <w:t xml:space="preserve">Blood collection from a submandibular vein is an easy and effective technique that allows blood collection from conscious animals or animals under anesthesia. For this study, blood was collected from the animals when they were under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Anesthetize the mice with an injection of ketamine/xylazine mix as mentioned above.</w:t>
      </w:r>
    </w:p>
    <w:p>
      <w:pPr>
        <w:spacing w:before="0" w:after="0" w:line="240"/>
        <w:ind w:right="0" w:left="0" w:firstLine="6"/>
        <w:jc w:val="both"/>
        <w:rPr>
          <w:rFonts w:ascii="Calibri" w:hAnsi="Calibri" w:cs="Calibri" w:eastAsia="Calibri"/>
          <w:color w:val="000000"/>
          <w:spacing w:val="0"/>
          <w:position w:val="0"/>
          <w:sz w:val="24"/>
          <w:shd w:fill="auto" w:val="clear"/>
        </w:rPr>
      </w:pPr>
    </w:p>
    <w:p>
      <w:pPr>
        <w:spacing w:before="0" w:after="0" w:line="240"/>
        <w:ind w:right="0" w:left="0" w:firstLine="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Grasp the loose skin over the shoulder using the non-dominant hand and puncture the submandibular vein with an 18 G needle or lancet, slightly behind the mandible (a white spot at that area).</w:t>
      </w:r>
    </w:p>
    <w:p>
      <w:pPr>
        <w:spacing w:before="0" w:after="0" w:line="240"/>
        <w:ind w:right="0" w:left="0" w:firstLine="6"/>
        <w:jc w:val="both"/>
        <w:rPr>
          <w:rFonts w:ascii="Calibri" w:hAnsi="Calibri" w:cs="Calibri" w:eastAsia="Calibri"/>
          <w:color w:val="000000"/>
          <w:spacing w:val="0"/>
          <w:position w:val="0"/>
          <w:sz w:val="24"/>
          <w:shd w:fill="auto" w:val="clear"/>
        </w:rPr>
      </w:pPr>
    </w:p>
    <w:p>
      <w:pPr>
        <w:spacing w:before="0" w:after="0" w:line="240"/>
        <w:ind w:right="0" w:left="0" w:firstLine="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Puncture the vein to ensure blood flow immediately. Collect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300 &amp;#181;L of blood (depending on mouse weight) into a 1.5 mL polypropylene microcentrifuge tube or serum separator tube. After blood collection, apply gentle pressure to the puncture site until the bleeding has stopped. Return the mice to their respective cages and observe until they recover from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000000"/>
          <w:spacing w:val="0"/>
          <w:position w:val="0"/>
          <w:sz w:val="24"/>
          <w:shd w:fill="auto" w:val="clear"/>
        </w:rPr>
        <w:t xml:space="preserve">Do not collect more than 1% of the mouse body weight in one collection or over a 24 h period.</w:t>
      </w:r>
    </w:p>
    <w:p>
      <w:pPr>
        <w:spacing w:before="0" w:after="0" w:line="240"/>
        <w:ind w:right="0" w:left="0" w:firstLine="6"/>
        <w:jc w:val="both"/>
        <w:rPr>
          <w:rFonts w:ascii="Calibri" w:hAnsi="Calibri" w:cs="Calibri" w:eastAsia="Calibri"/>
          <w:color w:val="000000"/>
          <w:spacing w:val="0"/>
          <w:position w:val="0"/>
          <w:sz w:val="24"/>
          <w:shd w:fill="auto" w:val="clear"/>
        </w:rPr>
      </w:pPr>
    </w:p>
    <w:p>
      <w:pPr>
        <w:spacing w:before="0" w:after="0" w:line="240"/>
        <w:ind w:right="0" w:left="0" w:firstLine="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Let the collected blood clot at room temperature for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Place the tubes on ice until they are ready to be centrifuged.</w:t>
      </w:r>
    </w:p>
    <w:p>
      <w:pPr>
        <w:spacing w:before="0" w:after="0" w:line="240"/>
        <w:ind w:right="0" w:left="0" w:firstLine="6"/>
        <w:jc w:val="both"/>
        <w:rPr>
          <w:rFonts w:ascii="Calibri" w:hAnsi="Calibri" w:cs="Calibri" w:eastAsia="Calibri"/>
          <w:color w:val="000000"/>
          <w:spacing w:val="0"/>
          <w:position w:val="0"/>
          <w:sz w:val="24"/>
          <w:shd w:fill="auto" w:val="clear"/>
        </w:rPr>
      </w:pPr>
    </w:p>
    <w:p>
      <w:pPr>
        <w:spacing w:before="0" w:after="0" w:line="240"/>
        <w:ind w:right="0" w:left="0" w:firstLine="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Centrifuge the clotted blood at 1540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15 min at 4 &amp;#176;C.</w:t>
      </w:r>
    </w:p>
    <w:p>
      <w:pPr>
        <w:spacing w:before="0" w:after="0" w:line="240"/>
        <w:ind w:right="0" w:left="0" w:firstLine="6"/>
        <w:jc w:val="both"/>
        <w:rPr>
          <w:rFonts w:ascii="Calibri" w:hAnsi="Calibri" w:cs="Calibri" w:eastAsia="Calibri"/>
          <w:color w:val="000000"/>
          <w:spacing w:val="0"/>
          <w:position w:val="0"/>
          <w:sz w:val="24"/>
          <w:shd w:fill="auto" w:val="clear"/>
        </w:rPr>
      </w:pPr>
    </w:p>
    <w:p>
      <w:pPr>
        <w:spacing w:before="0" w:after="0" w:line="240"/>
        <w:ind w:right="0" w:left="0" w:firstLine="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Collect the upper layer (serum) without disturbing the red blood cells. Store at -80 &amp;#176;C until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Multiplexing of collected serum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Thaw the serum or plasma samples while keeping them on 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Centrifuge the samples at 1540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to sediment any cell debris and carefully collect the serum layer from the top.</w:t>
      </w:r>
    </w:p>
    <w:p>
      <w:pPr>
        <w:spacing w:before="0" w:after="0" w:line="240"/>
        <w:ind w:right="0" w:left="432" w:hanging="432"/>
        <w:jc w:val="both"/>
        <w:rPr>
          <w:rFonts w:ascii="Calibri" w:hAnsi="Calibri" w:cs="Calibri" w:eastAsia="Calibri"/>
          <w:b/>
          <w:color w:val="000000"/>
          <w:spacing w:val="0"/>
          <w:position w:val="0"/>
          <w:sz w:val="24"/>
          <w:shd w:fill="FFFF00" w:val="clear"/>
        </w:rPr>
      </w:pPr>
    </w:p>
    <w:p>
      <w:pPr>
        <w:spacing w:before="0" w:after="0" w:line="240"/>
        <w:ind w:right="0" w:left="0" w:firstLine="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Bring out the multiplex kit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6"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There are several commercially available multiplex kits that are designed for specific cytokines, chemokines, or growth factors. Also, it is possible to customize the kit based on the protein of interest.</w:t>
      </w:r>
    </w:p>
    <w:p>
      <w:pPr>
        <w:spacing w:before="0" w:after="0" w:line="240"/>
        <w:ind w:right="0" w:left="432" w:hanging="432"/>
        <w:jc w:val="both"/>
        <w:rPr>
          <w:rFonts w:ascii="Calibri" w:hAnsi="Calibri" w:cs="Calibri" w:eastAsia="Calibri"/>
          <w:b/>
          <w:color w:val="000000"/>
          <w:spacing w:val="0"/>
          <w:position w:val="0"/>
          <w:sz w:val="24"/>
          <w:shd w:fill="auto" w:val="clear"/>
        </w:rPr>
      </w:pPr>
    </w:p>
    <w:p>
      <w:pPr>
        <w:spacing w:before="0" w:after="0" w:line="240"/>
        <w:ind w:right="0" w:left="0" w:firstLine="6"/>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Perform the assay as per the manufacturer’s protocol to detect cytokines.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000000"/>
          <w:spacing w:val="0"/>
          <w:position w:val="0"/>
          <w:sz w:val="24"/>
          <w:shd w:fill="FFFF00" w:val="clear"/>
        </w:rPr>
        <w:t xml:space="preserve">Most of the multiplex kits use magnetic beads to bind the captured antibody. So, it is essential to use an automated or handheld magnetic washer during washing. Otherwise, the magnetic beads will wash off from the plate, and one will not have enough events to take the reading.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Collection of tumor and inguinal lymph node and preparation of single-cell suspension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Anesthetize the mice with ketamine/xylazine mix. To ensure complete sedation, use pedal reflex (firm toe pinch). If the mice are not responsive, euthanize the mice by cervical dislocation.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Lay each mouse on its back and spray 70% ethanol on the abdominal area skin. Use forceps and scissors to cut the tumor out from the left side of the mice and the lymph node from the right side. If the tumor is big, cut into small pieces and take 500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600 mg of the tissue. For the lymph node, collect the whole organ.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000000"/>
          <w:spacing w:val="0"/>
          <w:position w:val="0"/>
          <w:sz w:val="24"/>
          <w:shd w:fill="auto" w:val="clear"/>
        </w:rPr>
        <w:t xml:space="preserve">There are two lymph nodes on both sides of the inguinal region. Depending on the experimental goals, the lymph node and the tumor can be isolated from the same side. However, if the tumor becomes very large, it will not be easy to collect the lymph node from the same side.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Place the tissues onto the respective dissociator tubes containing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mL of RPMI media. Homogenize the tissue using an automated dissociator.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Other automated or handheld homogenizers can be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After homogenization, transfer the cell suspension through a 70 &amp;#181;m filter into a 50 mL conical tube. Centrifuge at 277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25 &amp;#176;C to remove the media. Wash and resuspend the cells in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cold PBS.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FACS staining of single-cell suspension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Use 0.4% trypan blue staining to count the viable cells in a hemocytometer. Calculate the volume required to get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million cells and transfer them to the respective FACS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Use viability dye to gate on live cells; otherwise, nonspecific binding of the antibody with dead cells may occur that can yield a false-positive result.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Zombie dye was used for live and dead cell staining in this experiment. Several fixable and non-fixable dyes (e.g., propidium iodide) are commercially available.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Centrifuge (277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25 &amp;#176;C) the counted cells. Decant the supernatant and resuspend the cells into 300 &amp;#181;L of PBS. Add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&amp;#181;L of zombie dye/tube. Incubate at room temperature for 20 min in the dark.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Centrifuge (277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25 &amp;#176;C) and wash the cells with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FACS buffer and resuspend them into 200 &amp;#181;L of FACS buffer.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Add Fc-receptor blocker (2 &amp;#181;L per 200 &amp;#181;L or according to the manufacturer’s protocol) and incubate the cells for 10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Centrifuge (277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25 &amp;#176;C) and wash the cells with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FACS buffer. Add the antibody cocktail and incubate for 30 min at 4 &amp;#176;C in the dark.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After the incubation, centrifuge (277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25 &amp;#176;C) and wash the cells with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FACS buffer. Add 300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400 &amp;#181;L of 2% paraformaldehyde solution and resuspend for fixation. Store the cells at this step for a couple of days at 4 &amp;#176;C or analyze immediately by multicolor flow cytometer.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antitumor activity of polyanhydride IL-1&amp;#945; in a syngeneic mouse model of HNSCC was investigated. Recombinant IL-1&amp;#945; (rIL-1&amp;#945;) significantly slowed mEERL tumor growth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although weight loss was observed in the treated mice, which was restored after treatment withdrawal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IL-1&amp;#945;-NPs did not induce a significant antitumor effect compared to saline or blank-NPs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was accompanied by some weight loss, although not as prominent as rIL-1&amp;#945;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Mice treated with rIL-1&amp;#945; survived significantly longer than the other treatment groups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Additionally, circulating levels of IL-1&amp;#945;, IL-1&amp;#946;, and IFN-&amp;#947; were higher in rIL-1&amp;#945;-treated mice compared to the other treatment groups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These results suggest that improvements in the IL-1&amp;#945;-NP with regard to antitumor efficacy are warranted.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Effect of rIL-1&amp;#945; on tumor growth, survival, and body weight. </w:t>
      </w:r>
      <w:r>
        <w:rPr>
          <w:rFonts w:ascii="Calibri" w:hAnsi="Calibri" w:cs="Calibri" w:eastAsia="Calibri"/>
          <w:color w:val="auto"/>
          <w:spacing w:val="0"/>
          <w:position w:val="0"/>
          <w:sz w:val="24"/>
          <w:shd w:fill="auto" w:val="clear"/>
        </w:rPr>
        <w:t xml:space="preserve">Male C57BL/6J mice (n =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mice/treatment group) bearing mEERL HNSCC tumors were treated i.p. on Day 1 and Day 5 with rIL-1&amp;#945; (3.75 &amp;#181;g of rIL-1&amp;#945;), IL-1&amp;#945;-NP (0.25 mg of NPs containing 3.75 &amp;#181;g of rIL-1&amp;#945;), Blank-NP (0.25 mg of NPs), and 100 &amp;#181;L of saline solution (CON). Shown are changes in average tumor volume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normalized body weights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survival curves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Error bars represent the standard error of the mean. *p &amp;lt; 0.05 vs. other treatment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 of rIL-1&amp;#945; on circulating cytokines. </w:t>
      </w:r>
      <w:r>
        <w:rPr>
          <w:rFonts w:ascii="Calibri" w:hAnsi="Calibri" w:cs="Calibri" w:eastAsia="Calibri"/>
          <w:color w:val="auto"/>
          <w:spacing w:val="0"/>
          <w:position w:val="0"/>
          <w:sz w:val="24"/>
          <w:shd w:fill="auto" w:val="clear"/>
        </w:rPr>
        <w:t xml:space="preserve">Blood samples were collected from a subset of mice (n = 4 mice/treatment group) after the second drug administration and analyzed for circulating cytokine levels by multiplex assay. Shown are circulating levels of IL-1&amp;#945;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IL-1&amp;#946;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IFN-&amp;#947;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Error bars represent the standard error of the mean.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will allow any investigator to study the antitumor activity and some of the underlying mechanisms of immunomodulatory drugs in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tumor mouse model system. Here, a syngeneic subcutaneous tumor model was used, which has several advantages over orthotopic models, including its technically straightforward protocol, easy monitoring of tumor growth, less animal morbidity, and higher producibility. Subcutaneous tumor models can also be modified to a bilateral tumor model by injecting tumor cells on both the left and the right flank. In this bilateral tumor model, radiotherapy or drugs can be administered to one tumor intratumorally, and abscopal responses can be monitored. Orthotopic HNSCC mouse models, while more clinically relevant, are technically challenging to generate, difficult to monitor tumor growth, and the tumor burden in the oral cavity often results in premature euthanasia due to the inability of the mice to eat and drink.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preparation of cells is an important step for the formation of symmetrical and similar-sized tumors in all mice. Poor preparation of cells results in reduced cell viability and greatly affects tumor generation in mice. The tumor cells are recommended to be at an early passage number and within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confluency. Higher passage number and confluency affect cell viability and thus tumor generation. Cells should also be injected as soon after preparation as possible since viability is reduced if kept in PBS beyond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If a large number of mice need to be implanted with tumors, it is recommended to make a stock solution of cells kept in media and prepare injectable cell suspensions in PBS for a smaller group of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steps in the protocol that needs to be carefully maintained after preparing tumor cells for injection. Injecting tumor cells to the subdermal space could produce different tumor growth patterns and sizes compared to the subcutaneous space. Therefore, careful attention should be placed on needle placement for consistent tumor formation. Needle selection is also important. If the needle is smaller than the cancer cell, smaller needles could stress the cells resulting in less viability. If the needle is very big, it could hurt the animal and result in cell leakage from the injected site. Even for experienced researchers with the correct needle size, there may be cell leakage at the injected site resulting in a small or no tumor. It is important that researchers use the correct technique for tumor injection and optimal needle size in order to reduce tumor cell loss and increase accuracy and precision during tumor cell implantation. Tumor measurements should be carefully done using Vernier calipers (manual or electronic). The best practice is to be consistent with the direction of tumor length and width measurement to reduce variability. Tumor measurement by the same researcher throughout the study can reduce variability.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expected, mice receiving rIL-1&amp;#945; lost weight during treatment, which supports previous findings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Although weight loss is a simple and straightforward way of assessing toxicity, there are other toxicological endpoints that can be utilized. Assessment of blood cell counts (white blood cells, red blood cells, and platelet counts) and liver enzyme levels (aspartate transaminase, alanine aminotransferase, and alkaline phosphatase) provide valuable information about drug toxicity. Additionally, a subset of mice can be sacrificed, and histopathological analysis of organs (liver, kidneys, pancreas, lung, etc.) can be performed. Systemic inflammation is often used as an indicator of toxicity. Here, a number of circulating proinflammatory cytokines were analyzed in the mice after drug treatment by submandibular venipuncture using an 18 G needle. Submandibular venipuncture on mice requires a skill that comes from many repetitions of the procedure. If the puncture is too deep, it may cause bleeding from the ear and internal tissue damage. Whereas, if the needle is not penetrated far enough, an insufficient amount of blood may be collected. Alternatives to needles are the use of disposable bleeding lancets. There are different kinds of bleeding lancets that are commercially available that differ in their length. Researchers should use a suitable lancet size to ensure optimal blood collection and humane treatment of animals. For this procedure, results for three cytokines are shown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It is likely that an increase in circulating proinflammatory cytokines including IL-1&amp;#945;, IL-1&amp;#946;, and IFN-&amp;#947; observed in rIL-1&amp;#945;-treated mice may be associated with acute weight loss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observed in this treatment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a protocol for isolation and preparation of single-cell suspensions of mice tumor and lymph nodes is described. This method is useful for those seeking to detect changes in immune cell activation and recruitment due to drug treatment. During dissection of tumors, adipose tissue, skin, hair, and other debris should be eliminated as much as possible. Usually, the tumor volume should be greater than 30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have enough cells for flow cytometry. However, if the tumor is very large, it may be difficult to prepare single-cell suspensions. Large tumors should be cut into small pieces before placing into the dissociator tube. The process should be done quickly to get optimal viable cells. Additionally, large tumors make finding the inguinal lymph node on the tumor side difficult. In this case, the inguinal lymph node can be collected from the opposite site. Once single-cell suspensions are obtained, they can be stained with different antibodies and analyzed by multicolor flow cytometry.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Overall, these protocols provide an effective way to study the antitumor activity of immune-modulatory drugs, and the associated changes in the circulating cytokines and immune cell populations.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Merit Review Award #I01BX004829 from the United States (U.S.) Department of Veterans Affairs, Biomedical Laboratory Research and Development Service and supported by the Mezhir Award Program through the Holden Comprehensive Cancer Center at the University of Iowa.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Dinarello, C. A., Simon, A., van der Meer, J. W. Treating inflammation by blocking interleukin-1 in a broad spectrum of diseases.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 Mooij, C. E. M., Netea, M. G., van der Velden, W., Blijlevens, N. M. A. Targeting the interleukin-1 pathway in patients with hematological disorders.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(24), 3155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Veltri, S., Smith, J. W., 2nd. Interleukin 1 trials in cancer patients: a review of the toxicity, antitumor and hematopoietic effects.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Grandis, J. R., Chang, M. J., Yu, W. D., Johnson, C. S. Antitumor activity of interleukin-1 alpha and cisplatin in a murine model system. </w:t>
      </w:r>
      <w:r>
        <w:rPr>
          <w:rFonts w:ascii="Calibri" w:hAnsi="Calibri" w:cs="Calibri" w:eastAsia="Calibri"/>
          <w:i/>
          <w:color w:val="auto"/>
          <w:spacing w:val="0"/>
          <w:position w:val="0"/>
          <w:sz w:val="24"/>
          <w:shd w:fill="auto" w:val="clear"/>
        </w:rPr>
        <w:t xml:space="preserve">Archives of Otolaryngology- Head &amp;amp;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Curti, B. D., Smith, J. W., 2nd. Interleukin-1 in the treatment of cancer. </w:t>
      </w:r>
      <w:r>
        <w:rPr>
          <w:rFonts w:ascii="Calibri" w:hAnsi="Calibri" w:cs="Calibri" w:eastAsia="Calibri"/>
          <w:i/>
          <w:color w:val="auto"/>
          <w:spacing w:val="0"/>
          <w:position w:val="0"/>
          <w:sz w:val="24"/>
          <w:shd w:fill="auto" w:val="clear"/>
        </w:rPr>
        <w:t xml:space="preserve">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Smith, J. W., 2nd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effects of treatment with interleukin-1 alpha on platelet recovery after high-dose carboplatin.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(11),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761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Senapati, S., Mahanta, A. K., Kumar, S., Maiti, P. Controlled drug delivery vehicles for cancer treatment and their performance. </w:t>
      </w:r>
      <w:r>
        <w:rPr>
          <w:rFonts w:ascii="Calibri" w:hAnsi="Calibri" w:cs="Calibri" w:eastAsia="Calibri"/>
          <w:i/>
          <w:color w:val="auto"/>
          <w:spacing w:val="0"/>
          <w:position w:val="0"/>
          <w:sz w:val="24"/>
          <w:shd w:fill="auto" w:val="clear"/>
        </w:rPr>
        <w:t xml:space="preserve">Signal Transduction and Targeted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Carbone, A. L., Uhrich, K. E. Design and synthesis of fast-degrading Poly(anhydride-esters). </w:t>
      </w:r>
      <w:r>
        <w:rPr>
          <w:rFonts w:ascii="Calibri" w:hAnsi="Calibri" w:cs="Calibri" w:eastAsia="Calibri"/>
          <w:i/>
          <w:color w:val="auto"/>
          <w:spacing w:val="0"/>
          <w:position w:val="0"/>
          <w:sz w:val="24"/>
          <w:shd w:fill="auto" w:val="clear"/>
        </w:rPr>
        <w:t xml:space="preserve">Macromolecular Rapid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1021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Gopferich, A., Tessmar, J. Polyanhydride degradation and erosion.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(7), 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931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Jain, J. P., Chitkara, D., Kumar, N. Polyanhydrides as localized drug delivery carrier: an update.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Jain, J. P., Modi, S., Domb, A. J., Kumar, N. Role of polyanhydrides as localized drug carriers. </w:t>
      </w:r>
      <w:r>
        <w:rPr>
          <w:rFonts w:ascii="Calibri" w:hAnsi="Calibri" w:cs="Calibri" w:eastAsia="Calibri"/>
          <w:i/>
          <w:color w:val="auto"/>
          <w:spacing w:val="0"/>
          <w:position w:val="0"/>
          <w:sz w:val="24"/>
          <w:shd w:fill="auto" w:val="clear"/>
        </w:rPr>
        <w:t xml:space="preserve">Journal of Controlled Release : Official Journal of the Controlled Release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Kumar, N., Langer, R. S., Domb, A. J. Polyanhydrides: an overview.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(7),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910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Goldman, J.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Enhanced human cell engraftment in mice deficient in RAG2 and the common cytokine receptor gamma chain.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 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Seth, A., Park, H. S., Hong, K. S. Current perspective on in vivo molecular imaging of immune cells.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Espinosa-Cotton,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Interleukin-1 alpha increases antitumor efficacy of cetuximab in head and neck squamous cell carcinoma. </w:t>
      </w:r>
      <w:r>
        <w:rPr>
          <w:rFonts w:ascii="Calibri" w:hAnsi="Calibri" w:cs="Calibri" w:eastAsia="Calibri"/>
          <w:i/>
          <w:color w:val="auto"/>
          <w:spacing w:val="0"/>
          <w:position w:val="0"/>
          <w:sz w:val="24"/>
          <w:shd w:fill="auto" w:val="clear"/>
        </w:rPr>
        <w:t xml:space="preserve">Journal for Immunotherapy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79 (2019).</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Veltri, S., Smith, J. W., 2nd. Interleukin 1 trials in cancer patients: A review of the toxicity, antitumor and hematopoietic effects. </w:t>
      </w:r>
      <w:r>
        <w:rPr>
          <w:rFonts w:ascii="Calibri" w:hAnsi="Calibri" w:cs="Calibri" w:eastAsia="Calibri"/>
          <w:i/>
          <w:color w:val="auto"/>
          <w:spacing w:val="0"/>
          <w:position w:val="0"/>
          <w:sz w:val="24"/>
          <w:shd w:fill="auto" w:val="clear"/>
        </w:rPr>
        <w:t xml:space="preserve">The Oncologist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(1996).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