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3CEB" w14:textId="4E70673A" w:rsidR="00776C2B" w:rsidRPr="007F2FF6" w:rsidRDefault="00A5325F">
      <w:pPr>
        <w:rPr>
          <w:rFonts w:cs="Arial"/>
          <w:b/>
          <w:bCs/>
        </w:rPr>
      </w:pPr>
      <w:r w:rsidRPr="007F2FF6">
        <w:rPr>
          <w:rFonts w:cs="Arial"/>
          <w:b/>
          <w:bCs/>
        </w:rPr>
        <w:t>P</w:t>
      </w:r>
      <w:r w:rsidR="00AF7371" w:rsidRPr="007F2FF6">
        <w:rPr>
          <w:rFonts w:cs="Arial"/>
          <w:b/>
          <w:bCs/>
        </w:rPr>
        <w:t>lasmids used in this study:</w:t>
      </w:r>
    </w:p>
    <w:p w14:paraId="113D084B" w14:textId="6D73D14D" w:rsidR="00AF7371" w:rsidRPr="007F2FF6" w:rsidRDefault="00AF7371">
      <w:pPr>
        <w:rPr>
          <w:rFonts w:cs="Arial"/>
        </w:rPr>
      </w:pPr>
    </w:p>
    <w:tbl>
      <w:tblPr>
        <w:tblStyle w:val="TableGrid"/>
        <w:tblW w:w="0" w:type="auto"/>
        <w:tblLook w:val="04A0" w:firstRow="1" w:lastRow="0" w:firstColumn="1" w:lastColumn="0" w:noHBand="0" w:noVBand="1"/>
      </w:tblPr>
      <w:tblGrid>
        <w:gridCol w:w="1717"/>
        <w:gridCol w:w="4436"/>
        <w:gridCol w:w="3197"/>
      </w:tblGrid>
      <w:tr w:rsidR="00AF7371" w:rsidRPr="007F2FF6" w14:paraId="39B5EEC6" w14:textId="77777777" w:rsidTr="001A5853">
        <w:trPr>
          <w:trHeight w:val="332"/>
        </w:trPr>
        <w:tc>
          <w:tcPr>
            <w:tcW w:w="1717" w:type="dxa"/>
          </w:tcPr>
          <w:p w14:paraId="3206C795" w14:textId="77777777" w:rsidR="00AF7371" w:rsidRPr="007F2FF6" w:rsidRDefault="00AF7371" w:rsidP="001A5853">
            <w:pPr>
              <w:spacing w:line="360" w:lineRule="auto"/>
              <w:jc w:val="both"/>
              <w:rPr>
                <w:rFonts w:cs="Arial"/>
              </w:rPr>
            </w:pPr>
            <w:r w:rsidRPr="007F2FF6">
              <w:rPr>
                <w:rFonts w:cs="Arial"/>
              </w:rPr>
              <w:t>Plasmid Name</w:t>
            </w:r>
          </w:p>
        </w:tc>
        <w:tc>
          <w:tcPr>
            <w:tcW w:w="4436" w:type="dxa"/>
          </w:tcPr>
          <w:p w14:paraId="49236915" w14:textId="77777777" w:rsidR="00AF7371" w:rsidRPr="007F2FF6" w:rsidRDefault="00AF7371" w:rsidP="001A5853">
            <w:pPr>
              <w:spacing w:line="360" w:lineRule="auto"/>
              <w:jc w:val="both"/>
              <w:rPr>
                <w:rFonts w:cs="Arial"/>
              </w:rPr>
            </w:pPr>
            <w:r w:rsidRPr="007F2FF6">
              <w:rPr>
                <w:rFonts w:cs="Arial"/>
              </w:rPr>
              <w:t>Description</w:t>
            </w:r>
          </w:p>
        </w:tc>
        <w:tc>
          <w:tcPr>
            <w:tcW w:w="3197" w:type="dxa"/>
          </w:tcPr>
          <w:p w14:paraId="6E832F2E" w14:textId="77777777" w:rsidR="00AF7371" w:rsidRPr="007F2FF6" w:rsidRDefault="00AF7371" w:rsidP="001A5853">
            <w:pPr>
              <w:spacing w:line="360" w:lineRule="auto"/>
              <w:jc w:val="both"/>
              <w:rPr>
                <w:rFonts w:cs="Arial"/>
              </w:rPr>
            </w:pPr>
            <w:r w:rsidRPr="007F2FF6">
              <w:rPr>
                <w:rFonts w:cs="Arial"/>
              </w:rPr>
              <w:t>Cloned by</w:t>
            </w:r>
          </w:p>
        </w:tc>
      </w:tr>
      <w:tr w:rsidR="00DD6CA0" w:rsidRPr="007F2FF6" w14:paraId="1C68CDDC" w14:textId="77777777" w:rsidTr="001417C1">
        <w:trPr>
          <w:trHeight w:val="332"/>
        </w:trPr>
        <w:tc>
          <w:tcPr>
            <w:tcW w:w="9350" w:type="dxa"/>
            <w:gridSpan w:val="3"/>
          </w:tcPr>
          <w:p w14:paraId="32CDCE1C" w14:textId="5602C4C8" w:rsidR="00DD6CA0" w:rsidRPr="007F2FF6" w:rsidRDefault="00DD6CA0" w:rsidP="001A5853">
            <w:pPr>
              <w:spacing w:line="360" w:lineRule="auto"/>
              <w:jc w:val="both"/>
              <w:rPr>
                <w:rFonts w:cs="Arial"/>
              </w:rPr>
            </w:pPr>
            <w:r w:rsidRPr="007F2FF6">
              <w:rPr>
                <w:rFonts w:cs="Arial"/>
              </w:rPr>
              <w:t>Figure 1-3</w:t>
            </w:r>
          </w:p>
        </w:tc>
      </w:tr>
      <w:tr w:rsidR="00AF7371" w:rsidRPr="007F2FF6" w14:paraId="7E6E1F8B" w14:textId="77777777" w:rsidTr="001A5853">
        <w:tc>
          <w:tcPr>
            <w:tcW w:w="1717" w:type="dxa"/>
          </w:tcPr>
          <w:p w14:paraId="5DD6254A" w14:textId="77777777" w:rsidR="00AF7371" w:rsidRPr="007F2FF6" w:rsidRDefault="00AF7371" w:rsidP="001A5853">
            <w:pPr>
              <w:spacing w:line="360" w:lineRule="auto"/>
              <w:jc w:val="both"/>
              <w:rPr>
                <w:rFonts w:cs="Arial"/>
              </w:rPr>
            </w:pPr>
            <w:r w:rsidRPr="007F2FF6">
              <w:rPr>
                <w:rFonts w:cs="Arial"/>
              </w:rPr>
              <w:t>pACC6</w:t>
            </w:r>
          </w:p>
        </w:tc>
        <w:tc>
          <w:tcPr>
            <w:tcW w:w="4436" w:type="dxa"/>
          </w:tcPr>
          <w:p w14:paraId="7B61780C" w14:textId="648B3955" w:rsidR="00AF7371" w:rsidRPr="007F2FF6" w:rsidRDefault="00B64679" w:rsidP="001A5853">
            <w:pPr>
              <w:spacing w:line="360" w:lineRule="auto"/>
              <w:rPr>
                <w:rFonts w:cs="Arial"/>
              </w:rPr>
            </w:pPr>
            <w:r w:rsidRPr="007F2FF6">
              <w:rPr>
                <w:rFonts w:cs="Arial"/>
              </w:rPr>
              <w:t>P</w:t>
            </w:r>
            <w:r w:rsidR="00AF7371" w:rsidRPr="007F2FF6">
              <w:rPr>
                <w:rFonts w:cs="Arial"/>
              </w:rPr>
              <w:t>flp-</w:t>
            </w:r>
            <w:proofErr w:type="gramStart"/>
            <w:r w:rsidR="00AF7371" w:rsidRPr="007F2FF6">
              <w:rPr>
                <w:rFonts w:cs="Arial"/>
              </w:rPr>
              <w:t>13::</w:t>
            </w:r>
            <w:proofErr w:type="spellStart"/>
            <w:proofErr w:type="gramEnd"/>
            <w:r w:rsidR="00AF7371" w:rsidRPr="007F2FF6">
              <w:rPr>
                <w:rFonts w:cs="Arial"/>
              </w:rPr>
              <w:t>LifeAct</w:t>
            </w:r>
            <w:proofErr w:type="spellEnd"/>
            <w:r w:rsidR="00AF7371" w:rsidRPr="007F2FF6">
              <w:rPr>
                <w:rFonts w:cs="Arial"/>
              </w:rPr>
              <w:t>::GFP</w:t>
            </w:r>
          </w:p>
        </w:tc>
        <w:tc>
          <w:tcPr>
            <w:tcW w:w="3197" w:type="dxa"/>
          </w:tcPr>
          <w:p w14:paraId="65476156" w14:textId="77777777" w:rsidR="00AF7371" w:rsidRPr="007F2FF6" w:rsidRDefault="00AF7371" w:rsidP="001A5853">
            <w:pPr>
              <w:spacing w:line="360" w:lineRule="auto"/>
              <w:jc w:val="both"/>
              <w:rPr>
                <w:rFonts w:cs="Arial"/>
              </w:rPr>
            </w:pPr>
            <w:proofErr w:type="spellStart"/>
            <w:r w:rsidRPr="007F2FF6">
              <w:rPr>
                <w:rFonts w:cs="Arial"/>
              </w:rPr>
              <w:t>InFusion</w:t>
            </w:r>
            <w:proofErr w:type="spellEnd"/>
            <w:r w:rsidRPr="007F2FF6">
              <w:rPr>
                <w:rFonts w:cs="Arial"/>
              </w:rPr>
              <w:t xml:space="preserve"> cloning</w:t>
            </w:r>
          </w:p>
        </w:tc>
      </w:tr>
      <w:tr w:rsidR="00DD6CA0" w:rsidRPr="007F2FF6" w14:paraId="45CC7944" w14:textId="77777777" w:rsidTr="001A5853">
        <w:tc>
          <w:tcPr>
            <w:tcW w:w="1717" w:type="dxa"/>
          </w:tcPr>
          <w:p w14:paraId="684ECFE1" w14:textId="02433B2B" w:rsidR="00DD6CA0" w:rsidRPr="007F2FF6" w:rsidRDefault="00DD6CA0" w:rsidP="00DD6CA0">
            <w:pPr>
              <w:jc w:val="both"/>
              <w:rPr>
                <w:rFonts w:cs="Arial"/>
              </w:rPr>
            </w:pPr>
            <w:r w:rsidRPr="007F2FF6">
              <w:rPr>
                <w:rFonts w:cs="Arial"/>
              </w:rPr>
              <w:t>pACC100</w:t>
            </w:r>
          </w:p>
        </w:tc>
        <w:tc>
          <w:tcPr>
            <w:tcW w:w="4436" w:type="dxa"/>
          </w:tcPr>
          <w:p w14:paraId="3289E3F9" w14:textId="6F19BE45" w:rsidR="00DD6CA0" w:rsidRPr="007F2FF6" w:rsidRDefault="00B64679" w:rsidP="00DD6CA0">
            <w:pPr>
              <w:rPr>
                <w:rFonts w:cs="Arial"/>
              </w:rPr>
            </w:pPr>
            <w:r w:rsidRPr="007F2FF6">
              <w:rPr>
                <w:rFonts w:cs="Arial"/>
                <w:color w:val="000000"/>
              </w:rPr>
              <w:t>P</w:t>
            </w:r>
            <w:r w:rsidR="00DD6CA0" w:rsidRPr="007F2FF6">
              <w:rPr>
                <w:rFonts w:cs="Arial"/>
                <w:color w:val="000000"/>
              </w:rPr>
              <w:t>flp</w:t>
            </w:r>
            <w:proofErr w:type="gramStart"/>
            <w:r w:rsidR="00DD6CA0" w:rsidRPr="007F2FF6">
              <w:rPr>
                <w:rFonts w:cs="Arial"/>
                <w:color w:val="000000"/>
              </w:rPr>
              <w:t>13::</w:t>
            </w:r>
            <w:proofErr w:type="gramEnd"/>
            <w:r w:rsidR="00DD6CA0" w:rsidRPr="007F2FF6">
              <w:rPr>
                <w:rFonts w:cs="Arial"/>
                <w:color w:val="000000"/>
              </w:rPr>
              <w:t>GFP::Utrophin</w:t>
            </w:r>
          </w:p>
        </w:tc>
        <w:tc>
          <w:tcPr>
            <w:tcW w:w="3197" w:type="dxa"/>
          </w:tcPr>
          <w:p w14:paraId="6EFB9D3F" w14:textId="385B137E" w:rsidR="00DD6CA0" w:rsidRPr="007F2FF6" w:rsidRDefault="00DD6CA0" w:rsidP="00DD6CA0">
            <w:pPr>
              <w:jc w:val="both"/>
              <w:rPr>
                <w:rFonts w:cs="Arial"/>
              </w:rPr>
            </w:pPr>
            <w:proofErr w:type="spellStart"/>
            <w:r w:rsidRPr="007F2FF6">
              <w:rPr>
                <w:rFonts w:cs="Arial"/>
              </w:rPr>
              <w:t>InFusion</w:t>
            </w:r>
            <w:proofErr w:type="spellEnd"/>
            <w:r w:rsidRPr="007F2FF6">
              <w:rPr>
                <w:rFonts w:cs="Arial"/>
              </w:rPr>
              <w:t xml:space="preserve"> cloning</w:t>
            </w:r>
          </w:p>
        </w:tc>
      </w:tr>
      <w:tr w:rsidR="00DD6CA0" w:rsidRPr="007F2FF6" w14:paraId="358DBC9F" w14:textId="77777777" w:rsidTr="001A5853">
        <w:tc>
          <w:tcPr>
            <w:tcW w:w="1717" w:type="dxa"/>
          </w:tcPr>
          <w:p w14:paraId="19719CE2" w14:textId="190798E0" w:rsidR="00DD6CA0" w:rsidRPr="007F2FF6" w:rsidRDefault="00DD6CA0" w:rsidP="00DD6CA0">
            <w:pPr>
              <w:jc w:val="both"/>
              <w:rPr>
                <w:rFonts w:cs="Arial"/>
              </w:rPr>
            </w:pPr>
            <w:r w:rsidRPr="007F2FF6">
              <w:rPr>
                <w:rFonts w:cs="Arial"/>
              </w:rPr>
              <w:t>pACC128</w:t>
            </w:r>
          </w:p>
        </w:tc>
        <w:tc>
          <w:tcPr>
            <w:tcW w:w="4436" w:type="dxa"/>
          </w:tcPr>
          <w:p w14:paraId="369C5482" w14:textId="78F19C10" w:rsidR="00DD6CA0" w:rsidRPr="007F2FF6" w:rsidRDefault="00B64679" w:rsidP="00DD6CA0">
            <w:pPr>
              <w:rPr>
                <w:rFonts w:cs="Arial"/>
                <w:color w:val="000000"/>
              </w:rPr>
            </w:pPr>
            <w:r w:rsidRPr="007F2FF6">
              <w:rPr>
                <w:rFonts w:cs="Arial"/>
              </w:rPr>
              <w:t>P</w:t>
            </w:r>
            <w:r w:rsidR="00DD6CA0" w:rsidRPr="007F2FF6">
              <w:rPr>
                <w:rFonts w:cs="Arial"/>
              </w:rPr>
              <w:t>flp-</w:t>
            </w:r>
            <w:proofErr w:type="gramStart"/>
            <w:r w:rsidR="00DD6CA0" w:rsidRPr="007F2FF6">
              <w:rPr>
                <w:rFonts w:cs="Arial"/>
              </w:rPr>
              <w:t>13::</w:t>
            </w:r>
            <w:proofErr w:type="spellStart"/>
            <w:proofErr w:type="gramEnd"/>
            <w:r w:rsidR="00DD6CA0" w:rsidRPr="007F2FF6">
              <w:rPr>
                <w:rFonts w:cs="Arial"/>
              </w:rPr>
              <w:t>myr</w:t>
            </w:r>
            <w:proofErr w:type="spellEnd"/>
            <w:r w:rsidR="00DD6CA0" w:rsidRPr="007F2FF6">
              <w:rPr>
                <w:rFonts w:cs="Arial"/>
              </w:rPr>
              <w:t>::mRuby3</w:t>
            </w:r>
          </w:p>
        </w:tc>
        <w:tc>
          <w:tcPr>
            <w:tcW w:w="3197" w:type="dxa"/>
          </w:tcPr>
          <w:p w14:paraId="2662C0DE" w14:textId="04425D5C" w:rsidR="00DD6CA0" w:rsidRPr="007F2FF6" w:rsidRDefault="00DD6CA0" w:rsidP="00DD6CA0">
            <w:pPr>
              <w:jc w:val="both"/>
              <w:rPr>
                <w:rFonts w:cs="Arial"/>
              </w:rPr>
            </w:pPr>
            <w:proofErr w:type="spellStart"/>
            <w:r w:rsidRPr="007F2FF6">
              <w:rPr>
                <w:rFonts w:cs="Arial"/>
              </w:rPr>
              <w:t>InFusion</w:t>
            </w:r>
            <w:proofErr w:type="spellEnd"/>
            <w:r w:rsidRPr="007F2FF6">
              <w:rPr>
                <w:rFonts w:cs="Arial"/>
              </w:rPr>
              <w:t xml:space="preserve"> cloning</w:t>
            </w:r>
          </w:p>
        </w:tc>
      </w:tr>
      <w:tr w:rsidR="00DD6CA0" w:rsidRPr="007F2FF6" w14:paraId="5EF3EF26" w14:textId="77777777" w:rsidTr="00A068B8">
        <w:trPr>
          <w:trHeight w:val="251"/>
        </w:trPr>
        <w:tc>
          <w:tcPr>
            <w:tcW w:w="9350" w:type="dxa"/>
            <w:gridSpan w:val="3"/>
          </w:tcPr>
          <w:p w14:paraId="23DFE228" w14:textId="3F2A646F" w:rsidR="00DD6CA0" w:rsidRPr="007F2FF6" w:rsidRDefault="00DD6CA0" w:rsidP="00DD6CA0">
            <w:pPr>
              <w:jc w:val="both"/>
              <w:rPr>
                <w:rFonts w:cs="Arial"/>
              </w:rPr>
            </w:pPr>
            <w:r w:rsidRPr="007F2FF6">
              <w:rPr>
                <w:rFonts w:cs="Arial"/>
              </w:rPr>
              <w:t>Figure 4</w:t>
            </w:r>
          </w:p>
        </w:tc>
      </w:tr>
      <w:tr w:rsidR="00DD6CA0" w:rsidRPr="007F2FF6" w14:paraId="36B2FA6C" w14:textId="77777777" w:rsidTr="00DD6CA0">
        <w:tc>
          <w:tcPr>
            <w:tcW w:w="1717" w:type="dxa"/>
          </w:tcPr>
          <w:p w14:paraId="74FBDC8D" w14:textId="77777777" w:rsidR="00DD6CA0" w:rsidRPr="007F2FF6" w:rsidRDefault="00DD6CA0" w:rsidP="00DD6CA0">
            <w:pPr>
              <w:jc w:val="both"/>
              <w:rPr>
                <w:rFonts w:cs="Arial"/>
              </w:rPr>
            </w:pPr>
            <w:r w:rsidRPr="007F2FF6">
              <w:rPr>
                <w:rFonts w:cs="Arial"/>
              </w:rPr>
              <w:t>pACC92</w:t>
            </w:r>
          </w:p>
        </w:tc>
        <w:tc>
          <w:tcPr>
            <w:tcW w:w="4436" w:type="dxa"/>
          </w:tcPr>
          <w:p w14:paraId="7D490D7F" w14:textId="728DE467" w:rsidR="00DD6CA0" w:rsidRPr="007F2FF6" w:rsidRDefault="00B64679" w:rsidP="00DD6CA0">
            <w:pPr>
              <w:rPr>
                <w:rFonts w:cs="Arial"/>
              </w:rPr>
            </w:pPr>
            <w:r w:rsidRPr="007F2FF6">
              <w:rPr>
                <w:rFonts w:cs="Arial"/>
              </w:rPr>
              <w:t>P</w:t>
            </w:r>
            <w:r w:rsidR="00DD6CA0" w:rsidRPr="007F2FF6">
              <w:rPr>
                <w:rFonts w:cs="Arial"/>
              </w:rPr>
              <w:t>unc-</w:t>
            </w:r>
            <w:proofErr w:type="gramStart"/>
            <w:r w:rsidR="00DD6CA0" w:rsidRPr="007F2FF6">
              <w:rPr>
                <w:rFonts w:cs="Arial"/>
              </w:rPr>
              <w:t>4::</w:t>
            </w:r>
            <w:proofErr w:type="spellStart"/>
            <w:proofErr w:type="gramEnd"/>
            <w:r w:rsidR="00DD6CA0" w:rsidRPr="007F2FF6">
              <w:rPr>
                <w:rFonts w:cs="Arial"/>
              </w:rPr>
              <w:t>ceChrimson</w:t>
            </w:r>
            <w:proofErr w:type="spellEnd"/>
            <w:r w:rsidR="00DD6CA0" w:rsidRPr="007F2FF6">
              <w:rPr>
                <w:rFonts w:cs="Arial"/>
              </w:rPr>
              <w:t>::SL2::3xNLS::GFP</w:t>
            </w:r>
          </w:p>
        </w:tc>
        <w:tc>
          <w:tcPr>
            <w:tcW w:w="3197" w:type="dxa"/>
          </w:tcPr>
          <w:p w14:paraId="7697C023" w14:textId="77777777" w:rsidR="00DD6CA0" w:rsidRPr="007F2FF6" w:rsidRDefault="00DD6CA0" w:rsidP="00DD6CA0">
            <w:pPr>
              <w:jc w:val="both"/>
              <w:rPr>
                <w:rFonts w:cs="Arial"/>
              </w:rPr>
            </w:pPr>
            <w:proofErr w:type="spellStart"/>
            <w:r w:rsidRPr="007F2FF6">
              <w:rPr>
                <w:rFonts w:cs="Arial"/>
              </w:rPr>
              <w:t>InFusion</w:t>
            </w:r>
            <w:proofErr w:type="spellEnd"/>
            <w:r w:rsidRPr="007F2FF6">
              <w:rPr>
                <w:rFonts w:cs="Arial"/>
              </w:rPr>
              <w:t xml:space="preserve"> cloning</w:t>
            </w:r>
          </w:p>
        </w:tc>
      </w:tr>
      <w:tr w:rsidR="00DD6CA0" w:rsidRPr="007F2FF6" w14:paraId="23CAB5C3" w14:textId="77777777" w:rsidTr="00DD6CA0">
        <w:trPr>
          <w:trHeight w:val="215"/>
        </w:trPr>
        <w:tc>
          <w:tcPr>
            <w:tcW w:w="1717" w:type="dxa"/>
          </w:tcPr>
          <w:p w14:paraId="05767187" w14:textId="77777777" w:rsidR="00DD6CA0" w:rsidRPr="007F2FF6" w:rsidRDefault="00DD6CA0" w:rsidP="00F22790">
            <w:pPr>
              <w:tabs>
                <w:tab w:val="right" w:pos="1939"/>
              </w:tabs>
              <w:spacing w:line="360" w:lineRule="auto"/>
              <w:jc w:val="both"/>
              <w:rPr>
                <w:rFonts w:cs="Arial"/>
              </w:rPr>
            </w:pPr>
            <w:r w:rsidRPr="007F2FF6">
              <w:rPr>
                <w:rFonts w:cs="Arial"/>
              </w:rPr>
              <w:t>pACC83</w:t>
            </w:r>
            <w:r w:rsidRPr="007F2FF6">
              <w:rPr>
                <w:rFonts w:cs="Arial"/>
              </w:rPr>
              <w:tab/>
            </w:r>
          </w:p>
        </w:tc>
        <w:tc>
          <w:tcPr>
            <w:tcW w:w="4436" w:type="dxa"/>
          </w:tcPr>
          <w:p w14:paraId="2BEE0A48" w14:textId="117F912E" w:rsidR="00DD6CA0" w:rsidRPr="007F2FF6" w:rsidRDefault="00B64679" w:rsidP="00F22790">
            <w:pPr>
              <w:spacing w:line="360" w:lineRule="auto"/>
              <w:rPr>
                <w:rFonts w:cs="Arial"/>
              </w:rPr>
            </w:pPr>
            <w:r w:rsidRPr="007F2FF6">
              <w:rPr>
                <w:rFonts w:cs="Arial"/>
              </w:rPr>
              <w:t>P</w:t>
            </w:r>
            <w:r w:rsidR="00DD6CA0" w:rsidRPr="007F2FF6">
              <w:rPr>
                <w:rFonts w:cs="Arial"/>
              </w:rPr>
              <w:t>flp-</w:t>
            </w:r>
            <w:proofErr w:type="gramStart"/>
            <w:r w:rsidR="00DD6CA0" w:rsidRPr="007F2FF6">
              <w:rPr>
                <w:rFonts w:cs="Arial"/>
              </w:rPr>
              <w:t>13::</w:t>
            </w:r>
            <w:proofErr w:type="gramEnd"/>
            <w:r w:rsidR="00DD6CA0" w:rsidRPr="007F2FF6">
              <w:rPr>
                <w:rFonts w:cs="Arial"/>
              </w:rPr>
              <w:t>GCaMP6s::SL2::</w:t>
            </w:r>
            <w:proofErr w:type="spellStart"/>
            <w:r w:rsidR="00DD6CA0" w:rsidRPr="007F2FF6">
              <w:rPr>
                <w:rFonts w:cs="Arial"/>
              </w:rPr>
              <w:t>mCherry</w:t>
            </w:r>
            <w:proofErr w:type="spellEnd"/>
          </w:p>
        </w:tc>
        <w:tc>
          <w:tcPr>
            <w:tcW w:w="3197" w:type="dxa"/>
          </w:tcPr>
          <w:p w14:paraId="660D3582" w14:textId="77777777" w:rsidR="00DD6CA0" w:rsidRPr="007F2FF6" w:rsidRDefault="00DD6CA0" w:rsidP="00F22790">
            <w:pPr>
              <w:spacing w:line="360" w:lineRule="auto"/>
              <w:jc w:val="both"/>
              <w:rPr>
                <w:rFonts w:cs="Arial"/>
              </w:rPr>
            </w:pPr>
            <w:proofErr w:type="spellStart"/>
            <w:r w:rsidRPr="007F2FF6">
              <w:rPr>
                <w:rFonts w:cs="Arial"/>
              </w:rPr>
              <w:t>InFusion</w:t>
            </w:r>
            <w:proofErr w:type="spellEnd"/>
            <w:r w:rsidRPr="007F2FF6">
              <w:rPr>
                <w:rFonts w:cs="Arial"/>
              </w:rPr>
              <w:t xml:space="preserve"> cloning</w:t>
            </w:r>
          </w:p>
        </w:tc>
      </w:tr>
    </w:tbl>
    <w:p w14:paraId="0F316FAF" w14:textId="520FD84D" w:rsidR="00AF7371" w:rsidRPr="007F2FF6" w:rsidRDefault="00AF7371">
      <w:pPr>
        <w:rPr>
          <w:rFonts w:cs="Arial"/>
        </w:rPr>
      </w:pPr>
    </w:p>
    <w:p w14:paraId="5A970CC0" w14:textId="0AF42C8E" w:rsidR="00A5325F" w:rsidRPr="007F2FF6" w:rsidRDefault="00A5325F" w:rsidP="00A5325F">
      <w:pPr>
        <w:jc w:val="both"/>
        <w:rPr>
          <w:rFonts w:cs="Arial"/>
        </w:rPr>
      </w:pPr>
      <w:r w:rsidRPr="007F2FF6">
        <w:rPr>
          <w:rFonts w:cs="Arial"/>
        </w:rPr>
        <w:t>Strains used in this study:</w:t>
      </w:r>
    </w:p>
    <w:p w14:paraId="545DFA22" w14:textId="77777777" w:rsidR="00A5325F" w:rsidRPr="007F2FF6" w:rsidRDefault="00A5325F" w:rsidP="00A5325F">
      <w:pPr>
        <w:jc w:val="both"/>
        <w:rPr>
          <w:rFonts w:cs="Arial"/>
        </w:rPr>
      </w:pPr>
    </w:p>
    <w:tbl>
      <w:tblPr>
        <w:tblStyle w:val="TableGrid"/>
        <w:tblW w:w="0" w:type="auto"/>
        <w:tblLook w:val="04A0" w:firstRow="1" w:lastRow="0" w:firstColumn="1" w:lastColumn="0" w:noHBand="0" w:noVBand="1"/>
      </w:tblPr>
      <w:tblGrid>
        <w:gridCol w:w="1705"/>
        <w:gridCol w:w="4868"/>
        <w:gridCol w:w="2777"/>
      </w:tblGrid>
      <w:tr w:rsidR="00A5325F" w:rsidRPr="007F2FF6" w14:paraId="7D1028F0" w14:textId="77777777" w:rsidTr="001A5853">
        <w:tc>
          <w:tcPr>
            <w:tcW w:w="1705" w:type="dxa"/>
          </w:tcPr>
          <w:p w14:paraId="6FD10B9F" w14:textId="77777777" w:rsidR="00A5325F" w:rsidRPr="007F2FF6" w:rsidRDefault="00A5325F" w:rsidP="001A5853">
            <w:pPr>
              <w:spacing w:line="360" w:lineRule="auto"/>
              <w:jc w:val="both"/>
              <w:rPr>
                <w:rFonts w:cs="Arial"/>
              </w:rPr>
            </w:pPr>
            <w:r w:rsidRPr="007F2FF6">
              <w:rPr>
                <w:rFonts w:cs="Arial"/>
              </w:rPr>
              <w:t>Strain Name</w:t>
            </w:r>
          </w:p>
        </w:tc>
        <w:tc>
          <w:tcPr>
            <w:tcW w:w="4868" w:type="dxa"/>
          </w:tcPr>
          <w:p w14:paraId="41B7C5DA" w14:textId="77777777" w:rsidR="00A5325F" w:rsidRPr="007F2FF6" w:rsidRDefault="00A5325F" w:rsidP="001A5853">
            <w:pPr>
              <w:spacing w:line="360" w:lineRule="auto"/>
              <w:rPr>
                <w:rFonts w:cs="Arial"/>
              </w:rPr>
            </w:pPr>
            <w:r w:rsidRPr="007F2FF6">
              <w:rPr>
                <w:rFonts w:cs="Arial"/>
              </w:rPr>
              <w:t>Description</w:t>
            </w:r>
          </w:p>
        </w:tc>
        <w:tc>
          <w:tcPr>
            <w:tcW w:w="2777" w:type="dxa"/>
          </w:tcPr>
          <w:p w14:paraId="422E1609" w14:textId="77777777" w:rsidR="00A5325F" w:rsidRPr="007F2FF6" w:rsidRDefault="00A5325F" w:rsidP="001A5853">
            <w:pPr>
              <w:spacing w:line="360" w:lineRule="auto"/>
              <w:jc w:val="both"/>
              <w:rPr>
                <w:rFonts w:cs="Arial"/>
              </w:rPr>
            </w:pPr>
            <w:r w:rsidRPr="007F2FF6">
              <w:rPr>
                <w:rFonts w:cs="Arial"/>
              </w:rPr>
              <w:t>Reference</w:t>
            </w:r>
          </w:p>
        </w:tc>
      </w:tr>
      <w:tr w:rsidR="00DD6CA0" w:rsidRPr="007F2FF6" w14:paraId="54B572B5" w14:textId="77777777" w:rsidTr="00BE3553">
        <w:tc>
          <w:tcPr>
            <w:tcW w:w="9350" w:type="dxa"/>
            <w:gridSpan w:val="3"/>
          </w:tcPr>
          <w:p w14:paraId="2A1A798A" w14:textId="18DF5845" w:rsidR="00DD6CA0" w:rsidRPr="007F2FF6" w:rsidRDefault="00DD6CA0" w:rsidP="001A5853">
            <w:pPr>
              <w:spacing w:line="360" w:lineRule="auto"/>
              <w:jc w:val="both"/>
              <w:rPr>
                <w:rFonts w:cs="Arial"/>
              </w:rPr>
            </w:pPr>
            <w:r w:rsidRPr="007F2FF6">
              <w:rPr>
                <w:rFonts w:cs="Arial"/>
              </w:rPr>
              <w:t>Figure 1-3</w:t>
            </w:r>
          </w:p>
        </w:tc>
      </w:tr>
      <w:tr w:rsidR="00A5325F" w:rsidRPr="007F2FF6" w14:paraId="2B9C4119" w14:textId="77777777" w:rsidTr="001A5853">
        <w:tc>
          <w:tcPr>
            <w:tcW w:w="1705" w:type="dxa"/>
          </w:tcPr>
          <w:p w14:paraId="6FFF7EF0" w14:textId="77777777" w:rsidR="00A5325F" w:rsidRPr="007F2FF6" w:rsidRDefault="00A5325F" w:rsidP="001A5853">
            <w:pPr>
              <w:spacing w:line="360" w:lineRule="auto"/>
              <w:jc w:val="both"/>
              <w:rPr>
                <w:rFonts w:cs="Arial"/>
              </w:rPr>
            </w:pPr>
            <w:r w:rsidRPr="007F2FF6">
              <w:rPr>
                <w:rFonts w:cs="Arial"/>
              </w:rPr>
              <w:t xml:space="preserve">XMN46 </w:t>
            </w:r>
            <w:r w:rsidRPr="007F2FF6">
              <w:rPr>
                <w:rFonts w:cs="Arial"/>
              </w:rPr>
              <w:tab/>
            </w:r>
          </w:p>
        </w:tc>
        <w:tc>
          <w:tcPr>
            <w:tcW w:w="4868" w:type="dxa"/>
          </w:tcPr>
          <w:p w14:paraId="37B5B1DA" w14:textId="69E50AC9" w:rsidR="00A5325F" w:rsidRPr="007F2FF6" w:rsidRDefault="00A5325F" w:rsidP="001A5853">
            <w:pPr>
              <w:spacing w:line="360" w:lineRule="auto"/>
              <w:rPr>
                <w:rFonts w:cs="Arial"/>
              </w:rPr>
            </w:pPr>
            <w:r w:rsidRPr="007F2FF6">
              <w:rPr>
                <w:rFonts w:cs="Arial"/>
              </w:rPr>
              <w:t>bgIs6 [</w:t>
            </w:r>
            <w:r w:rsidR="00B64679" w:rsidRPr="007F2FF6">
              <w:rPr>
                <w:rFonts w:cs="Arial"/>
              </w:rPr>
              <w:t>P</w:t>
            </w:r>
            <w:r w:rsidRPr="007F2FF6">
              <w:rPr>
                <w:rFonts w:cs="Arial"/>
              </w:rPr>
              <w:t>flp-</w:t>
            </w:r>
            <w:proofErr w:type="gramStart"/>
            <w:r w:rsidRPr="007F2FF6">
              <w:rPr>
                <w:rFonts w:cs="Arial"/>
              </w:rPr>
              <w:t>13::</w:t>
            </w:r>
            <w:proofErr w:type="spellStart"/>
            <w:proofErr w:type="gramEnd"/>
            <w:r w:rsidRPr="007F2FF6">
              <w:rPr>
                <w:rFonts w:cs="Arial"/>
              </w:rPr>
              <w:t>mCherry</w:t>
            </w:r>
            <w:proofErr w:type="spellEnd"/>
            <w:r w:rsidRPr="007F2FF6">
              <w:rPr>
                <w:rFonts w:cs="Arial"/>
              </w:rPr>
              <w:t xml:space="preserve">; </w:t>
            </w:r>
            <w:r w:rsidR="00B64679" w:rsidRPr="007F2FF6">
              <w:rPr>
                <w:rFonts w:cs="Arial"/>
              </w:rPr>
              <w:t>P</w:t>
            </w:r>
            <w:r w:rsidRPr="007F2FF6">
              <w:rPr>
                <w:rFonts w:cs="Arial"/>
              </w:rPr>
              <w:t>ttx-3::RFP] II</w:t>
            </w:r>
          </w:p>
        </w:tc>
        <w:tc>
          <w:tcPr>
            <w:tcW w:w="2777" w:type="dxa"/>
          </w:tcPr>
          <w:p w14:paraId="5074CAFE" w14:textId="3966ED29" w:rsidR="00A5325F" w:rsidRPr="007F2FF6" w:rsidRDefault="00A5325F" w:rsidP="001A5853">
            <w:pPr>
              <w:spacing w:line="360" w:lineRule="auto"/>
              <w:jc w:val="both"/>
              <w:rPr>
                <w:rFonts w:cs="Arial"/>
              </w:rPr>
            </w:pPr>
            <w:r w:rsidRPr="007F2FF6">
              <w:rPr>
                <w:rStyle w:val="FootnoteReference"/>
                <w:rFonts w:cs="Arial"/>
              </w:rPr>
              <w:fldChar w:fldCharType="begin" w:fldLock="1"/>
            </w:r>
            <w:r w:rsidRPr="007F2FF6">
              <w:rPr>
                <w:rFonts w:cs="Arial"/>
              </w:rPr>
              <w:instrText>ADDIN CSL_CITATION {"citationItems":[{"id":"ITEM-1","itemData":{"DOI":"10.1186/1749-8104-9-10","author":[{"dropping-particle":"","family":"Opperman","given":"Karla J","non-dropping-particle":"","parse-names":false,"suffix":""},{"dropping-particle":"","family":"Grill","given":"Brock","non-dropping-particle":"","parse-names":false,"suffix":""}],"id":"ITEM-1","issue":"1","issued":{"date-parts":[["2014"]]},"page":"1-15","title":"RPM-1 is localized to distinct subcellular compartments and regulates axon length in GABAergic motor neurons","type":"article-journal","volume":"9"},"uris":["http://www.mendeley.com/documents/?uuid=c923b7ad-e097-4351-adbb-3f7b51578621"]}],"mendeley":{"formattedCitation":"(Opperman &amp; Grill, 2014)","plainTextFormattedCitation":"(Opperman &amp; Grill, 2014)","previouslyFormattedCitation":"(1)"},"properties":{"noteIndex":0},"schema":"https://github.com/citation-style-language/schema/raw/master/csl-citation.json"}</w:instrText>
            </w:r>
            <w:r w:rsidRPr="007F2FF6">
              <w:rPr>
                <w:rStyle w:val="FootnoteReference"/>
                <w:rFonts w:cs="Arial"/>
              </w:rPr>
              <w:fldChar w:fldCharType="separate"/>
            </w:r>
            <w:r w:rsidRPr="007F2FF6">
              <w:rPr>
                <w:rFonts w:cs="Arial"/>
                <w:bCs/>
                <w:noProof/>
              </w:rPr>
              <w:t>(Opperman &amp; Grill, 2014)</w:t>
            </w:r>
            <w:r w:rsidRPr="007F2FF6">
              <w:rPr>
                <w:rStyle w:val="FootnoteReference"/>
                <w:rFonts w:cs="Arial"/>
              </w:rPr>
              <w:fldChar w:fldCharType="end"/>
            </w:r>
          </w:p>
        </w:tc>
      </w:tr>
      <w:tr w:rsidR="00A5325F" w:rsidRPr="007F2FF6" w14:paraId="19527235" w14:textId="77777777" w:rsidTr="001A5853">
        <w:tc>
          <w:tcPr>
            <w:tcW w:w="1705" w:type="dxa"/>
          </w:tcPr>
          <w:p w14:paraId="247A3938" w14:textId="77777777" w:rsidR="00A5325F" w:rsidRPr="007F2FF6" w:rsidRDefault="00A5325F" w:rsidP="001A5853">
            <w:pPr>
              <w:tabs>
                <w:tab w:val="right" w:pos="1939"/>
              </w:tabs>
              <w:spacing w:line="360" w:lineRule="auto"/>
              <w:jc w:val="both"/>
              <w:rPr>
                <w:rFonts w:cs="Arial"/>
              </w:rPr>
            </w:pPr>
            <w:r w:rsidRPr="007F2FF6">
              <w:rPr>
                <w:rFonts w:cs="Arial"/>
              </w:rPr>
              <w:t>NC3315</w:t>
            </w:r>
          </w:p>
        </w:tc>
        <w:tc>
          <w:tcPr>
            <w:tcW w:w="4868" w:type="dxa"/>
          </w:tcPr>
          <w:p w14:paraId="7FF1EAB6" w14:textId="2B7C4767" w:rsidR="00A5325F" w:rsidRPr="007F2FF6" w:rsidRDefault="00A5325F" w:rsidP="001A5853">
            <w:pPr>
              <w:spacing w:line="360" w:lineRule="auto"/>
              <w:rPr>
                <w:rFonts w:cs="Arial"/>
              </w:rPr>
            </w:pPr>
            <w:r w:rsidRPr="007F2FF6">
              <w:rPr>
                <w:rFonts w:cs="Arial"/>
              </w:rPr>
              <w:t>wdEx1016 [</w:t>
            </w:r>
            <w:r w:rsidR="00B64679" w:rsidRPr="007F2FF6">
              <w:rPr>
                <w:rFonts w:cs="Arial"/>
              </w:rPr>
              <w:t>P</w:t>
            </w:r>
            <w:r w:rsidRPr="007F2FF6">
              <w:rPr>
                <w:rFonts w:cs="Arial"/>
              </w:rPr>
              <w:t>flp-</w:t>
            </w:r>
            <w:proofErr w:type="gramStart"/>
            <w:r w:rsidRPr="007F2FF6">
              <w:rPr>
                <w:rFonts w:cs="Arial"/>
              </w:rPr>
              <w:t>13::</w:t>
            </w:r>
            <w:proofErr w:type="spellStart"/>
            <w:proofErr w:type="gramEnd"/>
            <w:r w:rsidRPr="007F2FF6">
              <w:rPr>
                <w:rFonts w:cs="Arial"/>
              </w:rPr>
              <w:t>LifeAct</w:t>
            </w:r>
            <w:proofErr w:type="spellEnd"/>
            <w:r w:rsidRPr="007F2FF6">
              <w:rPr>
                <w:rFonts w:cs="Arial"/>
              </w:rPr>
              <w:t xml:space="preserve">::GFP; </w:t>
            </w:r>
            <w:r w:rsidR="00B64679" w:rsidRPr="007F2FF6">
              <w:rPr>
                <w:rFonts w:cs="Arial"/>
              </w:rPr>
              <w:t>P</w:t>
            </w:r>
            <w:r w:rsidRPr="007F2FF6">
              <w:rPr>
                <w:rFonts w:cs="Arial"/>
              </w:rPr>
              <w:t>myo-2::RFP]</w:t>
            </w:r>
          </w:p>
        </w:tc>
        <w:tc>
          <w:tcPr>
            <w:tcW w:w="2777" w:type="dxa"/>
          </w:tcPr>
          <w:p w14:paraId="7EC6525B" w14:textId="3DE0AD38" w:rsidR="00A5325F" w:rsidRPr="007F2FF6" w:rsidRDefault="00A5325F" w:rsidP="001A5853">
            <w:pPr>
              <w:spacing w:line="360" w:lineRule="auto"/>
              <w:jc w:val="both"/>
              <w:rPr>
                <w:rFonts w:cs="Arial"/>
              </w:rPr>
            </w:pPr>
            <w:r w:rsidRPr="007F2FF6">
              <w:rPr>
                <w:rFonts w:cs="Arial"/>
              </w:rPr>
              <w:fldChar w:fldCharType="begin" w:fldLock="1"/>
            </w:r>
            <w:r w:rsidRPr="007F2FF6">
              <w:rPr>
                <w:rFonts w:cs="Arial"/>
              </w:rPr>
              <w:instrText>ADDIN CSL_CITATION {"citationItems":[{"id":"ITEM-1","itemData":{"DOI":"10.7554/elife.47918","ISSN":"2050-084X","PMID":"31584430","abstract":"Dendritic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M","non-dropping-particle":"","parse-names":false,"suffix":""}],"container-title":"eLife","id":"ITEM-1","issued":{"date-parts":[["2019"]]},"page":"1-23","title":"C. elegans neurons have functional dendritic spines","type":"article-journal","volume":"8"},"uris":["http://www.mendeley.com/documents/?uuid=4cfb2ff0-2ded-40df-81c8-a4bfb887ab46"]}],"mendeley":{"formattedCitation":"(Cuentas-Condori et al., 2019)","plainTextFormattedCitation":"(Cuentas-Condori et al., 2019)","previouslyFormattedCitation":"(2)"},"properties":{"noteIndex":0},"schema":"https://github.com/citation-style-language/schema/raw/master/csl-citation.json"}</w:instrText>
            </w:r>
            <w:r w:rsidRPr="007F2FF6">
              <w:rPr>
                <w:rFonts w:cs="Arial"/>
              </w:rPr>
              <w:fldChar w:fldCharType="separate"/>
            </w:r>
            <w:r w:rsidRPr="007F2FF6">
              <w:rPr>
                <w:rFonts w:cs="Arial"/>
                <w:noProof/>
              </w:rPr>
              <w:t>(Cuentas-Condori et al., 2019)</w:t>
            </w:r>
            <w:r w:rsidRPr="007F2FF6">
              <w:rPr>
                <w:rFonts w:cs="Arial"/>
              </w:rPr>
              <w:fldChar w:fldCharType="end"/>
            </w:r>
          </w:p>
        </w:tc>
      </w:tr>
      <w:tr w:rsidR="00A5325F" w:rsidRPr="007F2FF6" w14:paraId="3BB9177B" w14:textId="77777777" w:rsidTr="001A5853">
        <w:tc>
          <w:tcPr>
            <w:tcW w:w="1705" w:type="dxa"/>
          </w:tcPr>
          <w:p w14:paraId="68973CF7" w14:textId="360705CB" w:rsidR="00A5325F" w:rsidRPr="007F2FF6" w:rsidRDefault="00A5325F" w:rsidP="00A5325F">
            <w:pPr>
              <w:tabs>
                <w:tab w:val="right" w:pos="1939"/>
              </w:tabs>
              <w:spacing w:line="360" w:lineRule="auto"/>
              <w:jc w:val="both"/>
              <w:rPr>
                <w:rFonts w:cs="Arial"/>
              </w:rPr>
            </w:pPr>
            <w:r w:rsidRPr="007F2FF6">
              <w:rPr>
                <w:rFonts w:cs="Arial"/>
              </w:rPr>
              <w:t>NC3608</w:t>
            </w:r>
          </w:p>
        </w:tc>
        <w:tc>
          <w:tcPr>
            <w:tcW w:w="4868" w:type="dxa"/>
          </w:tcPr>
          <w:p w14:paraId="0D0ACDEA" w14:textId="79701B91" w:rsidR="00A5325F" w:rsidRPr="007F2FF6" w:rsidRDefault="00A5325F" w:rsidP="00A5325F">
            <w:pPr>
              <w:spacing w:line="360" w:lineRule="auto"/>
              <w:rPr>
                <w:rFonts w:cs="Arial"/>
              </w:rPr>
            </w:pPr>
            <w:r w:rsidRPr="007F2FF6">
              <w:rPr>
                <w:rFonts w:cs="Arial"/>
              </w:rPr>
              <w:t>wdEx123[</w:t>
            </w:r>
            <w:r w:rsidR="00B64679" w:rsidRPr="007F2FF6">
              <w:rPr>
                <w:rFonts w:cs="Arial"/>
              </w:rPr>
              <w:t>P</w:t>
            </w:r>
            <w:r w:rsidRPr="007F2FF6">
              <w:rPr>
                <w:rFonts w:cs="Arial"/>
              </w:rPr>
              <w:t>flp-</w:t>
            </w:r>
            <w:proofErr w:type="gramStart"/>
            <w:r w:rsidRPr="007F2FF6">
              <w:rPr>
                <w:rFonts w:cs="Arial"/>
              </w:rPr>
              <w:t>13::</w:t>
            </w:r>
            <w:proofErr w:type="spellStart"/>
            <w:proofErr w:type="gramEnd"/>
            <w:r w:rsidRPr="007F2FF6">
              <w:rPr>
                <w:rFonts w:cs="Arial"/>
              </w:rPr>
              <w:t>myr</w:t>
            </w:r>
            <w:proofErr w:type="spellEnd"/>
            <w:r w:rsidRPr="007F2FF6">
              <w:rPr>
                <w:rFonts w:cs="Arial"/>
              </w:rPr>
              <w:t>::</w:t>
            </w:r>
            <w:proofErr w:type="spellStart"/>
            <w:r w:rsidRPr="007F2FF6">
              <w:rPr>
                <w:rFonts w:cs="Arial"/>
              </w:rPr>
              <w:t>mRuby</w:t>
            </w:r>
            <w:proofErr w:type="spellEnd"/>
            <w:r w:rsidRPr="007F2FF6">
              <w:rPr>
                <w:rFonts w:cs="Arial"/>
              </w:rPr>
              <w:t xml:space="preserve">; </w:t>
            </w:r>
            <w:r w:rsidR="00B64679" w:rsidRPr="007F2FF6">
              <w:rPr>
                <w:rFonts w:cs="Arial"/>
              </w:rPr>
              <w:t>P</w:t>
            </w:r>
            <w:r w:rsidRPr="007F2FF6">
              <w:rPr>
                <w:rFonts w:cs="Arial"/>
              </w:rPr>
              <w:t>str-1::GFP]</w:t>
            </w:r>
          </w:p>
        </w:tc>
        <w:tc>
          <w:tcPr>
            <w:tcW w:w="2777" w:type="dxa"/>
          </w:tcPr>
          <w:p w14:paraId="728A38FC" w14:textId="6F5BEDE1" w:rsidR="00A5325F" w:rsidRPr="007F2FF6" w:rsidRDefault="00A5325F" w:rsidP="00A5325F">
            <w:pPr>
              <w:spacing w:line="360" w:lineRule="auto"/>
              <w:jc w:val="both"/>
              <w:rPr>
                <w:rFonts w:cs="Arial"/>
              </w:rPr>
            </w:pPr>
            <w:r w:rsidRPr="007F2FF6">
              <w:rPr>
                <w:rFonts w:cs="Arial"/>
              </w:rPr>
              <w:fldChar w:fldCharType="begin" w:fldLock="1"/>
            </w:r>
            <w:r w:rsidRPr="007F2FF6">
              <w:rPr>
                <w:rFonts w:cs="Arial"/>
              </w:rPr>
              <w:instrText>ADDIN CSL_CITATION {"citationItems":[{"id":"ITEM-1","itemData":{"DOI":"10.7554/elife.47918","ISSN":"2050-084X","PMID":"31584430","abstract":"Dendritic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M","non-dropping-particle":"","parse-names":false,"suffix":""}],"container-title":"eLife","id":"ITEM-1","issued":{"date-parts":[["2019"]]},"page":"1-23","title":"C. elegans neurons have functional dendritic spines","type":"article-journal","volume":"8"},"uris":["http://www.mendeley.com/documents/?uuid=4cfb2ff0-2ded-40df-81c8-a4bfb887ab46"]}],"mendeley":{"formattedCitation":"(Cuentas-Condori et al., 2019)","plainTextFormattedCitation":"(Cuentas-Condori et al., 2019)","previouslyFormattedCitation":"(2)"},"properties":{"noteIndex":0},"schema":"https://github.com/citation-style-language/schema/raw/master/csl-citation.json"}</w:instrText>
            </w:r>
            <w:r w:rsidRPr="007F2FF6">
              <w:rPr>
                <w:rFonts w:cs="Arial"/>
              </w:rPr>
              <w:fldChar w:fldCharType="separate"/>
            </w:r>
            <w:r w:rsidRPr="007F2FF6">
              <w:rPr>
                <w:rFonts w:cs="Arial"/>
                <w:noProof/>
              </w:rPr>
              <w:t>(Cuentas-Condori et al., 2019)</w:t>
            </w:r>
            <w:r w:rsidRPr="007F2FF6">
              <w:rPr>
                <w:rFonts w:cs="Arial"/>
              </w:rPr>
              <w:fldChar w:fldCharType="end"/>
            </w:r>
          </w:p>
        </w:tc>
      </w:tr>
      <w:tr w:rsidR="00A5325F" w:rsidRPr="007F2FF6" w14:paraId="4166E2D2" w14:textId="77777777" w:rsidTr="001A5853">
        <w:tc>
          <w:tcPr>
            <w:tcW w:w="1705" w:type="dxa"/>
          </w:tcPr>
          <w:p w14:paraId="46C68DF1" w14:textId="3C984907" w:rsidR="00A5325F" w:rsidRPr="007F2FF6" w:rsidRDefault="00A5325F" w:rsidP="00A5325F">
            <w:pPr>
              <w:tabs>
                <w:tab w:val="right" w:pos="1939"/>
              </w:tabs>
              <w:spacing w:line="360" w:lineRule="auto"/>
              <w:jc w:val="both"/>
              <w:rPr>
                <w:rFonts w:cs="Arial"/>
              </w:rPr>
            </w:pPr>
            <w:r w:rsidRPr="007F2FF6">
              <w:rPr>
                <w:rFonts w:cs="Arial"/>
              </w:rPr>
              <w:t>NC3518</w:t>
            </w:r>
          </w:p>
        </w:tc>
        <w:tc>
          <w:tcPr>
            <w:tcW w:w="4868" w:type="dxa"/>
          </w:tcPr>
          <w:p w14:paraId="4A404299" w14:textId="76FD4ED9" w:rsidR="00A5325F" w:rsidRPr="007F2FF6" w:rsidRDefault="00A5325F" w:rsidP="00A5325F">
            <w:pPr>
              <w:spacing w:line="360" w:lineRule="auto"/>
              <w:rPr>
                <w:rFonts w:cs="Arial"/>
              </w:rPr>
            </w:pPr>
            <w:r w:rsidRPr="007F2FF6">
              <w:rPr>
                <w:rFonts w:cs="Arial"/>
              </w:rPr>
              <w:t>wdEx1108 [</w:t>
            </w:r>
            <w:r w:rsidR="00B64679" w:rsidRPr="007F2FF6">
              <w:rPr>
                <w:rFonts w:cs="Arial"/>
              </w:rPr>
              <w:t>P</w:t>
            </w:r>
            <w:r w:rsidRPr="007F2FF6">
              <w:rPr>
                <w:rFonts w:cs="Arial"/>
              </w:rPr>
              <w:t>flp-</w:t>
            </w:r>
            <w:proofErr w:type="gramStart"/>
            <w:r w:rsidRPr="007F2FF6">
              <w:rPr>
                <w:rFonts w:cs="Arial"/>
              </w:rPr>
              <w:t>13::</w:t>
            </w:r>
            <w:proofErr w:type="gramEnd"/>
            <w:r w:rsidRPr="007F2FF6">
              <w:rPr>
                <w:rFonts w:cs="Arial"/>
              </w:rPr>
              <w:t>GFP::Utrophin;</w:t>
            </w:r>
            <w:r w:rsidR="00B64679" w:rsidRPr="007F2FF6">
              <w:rPr>
                <w:rFonts w:cs="Arial"/>
              </w:rPr>
              <w:t xml:space="preserve"> P</w:t>
            </w:r>
            <w:r w:rsidRPr="007F2FF6">
              <w:rPr>
                <w:rFonts w:cs="Arial"/>
              </w:rPr>
              <w:t>myo-2::RFP]</w:t>
            </w:r>
          </w:p>
        </w:tc>
        <w:tc>
          <w:tcPr>
            <w:tcW w:w="2777" w:type="dxa"/>
          </w:tcPr>
          <w:p w14:paraId="1E47BE93" w14:textId="003198EB" w:rsidR="00A5325F" w:rsidRPr="007F2FF6" w:rsidRDefault="00A5325F" w:rsidP="00A5325F">
            <w:pPr>
              <w:spacing w:line="360" w:lineRule="auto"/>
              <w:jc w:val="both"/>
              <w:rPr>
                <w:rFonts w:cs="Arial"/>
              </w:rPr>
            </w:pPr>
            <w:r w:rsidRPr="007F2FF6">
              <w:rPr>
                <w:rFonts w:cs="Arial"/>
              </w:rPr>
              <w:fldChar w:fldCharType="begin" w:fldLock="1"/>
            </w:r>
            <w:r w:rsidRPr="007F2FF6">
              <w:rPr>
                <w:rFonts w:cs="Arial"/>
              </w:rPr>
              <w:instrText>ADDIN CSL_CITATION {"citationItems":[{"id":"ITEM-1","itemData":{"DOI":"10.7554/elife.47918","ISSN":"2050-084X","PMID":"31584430","abstract":"Dendritic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M","non-dropping-particle":"","parse-names":false,"suffix":""}],"container-title":"eLife","id":"ITEM-1","issued":{"date-parts":[["2019"]]},"page":"1-23","title":"C. elegans neurons have functional dendritic spines","type":"article-journal","volume":"8"},"uris":["http://www.mendeley.com/documents/?uuid=4cfb2ff0-2ded-40df-81c8-a4bfb887ab46"]}],"mendeley":{"formattedCitation":"(Cuentas-Condori et al., 2019)","plainTextFormattedCitation":"(Cuentas-Condori et al., 2019)","previouslyFormattedCitation":"(2)"},"properties":{"noteIndex":0},"schema":"https://github.com/citation-style-language/schema/raw/master/csl-citation.json"}</w:instrText>
            </w:r>
            <w:r w:rsidRPr="007F2FF6">
              <w:rPr>
                <w:rFonts w:cs="Arial"/>
              </w:rPr>
              <w:fldChar w:fldCharType="separate"/>
            </w:r>
            <w:r w:rsidRPr="007F2FF6">
              <w:rPr>
                <w:rFonts w:cs="Arial"/>
                <w:noProof/>
              </w:rPr>
              <w:t>(Cuentas-Condori et al., 2019)</w:t>
            </w:r>
            <w:r w:rsidRPr="007F2FF6">
              <w:rPr>
                <w:rFonts w:cs="Arial"/>
              </w:rPr>
              <w:fldChar w:fldCharType="end"/>
            </w:r>
          </w:p>
        </w:tc>
      </w:tr>
      <w:tr w:rsidR="00DD6CA0" w:rsidRPr="007F2FF6" w14:paraId="09BAB1BF" w14:textId="77777777" w:rsidTr="00F44A27">
        <w:tc>
          <w:tcPr>
            <w:tcW w:w="9350" w:type="dxa"/>
            <w:gridSpan w:val="3"/>
          </w:tcPr>
          <w:p w14:paraId="7E04659A" w14:textId="53469B7B" w:rsidR="00DD6CA0" w:rsidRPr="007F2FF6" w:rsidRDefault="00DD6CA0" w:rsidP="00A5325F">
            <w:pPr>
              <w:spacing w:line="360" w:lineRule="auto"/>
              <w:jc w:val="both"/>
              <w:rPr>
                <w:rFonts w:cs="Arial"/>
              </w:rPr>
            </w:pPr>
            <w:r w:rsidRPr="007F2FF6">
              <w:rPr>
                <w:rFonts w:cs="Arial"/>
              </w:rPr>
              <w:t>Figure 4</w:t>
            </w:r>
          </w:p>
        </w:tc>
      </w:tr>
      <w:tr w:rsidR="00614EC3" w:rsidRPr="007F2FF6" w14:paraId="113ABD4A" w14:textId="77777777" w:rsidTr="001A5853">
        <w:tc>
          <w:tcPr>
            <w:tcW w:w="1705" w:type="dxa"/>
          </w:tcPr>
          <w:p w14:paraId="4895FC97" w14:textId="74EC71D6" w:rsidR="00614EC3" w:rsidRPr="007F2FF6" w:rsidRDefault="00614EC3" w:rsidP="00614EC3">
            <w:pPr>
              <w:tabs>
                <w:tab w:val="right" w:pos="1939"/>
              </w:tabs>
              <w:spacing w:line="360" w:lineRule="auto"/>
              <w:jc w:val="both"/>
              <w:rPr>
                <w:rFonts w:cs="Arial"/>
              </w:rPr>
            </w:pPr>
            <w:r w:rsidRPr="007F2FF6">
              <w:rPr>
                <w:rFonts w:cs="Arial"/>
              </w:rPr>
              <w:t>NC3569</w:t>
            </w:r>
          </w:p>
        </w:tc>
        <w:tc>
          <w:tcPr>
            <w:tcW w:w="4868" w:type="dxa"/>
          </w:tcPr>
          <w:p w14:paraId="3D08063F" w14:textId="49755349" w:rsidR="00614EC3" w:rsidRPr="007F2FF6" w:rsidRDefault="00614EC3" w:rsidP="00614EC3">
            <w:pPr>
              <w:spacing w:line="360" w:lineRule="auto"/>
              <w:rPr>
                <w:rFonts w:cs="Arial"/>
                <w:iCs/>
              </w:rPr>
            </w:pPr>
            <w:r w:rsidRPr="007F2FF6">
              <w:rPr>
                <w:rFonts w:cs="Arial"/>
                <w:iCs/>
              </w:rPr>
              <w:t>lin-15(n765); wdIs117 [</w:t>
            </w:r>
            <w:r w:rsidR="00B64679" w:rsidRPr="007F2FF6">
              <w:rPr>
                <w:rFonts w:cs="Arial"/>
                <w:iCs/>
              </w:rPr>
              <w:t>P</w:t>
            </w:r>
            <w:r w:rsidRPr="007F2FF6">
              <w:rPr>
                <w:rFonts w:cs="Arial"/>
                <w:iCs/>
              </w:rPr>
              <w:t>unc-</w:t>
            </w:r>
            <w:proofErr w:type="gramStart"/>
            <w:r w:rsidRPr="007F2FF6">
              <w:rPr>
                <w:rFonts w:cs="Arial"/>
                <w:iCs/>
              </w:rPr>
              <w:t>4::</w:t>
            </w:r>
            <w:proofErr w:type="spellStart"/>
            <w:proofErr w:type="gramEnd"/>
            <w:r w:rsidRPr="007F2FF6">
              <w:rPr>
                <w:rFonts w:cs="Arial"/>
                <w:iCs/>
              </w:rPr>
              <w:t>ceChrimson</w:t>
            </w:r>
            <w:proofErr w:type="spellEnd"/>
            <w:r w:rsidRPr="007F2FF6">
              <w:rPr>
                <w:rFonts w:cs="Arial"/>
                <w:iCs/>
              </w:rPr>
              <w:t>::SL2::3xNLSGFP; lin-15+] II?; wdEx1112 [</w:t>
            </w:r>
            <w:r w:rsidR="00B64679" w:rsidRPr="007F2FF6">
              <w:rPr>
                <w:rFonts w:cs="Arial"/>
                <w:iCs/>
              </w:rPr>
              <w:t>P</w:t>
            </w:r>
            <w:r w:rsidRPr="007F2FF6">
              <w:rPr>
                <w:rFonts w:cs="Arial"/>
                <w:iCs/>
              </w:rPr>
              <w:t>flp13::GCaMP6s::SL2::</w:t>
            </w:r>
            <w:proofErr w:type="spellStart"/>
            <w:r w:rsidRPr="007F2FF6">
              <w:rPr>
                <w:rFonts w:cs="Arial"/>
                <w:iCs/>
              </w:rPr>
              <w:t>mCherry</w:t>
            </w:r>
            <w:proofErr w:type="spellEnd"/>
            <w:r w:rsidRPr="007F2FF6">
              <w:rPr>
                <w:rFonts w:cs="Arial"/>
                <w:iCs/>
              </w:rPr>
              <w:t xml:space="preserve">] </w:t>
            </w:r>
          </w:p>
        </w:tc>
        <w:tc>
          <w:tcPr>
            <w:tcW w:w="2777" w:type="dxa"/>
          </w:tcPr>
          <w:p w14:paraId="77E46D1C" w14:textId="54173F0A" w:rsidR="00614EC3" w:rsidRPr="007F2FF6" w:rsidRDefault="00614EC3" w:rsidP="00614EC3">
            <w:pPr>
              <w:spacing w:line="360" w:lineRule="auto"/>
              <w:jc w:val="both"/>
              <w:rPr>
                <w:rFonts w:cs="Arial"/>
              </w:rPr>
            </w:pPr>
            <w:r w:rsidRPr="007F2FF6">
              <w:rPr>
                <w:rFonts w:cs="Arial"/>
              </w:rPr>
              <w:fldChar w:fldCharType="begin" w:fldLock="1"/>
            </w:r>
            <w:r w:rsidRPr="007F2FF6">
              <w:rPr>
                <w:rFonts w:cs="Arial"/>
              </w:rPr>
              <w:instrText>ADDIN CSL_CITATION {"citationItems":[{"id":"ITEM-1","itemData":{"DOI":"10.7554/elife.47918","ISSN":"2050-084X","PMID":"31584430","abstract":"Dendritic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M","non-dropping-particle":"","parse-names":false,"suffix":""}],"container-title":"eLife","id":"ITEM-1","issued":{"date-parts":[["2019"]]},"page":"1-23","title":"C. elegans neurons have functional dendritic spines","type":"article-journal","volume":"8"},"uris":["http://www.mendeley.com/documents/?uuid=4cfb2ff0-2ded-40df-81c8-a4bfb887ab46"]}],"mendeley":{"formattedCitation":"(Cuentas-Condori et al., 2019)","plainTextFormattedCitation":"(Cuentas-Condori et al., 2019)","previouslyFormattedCitation":"(2)"},"properties":{"noteIndex":0},"schema":"https://github.com/citation-style-language/schema/raw/master/csl-citation.json"}</w:instrText>
            </w:r>
            <w:r w:rsidRPr="007F2FF6">
              <w:rPr>
                <w:rFonts w:cs="Arial"/>
              </w:rPr>
              <w:fldChar w:fldCharType="separate"/>
            </w:r>
            <w:r w:rsidRPr="007F2FF6">
              <w:rPr>
                <w:rFonts w:cs="Arial"/>
                <w:noProof/>
              </w:rPr>
              <w:t>(Cuentas-Condori et al., 2019)</w:t>
            </w:r>
            <w:r w:rsidRPr="007F2FF6">
              <w:rPr>
                <w:rFonts w:cs="Arial"/>
              </w:rPr>
              <w:fldChar w:fldCharType="end"/>
            </w:r>
          </w:p>
        </w:tc>
      </w:tr>
    </w:tbl>
    <w:p w14:paraId="44E9DB83" w14:textId="77777777" w:rsidR="00A5325F" w:rsidRPr="007F2FF6" w:rsidRDefault="00A5325F">
      <w:pPr>
        <w:rPr>
          <w:rFonts w:cs="Arial"/>
        </w:rPr>
      </w:pPr>
    </w:p>
    <w:sectPr w:rsidR="00A5325F" w:rsidRPr="007F2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0MjUwM7M0NrE0NjRV0lEKTi0uzszPAykwrAUAtJANaiwAAAA="/>
  </w:docVars>
  <w:rsids>
    <w:rsidRoot w:val="00AF7371"/>
    <w:rsid w:val="00614EC3"/>
    <w:rsid w:val="007F2FF6"/>
    <w:rsid w:val="00A5325F"/>
    <w:rsid w:val="00AF7371"/>
    <w:rsid w:val="00B64679"/>
    <w:rsid w:val="00DD6CA0"/>
    <w:rsid w:val="00DE125A"/>
    <w:rsid w:val="00F028FC"/>
    <w:rsid w:val="00F3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1026"/>
  <w15:chartTrackingRefBased/>
  <w15:docId w15:val="{0DECC1C6-EE90-D24E-B6A0-35BA2940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7371"/>
    <w:pPr>
      <w:spacing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A53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18DD-242B-F54F-98F4-B37E4E58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1826</Words>
  <Characters>10411</Characters>
  <Application>Microsoft Office Word</Application>
  <DocSecurity>0</DocSecurity>
  <Lines>86</Lines>
  <Paragraphs>24</Paragraphs>
  <ScaleCrop>false</ScaleCrop>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Cuentas</dc:creator>
  <cp:keywords/>
  <dc:description/>
  <cp:lastModifiedBy>Nilanjana Das</cp:lastModifiedBy>
  <cp:revision>2</cp:revision>
  <dcterms:created xsi:type="dcterms:W3CDTF">2021-09-03T06:45:00Z</dcterms:created>
  <dcterms:modified xsi:type="dcterms:W3CDTF">2021-09-03T06:45:00Z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b7b2da8a-c83e-3abf-8166-f8f0210be466</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