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of Uterine Innate Lymphoid Cells for Analysis by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4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Delphine M. Depierreux</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Emily Seshadri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Evgeniya V. Shmeleva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Jens Kieckbusch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Delia A. Hawkes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Francesco Colucci</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Obstetrics and Gynaecology, National Institute for Health Research Cambridge Biomedical Research Centre, University of Cambridge School of Clinical Medicine, Cambridge,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Centre for Trophoblast Research, University of Cambridge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three authors have contributed equally to this publication.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Delphine M. Depierreux</w:t>
        <w:tab/>
        <w:t xml:space="preserve">(</w:t>
      </w:r>
      <w:r>
        <w:rPr>
          <w:rFonts w:ascii="Calibri" w:hAnsi="Calibri" w:cs="Calibri" w:eastAsia="Calibri"/>
          <w:color w:val="auto"/>
          <w:spacing w:val="0"/>
          <w:position w:val="0"/>
          <w:sz w:val="24"/>
          <w:shd w:fill="auto" w:val="clear"/>
        </w:rPr>
        <w:t xml:space="preserve">dd475@cam.ac.uk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Emily Seshadri</w:t>
        <w:tab/>
        <w:tab/>
        <w:tab/>
        <w:t xml:space="preserve">(</w:t>
      </w:r>
      <w:r>
        <w:rPr>
          <w:rFonts w:ascii="Calibri" w:hAnsi="Calibri" w:cs="Calibri" w:eastAsia="Calibri"/>
          <w:color w:val="auto"/>
          <w:spacing w:val="0"/>
          <w:position w:val="0"/>
          <w:sz w:val="24"/>
          <w:shd w:fill="auto" w:val="clear"/>
        </w:rPr>
        <w:t xml:space="preserve">es857@cam.ac.uk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Evgeniya V. Shmeleva</w:t>
        <w:tab/>
        <w:tab/>
        <w:t xml:space="preserve">(</w:t>
      </w:r>
      <w:r>
        <w:rPr>
          <w:rFonts w:ascii="Calibri" w:hAnsi="Calibri" w:cs="Calibri" w:eastAsia="Calibri"/>
          <w:color w:val="auto"/>
          <w:spacing w:val="0"/>
          <w:position w:val="0"/>
          <w:sz w:val="24"/>
          <w:shd w:fill="auto" w:val="clear"/>
        </w:rPr>
        <w:t xml:space="preserve">es704@cam.ac.uk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Jens Kieckbusch</w:t>
        <w:tab/>
        <w:tab/>
        <w:t xml:space="preserve">(kieckbuschjens@gmail.com)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Delia Hawkes</w:t>
        <w:tab/>
        <w:tab/>
        <w:tab/>
        <w:t xml:space="preserve">(dah52@medschl.cam.ac.uk)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Francesco Colucci</w:t>
        <w:tab/>
        <w:tab/>
      </w:r>
      <w:r>
        <w:rPr>
          <w:rFonts w:ascii="Calibri" w:hAnsi="Calibri" w:cs="Calibri" w:eastAsia="Calibri"/>
          <w:color w:val="auto"/>
          <w:spacing w:val="0"/>
          <w:position w:val="0"/>
          <w:sz w:val="24"/>
          <w:shd w:fill="auto" w:val="clear"/>
        </w:rPr>
        <w:t xml:space="preserve">(fc287@medschl.cam.ac.uk</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Francesco Colucci</w:t>
        <w:tab/>
        <w:tab/>
      </w:r>
      <w:r>
        <w:rPr>
          <w:rFonts w:ascii="Calibri" w:hAnsi="Calibri" w:cs="Calibri" w:eastAsia="Calibri"/>
          <w:color w:val="auto"/>
          <w:spacing w:val="0"/>
          <w:position w:val="0"/>
          <w:sz w:val="24"/>
          <w:shd w:fill="auto" w:val="clear"/>
        </w:rPr>
        <w:t xml:space="preserve">(fc287@medschl.cam.ac.uk</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pregnancy, uterus, decidua, natural killer cells, innate lymphoid cells,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a method to isolate uterine lymphoid cells from both pregnant and non-pregnant mice. This method can be used for multiple downstream applications such as FACS phenotyping, cell sorting, functional assays, RNA-seq, and proteomics. The protocol here demonstrates how to phenotype group 1 uterine innate lymphoid cells by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simple method to isolate and phenotype mouse group 1 uterine innate lymphoid cells (g1 uILCs) from individual pregnant uterus by flow cytometry. The protocol describes how to set up time mating to obtain multiple synchronous dams, the mechanical and enzymatic digestion of the pregnant uterus, the staining of single-cell suspensions, and a FACS strategy to phenotype and discriminate g1 uILCs. Although this method inevitably loses the spatial information of cellular distribution within the tissue, the protocol has been successfully applied to determine uILC heterogeneity, their response to maternal and foetal factors affecting pregnancy, their gene expression profile, and their functions.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simple method to obtain a high yield of uterine innate lymphocytes from individual pregnant uterus. This method preserves protein surface expression and functionality of uterine innate lymphocytes and it is suitable for subsequent applications such as FACS phenotyping, RNAseq, proteomics or functional assays. Here, the focus is on the phenotyping of group 1 uILCs by flow cytometry.</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uterus is composed of three layers: the endometrium, myometrium, and perimetrium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endometrium is the mucosa, lining the lumen of the uterus. Progesterone, produced by the corpus luteum, converts the endometrium into decidua. The myometrium is composed of two layers of smooth muscle that make up the uterine wall. The perimetrium is the serosa that wraps the uterus and connects it to the peritoneum through the broad ligament called mesometrium. In a cross-section of the uterus, the part opposite to the lumen is called the mesometrial side, while the part close to the lumen is called the anti-mesometrial side. A variety of maternal leukocytes populate the endometrium and the decidua, including several types of cells, where the innate immune cells represent the vast majority of cells. Innate lymphoid cells (ILCs), macrophages, dendritic cells (DC), as well as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lymphocytes, regulatory T cells (Tregs), and rare B cells, may all play important roles in the regulation of the uterine environment throughout pregnancy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ILCs in the uterus are found not only in the mucosa, but also in the myometrium in mice. Including all three groups of ILCs, the uterus is indeed the organ most densely populated by group 1 ILCs. With the structural transformation of uterine tissues throughout gestation, the number and proportion of uterine leukocytes also change (see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for an example of variations in the percentage of group 1 uILC subsets)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mice are referred to in this paper, the C57BL/6 strain of inbred laboratory mice is meant. Outbred mice (e.g., NMRI mice) are often used in reproductive research because of their high reproductive rate. However, the use of inbred strains is necessary to generate consistent results, and the immunologist’s favorite genetic background is C57BL/6, also known as B6.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Approximately 30% of uterine leukocytes in B6 dams at mid-gestation are g1 uILCs, which are defined by flow cytometry as viable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NK1.1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pro-angiogenic tissue-resident NK (trNK), IFN-g producing conventional NK (cNK), and uILC1</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percentage of uNK cells is even higher in humans, reaching about 70% in the first trimester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There are more similarities than differences between human and mouse uNK and uILC</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Although it is important to keep the differences in mind, it is useful to integrate information available on the two species. When one combines information obtained from investigating uILC in humans and laboratory rodents, it is clear that NK cells assist in homeostatic changes essential for the biology of the uterus, including maintenance of arterial integrity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spiral artery remodeling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as well as trophoblast invasion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They also play specific roles in the defense against pathogens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In mice and rats, besides filling the decidua around the implantation site, NK cells accumulate between the two muscle layers of the myometrium of dams in a transient structure known as the Mesometrial Lymphoid Aggregate of pregnancy (MLAp)</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also known in the past as the metrial gland, the function of which is yet to be discovered.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detailed protocol of the method used in the laboratory to isolate lymphocytes from the uterus of pregnant mice using a combination of mechanical disaggregation and enzymatic digestion. As the whole uterus is used in the method, lymphocytes isolated from the uterus during gestation are a mixture of decidual and myometrial cells. Further dissection of the decidua from the uterine wall and its MLAp is possible, and it has been described before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method described here was developed to obtain uterine lymphocytes while preserving protein surface expression, cellular functionality, and viability. The outcome is a single cell suspension with minimal residual cellular debris and a yield typically ranging from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million cells at mid-gestation (10.5 days) for a pregnant uterus. The applications of this method encompass phenotyping by flow cytometry, cell sorting for subsequent transcriptomic or proteomic studies, functional studies such as intracellular cytokine production, degranulation, ELISPOT or cytotoxic assays. The protocol presented here focuses on identifying group 1 ILCs but can be adapted for other cell types such as other ILCs, T cells, B cells, DC, or macrophages with minor modifications of the antibody panel used for FACS analysis. The protocol can also be used to isolate cells from other tissues and for pooled non-pregnant uteri.</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described in this paper were conducted according to the Animals (Scientific Procedures) Act 1986 under PP2363781 issued by the UK Home Office. The protocol below consists of several sections starting from mice husbandry and finishing with staining for FACS analysis.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reflects the main steps of the protocol. The materials used in the protocol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General mice husbandry, mating, and dissection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Keep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week old female mice under specific pathogen-free (SPF) conditions and group-housed (typically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females according to cage size and animal weight),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days to trigger the Lee-Boot effect, which results in estrus synchronization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Keep the stud males in SPF conditions, single-housed, and rested for at least 48 h between each mating (time for sperm regeneration). It is preferable to use experienced proven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month old stud males as they are typically more performant than the young 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To increase the likelihood of females becoming pregnant, introduce soiled bedding from a male’s cage in the female cage 3 days prior to mating. This triggers the Whitten effect</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by exposure to male urine pheromones, and results in synchronized estrus as well as enhanced receptivity for mating.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On Day 0 (D0), set up the mice for mating using one stud male per two females; consider a plug rate of approximately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Mating will likely occur at night since mice are nocturnal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In the morning following mating (D0.5), check for the presence of a vaginal plug, which is an indicator of copulation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vaginal plug is an aggregate of the male ejaculate and typically persists for up to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after mating. Check the plugs early morning.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Consolidate the plugged females in a new cage and earmark them. Return the males to their cages for resting.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At D9.5 or 10.5-after mating, prepare 5 mL tubes with 1 mL sterile HBSS 1x (with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tissue collection and place them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Proceed to animal euthanasia by cervical dislocation, followed by exsanguination to confirm death.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Work in a sterile environment if the downstream application requires to do so. Directly after euthanasia, wipe the mouse body with 70% ethanol and proceed to dissection under a laminar flux cabinet with sterile instruments.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Dissect the pregnant uterus free of mesometrial fat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place the whole uterus in a prepared and appropriately labeled 5 mL tube. Keep the tubes on 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Mechanical and enzymatic digestion of the uterus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To prepare the enzymatic digestion solution, mix 3 mL per uterus of sterile HBSS 1x with 30 &amp;#181;g/mL of DNAse and 0.1 W&amp;#252;nsch unit (WU)/mL of Liberase DH or 0.52 WU/mL of Liberase TM. Put the solution in a water bath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Both Liberase TM and Liberase DH can be used. The choice of one over the other must be guided by their potential effect on epitopes recognized by antibodies used for subsequent flow cytometry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If using lyophilized enzymes, work under the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Prepare 20 mL of 5 mM EDTA in PBS (no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Place half the solution at 37 &amp;#176;C in a water bath and the other half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Under a laminar flux cabinet, gently remove the fat surrounding the pregnant uterus with sterile instruments in a sterile Petri dish. Do not allow the tissue to dry.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Dissect each implantation site with sterile instruments to remove the fetuses (seahorse-shaped translucid structure, around 1 mm in length) (</w:t>
      </w:r>
      <w:r>
        <w:rPr>
          <w:rFonts w:ascii="Calibri" w:hAnsi="Calibri" w:cs="Calibri" w:eastAsia="Calibri"/>
          <w:b/>
          <w:color w:val="000000"/>
          <w:spacing w:val="0"/>
          <w:position w:val="0"/>
          <w:sz w:val="24"/>
          <w:shd w:fill="FFFF00" w:val="clear"/>
        </w:rPr>
        <w:t xml:space="preserve">Figure 6A</w:t>
      </w:r>
      <w:r>
        <w:rPr>
          <w:rFonts w:ascii="Calibri" w:hAnsi="Calibri" w:cs="Calibri" w:eastAsia="Calibri"/>
          <w:color w:val="000000"/>
          <w:spacing w:val="0"/>
          <w:position w:val="0"/>
          <w:sz w:val="24"/>
          <w:shd w:fill="FFFF00" w:val="clear"/>
        </w:rPr>
        <w:t xml:space="preserve">). Discard the fetuses.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Return the uterus to their original collection 5 mL tube and mince the tissue using scissors directly in the 5 mL tube and collection medium. Keep the tubes on ice all the time between the procedures.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Place the 5 mL tubes containing the minced tissue in a water bath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Add 3 mL of warm enzymatic digestion mix to each sample so that the total volume of liquid in the tube is 4 mL (1 mL of collection medium with the minced uterus and 3 mL of enzymatic digestion solution). Incubate the 5 mL tubes for 30 min at 37 &amp;#176;C with agitation to enhance enzymatic digestion activity.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Vortex the 5 mL tubes and place them on ice to inhibit the action of enzymes. Then, subsequently, transfer the contents into properly labeled 15 mL centrifuge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Flush everything out of the 5 mL tubes into the 15 mL centrifuge tubes using 10 mL of ice-cold 5 mM EDTA PBS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Centrifuge the 15 mL centrifuge tubes containing the digested tissues for 10 min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Discard the supernatant, gently flick the pellet, and then resuspend it in 10 mL of warm (37 &amp;#176;C) 5 mM EDTA PBS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Incubate the samples in the 15 mL centrifuge tubes at 37 &amp;#176;C with agitation for 15 min to remove the left-over digestion medium and reduce the cell clumping.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Vortex the samples on high for 10 s </w:t>
      </w:r>
      <w:r>
        <w:rPr>
          <w:rFonts w:ascii="Calibri" w:hAnsi="Calibri" w:cs="Calibri" w:eastAsia="Calibri"/>
          <w:color w:val="000000"/>
          <w:spacing w:val="0"/>
          <w:position w:val="0"/>
          <w:sz w:val="24"/>
          <w:shd w:fill="auto" w:val="clear"/>
        </w:rPr>
        <w:t xml:space="preserve">to further facilitate tissue dissociation.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Processing of the uterus into a single cell suspension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Using the plunger of a sterile 1 mL syringe, force the digested tissue through a 70 &amp;#181;m strainer onto a properly labeled and sterile 50 mL centrifuge tube to remove the cell clumps and the undissociated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Wash the strainer several times with a total of 10 mL of cold PBS to collect all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Spin the 50 mL centrifuge tube for 10 min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further steps using Option A or Option B. Option A allows better enrichment of the lymphocytes with less debris and stromal cell contamination than Option B. However, Option B gives a higher immune cell yield due to less cell loss and less variability of cell yield between samples. Option B is also easier to perform technically. Therefore, depending on preference, proceed with Option A or Option 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The steps for Option A are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3.3.1.1.</w:t>
        <w:tab/>
        <w:t xml:space="preserve">Label one sterile 15 mL centrifuge tube per sample containing 5 mL of 80% (v/v) isotonic Percoll diluted in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3.3.1.2.</w:t>
        <w:tab/>
        <w:t xml:space="preserve">After the spin, discard the supernatant from the 50 mL centrifuge tube. Use a pipet boy to resuspend each pellet in 8 mL of 40% (v/v) isotonic Percoll in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3.3.1.3.</w:t>
        <w:tab/>
        <w:t xml:space="preserve">Use a pipet boy on slow speed to carefully overlay the pellet resuspended in the 40% Percoll solution onto 80% Percoll solution. Pipette slowly and continuously; hold the 15 mL tube at an angle of 45&amp;#176; (</w:t>
      </w:r>
      <w:r>
        <w:rPr>
          <w:rFonts w:ascii="Calibri" w:hAnsi="Calibri" w:cs="Calibri" w:eastAsia="Calibri"/>
          <w:b/>
          <w:color w:val="000000"/>
          <w:spacing w:val="0"/>
          <w:position w:val="0"/>
          <w:sz w:val="24"/>
          <w:shd w:fill="FFFF00" w:val="clear"/>
        </w:rPr>
        <w:t xml:space="preserve">Figure 6B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3.3.1.4.</w:t>
        <w:tab/>
        <w:t xml:space="preserve">Without disturbing the overlay, centrifuge the 15 mL centrifuge tubes for 20 min at 850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room temperature (medium acceleration and minimum break).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3.3.1.5.</w:t>
        <w:tab/>
        <w:t xml:space="preserve">Carefully remove the tubes from the centrifuge without disturbing the Percoll layers (</w:t>
      </w:r>
      <w:r>
        <w:rPr>
          <w:rFonts w:ascii="Calibri" w:hAnsi="Calibri" w:cs="Calibri" w:eastAsia="Calibri"/>
          <w:b/>
          <w:color w:val="000000"/>
          <w:spacing w:val="0"/>
          <w:position w:val="0"/>
          <w:sz w:val="24"/>
          <w:shd w:fill="FFFF00" w:val="clear"/>
        </w:rPr>
        <w:t xml:space="preserve">Figure 6C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3.3.1.6.</w:t>
        <w:tab/>
        <w:t xml:space="preserve">Without disturbing the ring of leukocytes at the interface of the two Percoll solutions, use a sterile Pasteur Pipette to discard all except for approximately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mL of the top Percoll layer.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3.3.1.7.</w:t>
        <w:tab/>
        <w:t xml:space="preserve">While trying to suck a minimum amount of Percoll solution (up to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mL total), carefully collect the ring of leukocytes and transfer the cells into a new labeled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3.3.1.8.</w:t>
        <w:tab/>
        <w:t xml:space="preserve">Top up each sample with 10 mL of sterile RMPI-1640 medium supplemented with 10% of heat-inactivated FBS.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3.3.1.9.</w:t>
        <w:tab/>
        <w:t xml:space="preserve">Centrifuge for 5 min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3.3.1.10.</w:t>
        <w:tab/>
        <w:t xml:space="preserve">Discard the supernatant and proceed to RBC 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The steps for Option B are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3.3.2.1.</w:t>
        <w:tab/>
        <w:t xml:space="preserve">Label one sterile 15 mL centrifuge tube per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3.3.2.2.</w:t>
        <w:tab/>
        <w:t xml:space="preserve">After the spin, discard the supernatant from the 50 mL centrifuge tube. Use a pipet boy to resuspend each pellet with 8 mL of 35% (v/v) isotonic Percoll in RPMI-1640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3.3.2.3.</w:t>
        <w:tab/>
        <w:t xml:space="preserve">Transfer the samples into 15 mL centrifuge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3.3.2.4.</w:t>
        <w:tab/>
        <w:t xml:space="preserve">Centrifuge the samples at 940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room temperature with medium acceleration and minimum break.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3.3.2.5.</w:t>
        <w:tab/>
        <w:t xml:space="preserve">Aspirate the supernatant carefully using an aspirator or pipette boy (not by inverting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3.3.2.6.</w:t>
        <w:tab/>
        <w:t xml:space="preserve">Resuspend the pellet in 14 mL of RPMI-1640 medium supplemented with 10% heat-inactivated FBS and then centrifuge the sample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3.3.2.7.</w:t>
        <w:tab/>
        <w:t xml:space="preserve">Discard the supernatant by aspiration and proceed to RBC 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RBC lysis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To lyse the RBCs, resuspend the samples in 3 mL of 1x RBC lysing solution and incubate for 3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10 mL of PBS into the samples to stop the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Centrifuge the tubes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and discard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Add 10 mL of PBS and repeat step 4.3.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Resuspend each pellet in 1 mL of RPMI-1640 medium supplemented with 5% of heat-inactivated FBS.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Pass the samples through sterile 70 &amp;#181;m cell strainers.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Perform the cell count using trypan blue and a Neubauer Chamber as per the manufacturer’s instructions.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Adjust the concentration of the cell suspension to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million cells in 100 &amp;#181;L of PBS or medium.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Panel design strategy and controls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panel described in this paper is suitable for the discrimination of uILC1, trNK, and cNK cells and was designed to be used on a 5-laser BD LSRFortessa. Minor modifications can be made to study different cell populations and use alternative fluorochromes. It is recommended to check the configuration of the instrument, using titrated antibodies for optimal separation, consulting the manufacturer’s brightness index and using the brightest dyes for low expressing antigens such as NKp46, and following general guidelines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It is recommended to include a Fluorescence Minus One (FMO) control for NKp46.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Innate lymphoid cell staining for FACS phenotyping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Transfer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million cells per well into a round-bottom 96-well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Spin the plate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at 4 &amp;#176;C and discard the supernatant by flicking it into a sink.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Resuspend the cell pellets into 100 &amp;#181;L of PBS (protein and azide-free) using a multi-channel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PBS contains no sodium azide, no Tris, or any proteins for the subsequent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Resuspend cells in 50 &amp;#181;L of fixable viability dye diluted in PBS (protein and azide-free) (1:1,000). Incubate the cells at room temperature for 30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PBS contains no sodium azide, no Tris, or any proteins such as FBS or BSA as this may result in decreased staining intensity of dead cells and/or increased background staining for the live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If viability dye is powdered, use under the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Add 150 &amp;#181;L of PBS, resuspend the cells with a multi-channel pipette,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Resuspend the cells in 25 &amp;#181;L of FACS Buffer (PBS supplemented with 1% BSA or 2% FBS) containing 1 &amp;#181;g of locking agent. Incubate the cells for 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Add 25 &amp;#181;L of a surface antibody cocktail.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titrate antibodies and optimize the antibody panel prior to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Incubate the samples at room temperature for 20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Add 150 &amp;#181;L of FACS Buffer to each well, mix thoroughly,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Repeat step 6.10.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further steps using Option A or Option B. Use option A to stain the cells with surface markers. Use option B to study the intracellular markers by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6.11.1.</w:t>
        <w:tab/>
        <w:t xml:space="preserve">The steps for Option A are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6.11.1.1.</w:t>
        <w:tab/>
        <w:t xml:space="preserve">Resuspend the samples in 100 &amp;#181;L of 4% paraformaldehyde per well and incubate for 20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PFA under the hood. Please refer to the safety sheet for discarding PFA waste/objects that have come into contact with PFA (e.g., pipettes) safely.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6.11.1.2.</w:t>
        <w:tab/>
        <w:t xml:space="preserve">Repeat step 6.2,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discard by flicking into the sink here as it contains PFA. Aspirate with a pipette and discard the waste as per the safety 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6.11.1.3.</w:t>
        <w:tab/>
        <w:t xml:space="preserve">Resuspend the samples in 200 &amp;#181;L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6.11.1.4.</w:t>
        <w:tab/>
      </w:r>
      <w:r>
        <w:rPr>
          <w:rFonts w:ascii="Calibri" w:hAnsi="Calibri" w:cs="Calibri" w:eastAsia="Calibri"/>
          <w:color w:val="000000"/>
          <w:spacing w:val="0"/>
          <w:position w:val="0"/>
          <w:sz w:val="24"/>
          <w:shd w:fill="FFFF00" w:val="clear"/>
        </w:rPr>
        <w:t xml:space="preserve">Transfer the samples into labeled FACS tubes and top up with 100 &amp;#181;L of PBS. </w:t>
      </w:r>
      <w:r>
        <w:rPr>
          <w:rFonts w:ascii="Calibri" w:hAnsi="Calibri" w:cs="Calibri" w:eastAsia="Calibri"/>
          <w:color w:val="000000"/>
          <w:spacing w:val="0"/>
          <w:position w:val="0"/>
          <w:sz w:val="24"/>
          <w:shd w:fill="auto" w:val="clear"/>
        </w:rPr>
        <w:t xml:space="preserve">Keep the tubes on ice or in a fridge until processing with FACS analysis. Acquire the samples on a flow cytometer within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w:t>
        <w:tab/>
        <w:t xml:space="preserve">The steps for Option B are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6.11.2.1.</w:t>
        <w:tab/>
        <w:t xml:space="preserve">Resuspend the samples in 100 &amp;#181;L of fixation / permeabilization solution per well (containing paraformaldehyde) and incubate for 20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PFA under the hood. Please refer to the safety sheet for discarding PFA waste/objects that have come into contact with PFA (e.g., pipettes) safely.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6.11.2.2.</w:t>
        <w:tab/>
        <w:t xml:space="preserve">Repeat step 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discard by flicking into the sink here as it contains PFA. Aspirate with a pipette and discard the waste as per the safety 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6.11.2.3.</w:t>
        <w:tab/>
        <w:t xml:space="preserve">Add 200 &amp;#181;L of 1x permeabilization / washing buffer, mix well,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6.11.2.4.</w:t>
        <w:tab/>
        <w:t xml:space="preserve">Repeat step 6.11.2.3.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6.11.2.5.</w:t>
        <w:tab/>
        <w:t xml:space="preserve">Resuspend the fixed and permeabilized cells in 50 &amp;#181;L of 1x permeabilization/washing</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buffer containing antibodies mix for intracellular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6.11.2.6.</w:t>
        <w:tab/>
        <w:t xml:space="preserve">Incubate the samples at 4 &amp;#176;C for 30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6.11.2.7.</w:t>
        <w:tab/>
        <w:t xml:space="preserve">Add 200 &amp;#181;L of 1x permeabilization / washing solution, mix well, and then repeat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6.11.2.8.</w:t>
        <w:tab/>
        <w:t xml:space="preserve">Repeat step 6.11.2.7.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6.11.2.9.</w:t>
        <w:tab/>
        <w:t xml:space="preserve">Resuspend the samples in 200 &amp;#181;L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6.11.2.10.</w:t>
        <w:tab/>
        <w:t xml:space="preserve">Transfer the samples into labeled FACS tubes and top up with 100 &amp;#181;L of PBS. Keep the tubes on ice or in a fridge until processing with FACS analysis. Acquire the samples on a flow cytometer within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performing this protocol, the decidual cell suspension is ready for FACS analysis. It is recommended to record as many events as possible per sample; at least 1,000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3,000 events of a parental population have to be obtained to achieve reliable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steps of the method that are described to obtain a single cell suspension of uterine leukocytes are summarized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Demonstrated here are the basic FACS gating strategy used for the identification of three subsets of g1 ILCs in B6 mice: uILC1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trNK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cNK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Further analysis of these populations can be performed to study various surface and intracellular markers of g1 ILCs. As an example, the co-expression of IFN-</w:t>
      </w:r>
      <w:r>
        <w:rPr>
          <w:rFonts w:ascii="Calibri" w:hAnsi="Calibri" w:cs="Calibri" w:eastAsia="Calibri"/>
          <w:color w:val="000000"/>
          <w:spacing w:val="0"/>
          <w:position w:val="0"/>
          <w:sz w:val="24"/>
          <w:shd w:fill="auto" w:val="clear"/>
        </w:rPr>
        <w:t xml:space="preserve">ɣ</w:t>
      </w:r>
      <w:r>
        <w:rPr>
          <w:rFonts w:ascii="Calibri" w:hAnsi="Calibri" w:cs="Calibri" w:eastAsia="Calibri"/>
          <w:color w:val="000000"/>
          <w:spacing w:val="0"/>
          <w:position w:val="0"/>
          <w:sz w:val="24"/>
          <w:shd w:fill="auto" w:val="clear"/>
        </w:rPr>
        <w:t xml:space="preserve"> and self-MHC receptors can be assessed in uILC1, trNK, and cNK cells after stimulation with anti-NK1.1 antibody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Depending on the research question, both the protocol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the antibody panel can be adapted. Importantly, it is recommended to use both anti-NK1.1 and anti-NKp46 antibodies in one FACS panel for g1 ILC gating (</w:t>
      </w:r>
      <w:r>
        <w:rPr>
          <w:rFonts w:ascii="Calibri" w:hAnsi="Calibri" w:cs="Calibri" w:eastAsia="Calibri"/>
          <w:b/>
          <w:color w:val="000000"/>
          <w:spacing w:val="0"/>
          <w:position w:val="0"/>
          <w:sz w:val="24"/>
          <w:shd w:fill="auto" w:val="clear"/>
        </w:rPr>
        <w:t xml:space="preserve">Figure 2B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It should be noted that g1 ILCs obtained from blood, spleen, or liver have a higher expression of NKp46 on their surface than the uterine counterpart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Surface staining for NK1.1 gives a better separation and enables uterine g1 ILCs to be gated easily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While NKp46 is expressed by all mouse strains, the </w:t>
      </w:r>
      <w:r>
        <w:rPr>
          <w:rFonts w:ascii="Calibri" w:hAnsi="Calibri" w:cs="Calibri" w:eastAsia="Calibri"/>
          <w:color w:val="000000"/>
          <w:spacing w:val="0"/>
          <w:position w:val="0"/>
          <w:sz w:val="24"/>
          <w:shd w:fill="FFFFFF" w:val="clear"/>
        </w:rPr>
        <w:t xml:space="preserve">NKR-P1C antigen</w:t>
      </w:r>
      <w:r>
        <w:rPr>
          <w:rFonts w:ascii="Calibri" w:hAnsi="Calibri" w:cs="Calibri" w:eastAsia="Calibri"/>
          <w:color w:val="000000"/>
          <w:spacing w:val="0"/>
          <w:position w:val="0"/>
          <w:sz w:val="24"/>
          <w:shd w:fill="auto" w:val="clear"/>
        </w:rPr>
        <w:t xml:space="preserve"> recognized by the anti-NK1.1 antibody PK136 is only expressed by some mouse strains, including C57BL/6 (i.e., B6), </w:t>
      </w:r>
      <w:r>
        <w:rPr>
          <w:rFonts w:ascii="Calibri" w:hAnsi="Calibri" w:cs="Calibri" w:eastAsia="Calibri"/>
          <w:color w:val="000000"/>
          <w:spacing w:val="0"/>
          <w:position w:val="0"/>
          <w:sz w:val="24"/>
          <w:shd w:fill="FFFFFF" w:val="clear"/>
        </w:rPr>
        <w:t xml:space="preserve">FVB/N, and NZB, but not in AKR, BALB/c, CBA/J, C3H, DBA/1, DBA/2, NOD, SJL, or 129</w:t>
      </w:r>
      <w:r>
        <w:rPr>
          <w:rFonts w:ascii="Calibri" w:hAnsi="Calibri" w:cs="Calibri" w:eastAsia="Calibri"/>
          <w:color w:val="000000"/>
          <w:spacing w:val="0"/>
          <w:position w:val="0"/>
          <w:sz w:val="24"/>
          <w:shd w:fill="auto" w:val="clear"/>
        </w:rPr>
        <w:t xml:space="preserve">. In addition, if the investigator intends to study crucial NK cell receptors such as the MHC receptors Ly49, it is important to be aware of allelic variations in laboratory mouse strains, which recapitulate the high variability of human killer-cell immunoglobulin-like receptors (KIR). Moreover, if the cells are to be stimulated with NK1.1 for a functional assay, as described in Kim, S.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it might be desirable to stain the cells with anti-NKp46 rather than anti-NK1.1, as the </w:t>
      </w:r>
      <w:r>
        <w:rPr>
          <w:rFonts w:ascii="Calibri" w:hAnsi="Calibri" w:cs="Calibri" w:eastAsia="Calibri"/>
          <w:color w:val="000000"/>
          <w:spacing w:val="0"/>
          <w:position w:val="0"/>
          <w:sz w:val="24"/>
          <w:shd w:fill="FFFFFF" w:val="clear"/>
        </w:rPr>
        <w:t xml:space="preserve">NKR-P1C antigen may be occupied by the crosslinking anti-NK1.1 or a receptor downregulation may follow the stimulation. </w:t>
      </w:r>
      <w:r>
        <w:rPr>
          <w:rFonts w:ascii="Calibri" w:hAnsi="Calibri" w:cs="Calibri" w:eastAsia="Calibri"/>
          <w:color w:val="000000"/>
          <w:spacing w:val="0"/>
          <w:position w:val="0"/>
          <w:sz w:val="24"/>
          <w:shd w:fill="auto" w:val="clear"/>
        </w:rPr>
        <w:t xml:space="preserve">Either receptor occupancy or downregulation </w:t>
      </w:r>
      <w:r>
        <w:rPr>
          <w:rFonts w:ascii="Calibri" w:hAnsi="Calibri" w:cs="Calibri" w:eastAsia="Calibri"/>
          <w:color w:val="000000"/>
          <w:spacing w:val="0"/>
          <w:position w:val="0"/>
          <w:sz w:val="24"/>
          <w:shd w:fill="FFFFFF" w:val="clear"/>
        </w:rPr>
        <w:t xml:space="preserve">can impede staining with the same antibody used to stimulate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common problem with enzymatic tissue dissociation is the alteration of surface epitopes on cells by enzymes used for a digestion medium. For example, staining for the MHC CD94:NKG2A receptor is poor if Liberase TM is used. However, digestion with Liberase DH preserves NKG2A recognition by 16A11 antibody clone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It is recommended to check the influence of enzymes on all epitopes in one’s FACS panel. For this purpose, use the suspension of mouse splenocytes obtained by mechanical dissociation (passing the whole spleen through a 70 &amp;#181;m strainer). The sample is then divided into two or more parts followed by incubation with a medium with or without enzyme(s).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before, blood-derived cells are present in tissue dissociated samples. If required, blood contaminants can be excluded using an intravascular staining method as developed in Masopust laboratory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demonstrates that around 6.5% of g1 ILCs present in uterine tissue samples at gestation day 8.5 are blood-derived. Anti-CD45 antibodies used for intravascular staining can be conjugated with a fluorochrome used for a dump-channel; this will exclude blood contaminants without using an extra fluorescence channel. The most common problems and their solutions are 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Cross-section of a mouse uterus.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Mouse uterus cross-section (non-pregnant) indicating a variety of maternal leukocytes which populate the uterus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Mouse uterus cross-section (gestation day 8.5).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Mouse uterus cross-section (gestation day 13.5).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Comparison of mouse versus human placenta formation from blastocyst stage onward. Images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Subpopulations of uterine g1 ILC1.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Percentages of uterine cNK, ILC1, and trNK in mice during early life and pregnancy. W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weeks, gd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gestation day. Modified graph from Filipovic, I.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Gating strategy to analyze uterine group 1 ILC subsets by flow cytometry. Lymphocytes were isolated from the uterine tissues at gestation day 10.5. Tissue digestion was performed using a digestion medium containing Liberase TM. Cells were gated based on their ability to scatter light. Doublets were excluded using a FSC-A versus FSC-H plot, and only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CD19</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viable cells were analyzed further. Within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viable cells, the group 1 ILC gate was identified as NK1.1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Within group 1 ILCs, three subsets can be identified: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conventional NK cells (cNK),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tissue-resident NK cells (trNK), and CD49a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Eomes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uILC1.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 visual guide for the main steps of the protocol.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Dissect the pregnant uterus free of mesometrial fat.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Remove the fetuses; return the uterus to the 5 mL tube and mince the tissue. Proceed with the enzyme digestion step: add 3 mL of warm enzymatic digestion mix to each sample. Incubate the 5 mL tubes for 30 min at 37 &amp;#176;C with agitation.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 After digestion, flush everything out of 5 mL tubes into 15 mL tubes using 10 mL of ice-cold 5 mM EDTA PBS solution. (ii) Centrifuge 15 mL tubes containing digested tissues for 10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(iii) Discard the supernatant; gently flick the pellet and resuspend it in 10 mL of warm (37 &amp;#176;C) 5 mM EDTA PBS solution. (iv) Incubate samples in the 15 mL tubes at 37 &amp;#176;C with agitation, for 15 min.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Using the plunger of a sterile 1 mL syringe, force the digested tissue through a 70 &amp;#181;m strainer onto a properly labeled and sterile 50 mL tube, and spin for 10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After the spin, proceed with either option A (represented here in diagrams) or B. </w:t>
      </w:r>
      <w:r>
        <w:rPr>
          <w:rFonts w:ascii="Calibri" w:hAnsi="Calibri" w:cs="Calibri" w:eastAsia="Calibri"/>
          <w:i/>
          <w:color w:val="auto"/>
          <w:spacing w:val="0"/>
          <w:position w:val="0"/>
          <w:sz w:val="24"/>
          <w:shd w:fill="auto" w:val="clear"/>
        </w:rPr>
        <w:t xml:space="preserve">Option A: </w:t>
      </w:r>
      <w:r>
        <w:rPr>
          <w:rFonts w:ascii="Calibri" w:hAnsi="Calibri" w:cs="Calibri" w:eastAsia="Calibri"/>
          <w:color w:val="auto"/>
          <w:spacing w:val="0"/>
          <w:position w:val="0"/>
          <w:sz w:val="24"/>
          <w:shd w:fill="auto" w:val="clear"/>
        </w:rPr>
        <w:t xml:space="preserve">discard the supernatant from the 50 mL tube and, using a pipet boy, resuspend each pellet in 8 mL of 40% (v/v) isotonic Percoll in PBS.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(i) </w:t>
      </w:r>
      <w:r>
        <w:rPr>
          <w:rFonts w:ascii="Calibri" w:hAnsi="Calibri" w:cs="Calibri" w:eastAsia="Calibri"/>
          <w:i/>
          <w:color w:val="auto"/>
          <w:spacing w:val="0"/>
          <w:position w:val="0"/>
          <w:sz w:val="24"/>
          <w:shd w:fill="auto" w:val="clear"/>
        </w:rPr>
        <w:t xml:space="preserve">Option A continued:</w:t>
      </w:r>
      <w:r>
        <w:rPr>
          <w:rFonts w:ascii="Calibri" w:hAnsi="Calibri" w:cs="Calibri" w:eastAsia="Calibri"/>
          <w:color w:val="auto"/>
          <w:spacing w:val="0"/>
          <w:position w:val="0"/>
          <w:sz w:val="24"/>
          <w:shd w:fill="auto" w:val="clear"/>
        </w:rPr>
        <w:t xml:space="preserve"> Using a pipet boy on slow speed, carefully overlay the pellet resuspended in 40% Percoll solution onto the 5 mL of 80% Percoll solution. Pipette slowly and continuously; hold the 15 mL tube at an angle of 45&amp;#176;. (ii) Without disturbing the overlay, centrifuge the 15 mL tubes at 850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20 min at room temperature, acceleration 5, break 1.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the spin, while trying to suck a minimum amount of Percoll solution (up to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total), carefully collect the ring of leukocytes.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 red blood cell lysis steps.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After red blood cell lysis, perform the cell count </w:t>
      </w:r>
      <w:r>
        <w:rPr>
          <w:rFonts w:ascii="Calibri" w:hAnsi="Calibri" w:cs="Calibri" w:eastAsia="Calibri"/>
          <w:color w:val="000000"/>
          <w:spacing w:val="0"/>
          <w:position w:val="0"/>
          <w:sz w:val="24"/>
          <w:shd w:fill="auto" w:val="clear"/>
        </w:rPr>
        <w:t xml:space="preserve">using trypan blue and a Neubauer Chamber as per the </w:t>
      </w:r>
      <w:r>
        <w:rPr>
          <w:rFonts w:ascii="Calibri" w:hAnsi="Calibri" w:cs="Calibri" w:eastAsia="Calibri"/>
          <w:color w:val="auto"/>
          <w:spacing w:val="0"/>
          <w:position w:val="0"/>
          <w:sz w:val="24"/>
          <w:shd w:fill="auto" w:val="clear"/>
        </w:rPr>
        <w:t xml:space="preserve">manufacturer’s instructions.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Transfer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million cells per well into a round-bottom 96-well plate and proceed with spin and viability dye staining.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After the viability dye step, add 25 &amp;#181;L of a surface antibody cocktail. Proceed with further FACS steps.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Finally, transfer the samples into labeled FACS tubes and top up using 300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PBS. Keep the tubes on ice or in a fridge until processing with FACS analysis. The samples have to be run on a flow cytometer within 24 h. </w:t>
      </w:r>
      <w:r>
        <w:rPr>
          <w:rFonts w:ascii="Calibri" w:hAnsi="Calibri" w:cs="Calibri" w:eastAsia="Calibri"/>
          <w:color w:val="000000"/>
          <w:spacing w:val="0"/>
          <w:position w:val="0"/>
          <w:sz w:val="24"/>
          <w:shd w:fill="auto" w:val="clear"/>
        </w:rPr>
        <w:t xml:space="preserve">Images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Vaginal plug (A) and absence of it (B) in C57BL/6 females at 0.5 day post mating.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Dissection to extract the uterus from a pregnant mouse.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dam is pinned down with needles on a soft board to wipe the body with 70% ethanol. Two vertical incisions are made, as indicated by the blue dotted lines.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skin is lifted to expose internal organs. The intestinal loops are gently moved up to visualize the uterus.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uterus is sampled by cutting at three points: next to the ovaries and at the cervix, as indicated by the two blue dotted lines and the blue arrow,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Preparation of single-cell suspension.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Mechanical removal of embryos from their implantation site.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Percoll gradient overlay; the top layer contains the single-cell suspension in 80% of Percoll and the bottom layer 40% of Percoll.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Lymphocyte ring formation after centrifugation of the percoll gradient.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FACS analysis of functional assay with group 1 ILCs. </w:t>
      </w:r>
      <w:r>
        <w:rPr>
          <w:rFonts w:ascii="Calibri" w:hAnsi="Calibri" w:cs="Calibri" w:eastAsia="Calibri"/>
          <w:color w:val="000000"/>
          <w:spacing w:val="0"/>
          <w:position w:val="0"/>
          <w:sz w:val="24"/>
          <w:shd w:fill="auto" w:val="clear"/>
        </w:rPr>
        <w:t xml:space="preserve">Intracellular IFN-</w:t>
      </w:r>
      <w:r>
        <w:rPr>
          <w:rFonts w:ascii="Calibri" w:hAnsi="Calibri" w:cs="Calibri" w:eastAsia="Calibri"/>
          <w:color w:val="000000"/>
          <w:spacing w:val="0"/>
          <w:position w:val="0"/>
          <w:sz w:val="24"/>
          <w:shd w:fill="auto" w:val="clear"/>
        </w:rPr>
        <w:t xml:space="preserve">ɣ</w:t>
      </w:r>
      <w:r>
        <w:rPr>
          <w:rFonts w:ascii="Calibri" w:hAnsi="Calibri" w:cs="Calibri" w:eastAsia="Calibri"/>
          <w:color w:val="000000"/>
          <w:spacing w:val="0"/>
          <w:position w:val="0"/>
          <w:sz w:val="24"/>
          <w:shd w:fill="auto" w:val="clear"/>
        </w:rPr>
        <w:t xml:space="preserve"> and surface CD107a detection in group 1 ILCs expressing NK receptors for self-MHC (Ly49C, Ly49I, and NKG2A) compared to those that do not, after crosslinking NK1.1 with plate-bound antibodies. The cells were isolated from uterine tissues at gestation day 9.5. Tissue digestion was performed using a digestion medium containing Liberase DH. Shown are the raw values of all four quadrants (corners) as well as the relative percentage of responders among cells expressing receptors for self and responders that do not have self-receptors (bold numbers).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Staining splenic and uterine lymphocytes with anti-NKp46 and anti-NK1.1 antibodies.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 suspensions obtained from mouse spleen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uterus at gestation day 10.5 were separated in two; one part was stained with NKp46-APC (red) and the other one with NK1.1-APC (blue). Note that the NKp46 staining of uterine lymphocytes does not separate 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NKp46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as neatly as splenic lymphocytes.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Decrease of NKG2A MFI (antibody clone: 16A11) by incubation with digestion medium. </w:t>
      </w:r>
      <w:r>
        <w:rPr>
          <w:rFonts w:ascii="Calibri" w:hAnsi="Calibri" w:cs="Calibri" w:eastAsia="Calibri"/>
          <w:color w:val="000000"/>
          <w:spacing w:val="0"/>
          <w:position w:val="0"/>
          <w:sz w:val="24"/>
          <w:shd w:fill="auto" w:val="clear"/>
        </w:rPr>
        <w:t xml:space="preserve">Cell suspension of C56BL/6 mouse splenocytes was divided into three parts. One part was incubated in Liberase DH digestion medium (HBSS containing 0.13 WU/mL Liberase DH and 30 &amp;#181;g/mL of DNAse), and another part was incubated with Liberase TM digestion medium (HBSS containing 0.52 WU/mL Liberase TM and 30 &amp;#181;g/mL of DNAse). The third part was treated with neat HBSS for 30 min at 37 &amp;#176;C. Expression of NKG2A marker on g1 ILCs was assessed by flow cytometry. Graph taken from Shreeve N. The role of uterine NK-cell inhibition in pregnancy (Thesis); Supervisor: Colucci F, 2020.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Intravital staining with anti-CD45 antibodies for exclusion of blood-derived g1 ILCs. </w:t>
      </w:r>
      <w:r>
        <w:rPr>
          <w:rFonts w:ascii="Calibri" w:hAnsi="Calibri" w:cs="Calibri" w:eastAsia="Calibri"/>
          <w:color w:val="000000"/>
          <w:spacing w:val="0"/>
          <w:position w:val="0"/>
          <w:sz w:val="24"/>
          <w:shd w:fill="auto" w:val="clear"/>
        </w:rPr>
        <w:t xml:space="preserve">C57/BL6 mouse at gestation day 8.5 was culled 3 min after intravenous injection with 3 &amp;#181;g of CD45-AF647. The uterus, whole blood, and thymus were harvested and processed for FACS analysis. The X-axis shows the signal from intravenous staining with CD45-AF647, and Y-axis demonstrates signal from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stained CD45-BUV395. The percentages of subpopulations are shown in quadrants.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An example of FACS panel for conventional 5-lasers cytometer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Troubleshooting guide.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contains several critical steps discussed hereafter. The first critical step is to obtain multiple synchronous pregnancies as the relative frequency of leukocyte populations changes through pregnancy. Having multiple dams at the same gestational day allows for either biological repeats in the same experiments or pooling lymphocytes from individual dams to obtain larger numbers required for downstream applications. Timed mating allows the researcher to pinpoint conception within a 24 h period. Although mice live for around 2.5 years, they will be of reproductive age from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weeks until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months old. As younger mice usually produce smaller pups, female mice are generally not mated until they are between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weeks, and male mice until they are between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weeks. Given that estrus lasts about 15 h in mice and occurs every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the typical mating rate (revealed by a vaginal plug,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is around 25%. It is therefore important to use mice in estrus and plan sufficient numbers to obtain the required number of dams for a given experiment. The estrus cycle phase can be determined by vaginal smear cytology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plug rate can be improved by resting males 48 h prior to mating and by taking advantage of the Whitten effect</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Alternatively, one can administer pregnant mare serum, which mimics the effect of the endogenous follicle-stimulating hormone, inducing oocyte maturation and,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h later, human chorionic gonadotropin, which mimics the effect of the endogenous luteinizing hormone, inducing ovulation. This hormonal treatment bypasses the requirement for estrus and makes virtually all treated females receptive.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second critical step is to ensure the quality of the FACS staining. Antibodies used in flow cytometry must always be titrated and used at the optimal concentration, and it is necessary to check that the enzymatic digestion does not cleave crucial antigenic epitopes. To assess whether an enzyme will cleave an epitope, one could stain two fractions of the same sample in parallel, one undergoing enzymatic and the other mechanical digestion. Similarly, the use of appropriate controls and single stains is crucial to obtain reliable data. For rare events, beads can be used to generate single stain samples. It is recommended not to use beads for setting up voltages but rather a population of cells containing lymphocytes and other leukocytes, such as splenocytes. If beads are used, it is necessary to titrate antibodies for bead staining, so the fluorescence intensity of stained beads will be comparable to the fluorescence intensity of cells. In case of difficulty separating positive from negative cells for a particular marker, an FMO control can also be used to facilitate the gating for a specific marker. In the case of intracellular markers, an isotype control and not FMO control must be used as intracellular staining might result in residual unbound antibodies, which may still be present within cells after the washing steps and therefore increase the background signal. It is recommended to run the samples within 24 h of fixing the cells to obtain the best results in phenotyping by FACS analysis, as autofluorescence increases significantly over time and fluorescence intensity of some antibodies might decline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crucial factor to consider is the downstream application of the single-cell suspension obtained with the protocol. For functional assays, it is essential to work in sterile conditions. Similarly, for subsequent omics studies, it is important to work in sterile and RNase-free conditions.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focuses on phenotyping group 1 ILCs but can be adapted for phenotyping other cell types by modifying the antibody panel or on different tissues. It is recommended that all antibodies are tested against digested and non-digested cell suspension to detect the loss/alteration of surface epitopes by the enzymatic treatment. Similarly, different enzymes can be used to digest the tissue and increase cell yield, but its effect on crucial antigenic epitopes must be carefully studied. While NKp46 is a good marker for splenic NK cells and works in all strains of laboratory mice, the expression of NKp46 on uNK cells in C57BL/6 mice is considerably lower than on spleen NK cells. It is best to stain for both NK1.1 and NKp46 simultaneously. If multiple organs are to be compared directly, it is recommended to treat all samples equally, even if the enzymatic digestion is not required for tissues such as the spleen or the bone marrow. Although the method presented here is applicable to the non-pregnant uterus, the lymphocyte ring isolation by a two-phase Percoll gradient will be challenging, and the yield of isolated cells may be too low for reliable FACS analysis and therefore will require pooling together cells isolated from the uterus of individual, non-pregnant mice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limitations to the protocol to consider for the interpretation of the data. As it is the case for all tissues, circulating lymphocytes coming from the blood will be isolated alongside tissue-resident cells. If the exclusion of circulating lymphocytes is essential for data interpretation, intravital staining can be performed to label circulating cells. Furthermore, a second limitation to the protocol is that some cells will be lost as not all cells can be extracted from the tissue. The most common problems and their troubleshooting are 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Historically, the study of cells in tissues has relied on histological examination of tissue sections. Sandra Peel’s excellent review</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 summarizes the work done over more than 100 years until the late ‘80s</w:t>
      </w:r>
      <w:r>
        <w:rPr>
          <w:rFonts w:ascii="Calibri" w:hAnsi="Calibri" w:cs="Calibri" w:eastAsia="Calibri"/>
          <w:color w:val="000000"/>
          <w:spacing w:val="4"/>
          <w:position w:val="0"/>
          <w:sz w:val="24"/>
          <w:shd w:fill="FCFCFC" w:val="clear"/>
        </w:rPr>
        <w:t xml:space="preserve">. </w:t>
      </w:r>
      <w:r>
        <w:rPr>
          <w:rFonts w:ascii="Calibri" w:hAnsi="Calibri" w:cs="Calibri" w:eastAsia="Calibri"/>
          <w:color w:val="000000"/>
          <w:spacing w:val="0"/>
          <w:position w:val="0"/>
          <w:sz w:val="24"/>
          <w:shd w:fill="FFFFFF" w:val="clear"/>
        </w:rPr>
        <w:t xml:space="preserve">Descriptions of cells later known as uNK cells indeed appear in manuscripts published more than half a century before lymphocytes were even discovered. So, before the discovery of NK cells in 1975, and the uNK cells have been indicated as maternal glycogen cells or granulated metrial gland cells. Anne Croy has made major contributions in the field</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 and kindly taught the team the dissection she had optimized</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and that is used currently. Although it is instrumental in describing the morphology and tissue location of uNK cells, classical histological examination is limited to the detection of only a few markers on the cells of interest. In 2008, a flow cytometry-based method to simultaneously detect multiple markers on uterine lymphocytes was described</w:t>
      </w:r>
      <w:r>
        <w:rPr>
          <w:rFonts w:ascii="Calibri" w:hAnsi="Calibri" w:cs="Calibri" w:eastAsia="Calibri"/>
          <w:color w:val="000000"/>
          <w:spacing w:val="0"/>
          <w:position w:val="0"/>
          <w:sz w:val="24"/>
          <w:shd w:fill="FFFFFF" w:val="clear"/>
          <w:vertAlign w:val="superscript"/>
        </w:rPr>
        <w:t xml:space="preserve">26</w:t>
      </w:r>
      <w:r>
        <w:rPr>
          <w:rFonts w:ascii="Calibri" w:hAnsi="Calibri" w:cs="Calibri" w:eastAsia="Calibri"/>
          <w:color w:val="000000"/>
          <w:spacing w:val="0"/>
          <w:position w:val="0"/>
          <w:sz w:val="24"/>
          <w:shd w:fill="FFFFFF" w:val="clear"/>
        </w:rPr>
        <w:t xml:space="preserve">. This is essentially the method that has been described in this paper. More recent technologies such as spatial transcriptomics and imaging by mass cytometry combine the power of histology and flow-cytometry, allowing both the simultaneous detection of multiple genes or proteins, respectively, and the preservation of the normal tissue architecture.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applications of the method described here are multiple and include FACS phenotyping, functional assay (such as ELISPOT, degranulation or cytotoxic assays), cell sorting, and subsequent transcriptomics or proteomics. Further applications that could be developed based on this method include the culture and expansion of decidual NK cells after cell sorting or enrichment by negative depletion. Currently, there is no protocol to culture and expand mouse uNK cells and preserve their viability and functionality for an extended period, in a similar fashion to human NK cells that can be cultivated and expanded for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days by addition of IL-2 or a combination IL-12 and IL-15. The optimization of such a method for mouse uNK cells would provide more flexibility when performing functional assays and allow for multiple conditions to be tested with a higher cell number. On the other hand, culture conditions are known to modify the unique phenotype of lymphocytes and potentially their function too.</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and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previous and the current team members who have helped develop this method, including Jean-Marc Doisne, Norman Shreeve, Iva Filipovic, and Anita Qualls. Our lab is supported by a Wellcome Investigator Award (200841/Z/16/Z), and an MRC project grant (MR/P001092/1).</w:t>
      </w: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Colucci, F. The immunological code of pregnancy.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(6456), 862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Mor, G., Aldo, P., Alvero, A. B. The unique immunological and microbial aspects of pregnancy.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FFFFFF" w:val="clear"/>
        </w:rPr>
        <w:t xml:space="preserve">Croy, A., Yamada, A., DeMayo, F., Adamson, S. L.</w:t>
      </w:r>
      <w:r>
        <w:rPr>
          <w:rFonts w:ascii="Arial" w:hAnsi="Arial" w:cs="Arial" w:eastAsia="Arial"/>
          <w:color w:val="747779"/>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The Guide to Investigation of Mouse Pregnancy</w:t>
      </w:r>
      <w:r>
        <w:rPr>
          <w:rFonts w:ascii="Calibri" w:hAnsi="Calibri" w:cs="Calibri" w:eastAsia="Calibri"/>
          <w:color w:val="auto"/>
          <w:spacing w:val="0"/>
          <w:position w:val="0"/>
          <w:sz w:val="24"/>
          <w:shd w:fill="auto" w:val="clear"/>
        </w:rPr>
        <w:t xml:space="preserve">. Elsevier, </w:t>
      </w:r>
      <w:r>
        <w:rPr>
          <w:rFonts w:ascii="Calibri" w:hAnsi="Calibri" w:cs="Calibri" w:eastAsia="Calibri"/>
          <w:color w:val="auto"/>
          <w:spacing w:val="0"/>
          <w:position w:val="0"/>
          <w:sz w:val="24"/>
          <w:shd w:fill="FFFFFF" w:val="clear"/>
        </w:rPr>
        <w:t xml:space="preserve">Academic Press</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Filipovic,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definition of group 1 innate lymphoid cells in the mouse uterus.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4492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Chen, Z.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DBA-lectin reactivity defines mouse uterine natural killer cell subsets with biased gene expression.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(4), 81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Moffett, A., Colucci, F. Uterine NK cells: active regulators at the maternal-fetal interface.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(5), 1872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Gaynor, L. M., Colucci, F. Uterine natural killer cells: Functional distinctions and influence on pregnancy in humans and mice.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Sojka, D. K., Yang, L., Yokoyama, W. M. Uterine natural killer cells.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960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Wilkens,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Uterine NK cells regulate endometrial bleeding in women and are suppressed by the progesterone receptor modulator asoprisnil.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(5), 2226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Ashkar, A. A., Di Santo, J. P., Croy, B. A. Interferon &amp;#947; contributes to initiation of uterine vascular modification, decidual integrity, and uterine natural killer cell maturation during normal murine pregnancy.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(2),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Hanna,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Decidual NK cells regulate key developmental processes at the human fetal-maternal interface.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1065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Chakraborty, D., Rumi, M. A. K., Konno, T., Soares, M. J. Natural killer cells direct hemochorial placentation by regulating hypoxia-inducible factor dependent trophoblast lineage decisions.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(39), 16295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Crespo, Â.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Decidual NK cells transfer granulysin to selectively kill bacteria in trophoblasts.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(5), 1125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1139.e18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Shmeleva, E. V, Colucci, F. Maternal natural killer cells at the intersection between reproduction and mucosal immunity.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Kather,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Neither lymphotoxin alpha nor lymphotoxin beta receptor expression is required for biogenesis of lymphoid aggregates or differentiation of natural killer cells in the pregnant mouse uterus.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 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Croy, B. A.et al. Analysis of uterine natural killer cells in mice.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612</w:t>
      </w:r>
      <w:r>
        <w:rPr>
          <w:rFonts w:ascii="Calibri" w:hAnsi="Calibri" w:cs="Calibri" w:eastAsia="Calibri"/>
          <w:color w:val="auto"/>
          <w:spacing w:val="0"/>
          <w:position w:val="0"/>
          <w:sz w:val="24"/>
          <w:shd w:fill="auto" w:val="clear"/>
        </w:rPr>
        <w:t xml:space="preserve">,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Van der lee, S., Boot, L. M. Spontaneous pseudopregnancy in mice. II. </w:t>
      </w:r>
      <w:r>
        <w:rPr>
          <w:rFonts w:ascii="Calibri" w:hAnsi="Calibri" w:cs="Calibri" w:eastAsia="Calibri"/>
          <w:i/>
          <w:color w:val="auto"/>
          <w:spacing w:val="0"/>
          <w:position w:val="0"/>
          <w:sz w:val="24"/>
          <w:shd w:fill="auto" w:val="clear"/>
        </w:rPr>
        <w:t xml:space="preserve">Acta Physiologica et Pharmacologica Neerlandica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Whitten, W. K. Modification of the oestrous cycle of the mouse by external stimuli associated with the male. </w:t>
      </w:r>
      <w:r>
        <w:rPr>
          <w:rFonts w:ascii="Calibri" w:hAnsi="Calibri" w:cs="Calibri" w:eastAsia="Calibri"/>
          <w:i/>
          <w:color w:val="auto"/>
          <w:spacing w:val="0"/>
          <w:position w:val="0"/>
          <w:sz w:val="24"/>
          <w:shd w:fill="auto" w:val="clear"/>
        </w:rPr>
        <w:t xml:space="preserve">The 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Cossarizza,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Guidelines for the use of flow cytometry and cell sorting in immunological studies (second edition).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(10), 1457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Kim,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Licensing of natural killer cells by host major histocompatibility complex class I molecules.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436</w:t>
      </w:r>
      <w:r>
        <w:rPr>
          <w:rFonts w:ascii="Calibri" w:hAnsi="Calibri" w:cs="Calibri" w:eastAsia="Calibri"/>
          <w:color w:val="auto"/>
          <w:spacing w:val="0"/>
          <w:position w:val="0"/>
          <w:sz w:val="24"/>
          <w:shd w:fill="auto" w:val="clear"/>
        </w:rPr>
        <w:t xml:space="preserve"> (7051),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Anderson, K.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Intravascular staining for discrimination of vascular and tissue leukocytes.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Caligioni, C. S. Assessing reproductive status/stages in mice.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Appendix 4</w:t>
      </w:r>
      <w:r>
        <w:rPr>
          <w:rFonts w:ascii="Calibri" w:hAnsi="Calibri" w:cs="Calibri" w:eastAsia="Calibri"/>
          <w:color w:val="auto"/>
          <w:spacing w:val="0"/>
          <w:position w:val="0"/>
          <w:sz w:val="24"/>
          <w:shd w:fill="auto" w:val="clear"/>
        </w:rPr>
        <w:t xml:space="preserve">, Appendix 4I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Doisne, J.-M.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Composition, development, and function of uterine innate lymphoid cells. </w:t>
      </w:r>
      <w:r>
        <w:rPr>
          <w:rFonts w:ascii="Calibri" w:hAnsi="Calibri" w:cs="Calibri" w:eastAsia="Calibri"/>
          <w:i/>
          <w:color w:val="auto"/>
          <w:spacing w:val="0"/>
          <w:position w:val="0"/>
          <w:sz w:val="24"/>
          <w:shd w:fill="auto" w:val="clear"/>
        </w:rPr>
        <w:t xml:space="preserve">Journal of Immunology (Baltimore, Md. : 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(8), 3937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Peel, S. </w:t>
      </w:r>
      <w:r>
        <w:rPr>
          <w:rFonts w:ascii="Calibri" w:hAnsi="Calibri" w:cs="Calibri" w:eastAsia="Calibri"/>
          <w:i/>
          <w:color w:val="auto"/>
          <w:spacing w:val="4"/>
          <w:position w:val="0"/>
          <w:sz w:val="24"/>
          <w:shd w:fill="FCFCFC" w:val="clear"/>
        </w:rPr>
        <w:t xml:space="preserve">Fate of GMG Cells. In: Granulated Metrial Gland Cells. Advances in Anatomy, Embryology and Cell Biology</w:t>
      </w:r>
      <w:r>
        <w:rPr>
          <w:rFonts w:ascii="Calibri" w:hAnsi="Calibri" w:cs="Calibri" w:eastAsia="Calibri"/>
          <w:color w:val="auto"/>
          <w:spacing w:val="4"/>
          <w:position w:val="0"/>
          <w:sz w:val="24"/>
          <w:shd w:fill="FCFCFC" w:val="clear"/>
        </w:rPr>
        <w:t xml:space="preserve">. </w:t>
      </w:r>
      <w:r>
        <w:rPr>
          <w:rFonts w:ascii="Calibri" w:hAnsi="Calibri" w:cs="Calibri" w:eastAsia="Calibri"/>
          <w:b/>
          <w:color w:val="auto"/>
          <w:spacing w:val="4"/>
          <w:position w:val="0"/>
          <w:sz w:val="24"/>
          <w:shd w:fill="FCFCFC" w:val="clear"/>
        </w:rPr>
        <w:t xml:space="preserve">115</w:t>
      </w:r>
      <w:r>
        <w:rPr>
          <w:rFonts w:ascii="Calibri" w:hAnsi="Calibri" w:cs="Calibri" w:eastAsia="Calibri"/>
          <w:color w:val="auto"/>
          <w:spacing w:val="4"/>
          <w:position w:val="0"/>
          <w:sz w:val="24"/>
          <w:shd w:fill="FCFCFC" w:val="clear"/>
        </w:rPr>
        <w:t xml:space="preserve">. Springer, Berlin</w:t>
      </w:r>
      <w:r>
        <w:rPr>
          <w:rFonts w:ascii="Calibri" w:hAnsi="Calibri" w:cs="Calibri" w:eastAsia="Calibri"/>
          <w:color w:val="auto"/>
          <w:spacing w:val="0"/>
          <w:position w:val="0"/>
          <w:sz w:val="24"/>
          <w:shd w:fill="auto" w:val="clear"/>
        </w:rPr>
        <w:t xml:space="preserve">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Croy, B. A., van den Heuvel, M. J., Borzychowski, A. M., Tayade, C. Uterine natural killer cells: a specialized differentiation regulated by ovarian hormones.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Yadi, H., Burke, S., Madeja, Z., Hemberger, M., Moffett, A., Colucci, F. Unique receptor repertoire in mouse uterine NK cells. </w:t>
      </w:r>
      <w:r>
        <w:rPr>
          <w:rFonts w:ascii="Calibri" w:hAnsi="Calibri" w:cs="Calibri" w:eastAsia="Calibri"/>
          <w:i/>
          <w:color w:val="auto"/>
          <w:spacing w:val="0"/>
          <w:position w:val="0"/>
          <w:sz w:val="24"/>
          <w:shd w:fill="auto" w:val="clear"/>
        </w:rPr>
        <w:t xml:space="preserve">Journal of Immunology (Baltimore, Md. : 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(9), 6140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6147 (2008).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