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288DB" w14:textId="05D62CFF" w:rsidR="001218AB" w:rsidRPr="003435B5" w:rsidRDefault="00551D82" w:rsidP="003435B5">
      <w:pPr>
        <w:pBdr>
          <w:top w:val="nil"/>
          <w:left w:val="nil"/>
          <w:bottom w:val="nil"/>
          <w:right w:val="nil"/>
          <w:between w:val="nil"/>
        </w:pBdr>
        <w:contextualSpacing/>
      </w:pPr>
      <w:bookmarkStart w:id="0" w:name="_Hlk66234944"/>
      <w:r w:rsidRPr="003435B5">
        <w:rPr>
          <w:b/>
        </w:rPr>
        <w:t>TITLE:</w:t>
      </w:r>
    </w:p>
    <w:p w14:paraId="29D674B1" w14:textId="4DDF6958" w:rsidR="00227591" w:rsidRPr="003435B5" w:rsidRDefault="00055443" w:rsidP="003435B5">
      <w:pPr>
        <w:contextualSpacing/>
      </w:pPr>
      <w:r w:rsidRPr="003435B5">
        <w:t xml:space="preserve">An affordable and efficient “homemade” platform for </w:t>
      </w:r>
      <w:r w:rsidRPr="003435B5">
        <w:rPr>
          <w:i/>
          <w:iCs/>
        </w:rPr>
        <w:t>Drosophila</w:t>
      </w:r>
      <w:r w:rsidRPr="003435B5">
        <w:t xml:space="preserve"> behavioral studies, and an accompanying protocol for larval mitochondrial respirometry</w:t>
      </w:r>
    </w:p>
    <w:p w14:paraId="377014A8" w14:textId="77777777" w:rsidR="000D4E72" w:rsidRPr="003435B5" w:rsidRDefault="000D4E72" w:rsidP="003435B5">
      <w:pPr>
        <w:contextualSpacing/>
        <w:rPr>
          <w:b/>
        </w:rPr>
      </w:pPr>
    </w:p>
    <w:p w14:paraId="710F8568" w14:textId="7E911697" w:rsidR="00493D86" w:rsidRPr="003435B5" w:rsidRDefault="00551D82" w:rsidP="003435B5">
      <w:pPr>
        <w:contextualSpacing/>
        <w:rPr>
          <w:lang w:val="pt-BR"/>
        </w:rPr>
      </w:pPr>
      <w:r w:rsidRPr="003435B5">
        <w:rPr>
          <w:b/>
          <w:lang w:val="pt-BR"/>
        </w:rPr>
        <w:t>AUTHORS AND AFFILIATIONS:</w:t>
      </w:r>
    </w:p>
    <w:p w14:paraId="15381CE8" w14:textId="29CDEF3E" w:rsidR="00227591" w:rsidRPr="003435B5" w:rsidRDefault="00227591" w:rsidP="003435B5">
      <w:pPr>
        <w:contextualSpacing/>
        <w:rPr>
          <w:lang w:val="pt-BR"/>
        </w:rPr>
      </w:pPr>
      <w:r w:rsidRPr="003435B5">
        <w:rPr>
          <w:lang w:val="pt-BR"/>
        </w:rPr>
        <w:t>Geovana S. Garcia</w:t>
      </w:r>
      <w:r w:rsidRPr="003435B5">
        <w:rPr>
          <w:vertAlign w:val="superscript"/>
          <w:lang w:val="pt-BR"/>
        </w:rPr>
        <w:t>1</w:t>
      </w:r>
      <w:r w:rsidRPr="003435B5">
        <w:rPr>
          <w:lang w:val="pt-BR"/>
        </w:rPr>
        <w:t>,</w:t>
      </w:r>
      <w:r w:rsidR="00791A37" w:rsidRPr="003435B5">
        <w:rPr>
          <w:lang w:val="pt-BR"/>
        </w:rPr>
        <w:t xml:space="preserve"> Murilo F. Othonicar</w:t>
      </w:r>
      <w:r w:rsidR="00791A37" w:rsidRPr="003435B5">
        <w:rPr>
          <w:vertAlign w:val="superscript"/>
          <w:lang w:val="pt-BR"/>
        </w:rPr>
        <w:t>2</w:t>
      </w:r>
      <w:r w:rsidR="00791A37" w:rsidRPr="003435B5">
        <w:rPr>
          <w:lang w:val="pt-BR"/>
        </w:rPr>
        <w:t>,</w:t>
      </w:r>
      <w:r w:rsidRPr="003435B5">
        <w:rPr>
          <w:lang w:val="pt-BR"/>
        </w:rPr>
        <w:t xml:space="preserve"> Marcos T. Oliveira</w:t>
      </w:r>
      <w:r w:rsidR="00791A37" w:rsidRPr="003435B5">
        <w:rPr>
          <w:vertAlign w:val="superscript"/>
          <w:lang w:val="pt-BR"/>
        </w:rPr>
        <w:t>3</w:t>
      </w:r>
      <w:r w:rsidRPr="003435B5">
        <w:rPr>
          <w:vertAlign w:val="superscript"/>
          <w:lang w:val="pt-BR"/>
        </w:rPr>
        <w:t>,*,#</w:t>
      </w:r>
      <w:r w:rsidR="002E6D62" w:rsidRPr="003435B5">
        <w:rPr>
          <w:lang w:val="pt-BR"/>
        </w:rPr>
        <w:t xml:space="preserve">, </w:t>
      </w:r>
      <w:r w:rsidRPr="003435B5">
        <w:rPr>
          <w:lang w:val="pt-BR"/>
        </w:rPr>
        <w:t>Carlos A. Couto</w:t>
      </w:r>
      <w:r w:rsidR="0011321F" w:rsidRPr="003435B5">
        <w:rPr>
          <w:lang w:val="pt-BR"/>
        </w:rPr>
        <w:t>-</w:t>
      </w:r>
      <w:r w:rsidRPr="003435B5">
        <w:rPr>
          <w:lang w:val="pt-BR"/>
        </w:rPr>
        <w:t>Lima</w:t>
      </w:r>
      <w:r w:rsidR="00791A37" w:rsidRPr="003435B5">
        <w:rPr>
          <w:vertAlign w:val="superscript"/>
          <w:lang w:val="pt-BR"/>
        </w:rPr>
        <w:t>4</w:t>
      </w:r>
      <w:r w:rsidRPr="003435B5">
        <w:rPr>
          <w:vertAlign w:val="superscript"/>
          <w:lang w:val="pt-BR"/>
        </w:rPr>
        <w:t>,*</w:t>
      </w:r>
    </w:p>
    <w:p w14:paraId="02FCA1EF" w14:textId="77777777" w:rsidR="00227591" w:rsidRPr="003435B5" w:rsidRDefault="00227591" w:rsidP="003435B5">
      <w:pPr>
        <w:contextualSpacing/>
        <w:rPr>
          <w:lang w:val="pt-BR"/>
        </w:rPr>
      </w:pPr>
    </w:p>
    <w:p w14:paraId="703240B2" w14:textId="4393AE99" w:rsidR="00227591" w:rsidRPr="003435B5" w:rsidRDefault="00227591" w:rsidP="003435B5">
      <w:pPr>
        <w:contextualSpacing/>
        <w:rPr>
          <w:lang w:val="pt-BR"/>
        </w:rPr>
      </w:pPr>
      <w:r w:rsidRPr="003435B5">
        <w:rPr>
          <w:vertAlign w:val="superscript"/>
          <w:lang w:val="pt-BR"/>
        </w:rPr>
        <w:t>1</w:t>
      </w:r>
      <w:r w:rsidRPr="003435B5">
        <w:rPr>
          <w:lang w:val="pt-BR"/>
        </w:rPr>
        <w:t>Departamento de Tecnologia, Faculdade de Ciências Agrárias e Veterinárias, Universidade Estadual Paulista “Júlio de Mesquita Filho”, Jaboticabal, SP, Brazil, geovana.garcia@unesp.br</w:t>
      </w:r>
    </w:p>
    <w:p w14:paraId="4958BA7C" w14:textId="77777777" w:rsidR="00227591" w:rsidRPr="003435B5" w:rsidRDefault="00227591" w:rsidP="003435B5">
      <w:pPr>
        <w:contextualSpacing/>
        <w:rPr>
          <w:lang w:val="pt-BR"/>
        </w:rPr>
      </w:pPr>
    </w:p>
    <w:p w14:paraId="1982E06B" w14:textId="45675917" w:rsidR="00791A37" w:rsidRPr="003435B5" w:rsidRDefault="00227591" w:rsidP="003435B5">
      <w:pPr>
        <w:contextualSpacing/>
        <w:rPr>
          <w:lang w:val="pt-BR"/>
        </w:rPr>
      </w:pPr>
      <w:r w:rsidRPr="003435B5">
        <w:rPr>
          <w:vertAlign w:val="superscript"/>
          <w:lang w:val="pt-BR"/>
        </w:rPr>
        <w:t>2</w:t>
      </w:r>
      <w:r w:rsidR="00791A37" w:rsidRPr="003435B5">
        <w:rPr>
          <w:lang w:val="pt-BR"/>
        </w:rPr>
        <w:t>Departamento de Tecnologia, Faculdade de Ciências Agrárias e Veterinárias, Universidade Estadual Paulista “Júlio de Mesquita Filho”, Jaboticabal, SP, Brazil, murilo.othonicar@unesp.br</w:t>
      </w:r>
    </w:p>
    <w:p w14:paraId="175DE100" w14:textId="77777777" w:rsidR="00791A37" w:rsidRPr="003435B5" w:rsidRDefault="00791A37" w:rsidP="003435B5">
      <w:pPr>
        <w:contextualSpacing/>
        <w:rPr>
          <w:vertAlign w:val="superscript"/>
          <w:lang w:val="pt-BR"/>
        </w:rPr>
      </w:pPr>
    </w:p>
    <w:p w14:paraId="30DD02E0" w14:textId="7F120817" w:rsidR="00227591" w:rsidRPr="003435B5" w:rsidRDefault="00791A37" w:rsidP="003435B5">
      <w:pPr>
        <w:contextualSpacing/>
        <w:rPr>
          <w:lang w:val="pt-BR"/>
        </w:rPr>
      </w:pPr>
      <w:r w:rsidRPr="003435B5">
        <w:rPr>
          <w:vertAlign w:val="superscript"/>
          <w:lang w:val="pt-BR"/>
        </w:rPr>
        <w:t>3</w:t>
      </w:r>
      <w:r w:rsidR="00227591" w:rsidRPr="003435B5">
        <w:rPr>
          <w:lang w:val="pt-BR"/>
        </w:rPr>
        <w:t>Departamento de Tecnologia, Faculdade de Ciências Agrárias e Veterinárias, Universidade Estadual Paulista “Júlio de Mesquita Filho”, Jaboticabal, SP, Brazil, marcos.t.oliveira@unesp.br</w:t>
      </w:r>
    </w:p>
    <w:p w14:paraId="29C415EF" w14:textId="77777777" w:rsidR="00227591" w:rsidRPr="003435B5" w:rsidRDefault="00227591" w:rsidP="003435B5">
      <w:pPr>
        <w:contextualSpacing/>
        <w:rPr>
          <w:lang w:val="pt-BR"/>
        </w:rPr>
      </w:pPr>
    </w:p>
    <w:p w14:paraId="00535F2C" w14:textId="785C2DC1" w:rsidR="006E4797" w:rsidRPr="003435B5" w:rsidRDefault="00791A37" w:rsidP="003435B5">
      <w:pPr>
        <w:contextualSpacing/>
        <w:rPr>
          <w:lang w:val="pt-BR"/>
        </w:rPr>
      </w:pPr>
      <w:r w:rsidRPr="003435B5">
        <w:rPr>
          <w:vertAlign w:val="superscript"/>
          <w:lang w:val="pt-BR"/>
        </w:rPr>
        <w:t>4</w:t>
      </w:r>
      <w:r w:rsidR="00227591" w:rsidRPr="003435B5">
        <w:rPr>
          <w:lang w:val="pt-BR"/>
        </w:rPr>
        <w:t>Faculdade de Ciências da Saúde, Biomedicina, Universidade do Oeste Paulista, Presidente Prudente, SP, Brazil, carloscouto@unoeste.br</w:t>
      </w:r>
    </w:p>
    <w:p w14:paraId="2D7862A6" w14:textId="7E6D46A7" w:rsidR="00227591" w:rsidRPr="003435B5" w:rsidRDefault="00227591" w:rsidP="003435B5">
      <w:pPr>
        <w:contextualSpacing/>
        <w:rPr>
          <w:lang w:val="pt-BR"/>
        </w:rPr>
      </w:pPr>
    </w:p>
    <w:p w14:paraId="2057E2A8" w14:textId="5144C719" w:rsidR="00227591" w:rsidRPr="003435B5" w:rsidRDefault="00227591" w:rsidP="003435B5">
      <w:pPr>
        <w:contextualSpacing/>
      </w:pPr>
      <w:r w:rsidRPr="003435B5">
        <w:rPr>
          <w:vertAlign w:val="superscript"/>
        </w:rPr>
        <w:t>*</w:t>
      </w:r>
      <w:proofErr w:type="gramStart"/>
      <w:r w:rsidRPr="003435B5">
        <w:t>shared</w:t>
      </w:r>
      <w:proofErr w:type="gramEnd"/>
      <w:r w:rsidRPr="003435B5">
        <w:t xml:space="preserve"> senior authorship</w:t>
      </w:r>
    </w:p>
    <w:p w14:paraId="7F97D562" w14:textId="21B724B3" w:rsidR="00227591" w:rsidRPr="003435B5" w:rsidRDefault="00227591" w:rsidP="003435B5">
      <w:pPr>
        <w:contextualSpacing/>
      </w:pPr>
      <w:r w:rsidRPr="003435B5">
        <w:rPr>
          <w:vertAlign w:val="superscript"/>
        </w:rPr>
        <w:t>#</w:t>
      </w:r>
      <w:proofErr w:type="gramStart"/>
      <w:r w:rsidRPr="003435B5">
        <w:t>corresponding</w:t>
      </w:r>
      <w:proofErr w:type="gramEnd"/>
      <w:r w:rsidRPr="003435B5">
        <w:t xml:space="preserve"> author</w:t>
      </w:r>
    </w:p>
    <w:p w14:paraId="141ABDE5" w14:textId="21318845" w:rsidR="000D4E72" w:rsidRPr="003435B5" w:rsidRDefault="000D4E72" w:rsidP="003435B5">
      <w:pPr>
        <w:contextualSpacing/>
      </w:pPr>
    </w:p>
    <w:p w14:paraId="60F3B8D4" w14:textId="62062F45" w:rsidR="006E4797" w:rsidRPr="003435B5" w:rsidRDefault="00551D82" w:rsidP="003435B5">
      <w:pPr>
        <w:contextualSpacing/>
      </w:pPr>
      <w:r w:rsidRPr="003435B5">
        <w:rPr>
          <w:b/>
        </w:rPr>
        <w:t>SUMMARY:</w:t>
      </w:r>
    </w:p>
    <w:p w14:paraId="01069787" w14:textId="235BCBA7" w:rsidR="006E4797" w:rsidRPr="003435B5" w:rsidRDefault="00AD670A" w:rsidP="003435B5">
      <w:pPr>
        <w:contextualSpacing/>
      </w:pPr>
      <w:r w:rsidRPr="003435B5">
        <w:t>W</w:t>
      </w:r>
      <w:r w:rsidR="006962C7" w:rsidRPr="003435B5">
        <w:t xml:space="preserve">e provide protocols for anyone </w:t>
      </w:r>
      <w:r w:rsidR="00C45144" w:rsidRPr="003435B5">
        <w:t xml:space="preserve">with </w:t>
      </w:r>
      <w:r w:rsidR="003435B5" w:rsidRPr="003435B5">
        <w:t>a</w:t>
      </w:r>
      <w:r w:rsidR="00C45144" w:rsidRPr="003435B5">
        <w:t xml:space="preserve"> “make</w:t>
      </w:r>
      <w:r w:rsidR="004F3206" w:rsidRPr="003435B5">
        <w:t>r</w:t>
      </w:r>
      <w:r w:rsidR="00C45144" w:rsidRPr="003435B5">
        <w:t xml:space="preserve"> culture” mind </w:t>
      </w:r>
      <w:r w:rsidR="006962C7" w:rsidRPr="003435B5">
        <w:t xml:space="preserve">to </w:t>
      </w:r>
      <w:r w:rsidR="00493D86" w:rsidRPr="003435B5">
        <w:t xml:space="preserve">start </w:t>
      </w:r>
      <w:r w:rsidR="006962C7" w:rsidRPr="003435B5">
        <w:t>build</w:t>
      </w:r>
      <w:r w:rsidR="00493D86" w:rsidRPr="003435B5">
        <w:t>ing</w:t>
      </w:r>
      <w:r w:rsidR="006962C7" w:rsidRPr="003435B5">
        <w:t xml:space="preserve"> a </w:t>
      </w:r>
      <w:proofErr w:type="spellStart"/>
      <w:r w:rsidR="006962C7" w:rsidRPr="003435B5">
        <w:t>flylab</w:t>
      </w:r>
      <w:proofErr w:type="spellEnd"/>
      <w:r w:rsidR="006962C7" w:rsidRPr="003435B5">
        <w:t xml:space="preserve"> for quantitative analysis of </w:t>
      </w:r>
      <w:r w:rsidR="003435B5" w:rsidRPr="003435B5">
        <w:t xml:space="preserve">a </w:t>
      </w:r>
      <w:r w:rsidR="006962C7" w:rsidRPr="003435B5">
        <w:t xml:space="preserve">myriad </w:t>
      </w:r>
      <w:r w:rsidR="003435B5" w:rsidRPr="003435B5">
        <w:t xml:space="preserve">of </w:t>
      </w:r>
      <w:r w:rsidR="006962C7" w:rsidRPr="003435B5">
        <w:t xml:space="preserve">behavioral parameters in </w:t>
      </w:r>
      <w:r w:rsidR="006962C7" w:rsidRPr="003435B5">
        <w:rPr>
          <w:i/>
          <w:iCs/>
        </w:rPr>
        <w:t>Drosophila melanogaster</w:t>
      </w:r>
      <w:r w:rsidR="006962C7" w:rsidRPr="003435B5">
        <w:t xml:space="preserve">, by 3D-printing </w:t>
      </w:r>
      <w:r w:rsidR="00493D86" w:rsidRPr="003435B5">
        <w:t>many</w:t>
      </w:r>
      <w:r w:rsidR="006962C7" w:rsidRPr="003435B5">
        <w:t xml:space="preserve"> </w:t>
      </w:r>
      <w:r w:rsidR="00DA1303" w:rsidRPr="003435B5">
        <w:t xml:space="preserve">of the </w:t>
      </w:r>
      <w:r w:rsidR="006962C7" w:rsidRPr="003435B5">
        <w:t xml:space="preserve">necessary </w:t>
      </w:r>
      <w:r w:rsidR="00DA1303" w:rsidRPr="003435B5">
        <w:t xml:space="preserve">pieces of </w:t>
      </w:r>
      <w:r w:rsidR="006962C7" w:rsidRPr="003435B5">
        <w:t>equipment. We also describe a high resolution respirometry protocol using larva</w:t>
      </w:r>
      <w:r w:rsidR="00DA1303" w:rsidRPr="003435B5">
        <w:t>e</w:t>
      </w:r>
      <w:r w:rsidR="006962C7" w:rsidRPr="003435B5">
        <w:t xml:space="preserve"> to combine behavioral and mitochondrial metabolism data.</w:t>
      </w:r>
    </w:p>
    <w:p w14:paraId="74EFC8D7" w14:textId="77777777" w:rsidR="006E4797" w:rsidRPr="003435B5" w:rsidRDefault="006E4797" w:rsidP="003435B5">
      <w:pPr>
        <w:contextualSpacing/>
      </w:pPr>
    </w:p>
    <w:p w14:paraId="43AF668E" w14:textId="72F0B8AC" w:rsidR="00C45144" w:rsidRPr="003435B5" w:rsidRDefault="00551D82" w:rsidP="003435B5">
      <w:pPr>
        <w:contextualSpacing/>
      </w:pPr>
      <w:r w:rsidRPr="003435B5">
        <w:rPr>
          <w:b/>
        </w:rPr>
        <w:t>ABSTRACT:</w:t>
      </w:r>
    </w:p>
    <w:p w14:paraId="40A249E6" w14:textId="1DDA3DBB" w:rsidR="006E4797" w:rsidRPr="003435B5" w:rsidRDefault="000151E4" w:rsidP="003435B5">
      <w:pPr>
        <w:contextualSpacing/>
      </w:pPr>
      <w:r w:rsidRPr="003435B5">
        <w:t xml:space="preserve">The usefulness of </w:t>
      </w:r>
      <w:r w:rsidRPr="003435B5">
        <w:rPr>
          <w:i/>
          <w:iCs/>
        </w:rPr>
        <w:t>Drosophila</w:t>
      </w:r>
      <w:r w:rsidRPr="003435B5">
        <w:t xml:space="preserve"> as a model organism for the study of human diseases, behaviors and basic biology is unquestionable. Although practical, </w:t>
      </w:r>
      <w:r w:rsidRPr="003435B5">
        <w:rPr>
          <w:i/>
          <w:iCs/>
        </w:rPr>
        <w:t>Drosophila</w:t>
      </w:r>
      <w:r w:rsidRPr="003435B5">
        <w:t xml:space="preserve"> research lacks popularity in developing countries, possibly due to the misinformed idea that establishing a lab and performing relevant experiments with such tiny insects is difficult and requires expensive, specialized apparatuses. Here, we describe how to build an affordable </w:t>
      </w:r>
      <w:proofErr w:type="spellStart"/>
      <w:r w:rsidRPr="003435B5">
        <w:t>flylab</w:t>
      </w:r>
      <w:proofErr w:type="spellEnd"/>
      <w:r w:rsidRPr="003435B5">
        <w:t xml:space="preserve"> to quantitatively analyze </w:t>
      </w:r>
      <w:r w:rsidR="003435B5" w:rsidRPr="003435B5">
        <w:t xml:space="preserve">a </w:t>
      </w:r>
      <w:r w:rsidRPr="003435B5">
        <w:t xml:space="preserve">myriad </w:t>
      </w:r>
      <w:r w:rsidR="003435B5" w:rsidRPr="003435B5">
        <w:t xml:space="preserve">of </w:t>
      </w:r>
      <w:r w:rsidRPr="003435B5">
        <w:t xml:space="preserve">behavioral parameters in </w:t>
      </w:r>
      <w:r w:rsidRPr="003435B5">
        <w:rPr>
          <w:i/>
          <w:iCs/>
        </w:rPr>
        <w:t>D. melanogaster</w:t>
      </w:r>
      <w:r w:rsidRPr="003435B5">
        <w:t xml:space="preserve">, by 3D-printing </w:t>
      </w:r>
      <w:r w:rsidR="00DA1303" w:rsidRPr="003435B5">
        <w:t>many of the</w:t>
      </w:r>
      <w:r w:rsidRPr="003435B5">
        <w:t xml:space="preserve"> necessary </w:t>
      </w:r>
      <w:r w:rsidR="00DA1303" w:rsidRPr="003435B5">
        <w:t xml:space="preserve">pieces of </w:t>
      </w:r>
      <w:r w:rsidRPr="003435B5">
        <w:t>equipment.</w:t>
      </w:r>
      <w:r w:rsidR="002B2E6E" w:rsidRPr="003435B5">
        <w:t xml:space="preserve"> We provide protocols to build in-house</w:t>
      </w:r>
      <w:r w:rsidR="001256E4" w:rsidRPr="003435B5">
        <w:t xml:space="preserve"> vial racks,</w:t>
      </w:r>
      <w:r w:rsidR="002B2E6E" w:rsidRPr="003435B5">
        <w:t xml:space="preserve"> </w:t>
      </w:r>
      <w:r w:rsidR="001256E4" w:rsidRPr="003435B5">
        <w:t xml:space="preserve">courtship arenas, </w:t>
      </w:r>
      <w:r w:rsidR="00ED5BA1" w:rsidRPr="003435B5">
        <w:t>apparatuses for locomotor assays</w:t>
      </w:r>
      <w:r w:rsidR="00653655" w:rsidRPr="003435B5">
        <w:t xml:space="preserve">, </w:t>
      </w:r>
      <w:r w:rsidR="00325596" w:rsidRPr="003435B5">
        <w:t>etc.,</w:t>
      </w:r>
      <w:r w:rsidR="002B2E6E" w:rsidRPr="003435B5">
        <w:t xml:space="preserve"> to </w:t>
      </w:r>
      <w:r w:rsidR="00325596" w:rsidRPr="003435B5">
        <w:t xml:space="preserve">be </w:t>
      </w:r>
      <w:r w:rsidR="002B2E6E" w:rsidRPr="003435B5">
        <w:t>use</w:t>
      </w:r>
      <w:r w:rsidR="00325596" w:rsidRPr="003435B5">
        <w:t>d</w:t>
      </w:r>
      <w:r w:rsidR="002B2E6E" w:rsidRPr="003435B5">
        <w:t xml:space="preserve"> </w:t>
      </w:r>
      <w:r w:rsidR="00325596" w:rsidRPr="003435B5">
        <w:t xml:space="preserve">for general fly maintenance and to perform </w:t>
      </w:r>
      <w:r w:rsidR="001256E4" w:rsidRPr="003435B5">
        <w:t xml:space="preserve">behavioral </w:t>
      </w:r>
      <w:r w:rsidR="00325596" w:rsidRPr="003435B5">
        <w:t xml:space="preserve">experiments </w:t>
      </w:r>
      <w:r w:rsidR="002B2E6E" w:rsidRPr="003435B5">
        <w:t>using adult flies and larvae</w:t>
      </w:r>
      <w:r w:rsidR="00527DC6" w:rsidRPr="003435B5">
        <w:t>. We also provide protocols on how to</w:t>
      </w:r>
      <w:r w:rsidRPr="003435B5">
        <w:t xml:space="preserve"> </w:t>
      </w:r>
      <w:r w:rsidR="00527DC6" w:rsidRPr="003435B5">
        <w:t xml:space="preserve">use more sophisticated systems, such as a high resolution </w:t>
      </w:r>
      <w:proofErr w:type="spellStart"/>
      <w:r w:rsidR="00527DC6" w:rsidRPr="003435B5">
        <w:t>oxygraph</w:t>
      </w:r>
      <w:proofErr w:type="spellEnd"/>
      <w:r w:rsidR="00527DC6" w:rsidRPr="003435B5">
        <w:t>, to measure mitochondrial oxygen consumption in larval samples, and show its a</w:t>
      </w:r>
      <w:r w:rsidRPr="003435B5">
        <w:t>ssociat</w:t>
      </w:r>
      <w:r w:rsidR="00527DC6" w:rsidRPr="003435B5">
        <w:t xml:space="preserve">ion with behavioral changes in the larvae upon </w:t>
      </w:r>
      <w:r w:rsidR="001218AB" w:rsidRPr="003435B5">
        <w:t xml:space="preserve">the </w:t>
      </w:r>
      <w:proofErr w:type="spellStart"/>
      <w:r w:rsidR="00527DC6" w:rsidRPr="003435B5">
        <w:t>xenotopic</w:t>
      </w:r>
      <w:proofErr w:type="spellEnd"/>
      <w:r w:rsidR="00527DC6" w:rsidRPr="003435B5">
        <w:t xml:space="preserve"> expression of the mitochondrial alternative oxidase</w:t>
      </w:r>
      <w:r w:rsidR="00F80724" w:rsidRPr="003435B5">
        <w:t xml:space="preserve"> (AOX)</w:t>
      </w:r>
      <w:r w:rsidR="00527DC6" w:rsidRPr="003435B5">
        <w:t xml:space="preserve">. </w:t>
      </w:r>
      <w:r w:rsidR="00F80724" w:rsidRPr="003435B5">
        <w:t xml:space="preserve">AOX increases larval activity and </w:t>
      </w:r>
      <w:r w:rsidR="001218AB" w:rsidRPr="003435B5">
        <w:t xml:space="preserve">mitochondrial </w:t>
      </w:r>
      <w:r w:rsidR="003435B5" w:rsidRPr="003435B5">
        <w:t>l</w:t>
      </w:r>
      <w:r w:rsidR="00ED5BA1" w:rsidRPr="003435B5">
        <w:t xml:space="preserve">eak </w:t>
      </w:r>
      <w:r w:rsidR="001218AB" w:rsidRPr="003435B5">
        <w:t xml:space="preserve">respiration, and </w:t>
      </w:r>
      <w:r w:rsidR="00F80724" w:rsidRPr="003435B5">
        <w:t xml:space="preserve">accelerates development </w:t>
      </w:r>
      <w:r w:rsidR="00FA6866" w:rsidRPr="003435B5">
        <w:t>at</w:t>
      </w:r>
      <w:r w:rsidR="00F80724" w:rsidRPr="003435B5">
        <w:t xml:space="preserve"> low temperature</w:t>
      </w:r>
      <w:r w:rsidR="00FA6866" w:rsidRPr="003435B5">
        <w:t>s</w:t>
      </w:r>
      <w:r w:rsidR="00F80724" w:rsidRPr="003435B5">
        <w:t xml:space="preserve">, which is consistent with a thermogenic role for the enzyme. </w:t>
      </w:r>
      <w:r w:rsidR="00400EF0" w:rsidRPr="003435B5">
        <w:t xml:space="preserve">We hope </w:t>
      </w:r>
      <w:r w:rsidR="003435B5" w:rsidRPr="003435B5">
        <w:t>these</w:t>
      </w:r>
      <w:r w:rsidR="00400EF0" w:rsidRPr="003435B5">
        <w:t xml:space="preserve"> protocols</w:t>
      </w:r>
      <w:r w:rsidR="00CD4E33" w:rsidRPr="003435B5">
        <w:t xml:space="preserve"> will </w:t>
      </w:r>
      <w:r w:rsidR="0000522B" w:rsidRPr="003435B5">
        <w:t xml:space="preserve">inspire </w:t>
      </w:r>
      <w:r w:rsidR="00CD4E33" w:rsidRPr="003435B5">
        <w:t>researchers</w:t>
      </w:r>
      <w:r w:rsidR="0000522B" w:rsidRPr="003435B5">
        <w:t>, especially from developing countries,</w:t>
      </w:r>
      <w:r w:rsidR="00CD4E33" w:rsidRPr="003435B5">
        <w:t xml:space="preserve"> </w:t>
      </w:r>
      <w:r w:rsidR="0000522B" w:rsidRPr="003435B5">
        <w:t xml:space="preserve">to use </w:t>
      </w:r>
      <w:r w:rsidR="0000522B" w:rsidRPr="003435B5">
        <w:rPr>
          <w:i/>
          <w:iCs/>
        </w:rPr>
        <w:t>Drosophila</w:t>
      </w:r>
      <w:r w:rsidR="0000522B" w:rsidRPr="003435B5">
        <w:t xml:space="preserve"> to</w:t>
      </w:r>
      <w:r w:rsidRPr="003435B5">
        <w:t xml:space="preserve"> </w:t>
      </w:r>
      <w:r w:rsidRPr="003435B5">
        <w:lastRenderedPageBreak/>
        <w:t>easily combine behavior and mitochondrial metabolism</w:t>
      </w:r>
      <w:r w:rsidR="0000522B" w:rsidRPr="003435B5">
        <w:t xml:space="preserve"> data</w:t>
      </w:r>
      <w:r w:rsidRPr="003435B5">
        <w:t xml:space="preserve">, </w:t>
      </w:r>
      <w:r w:rsidR="0000522B" w:rsidRPr="003435B5">
        <w:t>which may lead to</w:t>
      </w:r>
      <w:r w:rsidRPr="003435B5">
        <w:t xml:space="preserve"> information on genes and/or environmental conditions that may </w:t>
      </w:r>
      <w:r w:rsidR="0000522B" w:rsidRPr="003435B5">
        <w:t xml:space="preserve">also </w:t>
      </w:r>
      <w:r w:rsidRPr="003435B5">
        <w:t xml:space="preserve">regulate </w:t>
      </w:r>
      <w:r w:rsidR="0000522B" w:rsidRPr="003435B5">
        <w:t>human physiology</w:t>
      </w:r>
      <w:r w:rsidR="001256E4" w:rsidRPr="003435B5">
        <w:t xml:space="preserve"> and disease states</w:t>
      </w:r>
      <w:r w:rsidRPr="003435B5">
        <w:t>.</w:t>
      </w:r>
    </w:p>
    <w:p w14:paraId="2CF9CD54" w14:textId="3BB1BE88" w:rsidR="000D4E72" w:rsidRPr="003435B5" w:rsidRDefault="000D4E72" w:rsidP="003435B5">
      <w:pPr>
        <w:contextualSpacing/>
      </w:pPr>
    </w:p>
    <w:p w14:paraId="0646E204" w14:textId="46D83715" w:rsidR="006E4797" w:rsidRPr="003435B5" w:rsidRDefault="00551D82" w:rsidP="003435B5">
      <w:pPr>
        <w:contextualSpacing/>
      </w:pPr>
      <w:r w:rsidRPr="003435B5">
        <w:rPr>
          <w:b/>
        </w:rPr>
        <w:t>INTRODUCTION:</w:t>
      </w:r>
      <w:r w:rsidRPr="003435B5">
        <w:t xml:space="preserve"> </w:t>
      </w:r>
    </w:p>
    <w:p w14:paraId="56C162B2" w14:textId="0B3D729C" w:rsidR="00F352DD" w:rsidRPr="003435B5" w:rsidRDefault="00F352DD" w:rsidP="003435B5">
      <w:pPr>
        <w:contextualSpacing/>
      </w:pPr>
      <w:r w:rsidRPr="003435B5">
        <w:rPr>
          <w:i/>
          <w:iCs/>
        </w:rPr>
        <w:t>Drosophila melanogaster</w:t>
      </w:r>
      <w:r w:rsidRPr="003435B5">
        <w:t xml:space="preserve"> was introduced to the scientific community as a potentially powerful model organism more than 100 years ago. That potential has been firmly validated in several areas of the biological and biomedical sciences, such as genetics, evolution, developmental biology, neurobiology, and molecular and cell biology. As a result, six Nobel Prizes in Medicine or Physiology have been awarded to ten </w:t>
      </w:r>
      <w:r w:rsidRPr="003435B5">
        <w:rPr>
          <w:i/>
          <w:iCs/>
        </w:rPr>
        <w:t>Drosophila</w:t>
      </w:r>
      <w:r w:rsidRPr="003435B5">
        <w:t xml:space="preserve"> researchers who have substantially contributed to our understanding of heredity, mutagenesis, innate immunity, circadian rhythms, olfaction and development</w:t>
      </w:r>
      <w:r w:rsidR="000423EF" w:rsidRPr="003435B5">
        <w:fldChar w:fldCharType="begin" w:fldLock="1"/>
      </w:r>
      <w:r w:rsidR="000423EF" w:rsidRPr="003435B5">
        <w:instrText>ADDIN CSL_CITATION {"citationItems":[{"id":"ITEM-1","itemData":{"URL":"https://www.nobelprize.org/prizes/medicine/","accessed":{"date-parts":[["2021","7","6"]]},"id":"ITEM-1","issued":{"date-parts":[["0"]]},"title":"NobelPrize.org","type":"webpage"},"uris":["http://www.mendeley.com/documents/?uuid=1e0873a4-5651-3586-bba6-9c08d10e6d0d"]}],"mendeley":{"formattedCitation":"&lt;sup&gt;1&lt;/sup&gt;","plainTextFormattedCitation":"1","previouslyFormattedCitation":"&lt;sup&gt;1&lt;/sup&gt;"},"properties":{"noteIndex":0},"schema":"https://github.com/citation-style-language/schema/raw/master/csl-citation.json"}</w:instrText>
      </w:r>
      <w:r w:rsidR="000423EF" w:rsidRPr="003435B5">
        <w:fldChar w:fldCharType="separate"/>
      </w:r>
      <w:r w:rsidR="000423EF" w:rsidRPr="003435B5">
        <w:rPr>
          <w:noProof/>
          <w:vertAlign w:val="superscript"/>
        </w:rPr>
        <w:t>1</w:t>
      </w:r>
      <w:r w:rsidR="000423EF" w:rsidRPr="003435B5">
        <w:fldChar w:fldCharType="end"/>
      </w:r>
      <w:hyperlink w:history="1"/>
      <w:r w:rsidRPr="003435B5">
        <w:t xml:space="preserve">. Perhaps more importantly, </w:t>
      </w:r>
      <w:r w:rsidRPr="003435B5">
        <w:rPr>
          <w:i/>
          <w:iCs/>
        </w:rPr>
        <w:t>D. melanogaster</w:t>
      </w:r>
      <w:r w:rsidRPr="003435B5">
        <w:t xml:space="preserve"> has not ceased </w:t>
      </w:r>
      <w:r w:rsidR="00FA6866" w:rsidRPr="003435B5">
        <w:t xml:space="preserve">to </w:t>
      </w:r>
      <w:r w:rsidRPr="003435B5">
        <w:t>provid</w:t>
      </w:r>
      <w:r w:rsidR="00FA6866" w:rsidRPr="003435B5">
        <w:t>e</w:t>
      </w:r>
      <w:r w:rsidRPr="003435B5">
        <w:t xml:space="preserve"> us with new models of human biology and diseases, as a quick search on Pub</w:t>
      </w:r>
      <w:r w:rsidR="003435B5" w:rsidRPr="003435B5">
        <w:t>M</w:t>
      </w:r>
      <w:r w:rsidRPr="003435B5">
        <w:t>ed reveals almost 600 publications in the last 5 years, using the search term “drosophila model”</w:t>
      </w:r>
      <w:r w:rsidR="00D9238E" w:rsidRPr="003435B5">
        <w:t xml:space="preserve"> (</w:t>
      </w:r>
      <w:r w:rsidR="000423EF" w:rsidRPr="003435B5">
        <w:fldChar w:fldCharType="begin" w:fldLock="1"/>
      </w:r>
      <w:r w:rsidR="0031192A" w:rsidRPr="003435B5">
        <w:instrText>ADDIN CSL_CITATION {"citationItems":[{"id":"ITEM-1","itemData":{"URL":"https://pubmed.ncbi.nlm.nih.gov/?term=%22drosophila+model%22&amp;filter=datesearch.y_5","accessed":{"date-parts":[["2021","7","6"]]},"id":"ITEM-1","issued":{"date-parts":[["0"]]},"title":"\"drosophila model\" - Search Results - PubMed","type":"webpage"},"uris":["http://www.mendeley.com/documents/?uuid=8c74e85d-d6d0-3074-9e45-2b38a32720b5"]}],"mendeley":{"formattedCitation":"&lt;sup&gt;2&lt;/sup&gt;","plainTextFormattedCitation":"2","previouslyFormattedCitation":"&lt;sup&gt;2&lt;/sup&gt;"},"properties":{"noteIndex":0},"schema":"https://github.com/citation-style-language/schema/raw/master/csl-citation.json"}</w:instrText>
      </w:r>
      <w:r w:rsidR="000423EF" w:rsidRPr="003435B5">
        <w:fldChar w:fldCharType="separate"/>
      </w:r>
      <w:r w:rsidR="000423EF" w:rsidRPr="003435B5">
        <w:rPr>
          <w:noProof/>
          <w:vertAlign w:val="superscript"/>
        </w:rPr>
        <w:t>2</w:t>
      </w:r>
      <w:r w:rsidR="000423EF" w:rsidRPr="003435B5">
        <w:fldChar w:fldCharType="end"/>
      </w:r>
      <w:r w:rsidRPr="003435B5">
        <w:t xml:space="preserve">, as of February, 2021). In the US, where </w:t>
      </w:r>
      <w:r w:rsidRPr="003435B5">
        <w:rPr>
          <w:i/>
          <w:iCs/>
        </w:rPr>
        <w:t>Drosophila</w:t>
      </w:r>
      <w:r w:rsidRPr="003435B5">
        <w:t xml:space="preserve"> is a wide spread model organism in the biomedical community, about 2.2% of all R01 research awards granted by the NIH in 2015 were allocated to </w:t>
      </w:r>
      <w:r w:rsidRPr="003435B5">
        <w:rPr>
          <w:i/>
          <w:iCs/>
        </w:rPr>
        <w:t>Drosophila</w:t>
      </w:r>
      <w:r w:rsidRPr="003435B5">
        <w:t xml:space="preserve"> researchers</w:t>
      </w:r>
      <w:r w:rsidR="0031192A" w:rsidRPr="003435B5">
        <w:fldChar w:fldCharType="begin" w:fldLock="1"/>
      </w:r>
      <w:r w:rsidR="0031192A" w:rsidRPr="003435B5">
        <w:instrText>ADDIN CSL_CITATION {"citationItems":[{"id":"ITEM-1","itemData":{"URL":"https://nexus.od.nih.gov/all/2016/07/14/a-look-at-trends-in-nihs-model-organism-research-support/","accessed":{"date-parts":[["2021","7","6"]]},"author":[{"dropping-particle":"","family":"Lauer","given":"Mike","non-dropping-particle":"","parse-names":false,"suffix":""}],"id":"ITEM-1","issued":{"date-parts":[["2016"]]},"title":"A Look at Trends in NIH’s Model Organism Research Support – NIH Extramural Nexus","type":"webpage"},"uris":["http://www.mendeley.com/documents/?uuid=46cf78b4-fb0b-3179-915b-6672719fe719"]}],"mendeley":{"formattedCitation":"&lt;sup&gt;3&lt;/sup&gt;","plainTextFormattedCitation":"3","previouslyFormattedCitation":"&lt;sup&gt;3&lt;/sup&gt;"},"properties":{"noteIndex":0},"schema":"https://github.com/citation-style-language/schema/raw/master/csl-citation.json"}</w:instrText>
      </w:r>
      <w:r w:rsidR="0031192A" w:rsidRPr="003435B5">
        <w:fldChar w:fldCharType="separate"/>
      </w:r>
      <w:r w:rsidR="0031192A" w:rsidRPr="003435B5">
        <w:rPr>
          <w:noProof/>
          <w:vertAlign w:val="superscript"/>
        </w:rPr>
        <w:t>3</w:t>
      </w:r>
      <w:r w:rsidR="0031192A" w:rsidRPr="003435B5">
        <w:fldChar w:fldCharType="end"/>
      </w:r>
      <w:r w:rsidR="00D9238E" w:rsidRPr="003435B5">
        <w:t xml:space="preserve">. </w:t>
      </w:r>
      <w:r w:rsidRPr="003435B5">
        <w:t xml:space="preserve">In Brazil, on the other hand, a search for currently funded projects on the website of the Sao Paulo Research Foundation (FAPESP), the most important funding agency for research in all scientific areas in the state of Sao Paulo, showed only 24 grants and fellowships with </w:t>
      </w:r>
      <w:r w:rsidRPr="003435B5">
        <w:rPr>
          <w:i/>
          <w:iCs/>
        </w:rPr>
        <w:t>Drosophila</w:t>
      </w:r>
      <w:r w:rsidRPr="003435B5">
        <w:t xml:space="preserve"> as the main subject of study</w:t>
      </w:r>
      <w:r w:rsidR="0031192A" w:rsidRPr="003435B5">
        <w:fldChar w:fldCharType="begin" w:fldLock="1"/>
      </w:r>
      <w:r w:rsidR="0031192A" w:rsidRPr="003435B5">
        <w:instrText>ADDIN CSL_CITATION {"citationItems":[{"id":"ITEM-1","itemData":{"URL":"https://bv.fapesp.br/pt/metapesquisa/?q=drosophila,","accessed":{"date-parts":[["2021","7","6"]]},"id":"ITEM-1","issued":{"date-parts":[["0"]]},"title":"Auxílios e Bolsas FAPESP - Biblioteca Virtual da FAPESP","type":"webpage"},"uris":["http://www.mendeley.com/documents/?uuid=2bbce3b8-fa65-3945-8367-202503a1410b"]}],"mendeley":{"formattedCitation":"&lt;sup&gt;4&lt;/sup&gt;","plainTextFormattedCitation":"4","previouslyFormattedCitation":"&lt;sup&gt;4&lt;/sup&gt;"},"properties":{"noteIndex":0},"schema":"https://github.com/citation-style-language/schema/raw/master/csl-citation.json"}</w:instrText>
      </w:r>
      <w:r w:rsidR="0031192A" w:rsidRPr="003435B5">
        <w:fldChar w:fldCharType="separate"/>
      </w:r>
      <w:r w:rsidR="0031192A" w:rsidRPr="003435B5">
        <w:rPr>
          <w:noProof/>
          <w:vertAlign w:val="superscript"/>
        </w:rPr>
        <w:t>4</w:t>
      </w:r>
      <w:r w:rsidR="0031192A" w:rsidRPr="003435B5">
        <w:fldChar w:fldCharType="end"/>
      </w:r>
      <w:r w:rsidRPr="003435B5">
        <w:t>. Considering all 13205 projects currently funded by FAPESP</w:t>
      </w:r>
      <w:r w:rsidR="00D9238E" w:rsidRPr="003435B5">
        <w:t xml:space="preserve"> (</w:t>
      </w:r>
      <w:r w:rsidR="0031192A" w:rsidRPr="003435B5">
        <w:fldChar w:fldCharType="begin" w:fldLock="1"/>
      </w:r>
      <w:r w:rsidR="0031192A" w:rsidRPr="003435B5">
        <w:instrText>ADDIN CSL_CITATION {"citationItems":[{"id":"ITEM-1","itemData":{"URL":"https://bv.fapesp.br/pt/metapesquisa/","accessed":{"date-parts":[["2021","7","6"]]},"id":"ITEM-1","issued":{"date-parts":[["0"]]},"title":"Auxílios e Bolsas FAPESP - Biblioteca Virtual da FAPESP","type":"webpage"},"uris":["http://www.mendeley.com/documents/?uuid=04232b0e-4fc4-3ffe-a584-c8083233de63"]}],"mendeley":{"formattedCitation":"&lt;sup&gt;5&lt;/sup&gt;","plainTextFormattedCitation":"5","previouslyFormattedCitation":"&lt;sup&gt;5&lt;/sup&gt;"},"properties":{"noteIndex":0},"schema":"https://github.com/citation-style-language/schema/raw/master/csl-citation.json"}</w:instrText>
      </w:r>
      <w:r w:rsidR="0031192A" w:rsidRPr="003435B5">
        <w:fldChar w:fldCharType="separate"/>
      </w:r>
      <w:r w:rsidR="0031192A" w:rsidRPr="003435B5">
        <w:rPr>
          <w:noProof/>
          <w:vertAlign w:val="superscript"/>
        </w:rPr>
        <w:t>5</w:t>
      </w:r>
      <w:r w:rsidR="0031192A" w:rsidRPr="003435B5">
        <w:fldChar w:fldCharType="end"/>
      </w:r>
      <w:r w:rsidR="00D9238E" w:rsidRPr="003435B5">
        <w:t>, as of February, 2021)</w:t>
      </w:r>
      <w:r w:rsidR="0031192A" w:rsidRPr="003435B5">
        <w:t>,</w:t>
      </w:r>
      <w:r w:rsidR="00D9238E" w:rsidRPr="003435B5">
        <w:t xml:space="preserve"> </w:t>
      </w:r>
      <w:r w:rsidRPr="003435B5">
        <w:t xml:space="preserve">those 24 </w:t>
      </w:r>
      <w:r w:rsidRPr="003435B5">
        <w:rPr>
          <w:i/>
          <w:iCs/>
        </w:rPr>
        <w:t>Drosophila</w:t>
      </w:r>
      <w:r w:rsidRPr="003435B5">
        <w:t xml:space="preserve"> projects represent a ratio of less than 0.2% of the total projects, which is nearly 12</w:t>
      </w:r>
      <w:r w:rsidR="00FA6866" w:rsidRPr="003435B5">
        <w:t xml:space="preserve"> </w:t>
      </w:r>
      <w:r w:rsidRPr="003435B5">
        <w:t xml:space="preserve">fold lower than that of the NIH. If we remove the funded projects that aim at studying </w:t>
      </w:r>
      <w:r w:rsidRPr="003435B5">
        <w:rPr>
          <w:i/>
          <w:iCs/>
        </w:rPr>
        <w:t>Drosophila</w:t>
      </w:r>
      <w:r w:rsidRPr="003435B5">
        <w:t xml:space="preserve"> from an ecological and/or evolutionary point of </w:t>
      </w:r>
      <w:proofErr w:type="gramStart"/>
      <w:r w:rsidRPr="003435B5">
        <w:t>view, and</w:t>
      </w:r>
      <w:proofErr w:type="gramEnd"/>
      <w:r w:rsidRPr="003435B5">
        <w:t xml:space="preserve"> assume that the remaining projects use this organism as a model for understanding human biolog</w:t>
      </w:r>
      <w:r w:rsidR="001256E4" w:rsidRPr="003435B5">
        <w:t>ical processes in health</w:t>
      </w:r>
      <w:r w:rsidRPr="003435B5">
        <w:t xml:space="preserve"> and disease, that ratio decreases to a shocking ~0.1%.</w:t>
      </w:r>
    </w:p>
    <w:p w14:paraId="5F33FD89" w14:textId="68333766" w:rsidR="002F39AA" w:rsidRPr="003435B5" w:rsidRDefault="002F39AA" w:rsidP="003435B5">
      <w:pPr>
        <w:contextualSpacing/>
      </w:pPr>
    </w:p>
    <w:p w14:paraId="3091CAFB" w14:textId="114D57F5" w:rsidR="00D948A4" w:rsidRPr="003435B5" w:rsidRDefault="0065200D" w:rsidP="003435B5">
      <w:pPr>
        <w:contextualSpacing/>
      </w:pPr>
      <w:r w:rsidRPr="003435B5">
        <w:t>In fact, a</w:t>
      </w:r>
      <w:r w:rsidR="00F352DD" w:rsidRPr="003435B5">
        <w:t xml:space="preserve"> proper investigation is warranted to </w:t>
      </w:r>
      <w:r w:rsidR="00FA6866" w:rsidRPr="003435B5">
        <w:t>reveal</w:t>
      </w:r>
      <w:r w:rsidR="00F352DD" w:rsidRPr="003435B5">
        <w:t xml:space="preserve"> the reasons why </w:t>
      </w:r>
      <w:r w:rsidR="00F352DD" w:rsidRPr="003435B5">
        <w:rPr>
          <w:i/>
          <w:iCs/>
        </w:rPr>
        <w:t>Drosophila</w:t>
      </w:r>
      <w:r w:rsidR="00F352DD" w:rsidRPr="003435B5">
        <w:t xml:space="preserve"> research in Brazil/Sao Paulo does not appear to be as significant in number of funded projects</w:t>
      </w:r>
      <w:r w:rsidR="002237DF" w:rsidRPr="003435B5">
        <w:t>.</w:t>
      </w:r>
      <w:r w:rsidR="00F352DD" w:rsidRPr="003435B5">
        <w:t xml:space="preserve"> </w:t>
      </w:r>
      <w:r w:rsidR="00F314AC" w:rsidRPr="003435B5">
        <w:t xml:space="preserve">Culturing </w:t>
      </w:r>
      <w:r w:rsidR="00F314AC" w:rsidRPr="003435B5">
        <w:rPr>
          <w:i/>
          <w:iCs/>
        </w:rPr>
        <w:t>Drosophila</w:t>
      </w:r>
      <w:r w:rsidR="00F314AC" w:rsidRPr="003435B5">
        <w:t xml:space="preserve"> is not expensive</w:t>
      </w:r>
      <w:r w:rsidR="00F314AC" w:rsidRPr="003435B5">
        <w:fldChar w:fldCharType="begin" w:fldLock="1"/>
      </w:r>
      <w:r w:rsidR="0031192A" w:rsidRPr="003435B5">
        <w:instrText>ADDIN CSL_CITATION {"citationItems":[{"id":"ITEM-1","itemData":{"DOI":"10.1016/S1369-7021(11)70113-4","ISSN":"13697021","abstract":"The fruit fly Drosophila melanogaster is a versatile model organism that has been used in biomedical research for over a century to study a broad range of phenomena. There are many technical advantages of using Drosophila over vertebrate models; they are easy and inexpensive to culture in laboratory conditions, have a much shorter life cycle, they produce large numbers of externally laid embryos and they can be genetically modified in numerous ways. Research using Drosophila has made key advances in our understanding of regenerative biology and will no doubt contribute to the future of regenerative medicine in many different ways. © 2011 Elsevier Ltd.","author":[{"dropping-particle":"","family":"Jennings","given":"Barbara H.","non-dropping-particle":"","parse-names":false,"suffix":""}],"container-title":"Materials Today","id":"ITEM-1","issue":"5","issued":{"date-parts":[["2011","5","1"]]},"page":"190-195","publisher":"Elsevier","title":"Drosophila-a versatile model in biology &amp; medicine","type":"article","volume":"14"},"uris":["http://www.mendeley.com/documents/?uuid=9ffd4a2f-f809-3a94-b511-5d47a7442c99"]},{"id":"ITEM-2","itemData":{"DOI":"10.1007/10","ISBN":"0724-6145 (Print)\\r0724-6145 (Linking)","ISSN":"1616-8542","PMID":"20549468","abstract":"The potential of human embryonic stem cells (ESCs) for regenerative medicine is unquestionable, but practical and ethical considerations have hampered clinical application and research. In an attempt to overcome these issues, the conversion of somatic cells into pluripotent stem cells similar to ESCs, commonly termed nuclear reprogramming, has been a top objective of contemporary biology. More than 40 years ago, King, Briggs, and Gurdon pioneered somatic cell nuclear reprogramming in frogs, and in 1981 Evans successfully isolated mouse ESCs. In 1997 Wilmut and collaborators produced the first cloned mammal using nuclear transfer, and then Thomson obtained human ESCs from in vitro fertilized blastocysts in 1998. Over the last 2 decades we have also seen remarkable findings regarding how ESC behavior is controlled, the importance of which should not be underestimated. This knowledge allowed the laboratory of Shinya Yamanaka to overcome brilliantly conceptual and technical barriers in 2006 and generate induced pluripotent stem cells (iPSCs) from mouse fibroblasts by overexpressing defined combinations of ESC-enriched transcription factors. Here, we discuss some important implications of human iPSCs for biology and medicine and also point to possible future directions.","author":[{"dropping-particle":"","family":"Brandt","given":"A","non-dropping-particle":"","parse-names":false,"suffix":""},{"dropping-particle":"","family":"Vilcinskas","given":"A.","non-dropping-particle":"","parse-names":false,"suffix":""}],"chapter-number":"4","container-title":"Yellow Biotechnology I. Advances in Biochemical Engineering/Biotechnology","editor":[{"dropping-particle":"","family":"Vilcinskas","given":"Andreas","non-dropping-particle":"","parse-names":false,"suffix":""}],"id":"ITEM-2","issued":{"date-parts":[["2013"]]},"page":"63-77","publisher":"Springer, Berlin, Heidelberg","title":"The Fruit Fly Drosophila melanogaster as a Model for Aging Research","type":"chapter","volume":"135"},"uris":["http://www.mendeley.com/documents/?uuid=23f28656-4b7e-41e5-8664-b61c4e3ee1f0"]},{"id":"ITEM-3","itemData":{"DOI":"10.3791/59613","ISSN":"1940087X","PMID":"31403618","abstract":"The fruit fly, Drosophila melanogaster, is widely used both in biological research and biology education. Handling adult flies is common but difficult in practice, as adult flies fly. Demonstrated here is how to make some simple and cost-effective tools to address difficult issues in the handling of Drosophila. Holes in foam stoppers are made and pipette tips or funnels are inserted into the holes. Flies then move only in one direction into the pipette tip/funnel assemblage, allowing efficient control of the transfer of adult Drosophila into or out of a vial. Existing protocols have been modified for cool-anesthetizing flies by chilling in crushed ice and transferring them onto a cold, hard icepack surface. The icepack is covered with a piece of medical gauze that keeps immobilized flies from the condensed water when examined under a stereomicroscope. The flies are finally euthanized for counting and sorting or discarded by microwaving. A bottle-shaped cage has also been developed for collecting eggs, as well as a labor-saving device and accompanying protocol for cleaning glass culture vials.","author":[{"dropping-particle":"","family":"Yang","given":"Daxiang","non-dropping-particle":"","parse-names":false,"suffix":""}],"container-title":"Journal of Visualized Experiments","id":"ITEM-3","issue":"149","issued":{"date-parts":[["2019"]]},"page":"1-8","title":"Simple homemade tools to handle fruit flies—drosophila melanogaster","type":"article-journal","volume":"2019"},"uris":["http://www.mendeley.com/documents/?uuid=9626c390-b558-44ca-b57e-1e5540b111df"]}],"mendeley":{"formattedCitation":"&lt;sup&gt;6–8&lt;/sup&gt;","plainTextFormattedCitation":"6–8","previouslyFormattedCitation":"&lt;sup&gt;6–8&lt;/sup&gt;"},"properties":{"noteIndex":0},"schema":"https://github.com/citation-style-language/schema/raw/master/csl-citation.json"}</w:instrText>
      </w:r>
      <w:r w:rsidR="00F314AC" w:rsidRPr="003435B5">
        <w:fldChar w:fldCharType="separate"/>
      </w:r>
      <w:r w:rsidR="0031192A" w:rsidRPr="003435B5">
        <w:rPr>
          <w:noProof/>
          <w:vertAlign w:val="superscript"/>
        </w:rPr>
        <w:t>6–8</w:t>
      </w:r>
      <w:r w:rsidR="00F314AC" w:rsidRPr="003435B5">
        <w:fldChar w:fldCharType="end"/>
      </w:r>
      <w:r w:rsidR="00F314AC" w:rsidRPr="003435B5">
        <w:t xml:space="preserve"> and is relatively simple, as unlike vertebrates, no permission from a bioethical committee is necessary for experimentation</w:t>
      </w:r>
      <w:r w:rsidR="00F314AC" w:rsidRPr="003435B5">
        <w:fldChar w:fldCharType="begin" w:fldLock="1"/>
      </w:r>
      <w:r w:rsidR="002508B3" w:rsidRPr="003435B5">
        <w:instrText>ADDIN CSL_CITATION {"citationItems":[{"id":"ITEM-1","itemData":{"DOI":"10.1002/prp2.332","ISSN":"20521707","PMID":"28805976","abstract":"Animals have been used in research and teaching for a long time. However, clear ethical guidelines and pertinent legislation were instated only in the past few decades, even in developed countries with Judeo-Christian ethical roots. We compactly cover the basics of animal research ethics, ethical reviewing and compliance guidelines for animal experimentation across the developed world, “our” fundamentals of institutional animal research ethics teaching, and emerging alternatives to animal research. This treatise was meticulously constructed for scientists interested/involved in animal research. Herein, we discuss key animal ethics principles – Replacement/Reduction/Refinement. Despite similar undergirding principles across developed countries, ethical reviewing and compliance guidelines for animal experimentation vary. The chronology and evolution of mandatory institutional ethical reviewing of animal experimentation (in its pioneering nations) are summarised. This is followed by a concise rendition of the fundamentals of teaching animal research ethics in institutions. With the advent of newer methodologies in human cell-culturing, novel/emerging methods aim to minimise, if not avoid the usage of animals in experimentation. Relevant to this, we discuss key extant/emerging alternatives to animal use in research; including organs on chips, human-derived three-dimensional tissue models, human blood derivates, microdosing, and computer modelling of various hues.","author":[{"dropping-particle":"","family":"Cheluvappa","given":"Rajkumar","non-dropping-particle":"","parse-names":false,"suffix":""},{"dropping-particle":"","family":"Scowen","given":"Paul","non-dropping-particle":"","parse-names":false,"suffix":""},{"dropping-particle":"","family":"Eri","given":"Rajaraman","non-dropping-particle":"","parse-names":false,"suffix":""}],"container-title":"Pharmacology Research and Perspectives","id":"ITEM-1","issue":"4","issued":{"date-parts":[["2017","8","1"]]},"publisher":"Wiley-Blackwell Publishing Ltd","title":"Ethics of animal research in human disease remediation, its institutional teaching; and alternatives to animal experimentation","type":"article","volume":"5"},"uris":["http://www.mendeley.com/documents/?uuid=15e31018-eade-39a2-8b1f-252b17d2a472"]},{"id":"ITEM-2","itemData":{"id":"ITEM-2","issued":{"date-parts":[["2008"]]},"title":"L11794","type":"legislation"},"uris":["http://www.mendeley.com/documents/?uuid=44d8acf4-e870-3862-94c3-5cc832ab70c7"]}],"mendeley":{"formattedCitation":"&lt;sup&gt;9, 10&lt;/sup&gt;","plainTextFormattedCitation":"9, 10","previouslyFormattedCitation":"&lt;sup&gt;9, 10&lt;/sup&gt;"},"properties":{"noteIndex":0},"schema":"https://github.com/citation-style-language/schema/raw/master/csl-citation.json"}</w:instrText>
      </w:r>
      <w:r w:rsidR="00F314AC" w:rsidRPr="003435B5">
        <w:fldChar w:fldCharType="separate"/>
      </w:r>
      <w:r w:rsidR="0031192A" w:rsidRPr="003435B5">
        <w:rPr>
          <w:noProof/>
          <w:vertAlign w:val="superscript"/>
        </w:rPr>
        <w:t>9, 10</w:t>
      </w:r>
      <w:r w:rsidR="00F314AC" w:rsidRPr="003435B5">
        <w:fldChar w:fldCharType="end"/>
      </w:r>
      <w:hyperlink w:history="1"/>
      <w:r w:rsidR="0031192A" w:rsidRPr="003435B5">
        <w:t xml:space="preserve">. </w:t>
      </w:r>
      <w:r w:rsidR="00F314AC" w:rsidRPr="003435B5">
        <w:t>An approval to work with genetically modified fly lines is, however, required in Brazil</w:t>
      </w:r>
      <w:r w:rsidR="002508B3" w:rsidRPr="003435B5">
        <w:fldChar w:fldCharType="begin" w:fldLock="1"/>
      </w:r>
      <w:r w:rsidR="002508B3" w:rsidRPr="003435B5">
        <w:instrText>ADDIN CSL_CITATION {"citationItems":[{"id":"ITEM-1","itemData":{"id":"ITEM-1","issued":{"date-parts":[["2005"]]},"title":"Decreto nº 5591","type":"legislation"},"uris":["http://www.mendeley.com/documents/?uuid=1bae1b9f-c22d-3286-9362-4c9217c4faea"]}],"mendeley":{"formattedCitation":"&lt;sup&gt;11&lt;/sup&gt;","plainTextFormattedCitation":"11","previouslyFormattedCitation":"&lt;sup&gt;11&lt;/sup&gt;"},"properties":{"noteIndex":0},"schema":"https://github.com/citation-style-language/schema/raw/master/csl-citation.json"}</w:instrText>
      </w:r>
      <w:r w:rsidR="002508B3" w:rsidRPr="003435B5">
        <w:fldChar w:fldCharType="separate"/>
      </w:r>
      <w:r w:rsidR="002508B3" w:rsidRPr="003435B5">
        <w:rPr>
          <w:noProof/>
          <w:vertAlign w:val="superscript"/>
        </w:rPr>
        <w:t>11</w:t>
      </w:r>
      <w:r w:rsidR="002508B3" w:rsidRPr="003435B5">
        <w:fldChar w:fldCharType="end"/>
      </w:r>
      <w:r w:rsidR="00F314AC" w:rsidRPr="003435B5">
        <w:t xml:space="preserve">, </w:t>
      </w:r>
      <w:r w:rsidR="00472D75" w:rsidRPr="003435B5">
        <w:t xml:space="preserve">adding a layer of bureaucracy inherent to </w:t>
      </w:r>
      <w:r w:rsidR="00FA6866" w:rsidRPr="003435B5">
        <w:t>all</w:t>
      </w:r>
      <w:r w:rsidR="00472D75" w:rsidRPr="003435B5">
        <w:t xml:space="preserve"> work involving genetically modified organisms</w:t>
      </w:r>
      <w:r w:rsidR="00050EEC" w:rsidRPr="003435B5">
        <w:t>.</w:t>
      </w:r>
      <w:r w:rsidR="00472D75" w:rsidRPr="003435B5">
        <w:t xml:space="preserve"> </w:t>
      </w:r>
      <w:r w:rsidR="00050EEC" w:rsidRPr="003435B5">
        <w:t>However, this</w:t>
      </w:r>
      <w:r w:rsidR="00F314AC" w:rsidRPr="003435B5">
        <w:t xml:space="preserve"> </w:t>
      </w:r>
      <w:r w:rsidR="00472D75" w:rsidRPr="003435B5">
        <w:t xml:space="preserve">would likely not prevent interested researchers from initiating a </w:t>
      </w:r>
      <w:proofErr w:type="spellStart"/>
      <w:r w:rsidR="00472D75" w:rsidRPr="003435B5">
        <w:t>flylab</w:t>
      </w:r>
      <w:proofErr w:type="spellEnd"/>
      <w:r w:rsidR="00F314AC" w:rsidRPr="003435B5">
        <w:t xml:space="preserve">. </w:t>
      </w:r>
      <w:r w:rsidR="00472D75" w:rsidRPr="003435B5">
        <w:t>We speculate that</w:t>
      </w:r>
      <w:r w:rsidR="00344D6D" w:rsidRPr="003435B5">
        <w:t xml:space="preserve"> </w:t>
      </w:r>
      <w:r w:rsidR="00472D75" w:rsidRPr="003435B5">
        <w:t>mis</w:t>
      </w:r>
      <w:r w:rsidR="00344D6D" w:rsidRPr="003435B5">
        <w:t xml:space="preserve">information </w:t>
      </w:r>
      <w:r w:rsidR="00472D75" w:rsidRPr="003435B5">
        <w:t>about</w:t>
      </w:r>
      <w:r w:rsidR="00344D6D" w:rsidRPr="003435B5">
        <w:t xml:space="preserve"> the power of the model, </w:t>
      </w:r>
      <w:r w:rsidR="00472D75" w:rsidRPr="003435B5">
        <w:t>and about</w:t>
      </w:r>
      <w:r w:rsidR="00344D6D" w:rsidRPr="003435B5">
        <w:t xml:space="preserve"> the expected </w:t>
      </w:r>
      <w:r w:rsidR="00A934EE" w:rsidRPr="003435B5">
        <w:t xml:space="preserve">high </w:t>
      </w:r>
      <w:r w:rsidR="00344D6D" w:rsidRPr="003435B5">
        <w:t>cost</w:t>
      </w:r>
      <w:r w:rsidR="00A934EE" w:rsidRPr="003435B5">
        <w:t>s</w:t>
      </w:r>
      <w:r w:rsidR="00344D6D" w:rsidRPr="003435B5">
        <w:t xml:space="preserve"> associated with setting up a </w:t>
      </w:r>
      <w:proofErr w:type="spellStart"/>
      <w:r w:rsidR="00344D6D" w:rsidRPr="003435B5">
        <w:t>flylab</w:t>
      </w:r>
      <w:proofErr w:type="spellEnd"/>
      <w:r w:rsidR="00344D6D" w:rsidRPr="003435B5">
        <w:t xml:space="preserve"> and performing meaningful experiments </w:t>
      </w:r>
      <w:r w:rsidR="00A934EE" w:rsidRPr="003435B5">
        <w:t>are</w:t>
      </w:r>
      <w:r w:rsidR="00344D6D" w:rsidRPr="003435B5">
        <w:t xml:space="preserve"> important factor</w:t>
      </w:r>
      <w:r w:rsidR="004E3D59" w:rsidRPr="003435B5">
        <w:t>s</w:t>
      </w:r>
      <w:r w:rsidR="00D948A4" w:rsidRPr="003435B5">
        <w:t xml:space="preserve"> in this decision</w:t>
      </w:r>
      <w:r w:rsidR="00344D6D" w:rsidRPr="003435B5">
        <w:t xml:space="preserve">. </w:t>
      </w:r>
      <w:r w:rsidR="00472D75" w:rsidRPr="003435B5">
        <w:t>A</w:t>
      </w:r>
      <w:r w:rsidR="00FE75EB" w:rsidRPr="003435B5">
        <w:t>s for most science equipment and supplies,</w:t>
      </w:r>
      <w:r w:rsidR="002237DF" w:rsidRPr="003435B5">
        <w:t xml:space="preserve"> </w:t>
      </w:r>
      <w:r w:rsidR="00FE75EB" w:rsidRPr="003435B5">
        <w:t>the</w:t>
      </w:r>
      <w:r w:rsidR="00344D6D" w:rsidRPr="003435B5">
        <w:t xml:space="preserve"> </w:t>
      </w:r>
      <w:r w:rsidRPr="003435B5">
        <w:t xml:space="preserve">appropriate apparatuses to perform general fly maintenance and behavioral analyses </w:t>
      </w:r>
      <w:r w:rsidR="00344D6D" w:rsidRPr="003435B5">
        <w:t>must be imported</w:t>
      </w:r>
      <w:r w:rsidRPr="003435B5">
        <w:t xml:space="preserve"> into Brazil</w:t>
      </w:r>
      <w:r w:rsidR="00344D6D" w:rsidRPr="003435B5">
        <w:t xml:space="preserve"> from North America, Europe and/or elsewhere</w:t>
      </w:r>
      <w:r w:rsidR="006F3FF2" w:rsidRPr="003435B5">
        <w:t>,</w:t>
      </w:r>
      <w:r w:rsidR="00A934EE" w:rsidRPr="003435B5">
        <w:t xml:space="preserve"> which </w:t>
      </w:r>
      <w:r w:rsidR="00126BF4" w:rsidRPr="003435B5">
        <w:t>is</w:t>
      </w:r>
      <w:r w:rsidR="006F3FF2" w:rsidRPr="003435B5">
        <w:t xml:space="preserve"> </w:t>
      </w:r>
      <w:r w:rsidR="00981111" w:rsidRPr="003435B5">
        <w:t xml:space="preserve">an </w:t>
      </w:r>
      <w:r w:rsidR="006F3FF2" w:rsidRPr="003435B5">
        <w:t>expens</w:t>
      </w:r>
      <w:r w:rsidR="00126BF4" w:rsidRPr="003435B5">
        <w:t>ive</w:t>
      </w:r>
      <w:r w:rsidR="006F3FF2" w:rsidRPr="003435B5">
        <w:t xml:space="preserve"> and </w:t>
      </w:r>
      <w:r w:rsidR="00A934EE" w:rsidRPr="003435B5">
        <w:t>extremely time consuming</w:t>
      </w:r>
      <w:r w:rsidR="006F3FF2" w:rsidRPr="003435B5">
        <w:t xml:space="preserve"> process</w:t>
      </w:r>
      <w:r w:rsidR="002508B3" w:rsidRPr="003435B5">
        <w:fldChar w:fldCharType="begin" w:fldLock="1"/>
      </w:r>
      <w:r w:rsidR="00D158C9" w:rsidRPr="003435B5">
        <w:instrText>ADDIN CSL_CITATION {"citationItems":[{"id":"ITEM-1","itemData":{"URL":"https://revistapesquisa.fapesp.br/en/supply-side-research-constraints/","accessed":{"date-parts":[["2021","7","6"]]},"id":"ITEM-1","issued":{"date-parts":[["0"]]},"title":"Supply-side research constraints : Revista Pesquisa Fapesp","type":"webpage"},"uris":["http://www.mendeley.com/documents/?uuid=2d711783-1fb1-3995-aa0f-b881f6886e7b"]},{"id":"ITEM-2","itemData":{"URL":"http://www.abc.org.br/2014/05/08/em-depoimento-a-cell-dario-zamboni-fala-dos-desafios-de-produzir-boa-ciencia-no-brasil/","accessed":{"date-parts":[["2021","7","6"]]},"id":"ITEM-2","issued":{"date-parts":[["0"]]},"title":"Em depoimento à Cell, Dario Zamboni fala dos desafios de produzir boa ciência no Brasil – ABC","type":"webpage"},"uris":["http://www.mendeley.com/documents/?uuid=ffab513e-d6ea-32f9-84b5-b4789b88d23a"]}],"mendeley":{"formattedCitation":"&lt;sup&gt;12, 13&lt;/sup&gt;"},"properties":{"noteIndex":0},"schema":"https://github.com/citation-style-language/schema/raw/master/csl-citation.json"}</w:instrText>
      </w:r>
      <w:r w:rsidR="002508B3" w:rsidRPr="003435B5">
        <w:fldChar w:fldCharType="separate"/>
      </w:r>
      <w:r w:rsidR="00D158C9" w:rsidRPr="003435B5">
        <w:rPr>
          <w:noProof/>
          <w:vertAlign w:val="superscript"/>
        </w:rPr>
        <w:t>12, 13</w:t>
      </w:r>
      <w:r w:rsidR="002508B3" w:rsidRPr="003435B5">
        <w:fldChar w:fldCharType="end"/>
      </w:r>
      <w:r w:rsidR="00A934EE" w:rsidRPr="003435B5">
        <w:t>.</w:t>
      </w:r>
    </w:p>
    <w:p w14:paraId="5AB88A2D" w14:textId="6B52BEC8" w:rsidR="002F39AA" w:rsidRPr="003435B5" w:rsidRDefault="002F39AA" w:rsidP="003435B5">
      <w:pPr>
        <w:contextualSpacing/>
      </w:pPr>
    </w:p>
    <w:p w14:paraId="53F42FF0" w14:textId="50D333D3" w:rsidR="00F352DD" w:rsidRPr="003435B5" w:rsidRDefault="00F352DD" w:rsidP="003435B5">
      <w:pPr>
        <w:contextualSpacing/>
      </w:pPr>
      <w:r w:rsidRPr="003435B5">
        <w:t xml:space="preserve">Recently, an alternative to importing specialized apparatuses has emerged as 3D printers have become more affordable and accessible to any person, including </w:t>
      </w:r>
      <w:r w:rsidRPr="003435B5">
        <w:rPr>
          <w:i/>
          <w:iCs/>
        </w:rPr>
        <w:t>Drosophila</w:t>
      </w:r>
      <w:r w:rsidRPr="003435B5">
        <w:t xml:space="preserve"> researchers in developing countries. The 3D-printing technology has been widely used in the last 10 years by members of the "maker culture", which is based on the idea of self-sufficiency</w:t>
      </w:r>
      <w:r w:rsidR="004F3206" w:rsidRPr="003435B5">
        <w:t xml:space="preserve"> over exclusively relying on company manufactured products</w:t>
      </w:r>
      <w:r w:rsidR="007C2878" w:rsidRPr="003435B5">
        <w:fldChar w:fldCharType="begin" w:fldLock="1"/>
      </w:r>
      <w:r w:rsidR="00307B18" w:rsidRPr="003435B5">
        <w:instrText>ADDIN CSL_CITATION {"citationItems":[{"id":"ITEM-1","itemData":{"DOI":"10.1007/s11948-016-9796-8","ISSN":"14715546","PMID":"27387562","abstract":"Supported by easier and cheaper access to tools and expanding communities, maker cultures are pointing towards the ideas of (almost) everyone designing, creating, producing and distributing renewed, new and improved products, machines, things or artefacts. A careful analysis of the assumptions and challenges of maker cultures emphasizes the relevance of what may be called technological action, that is, active and critical interventions regarding the purposes and applications of technologies within ordinary lives, thus countering the deterministic trends of current directions of technology. In such transformative potential, we will explore a set of elements what is and could be technological action through snapshots of maker cultures based on the empirical research conducted in three particular contexts: the Fab Lab Network, Maker Media core outputs and initiatives such as Maker Faires, and the Open Source Hardware Association (OSHWA). Elements such as control and empowerment through material engagement, openness and sharing, and social, cultural, political and ethical values of the common good in topics such as diversity, sustainability and transparency, are critically analysed.","author":[{"dropping-particle":"","family":"Nascimento","given":"Susana","non-dropping-particle":"","parse-names":false,"suffix":""},{"dropping-particle":"","family":"Pólvora","given":"Alexandre","non-dropping-particle":"","parse-names":false,"suffix":""}],"container-title":"Science and Engineering Ethics","id":"ITEM-1","issue":"3","issued":{"date-parts":[["2018","6","1"]]},"page":"927-946","publisher":"Springer Netherlands","title":"Maker Cultures and the Prospects for Technological Action","type":"article-journal","volume":"24"},"uris":["http://www.mendeley.com/documents/?uuid=65b2fff9-e197-3f9d-a554-261af1eb06b0"]}],"mendeley":{"formattedCitation":"&lt;sup&gt;14&lt;/sup&gt;","plainTextFormattedCitation":"14","previouslyFormattedCitation":"&lt;sup&gt;14&lt;/sup&gt;"},"properties":{"noteIndex":0},"schema":"https://github.com/citation-style-language/schema/raw/master/csl-citation.json"}</w:instrText>
      </w:r>
      <w:r w:rsidR="007C2878" w:rsidRPr="003435B5">
        <w:fldChar w:fldCharType="separate"/>
      </w:r>
      <w:r w:rsidR="00307B18" w:rsidRPr="003435B5">
        <w:rPr>
          <w:noProof/>
          <w:vertAlign w:val="superscript"/>
        </w:rPr>
        <w:t>14</w:t>
      </w:r>
      <w:r w:rsidR="007C2878" w:rsidRPr="003435B5">
        <w:fldChar w:fldCharType="end"/>
      </w:r>
      <w:r w:rsidR="006E3769" w:rsidRPr="003435B5">
        <w:t>.</w:t>
      </w:r>
      <w:r w:rsidRPr="003435B5">
        <w:t xml:space="preserve"> Such </w:t>
      </w:r>
      <w:r w:rsidR="004F3206" w:rsidRPr="003435B5">
        <w:t xml:space="preserve">an </w:t>
      </w:r>
      <w:r w:rsidRPr="003435B5">
        <w:t xml:space="preserve">idea has always been present in academic </w:t>
      </w:r>
      <w:r w:rsidRPr="003435B5">
        <w:lastRenderedPageBreak/>
        <w:t>research laboratories around the globe, so it is not surpris</w:t>
      </w:r>
      <w:r w:rsidR="00FA6866" w:rsidRPr="003435B5">
        <w:t>ing</w:t>
      </w:r>
      <w:r w:rsidRPr="003435B5">
        <w:t xml:space="preserve"> that 3D printers have become standard lab equipment in many places</w:t>
      </w:r>
      <w:r w:rsidR="007C2878" w:rsidRPr="003435B5">
        <w:fldChar w:fldCharType="begin" w:fldLock="1"/>
      </w:r>
      <w:r w:rsidR="00307B18" w:rsidRPr="003435B5">
        <w:instrText>ADDIN CSL_CITATION {"citationItems":[{"id":"ITEM-1","itemData":{"DOI":"10.1371/journal.pbio.2002702","ISSN":"15457885","PMID":"28719603","abstract":"Small, genetically tractable species such as larval zebrafish, Drosophila, or Caenorhabditis elegans have become key model organisms in modern neuroscience. In addition to their low maintenance costs and easy sharing of strains across labs, one key appeal is the possibility to monitor single or groups of animals in a behavioural arena while controlling the activity of select neurons using optogenetic or thermogenetic tools. However, the purchase of a commercial solution for these types of experiments, including an appropriate camera system as well as a controlled behavioural arena, can be costly. Here, we present a low-cost and modular open-source alternative called ‘FlyPi’. Our design is based on a 3D-printed mainframe, a Raspberry Pi computer, and high-definition camera system as well as Arduino-based optical and thermal control circuits. Depending on the configuration, FlyPi can be assembled for well under €100 and features optional modules for light-emitting diode (LED)-based fluorescence microscopy and optogenetic stimulation as well as a Peltier-based temperature stimulator for thermogenetics. The complete version with all modules costs approximately €200 or substantially less if the user is prepared to ‘shop around’. All functions of FlyPi can be controlled through a custom-written graphical user interface. To demonstrate FlyPi’s capabilities, we present its use in a series of state-of-the-art neurogenetics experiments. In addition, we demonstrate FlyPi’s utility as a medical diagnostic tool as well as a teaching aid at Neurogenetics courses held at several African universities. Taken together, the low cost and modular nature as well as fully open design of FlyPi make it a highly versatile tool in a range of applications, including the classroom, diagnostic centres, and research labs.","author":[{"dropping-particle":"","family":"Maia Chagas","given":"Andre","non-dropping-particle":"","parse-names":false,"suffix":""},{"dropping-particle":"","family":"Prieto-Godino","given":"Lucia L.","non-dropping-particle":"","parse-names":false,"suffix":""},{"dropping-particle":"","family":"Arrenberg","given":"Aristides B.","non-dropping-particle":"","parse-names":false,"suffix":""},{"dropping-particle":"","family":"Baden","given":"Tom","non-dropping-particle":"","parse-names":false,"suffix":""}],"container-title":"PLoS Biology","id":"ITEM-1","issue":"7","issued":{"date-parts":[["2017","7","18"]]},"publisher":"Public Library of Science","title":"The €100 lab: A 3D-printable open-source platform for fluorescence microscopy, optogenetics, and accurate temperature control during behaviour of zebrafish, Drosophila, and Caenorhabditis elegans","type":"article-journal","volume":"15"},"uris":["http://www.mendeley.com/documents/?uuid=f02a7bdd-2570-362e-bd32-3cf225ed579b"]},{"id":"ITEM-2","itemData":{"DOI":"10.1371/journal.pbio.1002086","ISSN":"1545-7885","abstract":"The introduction of affordable, consumer-oriented 3-D printers is a milestone in the current “maker movement,” which has been heralded as the next industrial revolution. Combined with free and open sharing of detailed design blueprints and accessible development tools, rapid prototypes of complex products can now be assembled in one’s own garage—a game-changer reminiscent of the early days of personal computing. At the same time, 3-D printing has also allowed the scientific and engineering community to build the “little things” that help a lab get up and running much faster and easier than ever before.","author":[{"dropping-particle":"","family":"Baden","given":"Tom","non-dropping-particle":"","parse-names":false,"suffix":""},{"dropping-particle":"","family":"Chagas","given":"Andre Maia","non-dropping-particle":"","parse-names":false,"suffix":""},{"dropping-particle":"","family":"Gage","given":"Greg","non-dropping-particle":"","parse-names":false,"suffix":""},{"dropping-particle":"","family":"Marzullo","given":"Timothy","non-dropping-particle":"","parse-names":false,"suffix":""},{"dropping-particle":"","family":"Prieto-Godino","given":"Lucia L.","non-dropping-particle":"","parse-names":false,"suffix":""},{"dropping-particle":"","family":"Euler","given":"Thomas","non-dropping-particle":"","parse-names":false,"suffix":""}],"container-title":"PLOS Biology","id":"ITEM-2","issue":"3","issued":{"date-parts":[["2015","3","20"]]},"page":"e1002086","publisher":"Public Library of Science","title":"Open Labware: 3-D Printing Your Own Lab Equipment","type":"article-journal","volume":"13"},"uris":["http://www.mendeley.com/documents/?uuid=0b6d8c31-8378-35a4-aecf-4329df3b82dc"]}],"mendeley":{"formattedCitation":"&lt;sup&gt;15, 16&lt;/sup&gt;","plainTextFormattedCitation":"15, 16","previouslyFormattedCitation":"&lt;sup&gt;15, 16&lt;/sup&gt;"},"properties":{"noteIndex":0},"schema":"https://github.com/citation-style-language/schema/raw/master/csl-citation.json"}</w:instrText>
      </w:r>
      <w:r w:rsidR="007C2878" w:rsidRPr="003435B5">
        <w:fldChar w:fldCharType="separate"/>
      </w:r>
      <w:r w:rsidR="00307B18" w:rsidRPr="003435B5">
        <w:rPr>
          <w:noProof/>
          <w:vertAlign w:val="superscript"/>
        </w:rPr>
        <w:t>15, 16</w:t>
      </w:r>
      <w:r w:rsidR="007C2878" w:rsidRPr="003435B5">
        <w:fldChar w:fldCharType="end"/>
      </w:r>
      <w:r w:rsidRPr="003435B5">
        <w:t xml:space="preserve">. For </w:t>
      </w:r>
      <w:proofErr w:type="gramStart"/>
      <w:r w:rsidRPr="003435B5">
        <w:t>a number of</w:t>
      </w:r>
      <w:proofErr w:type="gramEnd"/>
      <w:r w:rsidRPr="003435B5">
        <w:t xml:space="preserve"> years, we have been 3D-printing fly vial racks, </w:t>
      </w:r>
      <w:r w:rsidR="000144F6" w:rsidRPr="003435B5">
        <w:t>mating arenas</w:t>
      </w:r>
      <w:r w:rsidRPr="003435B5">
        <w:t xml:space="preserve">, </w:t>
      </w:r>
      <w:r w:rsidR="00A978D5" w:rsidRPr="003435B5">
        <w:t>climbing apparatus</w:t>
      </w:r>
      <w:r w:rsidRPr="003435B5">
        <w:t>, among other devices, for a fraction of the cost of brand-named equivalent</w:t>
      </w:r>
      <w:r w:rsidR="004F3206" w:rsidRPr="003435B5">
        <w:t>s</w:t>
      </w:r>
      <w:r w:rsidRPr="003435B5">
        <w:t>.</w:t>
      </w:r>
      <w:r w:rsidR="00E669D2" w:rsidRPr="003435B5">
        <w:t xml:space="preserve"> The reduced costs of printing and assembling homemade lab equipment is classically represented by the </w:t>
      </w:r>
      <w:proofErr w:type="spellStart"/>
      <w:r w:rsidR="00E669D2" w:rsidRPr="003435B5">
        <w:t>FlyPi</w:t>
      </w:r>
      <w:proofErr w:type="spellEnd"/>
      <w:r w:rsidR="00E669D2" w:rsidRPr="003435B5">
        <w:t xml:space="preserve">, which can be built for less than €100.00 and serves as a light and fluorescence microscopy able to use sophisticated opto- and thermogenetic stimulation of the genetically tractable zebrafish, </w:t>
      </w:r>
      <w:r w:rsidR="00E669D2" w:rsidRPr="003435B5">
        <w:rPr>
          <w:i/>
          <w:iCs/>
        </w:rPr>
        <w:t>Drosophila</w:t>
      </w:r>
      <w:r w:rsidR="00E669D2" w:rsidRPr="003435B5">
        <w:t xml:space="preserve"> and nematodes</w:t>
      </w:r>
      <w:r w:rsidR="000423EF" w:rsidRPr="003435B5">
        <w:fldChar w:fldCharType="begin" w:fldLock="1"/>
      </w:r>
      <w:r w:rsidR="00307B18" w:rsidRPr="003435B5">
        <w:instrText>ADDIN CSL_CITATION {"citationItems":[{"id":"ITEM-1","itemData":{"DOI":"10.1371/journal.pbio.2002702","ISSN":"15457885","PMID":"28719603","abstract":"Small, genetically tractable species such as larval zebrafish, Drosophila, or Caenorhabditis elegans have become key model organisms in modern neuroscience. In addition to their low maintenance costs and easy sharing of strains across labs, one key appeal is the possibility to monitor single or groups of animals in a behavioural arena while controlling the activity of select neurons using optogenetic or thermogenetic tools. However, the purchase of a commercial solution for these types of experiments, including an appropriate camera system as well as a controlled behavioural arena, can be costly. Here, we present a low-cost and modular open-source alternative called ‘FlyPi’. Our design is based on a 3D-printed mainframe, a Raspberry Pi computer, and high-definition camera system as well as Arduino-based optical and thermal control circuits. Depending on the configuration, FlyPi can be assembled for well under €100 and features optional modules for light-emitting diode (LED)-based fluorescence microscopy and optogenetic stimulation as well as a Peltier-based temperature stimulator for thermogenetics. The complete version with all modules costs approximately €200 or substantially less if the user is prepared to ‘shop around’. All functions of FlyPi can be controlled through a custom-written graphical user interface. To demonstrate FlyPi’s capabilities, we present its use in a series of state-of-the-art neurogenetics experiments. In addition, we demonstrate FlyPi’s utility as a medical diagnostic tool as well as a teaching aid at Neurogenetics courses held at several African universities. Taken together, the low cost and modular nature as well as fully open design of FlyPi make it a highly versatile tool in a range of applications, including the classroom, diagnostic centres, and research labs.","author":[{"dropping-particle":"","family":"Maia Chagas","given":"Andre","non-dropping-particle":"","parse-names":false,"suffix":""},{"dropping-particle":"","family":"Prieto-Godino","given":"Lucia L.","non-dropping-particle":"","parse-names":false,"suffix":""},{"dropping-particle":"","family":"Arrenberg","given":"Aristides B.","non-dropping-particle":"","parse-names":false,"suffix":""},{"dropping-particle":"","family":"Baden","given":"Tom","non-dropping-particle":"","parse-names":false,"suffix":""}],"container-title":"PLoS Biology","id":"ITEM-1","issue":"7","issued":{"date-parts":[["2017","7","18"]]},"publisher":"Public Library of Science","title":"The €100 lab: A 3D-printable open-source platform for fluorescence microscopy, optogenetics, and accurate temperature control during behaviour of zebrafish, Drosophila, and Caenorhabditis elegans","type":"article-journal","volume":"15"},"uris":["http://www.mendeley.com/documents/?uuid=f02a7bdd-2570-362e-bd32-3cf225ed579b"]}],"mendeley":{"formattedCitation":"&lt;sup&gt;15&lt;/sup&gt;","plainTextFormattedCitation":"15","previouslyFormattedCitation":"&lt;sup&gt;15&lt;/sup&gt;"},"properties":{"noteIndex":0},"schema":"https://github.com/citation-style-language/schema/raw/master/csl-citation.json"}</w:instrText>
      </w:r>
      <w:r w:rsidR="000423EF" w:rsidRPr="003435B5">
        <w:fldChar w:fldCharType="separate"/>
      </w:r>
      <w:r w:rsidR="00307B18" w:rsidRPr="003435B5">
        <w:rPr>
          <w:noProof/>
          <w:vertAlign w:val="superscript"/>
        </w:rPr>
        <w:t>15</w:t>
      </w:r>
      <w:r w:rsidR="000423EF" w:rsidRPr="003435B5">
        <w:fldChar w:fldCharType="end"/>
      </w:r>
      <w:r w:rsidR="00E669D2" w:rsidRPr="003435B5">
        <w:t>.</w:t>
      </w:r>
      <w:r w:rsidRPr="003435B5">
        <w:t xml:space="preserve"> Here, we provide a series of protocols for anyone interested in becoming a </w:t>
      </w:r>
      <w:r w:rsidRPr="003435B5">
        <w:rPr>
          <w:i/>
          <w:iCs/>
        </w:rPr>
        <w:t>Drosophila</w:t>
      </w:r>
      <w:r w:rsidRPr="003435B5">
        <w:t xml:space="preserve"> researcher</w:t>
      </w:r>
      <w:r w:rsidR="00B27580" w:rsidRPr="003435B5">
        <w:t xml:space="preserve"> (or </w:t>
      </w:r>
      <w:r w:rsidR="00A978D5" w:rsidRPr="003435B5">
        <w:t>in</w:t>
      </w:r>
      <w:r w:rsidR="00B27580" w:rsidRPr="003435B5">
        <w:t xml:space="preserve"> expand</w:t>
      </w:r>
      <w:r w:rsidR="00A978D5" w:rsidRPr="003435B5">
        <w:t>ing</w:t>
      </w:r>
      <w:r w:rsidR="00B27580" w:rsidRPr="003435B5">
        <w:t xml:space="preserve"> his/her own existing </w:t>
      </w:r>
      <w:proofErr w:type="spellStart"/>
      <w:r w:rsidR="00B27580" w:rsidRPr="003435B5">
        <w:t>flylab</w:t>
      </w:r>
      <w:proofErr w:type="spellEnd"/>
      <w:r w:rsidR="00B27580" w:rsidRPr="003435B5">
        <w:t>)</w:t>
      </w:r>
      <w:r w:rsidRPr="003435B5">
        <w:t xml:space="preserve"> to 3D-print </w:t>
      </w:r>
      <w:r w:rsidR="00D948A4" w:rsidRPr="003435B5">
        <w:t>many of</w:t>
      </w:r>
      <w:r w:rsidRPr="003435B5">
        <w:t xml:space="preserve"> the necessary material. </w:t>
      </w:r>
      <w:r w:rsidR="001F3F88" w:rsidRPr="003435B5">
        <w:t>By investing time and developing</w:t>
      </w:r>
      <w:r w:rsidRPr="003435B5">
        <w:t xml:space="preserve"> a little expertise, the reader will even be able to optimize the protocols presented here to print apparatuses better adapted to his/her own research needs.</w:t>
      </w:r>
    </w:p>
    <w:p w14:paraId="0CDEF29A" w14:textId="77777777" w:rsidR="002F39AA" w:rsidRPr="003435B5" w:rsidRDefault="002F39AA" w:rsidP="003435B5">
      <w:pPr>
        <w:contextualSpacing/>
      </w:pPr>
    </w:p>
    <w:p w14:paraId="59DFEBE5" w14:textId="20683BF9" w:rsidR="00F352DD" w:rsidRPr="003435B5" w:rsidRDefault="00F352DD" w:rsidP="003435B5">
      <w:pPr>
        <w:contextualSpacing/>
      </w:pPr>
      <w:r w:rsidRPr="003435B5">
        <w:t xml:space="preserve">However, a </w:t>
      </w:r>
      <w:proofErr w:type="spellStart"/>
      <w:r w:rsidRPr="003435B5">
        <w:t>flylab</w:t>
      </w:r>
      <w:proofErr w:type="spellEnd"/>
      <w:r w:rsidRPr="003435B5">
        <w:t xml:space="preserve"> is not a place for “cheap” equipment only, especially when one intends to associate behavioral analyses with underlying metabolic phenomena. We have also been interested in the roles of mitochondria in the modulation of </w:t>
      </w:r>
      <w:r w:rsidRPr="003435B5">
        <w:rPr>
          <w:i/>
          <w:iCs/>
        </w:rPr>
        <w:t>Drosophila</w:t>
      </w:r>
      <w:r w:rsidRPr="003435B5">
        <w:t xml:space="preserve"> behavioral patterns, as these organelles are responsible for the bulk production of ATP in most tissues through several metabolic pathways whose products converge to oxidative phosphorylation (OXPHOS). Analyzing mitochondrial oxygen consumption </w:t>
      </w:r>
      <w:proofErr w:type="gramStart"/>
      <w:r w:rsidRPr="003435B5">
        <w:t>as a way to</w:t>
      </w:r>
      <w:proofErr w:type="gramEnd"/>
      <w:r w:rsidRPr="003435B5">
        <w:t xml:space="preserve"> understand mitochondrial metabolism does require an </w:t>
      </w:r>
      <w:proofErr w:type="spellStart"/>
      <w:r w:rsidRPr="003435B5">
        <w:t>oxygraph</w:t>
      </w:r>
      <w:proofErr w:type="spellEnd"/>
      <w:r w:rsidRPr="003435B5">
        <w:t>, which is a more sophisticated piece of equipment that unfortunately cannot yet be 3D-printed. Because OXPHOS impacts practically all cellular processes since it depends on a series of exergonic redox reactions that occur in the cell</w:t>
      </w:r>
      <w:r w:rsidR="00C065EE" w:rsidRPr="003435B5">
        <w:fldChar w:fldCharType="begin" w:fldLock="1"/>
      </w:r>
      <w:r w:rsidR="00D158C9" w:rsidRPr="003435B5">
        <w:instrText>ADDIN CSL_CITATION {"citationItems":[{"id":"ITEM-1","itemData":{"DOI":"10.1172/JCI120849","ISSN":"15588238","PMID":"30124471","abstract":"Mitochondrial dysfunction has been implicated in the development of heart failure. Oxidative metabolism in mitochondria is the main energy source of the heart, and the inability to generate and transfer energy has long been considered the primary mechanism linking mitochondrial dysfunction and contractile failure. However, the role of mitochondria in heart failure is now increasingly recognized to be beyond that of a failed power plant. In this Review, we summarize recent evidence demonstrating vicious cycles of pathophysiological mechanisms during the pathological remodeling of the heart that drive mitochondrial contributions from being compensatory to being a suicide mission. These mechanisms include bottlenecks of metabolic flux, redox imbalance, protein modification, ROS-induced ROS generation, impaired mitochondrial Ca2+ homeostasis, and inflammation. The interpretation of these findings will lead us to novel avenues for disease mechanisms and therapy.","author":[{"dropping-particle":"","family":"Zhou","given":"Bo","non-dropping-particle":"","parse-names":false,"suffix":""},{"dropping-particle":"","family":"Tian","given":"Rong","non-dropping-particle":"","parse-names":false,"suffix":""}],"container-title":"Journal of Clinical Investigation","id":"ITEM-1","issue":"9","issued":{"date-parts":[["2018","8","31"]]},"page":"3716-3726","publisher":"American Society for Clinical Investigation","title":"Mitochondrial dysfunction in pathophysiology of heart failure","type":"article","volume":"128"},"uris":["http://www.mendeley.com/documents/?uuid=7c40d51a-ce78-3aac-940e-00f20514b0a6"]},{"id":"ITEM-2","itemData":{"DOI":"10.1042/BCJ20190767","ISSN":"14708728","PMID":"33151299","abstract":"Mitochondria produce the bulk of the energy used by almost all eukaryotic cells through oxidative phosphorylation (OXPHOS) which occurs on the four complexes of the respiratory chain and the F1-F0 ATPase. Mitochondrial diseases are a heterogenous group of conditions affecting OXPHOS, either directly through mutation of genes encoding subunits of OXPHOS complexes, or indirectly through mutations in genes encoding proteins supporting this process. These include proteins that promote assembly of the OXPHOS complexes, the post-translational modification of subunits, insertion of cofactors or indeed subunit synthesis. The latter is important for all 13 of the proteins encoded by human mitochondrial DNA, which are synthesised on mitochondrial ribosomes. Together the five OXPHOS complexes and the mitochondrial ribosome are comprised of more than 160 subunits and many more proteins support their biogenesis. Mutations in both nuclear and mitochondrial genes encoding these proteins have been reported to cause mitochondrial disease, many leading to defective complex assembly with the severity of the assembly defect reflecting the severity of the disease. This review aims to act as an interface between the clinical and basic research underpinning our knowledge of OXPHOS complex and ribosome assembly, and the dysfunction of this process in mitochondrial disease.","author":[{"dropping-particle":"","family":"Hock","given":"Daniella H.","non-dropping-particle":"","parse-names":false,"suffix":""},{"dropping-particle":"","family":"Robinson","given":"David R.L.","non-dropping-particle":"","parse-names":false,"suffix":""},{"dropping-particle":"","family":"Stroud","given":"David A.","non-dropping-particle":"","parse-names":false,"suffix":""}],"container-title":"Biochemical Journal","id":"ITEM-2","issue":"21","issued":{"date-parts":[["2020","11","5"]]},"page":"4085-4132","publisher":"Portland Press Ltd","title":"Blackout in the powerhouse: Clinical phenotypes associated with defects in the assembly of OXPHOS complexes and the mitoribosome","type":"article","volume":"477"},"uris":["http://www.mendeley.com/documents/?uuid=ffcab4be-2b46-3153-bd1d-0bb182a5bb72"]}],"mendeley":{"formattedCitation":"&lt;sup&gt;17, 18&lt;/sup&gt;","plainTextFormattedCitation":"17, 18","previouslyFormattedCitation":"&lt;sup&gt;19, 20&lt;/sup&gt;"},"properties":{"noteIndex":0},"schema":"https://github.com/citation-style-language/schema/raw/master/csl-citation.json"}</w:instrText>
      </w:r>
      <w:r w:rsidR="00C065EE" w:rsidRPr="003435B5">
        <w:fldChar w:fldCharType="separate"/>
      </w:r>
      <w:r w:rsidR="00D158C9" w:rsidRPr="003435B5">
        <w:rPr>
          <w:noProof/>
          <w:vertAlign w:val="superscript"/>
        </w:rPr>
        <w:t>17, 18</w:t>
      </w:r>
      <w:r w:rsidR="00C065EE" w:rsidRPr="003435B5">
        <w:fldChar w:fldCharType="end"/>
      </w:r>
      <w:r w:rsidRPr="003435B5">
        <w:rPr>
          <w:rFonts w:cstheme="minorHAnsi"/>
        </w:rPr>
        <w:t>, oxygen consumption rates based on the oxidizable substrate provided to mitochondria may help reveal whether the organelle´s functioning is cause or consequence of a particular behavior</w:t>
      </w:r>
      <w:r w:rsidRPr="003435B5">
        <w:t xml:space="preserve">. Therefore, we also provide here a protocol for measuring mitochondrial oxygen consumption in larva samples, as we realize </w:t>
      </w:r>
      <w:proofErr w:type="gramStart"/>
      <w:r w:rsidRPr="003435B5">
        <w:t>the vast majority of</w:t>
      </w:r>
      <w:proofErr w:type="gramEnd"/>
      <w:r w:rsidRPr="003435B5">
        <w:t xml:space="preserve"> published protocols are focused on analyzing adult samples. We show that changes in mitochondrial respiration, induced by the transgenic expression of the </w:t>
      </w:r>
      <w:r w:rsidRPr="003435B5">
        <w:rPr>
          <w:i/>
          <w:iCs/>
        </w:rPr>
        <w:t>Ciona intestinalis</w:t>
      </w:r>
      <w:r w:rsidRPr="003435B5">
        <w:t xml:space="preserve"> alternative oxidase (AOX), leads to increased larval mobility </w:t>
      </w:r>
      <w:r w:rsidR="004F3206" w:rsidRPr="003435B5">
        <w:t>under</w:t>
      </w:r>
      <w:r w:rsidRPr="003435B5">
        <w:t xml:space="preserve"> cold s</w:t>
      </w:r>
      <w:r w:rsidR="004F3206" w:rsidRPr="003435B5">
        <w:t>tress</w:t>
      </w:r>
      <w:r w:rsidRPr="003435B5">
        <w:t>. This is most likely due to thermogenesis, since AOX is a non-proton pumping terminal oxidase that can bypass the activity of OXPHOS complexes III and IV (CIII and CIV), without contributing to the mitochondrial membrane potential (</w:t>
      </w:r>
      <w:proofErr w:type="spellStart"/>
      <w:r w:rsidRPr="003435B5">
        <w:t>ΔΨm</w:t>
      </w:r>
      <w:proofErr w:type="spellEnd"/>
      <w:r w:rsidRPr="003435B5">
        <w:t>)</w:t>
      </w:r>
      <w:r w:rsidRPr="003435B5">
        <w:rPr>
          <w:rFonts w:cstheme="minorHAnsi"/>
        </w:rPr>
        <w:t xml:space="preserve"> </w:t>
      </w:r>
      <w:r w:rsidRPr="003435B5">
        <w:t>and ATP production</w:t>
      </w:r>
      <w:r w:rsidR="00C065EE" w:rsidRPr="003435B5">
        <w:fldChar w:fldCharType="begin" w:fldLock="1"/>
      </w:r>
      <w:r w:rsidR="00D158C9" w:rsidRPr="003435B5">
        <w:instrText>ADDIN CSL_CITATION {"citationItems":[{"id":"ITEM-1","itemData":{"DOI":"10.18388/abp.2003_3649","ISSN":"0001527X","abstract":"Plant respiratory chain branches at the level of ubiquinone from where the electrons flow through the cytochrome pathway or to alternative oxidase. Transfer of electrons from ubiquinone to oxygen by alternative oxidase has a non-protonmotive character and, by bypassing two sites of H+ pumping in complexes III and IV, lowers the energy efficiency of respiration. In this paper we review theoretical and experimental studies about the structure and possible function of alternative oxidase. The evidence for specific gene expression dependent on the physiological, developmental and environmental conditions is also described. We underline the physiological role of alternative oxidase as a \"survival\" protein that allows plants to cope with the stressful environment.","author":[{"dropping-particle":"","family":"Juszczuk","given":"Izabela M.","non-dropping-particle":"","parse-names":false,"suffix":""},{"dropping-particle":"","family":"Rychter","given":"Anna M.","non-dropping-particle":"","parse-names":false,"suffix":""}],"container-title":"Acta Biochimica Polonica","id":"ITEM-1","issue":"4","issued":{"date-parts":[["2003"]]},"page":"1257-1271","title":"Alternative oxidase in higher plants","type":"article-journal","volume":"50"},"uris":["http://www.mendeley.com/documents/?uuid=31dcd09f-a54d-4040-ae61-740ef344c881"]},{"id":"ITEM-2","itemData":{"DOI":"10.1071/FP08025","ISSN":"14454408","abstract":"Alternative oxidase (AOX) is a terminal quinol oxidase located in the respiratory electron transport chain that catalyses the oxidation of quinol and the reduction of oxygen to water. However, unlike the cytochrome c oxidase respiratory pathway, the AOX pathway moves fewer protons across the inner mitochondrial membrane to generate a proton motive force that can be used to synthesise ATP. The energy passed to AOX is dissipated as heat. This appears to be very wasteful from an energetic perspective and it is likely that AOX fulfils some physiological function(s) that makes up for its apparent energetic shortcomings. An examination of the known taxonomic distribution of AOX and the specific organisms in which AOX has been studied has been used to explore themes pertaining to AOX function and regulation. A comparative approach was used to examine AOX function as it relates to the biochemical function of the enzyme as a quinol oxidase and associated topics, such as enzyme structure, catalysis and transcriptional expression and post-translational regulation. Hypotheses that have been put forward about the physiological function(s) of AOX were explored in light of some recent discoveries made with regard to species that contain AOX. Fruitful areas of research for the AOX community in the future have been highlighted. © CSIRO 2008.","author":[{"dropping-particle":"","family":"McDonald","given":"Allison E.","non-dropping-particle":"","parse-names":false,"suffix":""}],"container-title":"Functional Plant Biology","id":"ITEM-2","issue":"7","issued":{"date-parts":[["2008","9","8"]]},"page":"535-552","publisher":"CSIRO PUBLISHING","title":"Alternative oxidase: An inter-kingdom perspective on the function and regulation of this broadly distributed 'cyanide-resistant' terminal oxidase","type":"article","volume":"35"},"uris":["http://www.mendeley.com/documents/?uuid=35410743-8443-3fa6-b3a8-3408e4ae2173"]},{"id":"ITEM-3","itemData":{"DOI":"10.1242/jeb.032151","ISSN":"00220949","abstract":"Alternative oxidase (AOX), a ubiquinol oxidase, introduces a branch point into the respiratory electron transport chain, bypassing complexes III and IV and resulting in cyanide-resistant respiration. Previously, AOX was thought to be limited to plants and some fungi and protists but recent work has demonstrated the presence of AOX in most kingdoms of life, including animals. In the present study we identified AOX in 28 animal species representing nine phyla. This expands the known taxonomie distribution of AOX in animals by 10 species and two phyla. Using bioinformatics we found AOX gene sequences in members of the animal phyla Porifera, Placozoa, Cnidaria, Mollusca, Annelida, Nematoda, Echinodermata, Hemichordata and Chordata. Using reversetranscriptase polymerase chain reaction (RT-PCR) with degenerate primers designed to recognize conserved regions of animal AOX, we demonstrated that AOX genes are transcribed in several animals from different phyla. An analysis of full-length AOX sequences revealed an amino acid motif in the C-terminal region of the protein that is unique to animal AOXs. Animal AOX also lacks an N-terminal cysteine residue that is known to be important for AOX enzyme regulation in plants. We conclude that the presence of AOX is the ancestral state in animals and hypothesize that its absence in some lineages, including vertebrates, is due to gene loss events.","author":[{"dropping-particle":"","family":"McDonald","given":"Allison E.","non-dropping-particle":"","parse-names":false,"suffix":""},{"dropping-particle":"","family":"Vanlerberghe","given":"Greg C.","non-dropping-particle":"","parse-names":false,"suffix":""},{"dropping-particle":"","family":"Staples","given":"James F.","non-dropping-particle":"","parse-names":false,"suffix":""}],"container-title":"Journal of Experimental Biology","id":"ITEM-3","issued":{"date-parts":[["2009"]]},"page":"2627-2634","title":"Alternative oxidase in animals: Unique characteristics and taxonomic distribution","type":"article-journal","volume":"212"},"uris":["http://www.mendeley.com/documents/?uuid=1da5c4b2-9207-410a-860a-bcaec7134fda"]}],"mendeley":{"formattedCitation":"&lt;sup&gt;19–21&lt;/sup&gt;","plainTextFormattedCitation":"19–21","previouslyFormattedCitation":"&lt;sup&gt;21–23&lt;/sup&gt;"},"properties":{"noteIndex":0},"schema":"https://github.com/citation-style-language/schema/raw/master/csl-citation.json"}</w:instrText>
      </w:r>
      <w:r w:rsidR="00C065EE" w:rsidRPr="003435B5">
        <w:fldChar w:fldCharType="separate"/>
      </w:r>
      <w:r w:rsidR="00D158C9" w:rsidRPr="003435B5">
        <w:rPr>
          <w:noProof/>
          <w:vertAlign w:val="superscript"/>
        </w:rPr>
        <w:t>19–21</w:t>
      </w:r>
      <w:r w:rsidR="00C065EE" w:rsidRPr="003435B5">
        <w:fldChar w:fldCharType="end"/>
      </w:r>
      <w:r w:rsidRPr="003435B5">
        <w:t>. No insect, including</w:t>
      </w:r>
      <w:r w:rsidRPr="003435B5">
        <w:rPr>
          <w:i/>
          <w:iCs/>
        </w:rPr>
        <w:t xml:space="preserve"> Drosophila</w:t>
      </w:r>
      <w:r w:rsidRPr="003435B5">
        <w:t>, or vertebrate naturally possesses AOX</w:t>
      </w:r>
      <w:r w:rsidR="00C065EE" w:rsidRPr="003435B5">
        <w:fldChar w:fldCharType="begin" w:fldLock="1"/>
      </w:r>
      <w:r w:rsidR="00D158C9" w:rsidRPr="003435B5">
        <w:instrText>ADDIN CSL_CITATION {"citationItems":[{"id":"ITEM-1","itemData":{"DOI":"10.1242/jeb.032151","ISSN":"00220949","abstract":"Alternative oxidase (AOX), a ubiquinol oxidase, introduces a branch point into the respiratory electron transport chain, bypassing complexes III and IV and resulting in cyanide-resistant respiration. Previously, AOX was thought to be limited to plants and some fungi and protists but recent work has demonstrated the presence of AOX in most kingdoms of life, including animals. In the present study we identified AOX in 28 animal species representing nine phyla. This expands the known taxonomie distribution of AOX in animals by 10 species and two phyla. Using bioinformatics we found AOX gene sequences in members of the animal phyla Porifera, Placozoa, Cnidaria, Mollusca, Annelida, Nematoda, Echinodermata, Hemichordata and Chordata. Using reversetranscriptase polymerase chain reaction (RT-PCR) with degenerate primers designed to recognize conserved regions of animal AOX, we demonstrated that AOX genes are transcribed in several animals from different phyla. An analysis of full-length AOX sequences revealed an amino acid motif in the C-terminal region of the protein that is unique to animal AOXs. Animal AOX also lacks an N-terminal cysteine residue that is known to be important for AOX enzyme regulation in plants. We conclude that the presence of AOX is the ancestral state in animals and hypothesize that its absence in some lineages, including vertebrates, is due to gene loss events.","author":[{"dropping-particle":"","family":"McDonald","given":"Allison E.","non-dropping-particle":"","parse-names":false,"suffix":""},{"dropping-particle":"","family":"Vanlerberghe","given":"Greg C.","non-dropping-particle":"","parse-names":false,"suffix":""},{"dropping-particle":"","family":"Staples","given":"James F.","non-dropping-particle":"","parse-names":false,"suffix":""}],"container-title":"Journal of Experimental Biology","id":"ITEM-1","issued":{"date-parts":[["2009"]]},"page":"2627-2634","title":"Alternative oxidase in animals: Unique characteristics and taxonomic distribution","type":"article-journal","volume":"212"},"uris":["http://www.mendeley.com/documents/?uuid=1da5c4b2-9207-410a-860a-bcaec7134fda"]},{"id":"ITEM-2","itemData":{"DOI":"10.1080/1521-6540400000876","ISSN":"1521-6543","abstract":"The mitochondrion of most eukaryotes has multiple electron transport components that increase the points of entry and/or exit of electrons, thus giving a branched nature to the respiratory chain. In plants and many other organisms, a prominent example is alternative oxidase, a non-energy conserving branch in the respiratory chain and an additional terminal oxidase for the exit of electrons. Our genome database searches have now revealed the presence of alternative oxidase in four animal species from three different phyla (Mollusca, Nematoda and Chordata), consistent with frequent reports of cyanide-resistant respiration in the Animalia. In Ciona intestinalis and Crassostrea gigas, alternative oxidase is expressed in several different tissues. Phylogenetic analysis is consistent with the animal proteins having originated by vertical inheritance. We hypothesize that alternative oxidase is likely widespread in the Animalia and discuss some of the potential role(s) for such a branched respiratory chain.","author":[{"dropping-particle":"","family":"McDonald","given":"Allison","non-dropping-particle":"","parse-names":false,"suffix":""},{"dropping-particle":"","family":"Vanlerberghe","given":"Greg","non-dropping-particle":"","parse-names":false,"suffix":""}],"container-title":"IUBMB Life (International Union of Biochemistry and Molecular Biology: Life)","id":"ITEM-2","issue":"6","issued":{"date-parts":[["2004","6","1"]]},"page":"333-341","publisher":"John Wiley &amp; Sons, Ltd","title":"Branched Mitochondrial Electron Transport in the Animalia: Presence of Alternative Oxidase in Several Animal Phyla","type":"article-journal","volume":"56"},"uris":["http://www.mendeley.com/documents/?uuid=e70e9673-11b3-3e44-a2d4-28e3a4ce16c8"]},{"id":"ITEM-3","itemData":{"DOI":"10.1002/9781118789971.ch15","ISBN":"9781118789971","author":[{"dropping-particle":"","family":"McDonald","given":"Allison E.","non-dropping-particle":"","parse-names":false,"suffix":""},{"dropping-particle":"","family":"Costa","given":"José Hélio","non-dropping-particle":"","parse-names":false,"suffix":""},{"dropping-particle":"","family":"Nobre","given":"Tânia","non-dropping-particle":"","parse-names":false,"suffix":""},{"dropping-particle":"","family":"Melo","given":"Dirce Fernandes","non-dropping-particle":"De","parse-names":false,"suffix":""},{"dropping-particle":"","family":"Arnholdt-Schmitt","given":"Birgit","non-dropping-particle":"","parse-names":false,"suffix":""}],"chapter-number":"12.4","container-title":"Alternative Respiratory Pathways in Higher Plants","editor":[{"dropping-particle":"","family":"Gupta","given":"Kapuganti J.","non-dropping-particle":"","parse-names":false,"suffix":""},{"dropping-particle":"","family":"Mur","given":"Luis A. J.","non-dropping-particle":"","parse-names":false,"suffix":""},{"dropping-particle":"","family":"Neelwarne","given":"Bhagyalakshmi","non-dropping-particle":"","parse-names":false,"suffix":""}],"id":"ITEM-3","issue":"May","issued":{"date-parts":[["2015"]]},"page":"267-272","publisher":"Wiley Online Library","title":"Evolution of AOX genes across kingdoms and the challenge of classification","type":"chapter"},"uris":["http://www.mendeley.com/documents/?uuid=c0182384-1a48-482f-8737-7476f378648c"]}],"mendeley":{"formattedCitation":"&lt;sup&gt;21–23&lt;/sup&gt;","plainTextFormattedCitation":"21–23","previouslyFormattedCitation":"&lt;sup&gt;23–25&lt;/sup&gt;"},"properties":{"noteIndex":0},"schema":"https://github.com/citation-style-language/schema/raw/master/csl-citation.json"}</w:instrText>
      </w:r>
      <w:r w:rsidR="00C065EE" w:rsidRPr="003435B5">
        <w:fldChar w:fldCharType="separate"/>
      </w:r>
      <w:r w:rsidR="00D158C9" w:rsidRPr="003435B5">
        <w:rPr>
          <w:noProof/>
          <w:vertAlign w:val="superscript"/>
        </w:rPr>
        <w:t>21–23</w:t>
      </w:r>
      <w:r w:rsidR="00C065EE" w:rsidRPr="003435B5">
        <w:fldChar w:fldCharType="end"/>
      </w:r>
      <w:r w:rsidRPr="003435B5">
        <w:t xml:space="preserve">, but its expression in </w:t>
      </w:r>
      <w:r w:rsidR="003435B5" w:rsidRPr="003435B5">
        <w:t xml:space="preserve">a </w:t>
      </w:r>
      <w:r w:rsidRPr="003435B5">
        <w:t xml:space="preserve">myriad </w:t>
      </w:r>
      <w:r w:rsidR="003435B5" w:rsidRPr="003435B5">
        <w:t xml:space="preserve">of </w:t>
      </w:r>
      <w:r w:rsidRPr="003435B5">
        <w:t>model systems</w:t>
      </w:r>
      <w:r w:rsidR="008907A1" w:rsidRPr="003435B5">
        <w:fldChar w:fldCharType="begin" w:fldLock="1"/>
      </w:r>
      <w:r w:rsidR="00D158C9" w:rsidRPr="003435B5">
        <w:instrText>ADDIN CSL_CITATION {"citationItems":[{"id":"ITEM-1","itemData":{"DOI":"10.1016/j.cmet.2009.03.004","ISSN":"15504131","abstract":"Defects in mitochondrial OXPHOS are associated with diverse and mostly intractable human disorders. The single-subunit alternative oxidase (AOX) found in many eukaryotes, but not in arthropods or vertebrates, offers a potential bypass of the OXPHOS cytochrome chain under conditions of pathological OXPHOS inhibition. We have engineered Ciona intestinalis AOX for conditional expression in Drosophila melanogaster. Ubiquitous AOX expression produced no detrimental phenotype in wild-type flies. However, mitochondrial suspensions from AOX-expressing flies exhibited a significant cyanide-resistant substrate oxidation, and the flies were partially resistant to both cyanide and antimycin. AOX expression was able to complement the semilethality of partial knockdown of both cyclope (COXVIc) and the complex IV assembly factor Surf1. It also rescued the locomotor defect and excess mitochondrial ROS production of flies mutated in dj-1β, a Drosophila homolog of the human Parkinson's disease gene DJ1. AOX appears to offer promise as a wide-spectrum therapeutic tool in OXPHOS disorders. © 2009 Elsevier Inc. All rights reserved.","author":[{"dropping-particle":"","family":"Fernandez-Ayala","given":"Daniel J.M.","non-dropping-particle":"","parse-names":false,"suffix":""},{"dropping-particle":"","family":"Sanz","given":"Alberto","non-dropping-particle":"","parse-names":false,"suffix":""},{"dropping-particle":"","family":"Vartiainen","given":"Suvi","non-dropping-particle":"","parse-names":false,"suffix":""},{"dropping-particle":"","family":"Kemppainen","given":"Kia K.","non-dropping-particle":"","parse-names":false,"suffix":""},{"dropping-particle":"","family":"Babusiak","given":"Marek","non-dropping-particle":"","parse-names":false,"suffix":""},{"dropping-particle":"","family":"Mustalahti","given":"Eero","non-dropping-particle":"","parse-names":false,"suffix":""},{"dropping-particle":"","family":"Costa","given":"Rodolfo","non-dropping-particle":"","parse-names":false,"suffix":""},{"dropping-particle":"","family":"Tuomela","given":"Tea","non-dropping-particle":"","parse-names":false,"suffix":""},{"dropping-particle":"","family":"Zeviani","given":"Massimo","non-dropping-particle":"","parse-names":false,"suffix":""},{"dropping-particle":"","family":"Chung","given":"Jongkyeong","non-dropping-particle":"","parse-names":false,"suffix":""},{"dropping-particle":"","family":"O'Dell","given":"Kevin M.C.","non-dropping-particle":"","parse-names":false,"suffix":""},{"dropping-particle":"","family":"Rustin","given":"Pierre","non-dropping-particle":"","parse-names":false,"suffix":""},{"dropping-particle":"","family":"Jacobs","given":"Howard T.","non-dropping-particle":"","parse-names":false,"suffix":""}],"container-title":"Cell Metabolism","id":"ITEM-1","issue":"5","issued":{"date-parts":[["2009"]]},"page":"449-460","title":"Expression of the Ciona intestinalis Alternative Oxidase (AOX) in Drosophila Complements Defects in Mitochondrial Oxidative Phosphorylation","type":"article-journal","volume":"9"},"uris":["http://www.mendeley.com/documents/?uuid=64a355cb-0482-4d7f-98b6-126fee6e5c09"]},{"id":"ITEM-2","itemData":{"DOI":"10.1093/hmg/ddt601","ISSN":"09646906","abstract":"Mitochondrial dysfunction is a significant factor in human disease, ranging fromsystemic disorders of childhood to cardiomyopathy, ischaemia and neurodegeneration. Cytochrome oxidase, the terminal enzyme of the mitochondrial respiratory chain, is a frequent target. Lower eukaryotes possess alternative respiratory-chain enzymes that provide non-proton-translocating by passes for respiratory complexes I (single-subunit reduced nicotinamide adenine dinucleotide dehydrogenases, e.g. Ndi1 fromyeast) or III + IV [alternative oxidase (AOX)], under conditions of respiratory stress or overload. In previous studies, itwas shown that transfer of yeast Ndi1 or Ciona intestinalis AOX to Drosophila was able toovercome the lethality produced by toxins or partial knockdown of complex I or IV. Here, we show that AOX can provide a complete or substantial rescue of a range of phenotypes induced by global or tissue-specific knockdown of different cIV subunits, including integral subunits required for catalysis, as well as peripheral subunits required for multimerization and assembly. AOX was also able to overcome the pupal lethality produced by muscle-specific knockdown of subunit CoVb, although the rescued flies were short lived and had a motility defect. cIV knockdown in neurons was not lethal during development but produced a rapidly progressing locomotor and seizure-sensitivity phenotype, which was substantially alleviated by AOX. Expression of Ndi1 exacerbated the neuronal phenotype produced by cIV knockdown. Ndi1 expressed in place of essential cI subunits produced a distinct residual phenotype of delayed development, bang sensitivity and male sterility. These findings confirm the potential utility of alternative respiratory chain enzymes as tools to combat mitochondrial disease, while indicating important limitations thereof. © The Author 2013. Published by Oxford University Press.","author":[{"dropping-particle":"","family":"Kemppainen","given":"Kia K.","non-dropping-particle":"","parse-names":false,"suffix":""},{"dropping-particle":"","family":"Rinne","given":"Juho","non-dropping-particle":"","parse-names":false,"suffix":""},{"dropping-particle":"","family":"Sriram","given":"Ashwin","non-dropping-particle":"","parse-names":false,"suffix":""},{"dropping-particle":"","family":"Lakanmaa","given":"Matti","non-dropping-particle":"","parse-names":false,"suffix":""},{"dropping-particle":"","family":"Zeb","given":"Akbar","non-dropping-particle":"","parse-names":false,"suffix":""},{"dropping-particle":"","family":"Tuomela","given":"Tea","non-dropping-particle":"","parse-names":false,"suffix":""},{"dropping-particle":"","family":"Popplestone","given":"Anna","non-dropping-particle":"","parse-names":false,"suffix":""},{"dropping-particle":"","family":"Singh","given":"Satpal","non-dropping-particle":"","parse-names":false,"suffix":""},{"dropping-particle":"","family":"Sanz","given":"Alberto","non-dropping-particle":"","parse-names":false,"suffix":""},{"dropping-particle":"","family":"Rustin","given":"Pierre","non-dropping-particle":"","parse-names":false,"suffix":""},{"dropping-particle":"","family":"Jacobs","given":"Howard T.","non-dropping-particle":"","parse-names":false,"suffix":""}],"container-title":"Human Molecular Genetics","id":"ITEM-2","issue":"8","issued":{"date-parts":[["2014"]]},"page":"2078-2093","title":"Expression of alternative oxidase in Drosophila ameliorates diverse phenotypes due to cytochrome oxidase deficiency","type":"article-journal","volume":"23"},"uris":["http://www.mendeley.com/documents/?uuid=3c6e269d-97cb-4fdb-a3ee-a5e0a3e7d581"]},{"id":"ITEM-3","itemData":{"DOI":"10.1534/g3.116.030882","ISSN":"21601836","abstract":"Culture of Drosophila expressing the steroid-dependent GeneSwitch transcriptional activator under the control of the ubiquitous α-tubulin promoter was found to produce extensive pupal lethality, as well as a range of dysmorphic adult phenotypes, in the presence of high concentrations of the inducing drug RU486. Prominent among these was cleft thorax, seen previously in flies bearing mutant alleles of the nuclear receptor Ultraspiracle and many other mutants, as well as notched wings, leg malformations, and bristle abnormalities. Neither the a-tubulin-GeneSwitch driver nor the inducing drug on their own produced any of these effects. A second GeneSwitch driver, under the control of the daughterless promoter, which gave much lower and more tissue-restricted transgene expression, exhibited only mild bristle abnormalities in the presence of high levels of RU486. Coexpression of the alternative oxidase (AOX) from Ciona intestinalis produced a substantial shift in the developmental outcome toward a wild-type phenotype, which was dependent on the AOX expression level. Neither an enzymatically inactivated variant of AOX, nor GFP, or the alternative NADH dehydrogenase Ndi1 from yeast gave any such rescue. Users of the GeneSwitch system should be aware of the potential confounding effects of its application in developmental studies.","author":[{"dropping-particle":"","family":"Andjeiković","given":"Ana","non-dropping-particle":"","parse-names":false,"suffix":""},{"dropping-particle":"","family":"Kemppainen","given":"Kia K.","non-dropping-particle":"","parse-names":false,"suffix":""},{"dropping-particle":"","family":"Jacobs","given":"Howard T.","non-dropping-particle":"","parse-names":false,"suffix":""}],"container-title":"G3: Genes, Genomes, Genetics","id":"ITEM-3","issue":"9","issued":{"date-parts":[["2016"]]},"page":"2839-2846","title":"Ligand-bound geneswitch causes developmental aberrations in drosophila that are alleviated by the alternative oxidase","type":"article-journal","volume":"6"},"uris":["http://www.mendeley.com/documents/?uuid=e2fd5e0b-738b-4bfd-bbd5-ce7b921ef46b"]},{"id":"ITEM-4","itemData":{"DOI":"10.1038/sj.embor.7400601","ISSN":"1469221X","abstract":"Human mitochondrial respiration is distinct from that of most plants, microorganisms and even some metazoans in that it reduces molecular oxygen only through the highly cyanide-sensitive enzyme cytochrome c oxidase. Here we show that expression of the cyanide-insensitive alternative oxidase (AOX), recently identified in the ascidian Ciona intestinalis, is well tolerated by cultured human cells and confers spectacular cyanide resistance to mitochondrial substrate oxidation. The expressed AOX seems to be confined to mitochondria. AOX involvement in electron flow is triggered by a highly reduced redox status of the respiratory chain (RC) and enhanced by pyruvate; otherwise, the enzyme remains essentially inactive. AOX expression promises to be a valuable tool to limit the deleterious consequences of RC deficiency in human cells and whole animals. © 2006 European Molecular Biology Organization.","author":[{"dropping-particle":"","family":"Hakkaart","given":"Gerrit A.J.","non-dropping-particle":"","parse-names":false,"suffix":""},{"dropping-particle":"","family":"Dassa","given":"E. P.Emmanuel P.","non-dropping-particle":"","parse-names":false,"suffix":""},{"dropping-particle":"","family":"Jacobs","given":"Howard T.","non-dropping-particle":"","parse-names":false,"suffix":""},{"dropping-particle":"","family":"Rustin","given":"Pierre","non-dropping-particle":"","parse-names":false,"suffix":""}],"container-title":"EMBO Reports","id":"ITEM-4","issue":"3","issued":{"date-parts":[["2006"]]},"page":"341-345","title":"Allotopic expression of a mitochondrial alternative oxidase confers cyanide resistance to human cell respiration","type":"article-journal","volume":"7"},"uris":["http://www.mendeley.com/documents/?uuid=a4247ba5-0231-46b8-81b4-5fefc533f6fc"]},{"id":"ITEM-5","itemData":{"DOI":"10.1002/emmm.200900001","ISSN":"17574676","PMID":"20049701","abstract":"Cytochrome c oxidase (COX) deficiency is associated with a wide spectrum of clinical conditions, ranging from early onset devastating encephalomyopathy and cardiomyopathy, to neurological diseases in adulthood and in the elderly. No method of compensating successfully for COX deficiency has been reported so far. In vitro, COX-deficient human cells require additional glucose, pyruvate and uridine for normal growth and are specifically sensitive to oxidative stress. Here, we have tested whether the expression of a mitochondrially targeted, cyanide-resistant, alternative oxidase (AOX) from Ciona intestinalis could alleviate the metabolic abnormalities of COX-deficient human cells either from a patient harbouring a COX15 pathological mutation or rendered deficient by silencing the COX10 gene using shRNA. We demonstrate that the expression of the AOX, well-tolerated by the cells, compensates for both the growth defect and the pronounced oxidant-sensitivity of COX-deficient human cells.","author":[{"dropping-particle":"","family":"Dassa","given":"Emmanuel P.","non-dropping-particle":"","parse-names":false,"suffix":""},{"dropping-particle":"","family":"Dufour","given":"Eric","non-dropping-particle":"","parse-names":false,"suffix":""},{"dropping-particle":"","family":"Gonçalues","given":"Sérgio","non-dropping-particle":"","parse-names":false,"suffix":""},{"dropping-particle":"","family":"Paupe","given":"Vincent","non-dropping-particle":"","parse-names":false,"suffix":""},{"dropping-particle":"","family":"Hakkaart","given":"Gertjan A.J.","non-dropping-particle":"","parse-names":false,"suffix":""},{"dropping-particle":"","family":"Jacobs","given":"Howard T.","non-dropping-particle":"","parse-names":false,"suffix":""},{"dropping-particle":"","family":"Rustin","given":"Pierre","non-dropping-particle":"","parse-names":false,"suffix":""}],"container-title":"EMBO Molecular Medicine","id":"ITEM-5","issue":"1","issued":{"date-parts":[["2009"]]},"page":"30-36","title":"Expression of the alternative oxidase complements cytochrome c oxidase deficiency in human cells","type":"article-journal","volume":"1"},"uris":["http://www.mendeley.com/documents/?uuid=1b59575e-92ef-4aae-891c-38579e029cfe"]},{"id":"ITEM-6","itemData":{"DOI":"10.1242/dmm.027839","ISSN":"17548411","abstract":"Plants and many lower organisms, but not mammals, express alternative oxidases (AOXs) that branch the mitochondrial respiratory chain, transferring electrons directly from ubiquinol to oxygen without proton pumping. Thus, they maintain electron flow under conditions when the classical respiratory chain is impaired, limiting excess production of oxygen radicals and supporting redox and metabolic homeostasis. AOX from Ciona intestinalis has been used to study and mitigate mitochondrial impairments in mammalian cell lines, Drosophila disease models and, most recently, in the mouse, where multiple lentivector-AOX transgenes conferred substantial expression in specific tissues. Here, we describe a genetically tractable mouse model in which Ciona AOX has been targeted to the Rosa26 locus for ubiquitous expression. The AOXRosa26 mouse exhibited only subtle phenotypic effects on respiratory complex formation, oxygen consumption or the global metabolome, and showed an essentially normal physiology. AOXconferred robust resistance to inhibitors of the respiratory chain in organello; moreover, animals exposed to a systemically applied LD50 dose of cyanide did not succumb. The AOXRosa26 mouse is a useful tool to investigate respiratory control mechanisms and to decipher mitochondrial disease aetiology in vivo.","author":[{"dropping-particle":"","family":"Szibor","given":"Marten","non-dropping-particle":"","parse-names":false,"suffix":""},{"dropping-particle":"","family":"Dhandapani","given":"Praveen K.","non-dropping-particle":"","parse-names":false,"suffix":""},{"dropping-particle":"","family":"Dufour","given":"Eric","non-dropping-particle":"","parse-names":false,"suffix":""},{"dropping-particle":"","family":"Holmström","given":"Kira M.","non-dropping-particle":"","parse-names":false,"suffix":""},{"dropping-particle":"","family":"Zhuang","given":"Yuan","non-dropping-particle":"","parse-names":false,"suffix":""},{"dropping-particle":"","family":"Salwig","given":"Isabelle","non-dropping-particle":"","parse-names":false,"suffix":""},{"dropping-particle":"","family":"Wittig","given":"Ilka","non-dropping-particle":"","parse-names":false,"suffix":""},{"dropping-particle":"","family":"Heidler","given":"Juliana","non-dropping-particle":"","parse-names":false,"suffix":""},{"dropping-particle":"","family":"Gizatullina","given":"Zemfira","non-dropping-particle":"","parse-names":false,"suffix":""},{"dropping-particle":"","family":"Gainutdinov","given":"Timur","non-dropping-particle":"","parse-names":false,"suffix":""},{"dropping-particle":"","family":"Fuchs","given":"Helmut","non-dropping-particle":"","parse-names":false,"suffix":""},{"dropping-particle":"","family":"Gailus-Durner","given":"Valérie","non-dropping-particle":"","parse-names":false,"suffix":""},{"dropping-particle":"","family":"Hrabê De Angelis","given":"Martin","non-dropping-particle":"","parse-names":false,"suffix":""},{"dropping-particle":"","family":"Nandania","given":"Jatin","non-dropping-particle":"","parse-names":false,"suffix":""},{"dropping-particle":"","family":"Velagapudi","given":"Vidya","non-dropping-particle":"","parse-names":false,"suffix":""},{"dropping-particle":"","family":"Wietelmann","given":"Astrid","non-dropping-particle":"","parse-names":false,"suffix":""},{"dropping-particle":"","family":"Rustin","given":"Pierre","non-dropping-particle":"","parse-names":false,"suffix":""},{"dropping-particle":"","family":"Gellerich","given":"Frank N.","non-dropping-particle":"","parse-names":false,"suffix":""},{"dropping-particle":"","family":"Jacobs","given":"Howard T.","non-dropping-particle":"","parse-names":false,"suffix":""},{"dropping-particle":"","family":"Braun","given":"Thomas","non-dropping-particle":"","parse-names":false,"suffix":""}],"container-title":"DMM Disease Models and Mechanisms","id":"ITEM-6","issue":"2","issued":{"date-parts":[["2017"]]},"page":"163-171","title":"Broad AOX expression in a genetically tractable mouse model does not disturb normal physiology","type":"article-journal","volume":"10"},"uris":["http://www.mendeley.com/documents/?uuid=5ec4a58a-97e3-49fe-9a39-7aa03a32f0f9"]}],"mendeley":{"formattedCitation":"&lt;sup&gt;24–29&lt;/sup&gt;","plainTextFormattedCitation":"24–29","previouslyFormattedCitation":"&lt;sup&gt;26–31&lt;/sup&gt;"},"properties":{"noteIndex":0},"schema":"https://github.com/citation-style-language/schema/raw/master/csl-citation.json"}</w:instrText>
      </w:r>
      <w:r w:rsidR="008907A1" w:rsidRPr="003435B5">
        <w:fldChar w:fldCharType="separate"/>
      </w:r>
      <w:r w:rsidR="00D158C9" w:rsidRPr="003435B5">
        <w:rPr>
          <w:noProof/>
          <w:vertAlign w:val="superscript"/>
        </w:rPr>
        <w:t>24–29</w:t>
      </w:r>
      <w:r w:rsidR="008907A1" w:rsidRPr="003435B5">
        <w:fldChar w:fldCharType="end"/>
      </w:r>
      <w:r w:rsidRPr="003435B5">
        <w:t xml:space="preserve"> has been successful to show its therapeutic potential for conditions of general mitochondrial respiratory stress, especially when caused by CIII and/or CIV overload. AOX confers resistance to toxic levels of antimycin A</w:t>
      </w:r>
      <w:r w:rsidR="008C60AE" w:rsidRPr="003435B5">
        <w:fldChar w:fldCharType="begin" w:fldLock="1"/>
      </w:r>
      <w:r w:rsidR="00D158C9" w:rsidRPr="003435B5">
        <w:instrText>ADDIN CSL_CITATION {"citationItems":[{"id":"ITEM-1","itemData":{"DOI":"10.1016/j.cmet.2009.03.004","ISSN":"15504131","abstract":"Defects in mitochondrial OXPHOS are associated with diverse and mostly intractable human disorders. The single-subunit alternative oxidase (AOX) found in many eukaryotes, but not in arthropods or vertebrates, offers a potential bypass of the OXPHOS cytochrome chain under conditions of pathological OXPHOS inhibition. We have engineered Ciona intestinalis AOX for conditional expression in Drosophila melanogaster. Ubiquitous AOX expression produced no detrimental phenotype in wild-type flies. However, mitochondrial suspensions from AOX-expressing flies exhibited a significant cyanide-resistant substrate oxidation, and the flies were partially resistant to both cyanide and antimycin. AOX expression was able to complement the semilethality of partial knockdown of both cyclope (COXVIc) and the complex IV assembly factor Surf1. It also rescued the locomotor defect and excess mitochondrial ROS production of flies mutated in dj-1β, a Drosophila homolog of the human Parkinson's disease gene DJ1. AOX appears to offer promise as a wide-spectrum therapeutic tool in OXPHOS disorders. © 2009 Elsevier Inc. All rights reserved.","author":[{"dropping-particle":"","family":"Fernandez-Ayala","given":"Daniel J.M.","non-dropping-particle":"","parse-names":false,"suffix":""},{"dropping-particle":"","family":"Sanz","given":"Alberto","non-dropping-particle":"","parse-names":false,"suffix":""},{"dropping-particle":"","family":"Vartiainen","given":"Suvi","non-dropping-particle":"","parse-names":false,"suffix":""},{"dropping-particle":"","family":"Kemppainen","given":"Kia K.","non-dropping-particle":"","parse-names":false,"suffix":""},{"dropping-particle":"","family":"Babusiak","given":"Marek","non-dropping-particle":"","parse-names":false,"suffix":""},{"dropping-particle":"","family":"Mustalahti","given":"Eero","non-dropping-particle":"","parse-names":false,"suffix":""},{"dropping-particle":"","family":"Costa","given":"Rodolfo","non-dropping-particle":"","parse-names":false,"suffix":""},{"dropping-particle":"","family":"Tuomela","given":"Tea","non-dropping-particle":"","parse-names":false,"suffix":""},{"dropping-particle":"","family":"Zeviani","given":"Massimo","non-dropping-particle":"","parse-names":false,"suffix":""},{"dropping-particle":"","family":"Chung","given":"Jongkyeong","non-dropping-particle":"","parse-names":false,"suffix":""},{"dropping-particle":"","family":"O'Dell","given":"Kevin M.C.","non-dropping-particle":"","parse-names":false,"suffix":""},{"dropping-particle":"","family":"Rustin","given":"Pierre","non-dropping-particle":"","parse-names":false,"suffix":""},{"dropping-particle":"","family":"Jacobs","given":"Howard T.","non-dropping-particle":"","parse-names":false,"suffix":""}],"container-title":"Cell Metabolism","id":"ITEM-1","issue":"5","issued":{"date-parts":[["2009"]]},"page":"449-460","title":"Expression of the Ciona intestinalis Alternative Oxidase (AOX) in Drosophila Complements Defects in Mitochondrial Oxidative Phosphorylation","type":"article-journal","volume":"9"},"uris":["http://www.mendeley.com/documents/?uuid=64a355cb-0482-4d7f-98b6-126fee6e5c09"]}],"mendeley":{"formattedCitation":"&lt;sup&gt;24&lt;/sup&gt;","plainTextFormattedCitation":"24","previouslyFormattedCitation":"&lt;sup&gt;26&lt;/sup&gt;"},"properties":{"noteIndex":0},"schema":"https://github.com/citation-style-language/schema/raw/master/csl-citation.json"}</w:instrText>
      </w:r>
      <w:r w:rsidR="008C60AE" w:rsidRPr="003435B5">
        <w:fldChar w:fldCharType="separate"/>
      </w:r>
      <w:r w:rsidR="00D158C9" w:rsidRPr="003435B5">
        <w:rPr>
          <w:noProof/>
          <w:vertAlign w:val="superscript"/>
        </w:rPr>
        <w:t>24</w:t>
      </w:r>
      <w:r w:rsidR="008C60AE" w:rsidRPr="003435B5">
        <w:fldChar w:fldCharType="end"/>
      </w:r>
      <w:r w:rsidRPr="003435B5">
        <w:t xml:space="preserve"> and cyanide</w:t>
      </w:r>
      <w:r w:rsidR="00E026B5" w:rsidRPr="003435B5">
        <w:fldChar w:fldCharType="begin" w:fldLock="1"/>
      </w:r>
      <w:r w:rsidR="00D158C9" w:rsidRPr="003435B5">
        <w:instrText>ADDIN CSL_CITATION {"citationItems":[{"id":"ITEM-1","itemData":{"DOI":"10.1016/j.cmet.2009.03.004","ISSN":"15504131","abstract":"Defects in mitochondrial OXPHOS are associated with diverse and mostly intractable human disorders. The single-subunit alternative oxidase (AOX) found in many eukaryotes, but not in arthropods or vertebrates, offers a potential bypass of the OXPHOS cytochrome chain under conditions of pathological OXPHOS inhibition. We have engineered Ciona intestinalis AOX for conditional expression in Drosophila melanogaster. Ubiquitous AOX expression produced no detrimental phenotype in wild-type flies. However, mitochondrial suspensions from AOX-expressing flies exhibited a significant cyanide-resistant substrate oxidation, and the flies were partially resistant to both cyanide and antimycin. AOX expression was able to complement the semilethality of partial knockdown of both cyclope (COXVIc) and the complex IV assembly factor Surf1. It also rescued the locomotor defect and excess mitochondrial ROS production of flies mutated in dj-1β, a Drosophila homolog of the human Parkinson's disease gene DJ1. AOX appears to offer promise as a wide-spectrum therapeutic tool in OXPHOS disorders. © 2009 Elsevier Inc. All rights reserved.","author":[{"dropping-particle":"","family":"Fernandez-Ayala","given":"Daniel J.M.","non-dropping-particle":"","parse-names":false,"suffix":""},{"dropping-particle":"","family":"Sanz","given":"Alberto","non-dropping-particle":"","parse-names":false,"suffix":""},{"dropping-particle":"","family":"Vartiainen","given":"Suvi","non-dropping-particle":"","parse-names":false,"suffix":""},{"dropping-particle":"","family":"Kemppainen","given":"Kia K.","non-dropping-particle":"","parse-names":false,"suffix":""},{"dropping-particle":"","family":"Babusiak","given":"Marek","non-dropping-particle":"","parse-names":false,"suffix":""},{"dropping-particle":"","family":"Mustalahti","given":"Eero","non-dropping-particle":"","parse-names":false,"suffix":""},{"dropping-particle":"","family":"Costa","given":"Rodolfo","non-dropping-particle":"","parse-names":false,"suffix":""},{"dropping-particle":"","family":"Tuomela","given":"Tea","non-dropping-particle":"","parse-names":false,"suffix":""},{"dropping-particle":"","family":"Zeviani","given":"Massimo","non-dropping-particle":"","parse-names":false,"suffix":""},{"dropping-particle":"","family":"Chung","given":"Jongkyeong","non-dropping-particle":"","parse-names":false,"suffix":""},{"dropping-particle":"","family":"O'Dell","given":"Kevin M.C.","non-dropping-particle":"","parse-names":false,"suffix":""},{"dropping-particle":"","family":"Rustin","given":"Pierre","non-dropping-particle":"","parse-names":false,"suffix":""},{"dropping-particle":"","family":"Jacobs","given":"Howard T.","non-dropping-particle":"","parse-names":false,"suffix":""}],"container-title":"Cell Metabolism","id":"ITEM-1","issue":"5","issued":{"date-parts":[["2009"]]},"page":"449-460","title":"Expression of the Ciona intestinalis Alternative Oxidase (AOX) in Drosophila Complements Defects in Mitochondrial Oxidative Phosphorylation","type":"article-journal","volume":"9"},"uris":["http://www.mendeley.com/documents/?uuid=64a355cb-0482-4d7f-98b6-126fee6e5c09"]},{"id":"ITEM-2","itemData":{"DOI":"10.1093/hmg/ddt601","ISSN":"09646906","abstract":"Mitochondrial dysfunction is a significant factor in human disease, ranging fromsystemic disorders of childhood to cardiomyopathy, ischaemia and neurodegeneration. Cytochrome oxidase, the terminal enzyme of the mitochondrial respiratory chain, is a frequent target. Lower eukaryotes possess alternative respiratory-chain enzymes that provide non-proton-translocating by passes for respiratory complexes I (single-subunit reduced nicotinamide adenine dinucleotide dehydrogenases, e.g. Ndi1 fromyeast) or III + IV [alternative oxidase (AOX)], under conditions of respiratory stress or overload. In previous studies, itwas shown that transfer of yeast Ndi1 or Ciona intestinalis AOX to Drosophila was able toovercome the lethality produced by toxins or partial knockdown of complex I or IV. Here, we show that AOX can provide a complete or substantial rescue of a range of phenotypes induced by global or tissue-specific knockdown of different cIV subunits, including integral subunits required for catalysis, as well as peripheral subunits required for multimerization and assembly. AOX was also able to overcome the pupal lethality produced by muscle-specific knockdown of subunit CoVb, although the rescued flies were short lived and had a motility defect. cIV knockdown in neurons was not lethal during development but produced a rapidly progressing locomotor and seizure-sensitivity phenotype, which was substantially alleviated by AOX. Expression of Ndi1 exacerbated the neuronal phenotype produced by cIV knockdown. Ndi1 expressed in place of essential cI subunits produced a distinct residual phenotype of delayed development, bang sensitivity and male sterility. These findings confirm the potential utility of alternative respiratory chain enzymes as tools to combat mitochondrial disease, while indicating important limitations thereof. © The Author 2013. Published by Oxford University Press.","author":[{"dropping-particle":"","family":"Kemppainen","given":"Kia K.","non-dropping-particle":"","parse-names":false,"suffix":""},{"dropping-particle":"","family":"Rinne","given":"Juho","non-dropping-particle":"","parse-names":false,"suffix":""},{"dropping-particle":"","family":"Sriram","given":"Ashwin","non-dropping-particle":"","parse-names":false,"suffix":""},{"dropping-particle":"","family":"Lakanmaa","given":"Matti","non-dropping-particle":"","parse-names":false,"suffix":""},{"dropping-particle":"","family":"Zeb","given":"Akbar","non-dropping-particle":"","parse-names":false,"suffix":""},{"dropping-particle":"","family":"Tuomela","given":"Tea","non-dropping-particle":"","parse-names":false,"suffix":""},{"dropping-particle":"","family":"Popplestone","given":"Anna","non-dropping-particle":"","parse-names":false,"suffix":""},{"dropping-particle":"","family":"Singh","given":"Satpal","non-dropping-particle":"","parse-names":false,"suffix":""},{"dropping-particle":"","family":"Sanz","given":"Alberto","non-dropping-particle":"","parse-names":false,"suffix":""},{"dropping-particle":"","family":"Rustin","given":"Pierre","non-dropping-particle":"","parse-names":false,"suffix":""},{"dropping-particle":"","family":"Jacobs","given":"Howard T.","non-dropping-particle":"","parse-names":false,"suffix":""}],"container-title":"Human Molecular Genetics","id":"ITEM-2","issue":"8","issued":{"date-parts":[["2014"]]},"page":"2078-2093","title":"Expression of alternative oxidase in Drosophila ameliorates diverse phenotypes due to cytochrome oxidase deficiency","type":"article-journal","volume":"23"},"uris":["http://www.mendeley.com/documents/?uuid=3c6e269d-97cb-4fdb-a3ee-a5e0a3e7d581"]}],"mendeley":{"formattedCitation":"&lt;sup&gt;24, 25&lt;/sup&gt;","plainTextFormattedCitation":"24, 25","previouslyFormattedCitation":"&lt;sup&gt;26, 27&lt;/sup&gt;"},"properties":{"noteIndex":0},"schema":"https://github.com/citation-style-language/schema/raw/master/csl-citation.json"}</w:instrText>
      </w:r>
      <w:r w:rsidR="00E026B5" w:rsidRPr="003435B5">
        <w:fldChar w:fldCharType="separate"/>
      </w:r>
      <w:r w:rsidR="00D158C9" w:rsidRPr="003435B5">
        <w:rPr>
          <w:noProof/>
          <w:vertAlign w:val="superscript"/>
        </w:rPr>
        <w:t>24, 25</w:t>
      </w:r>
      <w:r w:rsidR="00E026B5" w:rsidRPr="003435B5">
        <w:fldChar w:fldCharType="end"/>
      </w:r>
      <w:r w:rsidRPr="003435B5">
        <w:t>, and mitigates diverse phenotypes related to mitochondrial disfunction</w:t>
      </w:r>
      <w:r w:rsidR="00E026B5" w:rsidRPr="003435B5">
        <w:fldChar w:fldCharType="begin" w:fldLock="1"/>
      </w:r>
      <w:r w:rsidR="00D158C9" w:rsidRPr="003435B5">
        <w:instrText>ADDIN CSL_CITATION {"citationItems":[{"id":"ITEM-1","itemData":{"DOI":"10.1016/j.cmet.2009.03.004","ISSN":"15504131","abstract":"Defects in mitochondrial OXPHOS are associated with diverse and mostly intractable human disorders. The single-subunit alternative oxidase (AOX) found in many eukaryotes, but not in arthropods or vertebrates, offers a potential bypass of the OXPHOS cytochrome chain under conditions of pathological OXPHOS inhibition. We have engineered Ciona intestinalis AOX for conditional expression in Drosophila melanogaster. Ubiquitous AOX expression produced no detrimental phenotype in wild-type flies. However, mitochondrial suspensions from AOX-expressing flies exhibited a significant cyanide-resistant substrate oxidation, and the flies were partially resistant to both cyanide and antimycin. AOX expression was able to complement the semilethality of partial knockdown of both cyclope (COXVIc) and the complex IV assembly factor Surf1. It also rescued the locomotor defect and excess mitochondrial ROS production of flies mutated in dj-1β, a Drosophila homolog of the human Parkinson's disease gene DJ1. AOX appears to offer promise as a wide-spectrum therapeutic tool in OXPHOS disorders. © 2009 Elsevier Inc. All rights reserved.","author":[{"dropping-particle":"","family":"Fernandez-Ayala","given":"Daniel J.M.","non-dropping-particle":"","parse-names":false,"suffix":""},{"dropping-particle":"","family":"Sanz","given":"Alberto","non-dropping-particle":"","parse-names":false,"suffix":""},{"dropping-particle":"","family":"Vartiainen","given":"Suvi","non-dropping-particle":"","parse-names":false,"suffix":""},{"dropping-particle":"","family":"Kemppainen","given":"Kia K.","non-dropping-particle":"","parse-names":false,"suffix":""},{"dropping-particle":"","family":"Babusiak","given":"Marek","non-dropping-particle":"","parse-names":false,"suffix":""},{"dropping-particle":"","family":"Mustalahti","given":"Eero","non-dropping-particle":"","parse-names":false,"suffix":""},{"dropping-particle":"","family":"Costa","given":"Rodolfo","non-dropping-particle":"","parse-names":false,"suffix":""},{"dropping-particle":"","family":"Tuomela","given":"Tea","non-dropping-particle":"","parse-names":false,"suffix":""},{"dropping-particle":"","family":"Zeviani","given":"Massimo","non-dropping-particle":"","parse-names":false,"suffix":""},{"dropping-particle":"","family":"Chung","given":"Jongkyeong","non-dropping-particle":"","parse-names":false,"suffix":""},{"dropping-particle":"","family":"O'Dell","given":"Kevin M.C.","non-dropping-particle":"","parse-names":false,"suffix":""},{"dropping-particle":"","family":"Rustin","given":"Pierre","non-dropping-particle":"","parse-names":false,"suffix":""},{"dropping-particle":"","family":"Jacobs","given":"Howard T.","non-dropping-particle":"","parse-names":false,"suffix":""}],"container-title":"Cell Metabolism","id":"ITEM-1","issue":"5","issued":{"date-parts":[["2009"]]},"page":"449-460","title":"Expression of the Ciona intestinalis Alternative Oxidase (AOX) in Drosophila Complements Defects in Mitochondrial Oxidative Phosphorylation","type":"article-journal","volume":"9"},"uris":["http://www.mendeley.com/documents/?uuid=64a355cb-0482-4d7f-98b6-126fee6e5c09"]},{"id":"ITEM-2","itemData":{"DOI":"10.1093/hmg/ddt601","ISSN":"09646906","abstract":"Mitochondrial dysfunction is a significant factor in human disease, ranging fromsystemic disorders of childhood to cardiomyopathy, ischaemia and neurodegeneration. Cytochrome oxidase, the terminal enzyme of the mitochondrial respiratory chain, is a frequent target. Lower eukaryotes possess alternative respiratory-chain enzymes that provide non-proton-translocating by passes for respiratory complexes I (single-subunit reduced nicotinamide adenine dinucleotide dehydrogenases, e.g. Ndi1 fromyeast) or III + IV [alternative oxidase (AOX)], under conditions of respiratory stress or overload. In previous studies, itwas shown that transfer of yeast Ndi1 or Ciona intestinalis AOX to Drosophila was able toovercome the lethality produced by toxins or partial knockdown of complex I or IV. Here, we show that AOX can provide a complete or substantial rescue of a range of phenotypes induced by global or tissue-specific knockdown of different cIV subunits, including integral subunits required for catalysis, as well as peripheral subunits required for multimerization and assembly. AOX was also able to overcome the pupal lethality produced by muscle-specific knockdown of subunit CoVb, although the rescued flies were short lived and had a motility defect. cIV knockdown in neurons was not lethal during development but produced a rapidly progressing locomotor and seizure-sensitivity phenotype, which was substantially alleviated by AOX. Expression of Ndi1 exacerbated the neuronal phenotype produced by cIV knockdown. Ndi1 expressed in place of essential cI subunits produced a distinct residual phenotype of delayed development, bang sensitivity and male sterility. These findings confirm the potential utility of alternative respiratory chain enzymes as tools to combat mitochondrial disease, while indicating important limitations thereof. © The Author 2013. Published by Oxford University Press.","author":[{"dropping-particle":"","family":"Kemppainen","given":"Kia K.","non-dropping-particle":"","parse-names":false,"suffix":""},{"dropping-particle":"","family":"Rinne","given":"Juho","non-dropping-particle":"","parse-names":false,"suffix":""},{"dropping-particle":"","family":"Sriram","given":"Ashwin","non-dropping-particle":"","parse-names":false,"suffix":""},{"dropping-particle":"","family":"Lakanmaa","given":"Matti","non-dropping-particle":"","parse-names":false,"suffix":""},{"dropping-particle":"","family":"Zeb","given":"Akbar","non-dropping-particle":"","parse-names":false,"suffix":""},{"dropping-particle":"","family":"Tuomela","given":"Tea","non-dropping-particle":"","parse-names":false,"suffix":""},{"dropping-particle":"","family":"Popplestone","given":"Anna","non-dropping-particle":"","parse-names":false,"suffix":""},{"dropping-particle":"","family":"Singh","given":"Satpal","non-dropping-particle":"","parse-names":false,"suffix":""},{"dropping-particle":"","family":"Sanz","given":"Alberto","non-dropping-particle":"","parse-names":false,"suffix":""},{"dropping-particle":"","family":"Rustin","given":"Pierre","non-dropping-particle":"","parse-names":false,"suffix":""},{"dropping-particle":"","family":"Jacobs","given":"Howard T.","non-dropping-particle":"","parse-names":false,"suffix":""}],"container-title":"Human Molecular Genetics","id":"ITEM-2","issue":"8","issued":{"date-parts":[["2014"]]},"page":"2078-2093","title":"Expression of alternative oxidase in Drosophila ameliorates diverse phenotypes due to cytochrome oxidase deficiency","type":"article-journal","volume":"23"},"uris":["http://www.mendeley.com/documents/?uuid=3c6e269d-97cb-4fdb-a3ee-a5e0a3e7d581"]},{"id":"ITEM-3","itemData":{"DOI":"10.1016/j.freeradbiomed.2016.04.006","ISSN":"18734596","abstract":"Mitochondrial dysfunction has been widely associated with the pathology of Alzheimer's disease, but there is no consensus on whether it is a cause or consequence of disease, nor on the precise mechanism(s). We addressed these issues by testing the effects of expressing the alternative oxidase AOX from Ciona intestinalis, in different models of AD pathology. AOX can restore respiratory electron flow when the cytochrome segment of the mitochondrial respiratory chain is inhibited, supporting ATP synthesis, maintaining cellular redox homeostasis and mitigating excess superoxide production at respiratory complexes I and III. In human HEK293-derived cells, AOX expression decreased the production of beta-amyloid peptide resulting from antimycin inhibition of respiratory complex III. Because hydrogen peroxide was neither a direct product nor substrate of AOX, the ability of AOX to mimic antioxidants in this assay must be indirect. In addition, AOX expression was able to partially alleviate the short lifespan of Drosophila models neuronally expressing human beta-amyloid peptides, whilst abrogating the induction of markers of oxidative stress. Our findings support the idea of respiratory chain dysfunction and excess ROS production as both an early step and as a pathologically meaningful target in Alzheimer's disease pathogenesis, supporting the concept of a mitochondrial vicious cycle underlying the disease.","author":[{"dropping-particle":"","family":"El-Khoury","given":"Riyad","non-dropping-particle":"","parse-names":false,"suffix":""},{"dropping-particle":"","family":"Kaulio","given":"Eveliina","non-dropping-particle":"","parse-names":false,"suffix":""},{"dropping-particle":"","family":"Lassila","given":"Katariina A.","non-dropping-particle":"","parse-names":false,"suffix":""},{"dropping-particle":"","family":"Crowther","given":"Damian C.","non-dropping-particle":"","parse-names":false,"suffix":""},{"dropping-particle":"","family":"Jacobs","given":"Howard T.","non-dropping-particle":"","parse-names":false,"suffix":""},{"dropping-particle":"","family":"Rustin","given":"Pierre","non-dropping-particle":"","parse-names":false,"suffix":""}],"container-title":"Free Radical Biology and Medicine","id":"ITEM-3","issued":{"date-parts":[["2016"]]},"page":"57-66","title":"Expression of the alternative oxidase mitigates beta-amyloid production and toxicity in model systems","type":"article-journal","volume":"96"},"uris":["http://www.mendeley.com/documents/?uuid=471c860a-2493-47c8-bc83-e6c4a5129a60"]},{"id":"ITEM-4","itemData":{"DOI":"10.1016/j.cell.2016.08.064","ISSN":"10974172","PMID":"27667687","abstract":"Activated macrophages undergo metabolic reprogramming, which drives their pro-inflammatory phenotype, but the mechanistic basis for this remains obscure. Here, we demonstrate that upon lipopolysaccharide (LPS) stimulation, macrophages shift from producing ATP by oxidative phosphorylation to glycolysis while also increasing succinate levels. We show that increased mitochondrial oxidation of succinate via succinate dehydrogenase (SDH) and an elevation of mitochondrial membrane potential combine to drive mitochondrial reactive oxygen species (ROS) production. RNA sequencing reveals that this combination induces a pro-inflammatory gene expression profile, while an inhibitor of succinate oxidation, dimethyl malonate (DMM), promotes an anti-inflammatory outcome. Blocking ROS production with rotenone by uncoupling mitochondria or by expressing the alternative oxidase (AOX) inhibits this inflammatory phenotype, with AOX protecting mice from LPS lethality. The metabolic alterations that occur upon activation of macrophages therefore repurpose mitochondria from ATP synthesis to ROS production in order to promote a pro-inflammatory state.","author":[{"dropping-particle":"","family":"Mills","given":"Evanna L.","non-dropping-particle":"","parse-names":false,"suffix":""},{"dropping-particle":"","family":"Kelly","given":"Beth","non-dropping-particle":"","parse-names":false,"suffix":""},{"dropping-particle":"","family":"Logan","given":"Angela","non-dropping-particle":"","parse-names":false,"suffix":""},{"dropping-particle":"","family":"Costa","given":"Ana S.H.","non-dropping-particle":"","parse-names":false,"suffix":""},{"dropping-particle":"","family":"Varma","given":"Mukund","non-dropping-particle":"","parse-names":false,"suffix":""},{"dropping-particle":"","family":"Bryant","given":"Clare E.","non-dropping-particle":"","parse-names":false,"suffix":""},{"dropping-particle":"","family":"Tourlomousis","given":"Panagiotis","non-dropping-particle":"","parse-names":false,"suffix":""},{"dropping-particle":"","family":"Däbritz","given":"J. Henry M.","non-dropping-particle":"","parse-names":false,"suffix":""},{"dropping-particle":"","family":"Gottlieb","given":"Eyal","non-dropping-particle":"","parse-names":false,"suffix":""},{"dropping-particle":"","family":"Latorre","given":"Isabel","non-dropping-particle":"","parse-names":false,"suffix":""},{"dropping-particle":"","family":"Corr","given":"Sinéad C.","non-dropping-particle":"","parse-names":false,"suffix":""},{"dropping-particle":"","family":"McManus","given":"Gavin","non-dropping-particle":"","parse-names":false,"suffix":""},{"dropping-particle":"","family":"Ryan","given":"Dylan","non-dropping-particle":"","parse-names":false,"suffix":""},{"dropping-particle":"","family":"Jacobs","given":"Howard T.","non-dropping-particle":"","parse-names":false,"suffix":""},{"dropping-particle":"","family":"Szibor","given":"Marten","non-dropping-particle":"","parse-names":false,"suffix":""},{"dropping-particle":"","family":"Xavier","given":"Ramnik J.","non-dropping-particle":"","parse-names":false,"suffix":""},{"dropping-particle":"","family":"Braun","given":"Thomas","non-dropping-particle":"","parse-names":false,"suffix":""},{"dropping-particle":"","family":"Frezza","given":"Christian","non-dropping-particle":"","parse-names":false,"suffix":""},{"dropping-particle":"","family":"Murphy","given":"Michael P.","non-dropping-particle":"","parse-names":false,"suffix":""},{"dropping-particle":"","family":"O'Neill","given":"Luke A.","non-dropping-particle":"","parse-names":false,"suffix":""}],"container-title":"Cell","id":"ITEM-4","issue":"2","issued":{"date-parts":[["2016","10","6"]]},"page":"457-470.e13","publisher":"Cell Press","title":"Succinate Dehydrogenase Supports Metabolic Repurposing of Mitochondria to Drive Inflammatory Macrophages","type":"article-journal","volume":"167"},"uris":["http://www.mendeley.com/documents/?uuid=e3f090c4-0b10-36b8-a138-53bba9879d5d"]},{"id":"ITEM-5","itemData":{"DOI":"10.1165/rcmb.2018-0261OC","ISSN":"15354989","abstract":"Cigarette smoke (CS) exposure is the predominant risk factor for the development of chronic obstructive pulmonary disease (COPD) and the third leading cause of death worldwide. We aimed to elucidate whether mitochondrial respiratory inhibition and oxidative stress are triggers in its etiology. In different models of CS exposure, we investigated the effect on lung remodeling and cell signaling of restoring mitochondrial respiratory electron flow using alternative oxidase (AOX), which bypasses the cytochrome segment of the respiratory chain. AOX attenuated CS-induced lung tissue destruction and loss of function in mice exposed chronically to CS for 9 months. It preserved the cell viability of isolated mouse embryonic fibroblasts treated with CS condensate, limited the induction of apoptosis, and decreased the production of reactive oxygen species (ROS). In contrast, the early-phase inflammatory response induced by acute CS exposure of mouse lung, i.e., infiltration by macrophages and neutrophils and adverse signaling, was unaffected. The use of AOX allowed us to obtain novel pathomechanistic insights into CS-induced cell damage, mitochondrial ROS production, and lung remodeling. Our findings implicate mitochondrial respiratory inhibition as a key pathogenic mechanism of CS toxicity in the lung. We propose AOX as a novel tool to study CS-related lung remodeling and potentially to counteract CS-induced ROS production and cell damage.","author":[{"dropping-particle":"","family":"Giordano","given":"Luca","non-dropping-particle":"","parse-names":false,"suffix":""},{"dropping-particle":"","family":"Farnham","given":"Antoine","non-dropping-particle":"","parse-names":false,"suffix":""},{"dropping-particle":"","family":"Dhandapani","given":"Praveen K.","non-dropping-particle":"","parse-names":false,"suffix":""},{"dropping-particle":"","family":"Salminen","given":"Laura","non-dropping-particle":"","parse-names":false,"suffix":""},{"dropping-particle":"","family":"Bhaskaran","given":"Jahnavi","non-dropping-particle":"","parse-names":false,"suffix":""},{"dropping-particle":"","family":"Voswinckel","given":"Robert","non-dropping-particle":"","parse-names":false,"suffix":""},{"dropping-particle":"","family":"Rauschkolb","given":"Peter","non-dropping-particle":"","parse-names":false,"suffix":""},{"dropping-particle":"","family":"Scheibe","given":"Susan","non-dropping-particle":"","parse-names":false,"suffix":""},{"dropping-particle":"","family":"Sommer","given":"Natascha","non-dropping-particle":"","parse-names":false,"suffix":""},{"dropping-particle":"","family":"Beisswenger","given":"Christoph","non-dropping-particle":"","parse-names":false,"suffix":""},{"dropping-particle":"","family":"Weissmann","given":"Norbert","non-dropping-particle":"","parse-names":false,"suffix":""},{"dropping-particle":"","family":"Braun","given":"Thomas","non-dropping-particle":"","parse-names":false,"suffix":""},{"dropping-particle":"","family":"Jacobs","given":"Howard T.","non-dropping-particle":"","parse-names":false,"suffix":""},{"dropping-particle":"","family":"Bals","given":"Robert","non-dropping-particle":"","parse-names":false,"suffix":""},{"dropping-particle":"","family":"Herr","given":"Christian","non-dropping-particle":"","parse-names":false,"suffix":""},{"dropping-particle":"","family":"Szibor","given":"Marten","non-dropping-particle":"","parse-names":false,"suffix":""}],"container-title":"American Journal of Respiratory Cell and Molecular Biology","id":"ITEM-5","issue":"5","issued":{"date-parts":[["2019"]]},"page":"515-522","title":"Alternative Oxidase Attenuates Cigarette Smoke–induced Lung Dysfunction and Tissue Damage","type":"article-journal","volume":"60"},"uris":["http://www.mendeley.com/documents/?uuid=db9c879b-fe95-4273-a90e-f0fabf0deb6d"]}],"mendeley":{"formattedCitation":"&lt;sup&gt;24, 25, 30–32&lt;/sup&gt;","plainTextFormattedCitation":"24, 25, 30–32","previouslyFormattedCitation":"&lt;sup&gt;26, 27, 32–34&lt;/sup&gt;"},"properties":{"noteIndex":0},"schema":"https://github.com/citation-style-language/schema/raw/master/csl-citation.json"}</w:instrText>
      </w:r>
      <w:r w:rsidR="00E026B5" w:rsidRPr="003435B5">
        <w:fldChar w:fldCharType="separate"/>
      </w:r>
      <w:r w:rsidR="00D158C9" w:rsidRPr="003435B5">
        <w:rPr>
          <w:noProof/>
          <w:vertAlign w:val="superscript"/>
        </w:rPr>
        <w:t>24, 25, 30–32</w:t>
      </w:r>
      <w:r w:rsidR="00E026B5" w:rsidRPr="003435B5">
        <w:fldChar w:fldCharType="end"/>
      </w:r>
      <w:r w:rsidRPr="003435B5">
        <w:t xml:space="preserve">. The fact that AOX expression changes larval behavior and mitochondrial function justifies more in-depth studies of this enzyme’s roles </w:t>
      </w:r>
      <w:r w:rsidR="004F3206" w:rsidRPr="003435B5">
        <w:t>i</w:t>
      </w:r>
      <w:r w:rsidRPr="003435B5">
        <w:t>n the metabolism and physiology of metazoan cells and tissues</w:t>
      </w:r>
      <w:r w:rsidR="00B1597B" w:rsidRPr="003435B5">
        <w:fldChar w:fldCharType="begin" w:fldLock="1"/>
      </w:r>
      <w:r w:rsidR="00D158C9" w:rsidRPr="003435B5">
        <w:instrText>ADDIN CSL_CITATION {"citationItems":[{"id":"ITEM-1","itemData":{"DOI":"10.1002/cbin.10943","PMID":"29384231","author":[{"dropping-particle":"","family":"Camargo","given":"A F","non-dropping-particle":"","parse-names":false,"suffix":""},{"dropping-particle":"","family":"Chioda","given":"M M","non-dropping-particle":"","parse-names":false,"suffix":""},{"dropping-particle":"","family":"Rodrigues","given":"A P C","non-dropping-particle":"","parse-names":false,"suffix":""},{"dropping-particle":"","family":"Garcia","given":"G S","non-dropping-particle":"","parse-names":false,"suffix":""},{"dropping-particle":"","family":"McKinney","given":"E A","non-dropping-particle":"","parse-names":false,"suffix":""},{"dropping-particle":"","family":"Jacobs","given":"H T","non-dropping-particle":"","parse-names":false,"suffix":""},{"dropping-particle":"","family":"Oliveira","given":"M T","non-dropping-particle":"","parse-names":false,"suffix":""}],"container-title":"Cell biology international","id":"ITEM-1","issue":"6","issued":{"date-parts":[["2018","2"]]},"page":"664-669","title":"Xenotopic expression of alternative electron transport enzymes in animal mitochondria and their impact in health and disease.","type":"article-journal","volume":"42"},"uris":["http://www.mendeley.com/documents/?uuid=e694d6be-aa62-3daa-9c97-69fd288c19f4"]},{"id":"ITEM-2","itemData":{"DOI":"10.1016/j.bbadis.2018.10.012","ISSN":"1879260X","abstract":"The alternative respiratory chain (aRC), comprising the alternative NADH dehydrogenases (NDX) and quinone oxidases (AOX), is found in microbes, fungi and plants, where it buffers stresses arising from restrictions on electron flow in the oxidative phosphorylation system. The aRC enzymes are also found in species belonging to most metazoan phyla, including some chordates and arthropods species, although not in vertebrates or in Drosophila. We postulated that the aRC enzymes might be deployed to alleviate pathological stresses arising from mitochondrial dysfunction in a wide variety of disease states. However, before such therapies can be contemplated, it is essential to understand the effects of aRC enzymes on cell metabolism and organismal physiology. Here we report and discuss new findings that shed light on the functions of the aRC enzymes in animals, and the unexpected benefits and detriments that they confer on model organisms. In Ciona intestinalis, the aRC is induced by hypoxia and by sulfide, but is unresponsive to other environmental stressors. When expressed in Drosophila, AOX results in impaired survival under restricted nutrition, in addition to the previously reported male reproductive anomalies. In contrast, it confers cold resistance to developing and adult flies, and counteracts cell signaling defects that underlie developmental dysmorphologies. The aRC enzymes may also influence lifespan and stress resistance more generally, by eliciting or interfering with hormetic mechanisms. In sum, their judicious use may lead to major benefits in medicine, but this will require a thorough characterization of their properties and physiological effects.","author":[{"dropping-particle":"","family":"Saari","given":"Sina","non-dropping-particle":"","parse-names":false,"suffix":""},{"dropping-particle":"","family":"Garcia","given":"Geovana S.","non-dropping-particle":"","parse-names":false,"suffix":""},{"dropping-particle":"","family":"Bremer","given":"Katharina","non-dropping-particle":"","parse-names":false,"suffix":""},{"dropping-particle":"","family":"Chioda","given":"Marina M.","non-dropping-particle":"","parse-names":false,"suffix":""},{"dropping-particle":"","family":"Andjelković","given":"Ana","non-dropping-particle":"","parse-names":false,"suffix":""},{"dropping-particle":"V.","family":"Debes","given":"Paul","non-dropping-particle":"","parse-names":false,"suffix":""},{"dropping-particle":"","family":"Nikinmaa","given":"Mikko","non-dropping-particle":"","parse-names":false,"suffix":""},{"dropping-particle":"","family":"Szibor","given":"Marten","non-dropping-particle":"","parse-names":false,"suffix":""},{"dropping-particle":"","family":"Dufour","given":"Eric","non-dropping-particle":"","parse-names":false,"suffix":""},{"dropping-particle":"","family":"Rustin","given":"Pierre","non-dropping-particle":"","parse-names":false,"suffix":""},{"dropping-particle":"","family":"Oliveira","given":"Marcos T.","non-dropping-particle":"","parse-names":false,"suffix":""},{"dropping-particle":"","family":"Jacobs","given":"Howard T.","non-dropping-particle":"","parse-names":false,"suffix":""}],"container-title":"Biochimica et Biophysica Acta - Molecular Basis of Disease","id":"ITEM-2","issue":"4","issued":{"date-parts":[["2019"]]},"page":"854-866","title":"Alternative respiratory chain enzymes: Therapeutic potential and possible pitfalls","type":"article-journal","volume":"1865"},"uris":["http://www.mendeley.com/documents/?uuid=51dfdcc6-b76f-4871-b3be-3b0903aa441d"]}],"mendeley":{"formattedCitation":"&lt;sup&gt;33, 34&lt;/sup&gt;","plainTextFormattedCitation":"33, 34","previouslyFormattedCitation":"&lt;sup&gt;35, 36&lt;/sup&gt;"},"properties":{"noteIndex":0},"schema":"https://github.com/citation-style-language/schema/raw/master/csl-citation.json"}</w:instrText>
      </w:r>
      <w:r w:rsidR="00B1597B" w:rsidRPr="003435B5">
        <w:fldChar w:fldCharType="separate"/>
      </w:r>
      <w:r w:rsidR="00D158C9" w:rsidRPr="003435B5">
        <w:rPr>
          <w:noProof/>
          <w:vertAlign w:val="superscript"/>
        </w:rPr>
        <w:t>33, 34</w:t>
      </w:r>
      <w:r w:rsidR="00B1597B" w:rsidRPr="003435B5">
        <w:fldChar w:fldCharType="end"/>
      </w:r>
      <w:r w:rsidRPr="003435B5">
        <w:t>.</w:t>
      </w:r>
    </w:p>
    <w:p w14:paraId="03D93E65" w14:textId="77777777" w:rsidR="002F39AA" w:rsidRPr="003435B5" w:rsidRDefault="002F39AA" w:rsidP="003435B5">
      <w:pPr>
        <w:contextualSpacing/>
      </w:pPr>
    </w:p>
    <w:p w14:paraId="2B0F8B83" w14:textId="415ED4EA" w:rsidR="003435B5" w:rsidRPr="003435B5" w:rsidRDefault="00F352DD" w:rsidP="003435B5">
      <w:pPr>
        <w:contextualSpacing/>
        <w:rPr>
          <w:rFonts w:asciiTheme="majorHAnsi" w:eastAsiaTheme="minorHAnsi" w:hAnsiTheme="majorHAnsi" w:cstheme="majorHAnsi"/>
          <w:b/>
          <w:bCs/>
          <w:highlight w:val="yellow"/>
        </w:rPr>
      </w:pPr>
      <w:r w:rsidRPr="003435B5">
        <w:t xml:space="preserve">We hope that with this article we can help raise awareness within the scientific community of developing countries such as Brazil that using the excellent genetic toolset that </w:t>
      </w:r>
      <w:r w:rsidRPr="003435B5">
        <w:rPr>
          <w:i/>
          <w:iCs/>
        </w:rPr>
        <w:t>D. melanogaster</w:t>
      </w:r>
      <w:r w:rsidRPr="003435B5">
        <w:t xml:space="preserve"> presents, in combination with efficient and affordable homemade apparatuses for behavioral analyses, can generate relatively fast basic research data on interesting </w:t>
      </w:r>
      <w:r w:rsidRPr="003435B5">
        <w:rPr>
          <w:rFonts w:asciiTheme="majorHAnsi" w:eastAsia="Times New Roman" w:hAnsiTheme="majorHAnsi" w:cstheme="majorHAnsi"/>
          <w:shd w:val="clear" w:color="auto" w:fill="FFFFFF"/>
        </w:rPr>
        <w:t xml:space="preserve">biological processes </w:t>
      </w:r>
      <w:r w:rsidRPr="003435B5">
        <w:t xml:space="preserve">with significant </w:t>
      </w:r>
      <w:r w:rsidRPr="003435B5">
        <w:rPr>
          <w:rFonts w:asciiTheme="majorHAnsi" w:eastAsia="Times New Roman" w:hAnsiTheme="majorHAnsi" w:cstheme="majorHAnsi"/>
          <w:shd w:val="clear" w:color="auto" w:fill="FFFFFF"/>
        </w:rPr>
        <w:t xml:space="preserve">translational impact, </w:t>
      </w:r>
      <w:r w:rsidRPr="003435B5">
        <w:t xml:space="preserve">supporting future therapeutic studies in clinical research. </w:t>
      </w:r>
      <w:r w:rsidRPr="003435B5">
        <w:rPr>
          <w:rFonts w:asciiTheme="majorHAnsi" w:eastAsia="Times New Roman" w:hAnsiTheme="majorHAnsi" w:cstheme="majorHAnsi"/>
          <w:shd w:val="clear" w:color="auto" w:fill="FFFFFF"/>
        </w:rPr>
        <w:t xml:space="preserve">Developing such communal ideals would greatly benefit </w:t>
      </w:r>
      <w:proofErr w:type="spellStart"/>
      <w:r w:rsidRPr="003435B5">
        <w:rPr>
          <w:rFonts w:asciiTheme="majorHAnsi" w:eastAsia="Times New Roman" w:hAnsiTheme="majorHAnsi" w:cstheme="majorHAnsi"/>
          <w:shd w:val="clear" w:color="auto" w:fill="FFFFFF"/>
        </w:rPr>
        <w:t>Drosophilists</w:t>
      </w:r>
      <w:proofErr w:type="spellEnd"/>
      <w:r w:rsidRPr="003435B5">
        <w:rPr>
          <w:rFonts w:asciiTheme="majorHAnsi" w:eastAsia="Times New Roman" w:hAnsiTheme="majorHAnsi" w:cstheme="majorHAnsi"/>
          <w:shd w:val="clear" w:color="auto" w:fill="FFFFFF"/>
        </w:rPr>
        <w:t xml:space="preserve">, medical researchers, and </w:t>
      </w:r>
      <w:r w:rsidRPr="003435B5">
        <w:rPr>
          <w:rFonts w:asciiTheme="majorHAnsi" w:eastAsia="Times New Roman" w:hAnsiTheme="majorHAnsi" w:cstheme="majorHAnsi"/>
          <w:shd w:val="clear" w:color="auto" w:fill="FFFFFF"/>
        </w:rPr>
        <w:lastRenderedPageBreak/>
        <w:t xml:space="preserve">the biological and biomedical sciences. </w:t>
      </w:r>
      <w:r w:rsidR="003435B5" w:rsidRPr="003435B5">
        <w:rPr>
          <w:rFonts w:asciiTheme="majorHAnsi" w:eastAsia="Times New Roman" w:hAnsiTheme="majorHAnsi" w:cstheme="majorHAnsi"/>
          <w:shd w:val="clear" w:color="auto" w:fill="FFFFFF"/>
        </w:rPr>
        <w:t>M</w:t>
      </w:r>
      <w:r w:rsidRPr="003435B5">
        <w:rPr>
          <w:rFonts w:asciiTheme="majorHAnsi" w:eastAsia="Times New Roman" w:hAnsiTheme="majorHAnsi" w:cstheme="majorHAnsi"/>
          <w:shd w:val="clear" w:color="auto" w:fill="FFFFFF"/>
        </w:rPr>
        <w:t xml:space="preserve">ost importantly, it would benefit society in general, </w:t>
      </w:r>
      <w:r w:rsidR="004F3206" w:rsidRPr="003435B5">
        <w:rPr>
          <w:rFonts w:asciiTheme="majorHAnsi" w:eastAsia="Times New Roman" w:hAnsiTheme="majorHAnsi" w:cstheme="majorHAnsi"/>
          <w:shd w:val="clear" w:color="auto" w:fill="FFFFFF"/>
        </w:rPr>
        <w:t>as public funding could be applied more translationally to understand and treat human diseases</w:t>
      </w:r>
      <w:r w:rsidRPr="003435B5">
        <w:rPr>
          <w:rFonts w:asciiTheme="majorHAnsi" w:eastAsia="Times New Roman" w:hAnsiTheme="majorHAnsi" w:cstheme="majorHAnsi"/>
          <w:shd w:val="clear" w:color="auto" w:fill="FFFFFF"/>
        </w:rPr>
        <w:t>.</w:t>
      </w:r>
      <w:r w:rsidR="003435B5" w:rsidRPr="003435B5">
        <w:rPr>
          <w:rFonts w:asciiTheme="majorHAnsi" w:eastAsiaTheme="minorHAnsi" w:hAnsiTheme="majorHAnsi" w:cstheme="majorHAnsi"/>
          <w:highlight w:val="yellow"/>
        </w:rPr>
        <w:t xml:space="preserve"> </w:t>
      </w:r>
      <w:r w:rsidR="003435B5" w:rsidRPr="003435B5">
        <w:rPr>
          <w:rFonts w:asciiTheme="majorHAnsi" w:eastAsiaTheme="minorHAnsi" w:hAnsiTheme="majorHAnsi" w:cstheme="majorHAnsi"/>
        </w:rPr>
        <w:t xml:space="preserve">The protocols we provide here for 3D printing the apparatuses for a </w:t>
      </w:r>
      <w:proofErr w:type="spellStart"/>
      <w:r w:rsidR="003435B5" w:rsidRPr="003435B5">
        <w:rPr>
          <w:rFonts w:asciiTheme="majorHAnsi" w:eastAsiaTheme="minorHAnsi" w:hAnsiTheme="majorHAnsi" w:cstheme="majorHAnsi"/>
        </w:rPr>
        <w:t>flylab</w:t>
      </w:r>
      <w:proofErr w:type="spellEnd"/>
      <w:r w:rsidR="003435B5" w:rsidRPr="003435B5">
        <w:rPr>
          <w:rFonts w:asciiTheme="majorHAnsi" w:eastAsiaTheme="minorHAnsi" w:hAnsiTheme="majorHAnsi" w:cstheme="majorHAnsi"/>
        </w:rPr>
        <w:t xml:space="preserve"> were designed for use with the </w:t>
      </w:r>
      <w:r w:rsidR="003435B5" w:rsidRPr="003435B5">
        <w:rPr>
          <w:rFonts w:asciiTheme="majorHAnsi" w:hAnsiTheme="majorHAnsi" w:cstheme="majorHAnsi"/>
        </w:rPr>
        <w:t>RepRap 3D printer,</w:t>
      </w:r>
      <w:r w:rsidR="003435B5" w:rsidRPr="003435B5">
        <w:rPr>
          <w:rFonts w:asciiTheme="majorHAnsi" w:eastAsiaTheme="minorHAnsi" w:hAnsiTheme="majorHAnsi" w:cstheme="majorHAnsi"/>
        </w:rPr>
        <w:t xml:space="preserve"> </w:t>
      </w:r>
      <w:r w:rsidR="003435B5" w:rsidRPr="003435B5">
        <w:rPr>
          <w:rFonts w:asciiTheme="majorHAnsi" w:hAnsiTheme="majorHAnsi" w:cstheme="majorHAnsi"/>
        </w:rPr>
        <w:t xml:space="preserve">based on the </w:t>
      </w:r>
      <w:proofErr w:type="spellStart"/>
      <w:r w:rsidR="003435B5" w:rsidRPr="003435B5">
        <w:rPr>
          <w:rFonts w:asciiTheme="majorHAnsi" w:hAnsiTheme="majorHAnsi" w:cstheme="majorHAnsi"/>
        </w:rPr>
        <w:t>Prusa</w:t>
      </w:r>
      <w:proofErr w:type="spellEnd"/>
      <w:r w:rsidR="003435B5" w:rsidRPr="003435B5">
        <w:rPr>
          <w:rFonts w:asciiTheme="majorHAnsi" w:hAnsiTheme="majorHAnsi" w:cstheme="majorHAnsi"/>
        </w:rPr>
        <w:t xml:space="preserve"> I3 DIY model available at </w:t>
      </w:r>
      <w:r w:rsidR="003435B5" w:rsidRPr="003435B5">
        <w:rPr>
          <w:rFonts w:asciiTheme="majorHAnsi" w:hAnsiTheme="majorHAnsi" w:cstheme="majorHAnsi"/>
        </w:rPr>
        <w:fldChar w:fldCharType="begin" w:fldLock="1"/>
      </w:r>
      <w:r w:rsidR="003435B5" w:rsidRPr="003435B5">
        <w:rPr>
          <w:rFonts w:asciiTheme="majorHAnsi" w:hAnsiTheme="majorHAnsi" w:cstheme="majorHAnsi"/>
        </w:rPr>
        <w:instrText>ADDIN CSL_CITATION {"citationItems":[{"id":"ITEM-1","itemData":{"URL":"https://www.instructables.com/Building-a-Prusa-I3-3D-Printer-Revisited/","accessed":{"date-parts":[["2021","7","6"]]},"id":"ITEM-1","issued":{"date-parts":[["0"]]},"title":"Building a Prusa I3 3D Printer - Revisited : 22 Steps (with Pictures) - Instructables","type":"webpage"},"uris":["http://www.mendeley.com/documents/?uuid=0d0067c1-b4fe-3255-9993-090890f25417"]}],"mendeley":{"formattedCitation":"&lt;sup&gt;35&lt;/sup&gt;","plainTextFormattedCitation":"35","previouslyFormattedCitation":"&lt;sup&gt;37&lt;/sup&gt;"},"properties":{"noteIndex":0},"schema":"https://github.com/citation-style-language/schema/raw/master/csl-citation.json"}</w:instrText>
      </w:r>
      <w:r w:rsidR="003435B5" w:rsidRPr="003435B5">
        <w:rPr>
          <w:rFonts w:asciiTheme="majorHAnsi" w:hAnsiTheme="majorHAnsi" w:cstheme="majorHAnsi"/>
        </w:rPr>
        <w:fldChar w:fldCharType="separate"/>
      </w:r>
      <w:r w:rsidR="003435B5" w:rsidRPr="003435B5">
        <w:rPr>
          <w:rFonts w:asciiTheme="majorHAnsi" w:hAnsiTheme="majorHAnsi" w:cstheme="majorHAnsi"/>
          <w:noProof/>
          <w:vertAlign w:val="superscript"/>
        </w:rPr>
        <w:t>35</w:t>
      </w:r>
      <w:r w:rsidR="003435B5" w:rsidRPr="003435B5">
        <w:rPr>
          <w:rFonts w:asciiTheme="majorHAnsi" w:hAnsiTheme="majorHAnsi" w:cstheme="majorHAnsi"/>
        </w:rPr>
        <w:fldChar w:fldCharType="end"/>
      </w:r>
      <w:r w:rsidR="003435B5" w:rsidRPr="003435B5">
        <w:rPr>
          <w:rFonts w:asciiTheme="majorHAnsi" w:hAnsiTheme="majorHAnsi" w:cstheme="majorHAnsi"/>
        </w:rPr>
        <w:t xml:space="preserve">. </w:t>
      </w:r>
      <w:r w:rsidR="003435B5" w:rsidRPr="003435B5">
        <w:rPr>
          <w:rFonts w:asciiTheme="majorHAnsi" w:eastAsiaTheme="minorHAnsi" w:hAnsiTheme="majorHAnsi" w:cstheme="majorHAnsi"/>
        </w:rPr>
        <w:t xml:space="preserve">We use the </w:t>
      </w:r>
      <w:r w:rsidR="003435B5" w:rsidRPr="003435B5">
        <w:rPr>
          <w:rFonts w:asciiTheme="majorHAnsi" w:hAnsiTheme="majorHAnsi" w:cstheme="majorHAnsi"/>
        </w:rPr>
        <w:t>1</w:t>
      </w:r>
      <w:r w:rsidR="003435B5" w:rsidRPr="003435B5">
        <w:rPr>
          <w:rFonts w:asciiTheme="majorHAnsi" w:eastAsiaTheme="minorHAnsi" w:hAnsiTheme="majorHAnsi" w:cstheme="majorHAnsi"/>
        </w:rPr>
        <w:t>.</w:t>
      </w:r>
      <w:r w:rsidR="003435B5" w:rsidRPr="003435B5">
        <w:rPr>
          <w:rFonts w:asciiTheme="majorHAnsi" w:hAnsiTheme="majorHAnsi" w:cstheme="majorHAnsi"/>
        </w:rPr>
        <w:t>75</w:t>
      </w:r>
      <w:r w:rsidR="003435B5" w:rsidRPr="003435B5">
        <w:rPr>
          <w:rFonts w:asciiTheme="majorHAnsi" w:eastAsiaTheme="minorHAnsi" w:hAnsiTheme="majorHAnsi" w:cstheme="majorHAnsi"/>
        </w:rPr>
        <w:t xml:space="preserve">-mm </w:t>
      </w:r>
      <w:r w:rsidR="003435B5" w:rsidRPr="003435B5">
        <w:rPr>
          <w:rFonts w:asciiTheme="majorHAnsi" w:hAnsiTheme="majorHAnsi" w:cstheme="majorHAnsi"/>
        </w:rPr>
        <w:t xml:space="preserve">white polylactic acid (PLA) filament </w:t>
      </w:r>
      <w:r w:rsidR="003435B5" w:rsidRPr="003435B5">
        <w:rPr>
          <w:rFonts w:asciiTheme="majorHAnsi" w:eastAsiaTheme="minorHAnsi" w:hAnsiTheme="majorHAnsi" w:cstheme="majorHAnsi"/>
        </w:rPr>
        <w:t>(</w:t>
      </w:r>
      <w:r w:rsidR="003435B5" w:rsidRPr="003435B5">
        <w:rPr>
          <w:rFonts w:asciiTheme="majorHAnsi" w:hAnsiTheme="majorHAnsi" w:cstheme="majorHAnsi"/>
        </w:rPr>
        <w:t>SUNLU</w:t>
      </w:r>
      <w:r w:rsidR="003435B5" w:rsidRPr="003435B5">
        <w:rPr>
          <w:rFonts w:asciiTheme="majorHAnsi" w:eastAsiaTheme="minorHAnsi" w:hAnsiTheme="majorHAnsi" w:cstheme="majorHAnsi"/>
        </w:rPr>
        <w:t xml:space="preserve">) as raw material for printing, </w:t>
      </w:r>
      <w:r w:rsidR="003435B5" w:rsidRPr="003435B5">
        <w:rPr>
          <w:rFonts w:asciiTheme="majorHAnsi" w:hAnsiTheme="majorHAnsi" w:cstheme="majorHAnsi"/>
        </w:rPr>
        <w:t xml:space="preserve">the </w:t>
      </w:r>
      <w:proofErr w:type="spellStart"/>
      <w:r w:rsidR="003435B5" w:rsidRPr="003435B5">
        <w:rPr>
          <w:rFonts w:asciiTheme="majorHAnsi" w:hAnsiTheme="majorHAnsi" w:cstheme="majorHAnsi"/>
        </w:rPr>
        <w:t>Tinkercad</w:t>
      </w:r>
      <w:proofErr w:type="spellEnd"/>
      <w:r w:rsidR="003435B5" w:rsidRPr="003435B5">
        <w:rPr>
          <w:rFonts w:asciiTheme="majorHAnsi" w:hAnsiTheme="majorHAnsi" w:cstheme="majorHAnsi"/>
        </w:rPr>
        <w:t xml:space="preserve"> platform</w:t>
      </w:r>
      <w:r w:rsidR="003435B5" w:rsidRPr="003435B5">
        <w:rPr>
          <w:rFonts w:asciiTheme="majorHAnsi" w:hAnsiTheme="majorHAnsi" w:cstheme="majorHAnsi"/>
        </w:rPr>
        <w:fldChar w:fldCharType="begin" w:fldLock="1"/>
      </w:r>
      <w:r w:rsidR="003435B5" w:rsidRPr="003435B5">
        <w:rPr>
          <w:rFonts w:asciiTheme="majorHAnsi" w:hAnsiTheme="majorHAnsi" w:cstheme="majorHAnsi"/>
        </w:rPr>
        <w:instrText>ADDIN CSL_CITATION {"citationItems":[{"id":"ITEM-1","itemData":{"URL":"https://www.tinkercad.com/","accessed":{"date-parts":[["2021","7","6"]]},"id":"ITEM-1","issued":{"date-parts":[["0"]]},"title":"Tinkercad | Crie projetos digitais 3D com CAD on-line | Tinkercad","type":"webpage"},"uris":["http://www.mendeley.com/documents/?uuid=6b2cd6dd-3e6c-3bdf-a470-26984b8ae432"]}],"mendeley":{"formattedCitation":"&lt;sup&gt;36&lt;/sup&gt;","plainTextFormattedCitation":"36","previouslyFormattedCitation":"&lt;sup&gt;38&lt;/sup&gt;"},"properties":{"noteIndex":0},"schema":"https://github.com/citation-style-language/schema/raw/master/csl-citation.json"}</w:instrText>
      </w:r>
      <w:r w:rsidR="003435B5" w:rsidRPr="003435B5">
        <w:rPr>
          <w:rFonts w:asciiTheme="majorHAnsi" w:hAnsiTheme="majorHAnsi" w:cstheme="majorHAnsi"/>
        </w:rPr>
        <w:fldChar w:fldCharType="separate"/>
      </w:r>
      <w:r w:rsidR="003435B5" w:rsidRPr="003435B5">
        <w:rPr>
          <w:rFonts w:asciiTheme="majorHAnsi" w:hAnsiTheme="majorHAnsi" w:cstheme="majorHAnsi"/>
          <w:noProof/>
          <w:vertAlign w:val="superscript"/>
        </w:rPr>
        <w:t>36</w:t>
      </w:r>
      <w:r w:rsidR="003435B5" w:rsidRPr="003435B5">
        <w:rPr>
          <w:rFonts w:asciiTheme="majorHAnsi" w:hAnsiTheme="majorHAnsi" w:cstheme="majorHAnsi"/>
        </w:rPr>
        <w:fldChar w:fldCharType="end"/>
      </w:r>
      <w:r w:rsidR="003435B5" w:rsidRPr="003435B5">
        <w:rPr>
          <w:rFonts w:asciiTheme="majorHAnsi" w:hAnsiTheme="majorHAnsi" w:cstheme="majorHAnsi"/>
        </w:rPr>
        <w:t xml:space="preserve"> for model design, </w:t>
      </w:r>
      <w:r w:rsidR="003435B5" w:rsidRPr="003435B5">
        <w:rPr>
          <w:rFonts w:asciiTheme="majorHAnsi" w:eastAsiaTheme="minorHAnsi" w:hAnsiTheme="majorHAnsi" w:cstheme="majorHAnsi"/>
        </w:rPr>
        <w:t xml:space="preserve">and the </w:t>
      </w:r>
      <w:proofErr w:type="spellStart"/>
      <w:r w:rsidR="003435B5" w:rsidRPr="003435B5">
        <w:rPr>
          <w:rFonts w:asciiTheme="majorHAnsi" w:hAnsiTheme="majorHAnsi" w:cstheme="majorHAnsi"/>
        </w:rPr>
        <w:t>Repetier</w:t>
      </w:r>
      <w:proofErr w:type="spellEnd"/>
      <w:r w:rsidR="003435B5" w:rsidRPr="003435B5">
        <w:rPr>
          <w:rFonts w:asciiTheme="majorHAnsi" w:hAnsiTheme="majorHAnsi" w:cstheme="majorHAnsi"/>
        </w:rPr>
        <w:t>-Host software</w:t>
      </w:r>
      <w:r w:rsidR="003435B5" w:rsidRPr="003435B5">
        <w:rPr>
          <w:rFonts w:asciiTheme="majorHAnsi" w:hAnsiTheme="majorHAnsi" w:cstheme="majorHAnsi"/>
        </w:rPr>
        <w:fldChar w:fldCharType="begin" w:fldLock="1"/>
      </w:r>
      <w:r w:rsidR="003435B5" w:rsidRPr="003435B5">
        <w:rPr>
          <w:rFonts w:asciiTheme="majorHAnsi" w:hAnsiTheme="majorHAnsi" w:cstheme="majorHAnsi"/>
        </w:rPr>
        <w:instrText>ADDIN CSL_CITATION {"citationItems":[{"id":"ITEM-1","itemData":{"URL":"https://www.repetier.com/","accessed":{"date-parts":[["2021","7","6"]]},"id":"ITEM-1","issued":{"date-parts":[["0"]]},"title":"- Repetier Software","type":"webpage"},"uris":["http://www.mendeley.com/documents/?uuid=d197203c-69ae-3545-9e9a-fd0185ca7cdd"]}],"mendeley":{"formattedCitation":"&lt;sup&gt;37&lt;/sup&gt;","plainTextFormattedCitation":"37","previouslyFormattedCitation":"&lt;sup&gt;39&lt;/sup&gt;"},"properties":{"noteIndex":0},"schema":"https://github.com/citation-style-language/schema/raw/master/csl-citation.json"}</w:instrText>
      </w:r>
      <w:r w:rsidR="003435B5" w:rsidRPr="003435B5">
        <w:rPr>
          <w:rFonts w:asciiTheme="majorHAnsi" w:hAnsiTheme="majorHAnsi" w:cstheme="majorHAnsi"/>
        </w:rPr>
        <w:fldChar w:fldCharType="separate"/>
      </w:r>
      <w:r w:rsidR="003435B5" w:rsidRPr="003435B5">
        <w:rPr>
          <w:rFonts w:asciiTheme="majorHAnsi" w:hAnsiTheme="majorHAnsi" w:cstheme="majorHAnsi"/>
          <w:noProof/>
          <w:vertAlign w:val="superscript"/>
        </w:rPr>
        <w:t>37</w:t>
      </w:r>
      <w:r w:rsidR="003435B5" w:rsidRPr="003435B5">
        <w:rPr>
          <w:rFonts w:asciiTheme="majorHAnsi" w:hAnsiTheme="majorHAnsi" w:cstheme="majorHAnsi"/>
        </w:rPr>
        <w:fldChar w:fldCharType="end"/>
      </w:r>
      <w:r w:rsidR="003435B5" w:rsidRPr="003435B5">
        <w:rPr>
          <w:rFonts w:asciiTheme="majorHAnsi" w:hAnsiTheme="majorHAnsi" w:cstheme="majorHAnsi"/>
        </w:rPr>
        <w:t xml:space="preserve"> </w:t>
      </w:r>
      <w:r w:rsidR="003435B5" w:rsidRPr="003435B5">
        <w:rPr>
          <w:rFonts w:asciiTheme="majorHAnsi" w:eastAsiaTheme="minorHAnsi" w:hAnsiTheme="majorHAnsi" w:cstheme="majorHAnsi"/>
        </w:rPr>
        <w:t>for STL to G-Code conversion, a necessary step to provide coordinates to the printer.</w:t>
      </w:r>
      <w:r w:rsidR="003435B5" w:rsidRPr="003435B5">
        <w:t xml:space="preserve"> Further optimization of the protocols is required should the reader want to use alternative equipment, </w:t>
      </w:r>
      <w:proofErr w:type="gramStart"/>
      <w:r w:rsidR="003435B5" w:rsidRPr="003435B5">
        <w:t>materials</w:t>
      </w:r>
      <w:proofErr w:type="gramEnd"/>
      <w:r w:rsidR="003435B5" w:rsidRPr="003435B5">
        <w:t xml:space="preserve"> and software.</w:t>
      </w:r>
    </w:p>
    <w:p w14:paraId="3C426833" w14:textId="77777777" w:rsidR="002F39AA" w:rsidRPr="003435B5" w:rsidRDefault="002F39AA" w:rsidP="003435B5">
      <w:pPr>
        <w:contextualSpacing/>
        <w:rPr>
          <w:b/>
        </w:rPr>
      </w:pPr>
    </w:p>
    <w:p w14:paraId="32A92E82" w14:textId="7121E45B" w:rsidR="006E4797" w:rsidRPr="003435B5" w:rsidRDefault="00551D82" w:rsidP="003435B5">
      <w:pPr>
        <w:contextualSpacing/>
      </w:pPr>
      <w:r w:rsidRPr="003435B5">
        <w:rPr>
          <w:rFonts w:asciiTheme="majorHAnsi" w:hAnsiTheme="majorHAnsi" w:cstheme="majorHAnsi"/>
          <w:b/>
        </w:rPr>
        <w:t>PROTOCOL</w:t>
      </w:r>
      <w:r w:rsidR="007F10F0" w:rsidRPr="003435B5">
        <w:rPr>
          <w:rFonts w:asciiTheme="majorHAnsi" w:hAnsiTheme="majorHAnsi" w:cstheme="majorHAnsi"/>
          <w:b/>
        </w:rPr>
        <w:t>S</w:t>
      </w:r>
      <w:r w:rsidRPr="003435B5">
        <w:rPr>
          <w:rFonts w:asciiTheme="majorHAnsi" w:hAnsiTheme="majorHAnsi" w:cstheme="majorHAnsi"/>
          <w:b/>
        </w:rPr>
        <w:t>:</w:t>
      </w:r>
    </w:p>
    <w:p w14:paraId="038A8F80" w14:textId="4D8BFF8D" w:rsidR="0086754E" w:rsidRPr="003435B5" w:rsidRDefault="0086754E" w:rsidP="003435B5">
      <w:pPr>
        <w:pBdr>
          <w:top w:val="nil"/>
          <w:left w:val="nil"/>
          <w:bottom w:val="nil"/>
          <w:right w:val="nil"/>
          <w:between w:val="nil"/>
        </w:pBdr>
        <w:contextualSpacing/>
        <w:rPr>
          <w:rFonts w:asciiTheme="majorHAnsi" w:hAnsiTheme="majorHAnsi" w:cstheme="majorHAnsi"/>
        </w:rPr>
      </w:pPr>
    </w:p>
    <w:p w14:paraId="213ABA42" w14:textId="3089ED2B" w:rsidR="00524B9E" w:rsidRPr="003435B5" w:rsidRDefault="008B5901" w:rsidP="003435B5">
      <w:pPr>
        <w:pStyle w:val="ListParagraph"/>
        <w:numPr>
          <w:ilvl w:val="0"/>
          <w:numId w:val="13"/>
        </w:numPr>
        <w:spacing w:after="0" w:line="240" w:lineRule="auto"/>
        <w:ind w:left="0" w:firstLine="0"/>
        <w:rPr>
          <w:rFonts w:asciiTheme="majorHAnsi" w:hAnsiTheme="majorHAnsi" w:cstheme="majorHAnsi"/>
          <w:b/>
          <w:bCs/>
          <w:sz w:val="24"/>
          <w:szCs w:val="24"/>
          <w:highlight w:val="yellow"/>
        </w:rPr>
      </w:pPr>
      <w:r w:rsidRPr="003435B5">
        <w:rPr>
          <w:rFonts w:asciiTheme="majorHAnsi" w:hAnsiTheme="majorHAnsi" w:cstheme="majorHAnsi"/>
          <w:b/>
          <w:bCs/>
          <w:sz w:val="24"/>
          <w:szCs w:val="24"/>
          <w:highlight w:val="yellow"/>
        </w:rPr>
        <w:t>3D m</w:t>
      </w:r>
      <w:r w:rsidR="00524B9E" w:rsidRPr="003435B5">
        <w:rPr>
          <w:rFonts w:asciiTheme="majorHAnsi" w:hAnsiTheme="majorHAnsi" w:cstheme="majorHAnsi"/>
          <w:b/>
          <w:bCs/>
          <w:sz w:val="24"/>
          <w:szCs w:val="24"/>
          <w:highlight w:val="yellow"/>
        </w:rPr>
        <w:t>odel design</w:t>
      </w:r>
    </w:p>
    <w:p w14:paraId="650839DC" w14:textId="77777777" w:rsidR="00524B9E" w:rsidRPr="003435B5" w:rsidRDefault="00524B9E" w:rsidP="003435B5">
      <w:pPr>
        <w:contextualSpacing/>
        <w:rPr>
          <w:rFonts w:asciiTheme="majorHAnsi" w:hAnsiTheme="majorHAnsi" w:cstheme="majorHAnsi"/>
          <w:highlight w:val="yellow"/>
        </w:rPr>
      </w:pPr>
    </w:p>
    <w:p w14:paraId="1C9D4746" w14:textId="100AAC9F" w:rsidR="00524B9E" w:rsidRPr="003435B5" w:rsidRDefault="003435B5" w:rsidP="003435B5">
      <w:pPr>
        <w:contextualSpacing/>
        <w:rPr>
          <w:rFonts w:asciiTheme="majorHAnsi" w:hAnsiTheme="majorHAnsi" w:cstheme="majorHAnsi"/>
        </w:rPr>
      </w:pPr>
      <w:r w:rsidRPr="003435B5">
        <w:rPr>
          <w:rFonts w:asciiTheme="majorHAnsi" w:hAnsiTheme="majorHAnsi" w:cstheme="majorHAnsi"/>
        </w:rPr>
        <w:t xml:space="preserve">NOTE: </w:t>
      </w:r>
      <w:r w:rsidR="00524B9E" w:rsidRPr="003435B5">
        <w:rPr>
          <w:rFonts w:asciiTheme="majorHAnsi" w:hAnsiTheme="majorHAnsi" w:cstheme="majorHAnsi"/>
        </w:rPr>
        <w:t xml:space="preserve">The workflow for </w:t>
      </w:r>
      <w:r w:rsidR="00626A10" w:rsidRPr="003435B5">
        <w:rPr>
          <w:rFonts w:asciiTheme="majorHAnsi" w:hAnsiTheme="majorHAnsi" w:cstheme="majorHAnsi"/>
        </w:rPr>
        <w:t xml:space="preserve">3D </w:t>
      </w:r>
      <w:r w:rsidR="00524B9E" w:rsidRPr="003435B5">
        <w:rPr>
          <w:rFonts w:asciiTheme="majorHAnsi" w:hAnsiTheme="majorHAnsi" w:cstheme="majorHAnsi"/>
        </w:rPr>
        <w:t xml:space="preserve">printing </w:t>
      </w:r>
      <w:r w:rsidR="00626A10" w:rsidRPr="003435B5">
        <w:rPr>
          <w:rFonts w:asciiTheme="majorHAnsi" w:hAnsiTheme="majorHAnsi" w:cstheme="majorHAnsi"/>
        </w:rPr>
        <w:t>has</w:t>
      </w:r>
      <w:r w:rsidR="00524B9E" w:rsidRPr="003435B5">
        <w:rPr>
          <w:rFonts w:asciiTheme="majorHAnsi" w:hAnsiTheme="majorHAnsi" w:cstheme="majorHAnsi"/>
        </w:rPr>
        <w:t xml:space="preserve"> three </w:t>
      </w:r>
      <w:r w:rsidR="00626A10" w:rsidRPr="003435B5">
        <w:rPr>
          <w:rFonts w:asciiTheme="majorHAnsi" w:hAnsiTheme="majorHAnsi" w:cstheme="majorHAnsi"/>
        </w:rPr>
        <w:t xml:space="preserve">basic </w:t>
      </w:r>
      <w:r w:rsidR="00524B9E" w:rsidRPr="003435B5">
        <w:rPr>
          <w:rFonts w:asciiTheme="majorHAnsi" w:hAnsiTheme="majorHAnsi" w:cstheme="majorHAnsi"/>
        </w:rPr>
        <w:t xml:space="preserve">steps: (1) </w:t>
      </w:r>
      <w:r w:rsidR="00D42283" w:rsidRPr="003435B5">
        <w:rPr>
          <w:rFonts w:asciiTheme="majorHAnsi" w:hAnsiTheme="majorHAnsi" w:cstheme="majorHAnsi"/>
        </w:rPr>
        <w:t>3D modeling</w:t>
      </w:r>
      <w:r w:rsidR="00524B9E" w:rsidRPr="003435B5">
        <w:rPr>
          <w:rFonts w:asciiTheme="majorHAnsi" w:hAnsiTheme="majorHAnsi" w:cstheme="majorHAnsi"/>
        </w:rPr>
        <w:t>; (2) importing the model into</w:t>
      </w:r>
      <w:r w:rsidR="00D42283" w:rsidRPr="003435B5">
        <w:rPr>
          <w:rFonts w:asciiTheme="majorHAnsi" w:hAnsiTheme="majorHAnsi" w:cstheme="majorHAnsi"/>
        </w:rPr>
        <w:t xml:space="preserve"> the</w:t>
      </w:r>
      <w:r w:rsidR="00524B9E" w:rsidRPr="003435B5">
        <w:rPr>
          <w:rFonts w:asciiTheme="majorHAnsi" w:hAnsiTheme="majorHAnsi" w:cstheme="majorHAnsi"/>
        </w:rPr>
        <w:t xml:space="preserve"> slicing software; </w:t>
      </w:r>
      <w:r w:rsidR="001F3F88" w:rsidRPr="003435B5">
        <w:rPr>
          <w:rFonts w:asciiTheme="majorHAnsi" w:hAnsiTheme="majorHAnsi" w:cstheme="majorHAnsi"/>
        </w:rPr>
        <w:t xml:space="preserve">and </w:t>
      </w:r>
      <w:r w:rsidR="00524B9E" w:rsidRPr="003435B5">
        <w:rPr>
          <w:rFonts w:asciiTheme="majorHAnsi" w:hAnsiTheme="majorHAnsi" w:cstheme="majorHAnsi"/>
        </w:rPr>
        <w:t>(3) select</w:t>
      </w:r>
      <w:r w:rsidR="00D42283" w:rsidRPr="003435B5">
        <w:rPr>
          <w:rFonts w:asciiTheme="majorHAnsi" w:hAnsiTheme="majorHAnsi" w:cstheme="majorHAnsi"/>
        </w:rPr>
        <w:t>ing</w:t>
      </w:r>
      <w:r w:rsidR="00524B9E" w:rsidRPr="003435B5">
        <w:rPr>
          <w:rFonts w:asciiTheme="majorHAnsi" w:hAnsiTheme="majorHAnsi" w:cstheme="majorHAnsi"/>
        </w:rPr>
        <w:t xml:space="preserve"> the correct filament</w:t>
      </w:r>
      <w:r w:rsidR="00532A40" w:rsidRPr="003435B5">
        <w:rPr>
          <w:rFonts w:asciiTheme="majorHAnsi" w:hAnsiTheme="majorHAnsi" w:cstheme="majorHAnsi"/>
        </w:rPr>
        <w:t>,</w:t>
      </w:r>
      <w:r w:rsidR="00524B9E" w:rsidRPr="003435B5">
        <w:rPr>
          <w:rFonts w:asciiTheme="majorHAnsi" w:hAnsiTheme="majorHAnsi" w:cstheme="majorHAnsi"/>
        </w:rPr>
        <w:t xml:space="preserve"> configur</w:t>
      </w:r>
      <w:r w:rsidR="00D42283" w:rsidRPr="003435B5">
        <w:rPr>
          <w:rFonts w:asciiTheme="majorHAnsi" w:hAnsiTheme="majorHAnsi" w:cstheme="majorHAnsi"/>
        </w:rPr>
        <w:t>ing the</w:t>
      </w:r>
      <w:r w:rsidR="00524B9E" w:rsidRPr="003435B5">
        <w:rPr>
          <w:rFonts w:asciiTheme="majorHAnsi" w:hAnsiTheme="majorHAnsi" w:cstheme="majorHAnsi"/>
        </w:rPr>
        <w:t xml:space="preserve"> printer</w:t>
      </w:r>
      <w:r w:rsidR="00532A40" w:rsidRPr="003435B5">
        <w:rPr>
          <w:rFonts w:asciiTheme="majorHAnsi" w:hAnsiTheme="majorHAnsi" w:cstheme="majorHAnsi"/>
        </w:rPr>
        <w:t>, and finally</w:t>
      </w:r>
      <w:r w:rsidR="009C70A3" w:rsidRPr="003435B5">
        <w:rPr>
          <w:rFonts w:asciiTheme="majorHAnsi" w:hAnsiTheme="majorHAnsi" w:cstheme="majorHAnsi"/>
        </w:rPr>
        <w:t>,</w:t>
      </w:r>
      <w:r w:rsidR="00FC452B" w:rsidRPr="003435B5">
        <w:rPr>
          <w:rFonts w:asciiTheme="majorHAnsi" w:hAnsiTheme="majorHAnsi" w:cstheme="majorHAnsi"/>
        </w:rPr>
        <w:t xml:space="preserve"> printing</w:t>
      </w:r>
      <w:r w:rsidR="00524B9E" w:rsidRPr="003435B5">
        <w:rPr>
          <w:rFonts w:asciiTheme="majorHAnsi" w:hAnsiTheme="majorHAnsi" w:cstheme="majorHAnsi"/>
        </w:rPr>
        <w:t>.</w:t>
      </w:r>
      <w:r w:rsidR="00D42283" w:rsidRPr="003435B5">
        <w:rPr>
          <w:rFonts w:asciiTheme="majorHAnsi" w:hAnsiTheme="majorHAnsi" w:cstheme="majorHAnsi"/>
        </w:rPr>
        <w:t xml:space="preserve"> </w:t>
      </w:r>
      <w:r w:rsidR="00FC452B" w:rsidRPr="003435B5">
        <w:rPr>
          <w:rFonts w:asciiTheme="majorHAnsi" w:hAnsiTheme="majorHAnsi" w:cstheme="majorHAnsi"/>
        </w:rPr>
        <w:t>A basic protocol for</w:t>
      </w:r>
      <w:r w:rsidR="00524B9E" w:rsidRPr="003435B5">
        <w:rPr>
          <w:rFonts w:asciiTheme="majorHAnsi" w:hAnsiTheme="majorHAnsi" w:cstheme="majorHAnsi"/>
        </w:rPr>
        <w:t xml:space="preserve"> modeling</w:t>
      </w:r>
      <w:r w:rsidR="0039302F" w:rsidRPr="003435B5">
        <w:rPr>
          <w:rFonts w:asciiTheme="majorHAnsi" w:hAnsiTheme="majorHAnsi" w:cstheme="majorHAnsi"/>
        </w:rPr>
        <w:t xml:space="preserve"> a </w:t>
      </w:r>
      <w:r w:rsidR="00DC3763" w:rsidRPr="003435B5">
        <w:rPr>
          <w:rFonts w:asciiTheme="majorHAnsi" w:hAnsiTheme="majorHAnsi" w:cstheme="majorHAnsi"/>
        </w:rPr>
        <w:t xml:space="preserve">small </w:t>
      </w:r>
      <w:r w:rsidR="0039302F" w:rsidRPr="003435B5">
        <w:rPr>
          <w:rFonts w:asciiTheme="majorHAnsi" w:hAnsiTheme="majorHAnsi" w:cstheme="majorHAnsi"/>
        </w:rPr>
        <w:t>fly vial rack</w:t>
      </w:r>
      <w:r w:rsidR="005009AB" w:rsidRPr="003435B5">
        <w:rPr>
          <w:rFonts w:asciiTheme="majorHAnsi" w:hAnsiTheme="majorHAnsi" w:cstheme="majorHAnsi"/>
        </w:rPr>
        <w:t>/tray</w:t>
      </w:r>
      <w:r w:rsidR="00524B9E" w:rsidRPr="003435B5">
        <w:rPr>
          <w:rFonts w:asciiTheme="majorHAnsi" w:hAnsiTheme="majorHAnsi" w:cstheme="majorHAnsi"/>
        </w:rPr>
        <w:t xml:space="preserve"> </w:t>
      </w:r>
      <w:r w:rsidR="0039302F" w:rsidRPr="003435B5">
        <w:rPr>
          <w:rFonts w:asciiTheme="majorHAnsi" w:hAnsiTheme="majorHAnsi" w:cstheme="majorHAnsi"/>
        </w:rPr>
        <w:t>is shown below</w:t>
      </w:r>
      <w:r w:rsidR="00276A67" w:rsidRPr="003435B5">
        <w:rPr>
          <w:rFonts w:asciiTheme="majorHAnsi" w:hAnsiTheme="majorHAnsi" w:cstheme="majorHAnsi"/>
        </w:rPr>
        <w:t xml:space="preserve">; this rack is to be used with standard fly vials, which have approximately 2.5 cm </w:t>
      </w:r>
      <w:r w:rsidR="00A269DD" w:rsidRPr="003435B5">
        <w:rPr>
          <w:rFonts w:asciiTheme="majorHAnsi" w:hAnsiTheme="majorHAnsi" w:cstheme="majorHAnsi"/>
        </w:rPr>
        <w:t xml:space="preserve">in </w:t>
      </w:r>
      <w:r w:rsidR="00276A67" w:rsidRPr="003435B5">
        <w:rPr>
          <w:rFonts w:asciiTheme="majorHAnsi" w:hAnsiTheme="majorHAnsi" w:cstheme="majorHAnsi"/>
        </w:rPr>
        <w:t xml:space="preserve">diameter and 9.8 cm </w:t>
      </w:r>
      <w:r w:rsidR="00A269DD" w:rsidRPr="003435B5">
        <w:rPr>
          <w:rFonts w:asciiTheme="majorHAnsi" w:hAnsiTheme="majorHAnsi" w:cstheme="majorHAnsi"/>
        </w:rPr>
        <w:t xml:space="preserve">in </w:t>
      </w:r>
      <w:r w:rsidR="00276A67" w:rsidRPr="003435B5">
        <w:rPr>
          <w:rFonts w:asciiTheme="majorHAnsi" w:hAnsiTheme="majorHAnsi" w:cstheme="majorHAnsi"/>
        </w:rPr>
        <w:t>height</w:t>
      </w:r>
      <w:r w:rsidR="00524B9E" w:rsidRPr="003435B5">
        <w:rPr>
          <w:rFonts w:asciiTheme="majorHAnsi" w:hAnsiTheme="majorHAnsi" w:cstheme="majorHAnsi"/>
        </w:rPr>
        <w:t xml:space="preserve">. </w:t>
      </w:r>
      <w:r w:rsidR="000E0B1C" w:rsidRPr="003435B5">
        <w:rPr>
          <w:rFonts w:asciiTheme="majorHAnsi" w:hAnsiTheme="majorHAnsi" w:cstheme="majorHAnsi"/>
        </w:rPr>
        <w:t>For new model designs, t</w:t>
      </w:r>
      <w:r w:rsidR="00D9240F" w:rsidRPr="003435B5">
        <w:rPr>
          <w:rFonts w:asciiTheme="majorHAnsi" w:hAnsiTheme="majorHAnsi" w:cstheme="majorHAnsi"/>
        </w:rPr>
        <w:t xml:space="preserve">he tools provided by the </w:t>
      </w:r>
      <w:proofErr w:type="spellStart"/>
      <w:r w:rsidR="00D9240F" w:rsidRPr="003435B5">
        <w:rPr>
          <w:rFonts w:asciiTheme="majorHAnsi" w:hAnsiTheme="majorHAnsi" w:cstheme="majorHAnsi"/>
        </w:rPr>
        <w:t>Tinker</w:t>
      </w:r>
      <w:r w:rsidR="00951669" w:rsidRPr="003435B5">
        <w:rPr>
          <w:rFonts w:asciiTheme="majorHAnsi" w:hAnsiTheme="majorHAnsi" w:cstheme="majorHAnsi"/>
        </w:rPr>
        <w:t>c</w:t>
      </w:r>
      <w:r w:rsidR="00D9240F" w:rsidRPr="003435B5">
        <w:rPr>
          <w:rFonts w:asciiTheme="majorHAnsi" w:hAnsiTheme="majorHAnsi" w:cstheme="majorHAnsi"/>
        </w:rPr>
        <w:t>ad</w:t>
      </w:r>
      <w:proofErr w:type="spellEnd"/>
      <w:r w:rsidR="00D9240F" w:rsidRPr="003435B5">
        <w:rPr>
          <w:rFonts w:asciiTheme="majorHAnsi" w:hAnsiTheme="majorHAnsi" w:cstheme="majorHAnsi"/>
        </w:rPr>
        <w:t xml:space="preserve"> software allow the easy handling of three-dimensional structures</w:t>
      </w:r>
      <w:r w:rsidR="00524B9E" w:rsidRPr="003435B5">
        <w:rPr>
          <w:rFonts w:asciiTheme="majorHAnsi" w:hAnsiTheme="majorHAnsi" w:cstheme="majorHAnsi"/>
        </w:rPr>
        <w:t xml:space="preserve">, </w:t>
      </w:r>
      <w:r w:rsidR="000E0B1C" w:rsidRPr="003435B5">
        <w:rPr>
          <w:rFonts w:asciiTheme="majorHAnsi" w:hAnsiTheme="majorHAnsi" w:cstheme="majorHAnsi"/>
        </w:rPr>
        <w:t>by creating</w:t>
      </w:r>
      <w:r w:rsidR="00524B9E" w:rsidRPr="003435B5">
        <w:rPr>
          <w:rFonts w:asciiTheme="majorHAnsi" w:hAnsiTheme="majorHAnsi" w:cstheme="majorHAnsi"/>
        </w:rPr>
        <w:t xml:space="preserve"> </w:t>
      </w:r>
      <w:r w:rsidR="000E0B1C" w:rsidRPr="003435B5">
        <w:rPr>
          <w:rFonts w:asciiTheme="majorHAnsi" w:hAnsiTheme="majorHAnsi" w:cstheme="majorHAnsi"/>
        </w:rPr>
        <w:t xml:space="preserve">pieces of different </w:t>
      </w:r>
      <w:r w:rsidR="00524B9E" w:rsidRPr="003435B5">
        <w:rPr>
          <w:rFonts w:asciiTheme="majorHAnsi" w:hAnsiTheme="majorHAnsi" w:cstheme="majorHAnsi"/>
        </w:rPr>
        <w:t>shape</w:t>
      </w:r>
      <w:r w:rsidR="000E0B1C" w:rsidRPr="003435B5">
        <w:rPr>
          <w:rFonts w:asciiTheme="majorHAnsi" w:hAnsiTheme="majorHAnsi" w:cstheme="majorHAnsi"/>
        </w:rPr>
        <w:t xml:space="preserve">s, </w:t>
      </w:r>
      <w:proofErr w:type="gramStart"/>
      <w:r w:rsidR="00524B9E" w:rsidRPr="003435B5">
        <w:rPr>
          <w:rFonts w:asciiTheme="majorHAnsi" w:hAnsiTheme="majorHAnsi" w:cstheme="majorHAnsi"/>
        </w:rPr>
        <w:t>size</w:t>
      </w:r>
      <w:r w:rsidR="000E0B1C" w:rsidRPr="003435B5">
        <w:rPr>
          <w:rFonts w:asciiTheme="majorHAnsi" w:hAnsiTheme="majorHAnsi" w:cstheme="majorHAnsi"/>
        </w:rPr>
        <w:t>s</w:t>
      </w:r>
      <w:proofErr w:type="gramEnd"/>
      <w:r w:rsidR="00524B9E" w:rsidRPr="003435B5">
        <w:rPr>
          <w:rFonts w:asciiTheme="majorHAnsi" w:hAnsiTheme="majorHAnsi" w:cstheme="majorHAnsi"/>
        </w:rPr>
        <w:t xml:space="preserve"> and thickness</w:t>
      </w:r>
      <w:r w:rsidR="00D9240F" w:rsidRPr="003435B5">
        <w:rPr>
          <w:rFonts w:asciiTheme="majorHAnsi" w:hAnsiTheme="majorHAnsi" w:cstheme="majorHAnsi"/>
        </w:rPr>
        <w:t>,</w:t>
      </w:r>
      <w:r w:rsidR="00524B9E" w:rsidRPr="003435B5">
        <w:rPr>
          <w:rFonts w:asciiTheme="majorHAnsi" w:hAnsiTheme="majorHAnsi" w:cstheme="majorHAnsi"/>
        </w:rPr>
        <w:t xml:space="preserve"> according to </w:t>
      </w:r>
      <w:r w:rsidR="00D9240F" w:rsidRPr="003435B5">
        <w:rPr>
          <w:rFonts w:asciiTheme="majorHAnsi" w:hAnsiTheme="majorHAnsi" w:cstheme="majorHAnsi"/>
        </w:rPr>
        <w:t>one’s own</w:t>
      </w:r>
      <w:r w:rsidR="00524B9E" w:rsidRPr="003435B5">
        <w:rPr>
          <w:rFonts w:asciiTheme="majorHAnsi" w:hAnsiTheme="majorHAnsi" w:cstheme="majorHAnsi"/>
        </w:rPr>
        <w:t xml:space="preserve"> need</w:t>
      </w:r>
      <w:r w:rsidR="00F13F01" w:rsidRPr="003435B5">
        <w:rPr>
          <w:rFonts w:asciiTheme="majorHAnsi" w:hAnsiTheme="majorHAnsi" w:cstheme="majorHAnsi"/>
        </w:rPr>
        <w:t>s</w:t>
      </w:r>
      <w:r w:rsidR="00524B9E" w:rsidRPr="003435B5">
        <w:rPr>
          <w:rFonts w:asciiTheme="majorHAnsi" w:hAnsiTheme="majorHAnsi" w:cstheme="majorHAnsi"/>
        </w:rPr>
        <w:t xml:space="preserve">. </w:t>
      </w:r>
      <w:r w:rsidR="00057303" w:rsidRPr="003435B5">
        <w:rPr>
          <w:rFonts w:asciiTheme="majorHAnsi" w:hAnsiTheme="majorHAnsi" w:cstheme="majorHAnsi"/>
        </w:rPr>
        <w:t xml:space="preserve">For </w:t>
      </w:r>
      <w:proofErr w:type="spellStart"/>
      <w:r w:rsidR="00057303" w:rsidRPr="003435B5">
        <w:rPr>
          <w:rFonts w:asciiTheme="majorHAnsi" w:hAnsiTheme="majorHAnsi" w:cstheme="majorHAnsi"/>
        </w:rPr>
        <w:t>Drosophilists</w:t>
      </w:r>
      <w:proofErr w:type="spellEnd"/>
      <w:r w:rsidR="00057303" w:rsidRPr="003435B5">
        <w:rPr>
          <w:rFonts w:asciiTheme="majorHAnsi" w:hAnsiTheme="majorHAnsi" w:cstheme="majorHAnsi"/>
        </w:rPr>
        <w:t xml:space="preserve"> venturing for the first time </w:t>
      </w:r>
      <w:r w:rsidR="00FA6866" w:rsidRPr="003435B5">
        <w:rPr>
          <w:rFonts w:asciiTheme="majorHAnsi" w:hAnsiTheme="majorHAnsi" w:cstheme="majorHAnsi"/>
        </w:rPr>
        <w:t xml:space="preserve">into </w:t>
      </w:r>
      <w:r w:rsidR="00057303" w:rsidRPr="003435B5">
        <w:rPr>
          <w:rFonts w:asciiTheme="majorHAnsi" w:hAnsiTheme="majorHAnsi" w:cstheme="majorHAnsi"/>
        </w:rPr>
        <w:t xml:space="preserve">the realm of 3D printing, following the protocols below, even with all their details, may </w:t>
      </w:r>
      <w:r w:rsidR="001F3F88" w:rsidRPr="003435B5">
        <w:rPr>
          <w:rFonts w:asciiTheme="majorHAnsi" w:hAnsiTheme="majorHAnsi" w:cstheme="majorHAnsi"/>
        </w:rPr>
        <w:t xml:space="preserve">still </w:t>
      </w:r>
      <w:r w:rsidR="00057303" w:rsidRPr="003435B5">
        <w:rPr>
          <w:rFonts w:asciiTheme="majorHAnsi" w:hAnsiTheme="majorHAnsi" w:cstheme="majorHAnsi"/>
        </w:rPr>
        <w:t>be challenging, so w</w:t>
      </w:r>
      <w:r w:rsidR="008F29DF" w:rsidRPr="003435B5">
        <w:rPr>
          <w:rFonts w:asciiTheme="majorHAnsi" w:hAnsiTheme="majorHAnsi" w:cstheme="majorHAnsi"/>
        </w:rPr>
        <w:t xml:space="preserve">e </w:t>
      </w:r>
      <w:r w:rsidR="00057303" w:rsidRPr="003435B5">
        <w:rPr>
          <w:rFonts w:asciiTheme="majorHAnsi" w:hAnsiTheme="majorHAnsi" w:cstheme="majorHAnsi"/>
        </w:rPr>
        <w:t xml:space="preserve">strongly </w:t>
      </w:r>
      <w:r w:rsidR="008F29DF" w:rsidRPr="003435B5">
        <w:rPr>
          <w:rFonts w:asciiTheme="majorHAnsi" w:hAnsiTheme="majorHAnsi" w:cstheme="majorHAnsi"/>
        </w:rPr>
        <w:t xml:space="preserve">recommend </w:t>
      </w:r>
      <w:r w:rsidR="009C70A3" w:rsidRPr="003435B5">
        <w:rPr>
          <w:rFonts w:asciiTheme="majorHAnsi" w:hAnsiTheme="majorHAnsi" w:cstheme="majorHAnsi"/>
        </w:rPr>
        <w:t>becom</w:t>
      </w:r>
      <w:r w:rsidR="001F3F88" w:rsidRPr="003435B5">
        <w:rPr>
          <w:rFonts w:asciiTheme="majorHAnsi" w:hAnsiTheme="majorHAnsi" w:cstheme="majorHAnsi"/>
        </w:rPr>
        <w:t>ing</w:t>
      </w:r>
      <w:r w:rsidR="008F29DF" w:rsidRPr="003435B5">
        <w:rPr>
          <w:rFonts w:asciiTheme="majorHAnsi" w:hAnsiTheme="majorHAnsi" w:cstheme="majorHAnsi"/>
        </w:rPr>
        <w:t xml:space="preserve"> acquainted with the software for best results.</w:t>
      </w:r>
    </w:p>
    <w:p w14:paraId="58C41036" w14:textId="1076B30E" w:rsidR="00524B9E" w:rsidRPr="003435B5" w:rsidRDefault="00524B9E" w:rsidP="003435B5">
      <w:pPr>
        <w:contextualSpacing/>
        <w:rPr>
          <w:rFonts w:asciiTheme="majorHAnsi" w:hAnsiTheme="majorHAnsi" w:cstheme="majorHAnsi"/>
          <w:highlight w:val="yellow"/>
        </w:rPr>
      </w:pPr>
    </w:p>
    <w:p w14:paraId="2CCF4E15" w14:textId="004E007B" w:rsidR="00524B9E" w:rsidRPr="003435B5" w:rsidRDefault="002E0573" w:rsidP="003435B5">
      <w:pPr>
        <w:pStyle w:val="ListParagraph"/>
        <w:numPr>
          <w:ilvl w:val="1"/>
          <w:numId w:val="13"/>
        </w:numPr>
        <w:spacing w:after="0" w:line="240" w:lineRule="auto"/>
        <w:ind w:left="0" w:firstLine="0"/>
        <w:rPr>
          <w:rFonts w:asciiTheme="majorHAnsi" w:hAnsiTheme="majorHAnsi" w:cstheme="majorHAnsi"/>
          <w:sz w:val="24"/>
          <w:szCs w:val="24"/>
          <w:highlight w:val="yellow"/>
        </w:rPr>
      </w:pPr>
      <w:r w:rsidRPr="003435B5">
        <w:rPr>
          <w:rFonts w:asciiTheme="majorHAnsi" w:hAnsiTheme="majorHAnsi" w:cstheme="majorHAnsi"/>
          <w:sz w:val="24"/>
          <w:szCs w:val="24"/>
          <w:highlight w:val="yellow"/>
        </w:rPr>
        <w:t>Sign in to Tinker</w:t>
      </w:r>
      <w:r w:rsidR="00D31C61" w:rsidRPr="003435B5">
        <w:rPr>
          <w:rFonts w:asciiTheme="majorHAnsi" w:hAnsiTheme="majorHAnsi" w:cstheme="majorHAnsi"/>
          <w:sz w:val="24"/>
          <w:szCs w:val="24"/>
          <w:highlight w:val="yellow"/>
        </w:rPr>
        <w:t>c</w:t>
      </w:r>
      <w:r w:rsidRPr="003435B5">
        <w:rPr>
          <w:rFonts w:asciiTheme="majorHAnsi" w:hAnsiTheme="majorHAnsi" w:cstheme="majorHAnsi"/>
          <w:sz w:val="24"/>
          <w:szCs w:val="24"/>
          <w:highlight w:val="yellow"/>
        </w:rPr>
        <w:t>ad online</w:t>
      </w:r>
      <w:r w:rsidR="00D63E3C" w:rsidRPr="003435B5">
        <w:rPr>
          <w:rFonts w:asciiTheme="majorHAnsi" w:hAnsiTheme="majorHAnsi" w:cstheme="majorHAnsi"/>
          <w:sz w:val="24"/>
          <w:szCs w:val="24"/>
          <w:highlight w:val="yellow"/>
        </w:rPr>
        <w:fldChar w:fldCharType="begin" w:fldLock="1"/>
      </w:r>
      <w:r w:rsidR="00D158C9" w:rsidRPr="003435B5">
        <w:rPr>
          <w:rFonts w:asciiTheme="majorHAnsi" w:hAnsiTheme="majorHAnsi" w:cstheme="majorHAnsi"/>
          <w:sz w:val="24"/>
          <w:szCs w:val="24"/>
          <w:highlight w:val="yellow"/>
        </w:rPr>
        <w:instrText>ADDIN CSL_CITATION {"citationItems":[{"id":"ITEM-1","itemData":{"URL":"https://www.tinkercad.com/login","accessed":{"date-parts":[["2021","7","6"]]},"id":"ITEM-1","issued":{"date-parts":[["0"]]},"title":"Login | Tinkercad","type":"webpage"},"uris":["http://www.mendeley.com/documents/?uuid=2aebb1e7-f372-3a80-b7bf-03e5093d78f7"]}],"mendeley":{"formattedCitation":"&lt;sup&gt;38&lt;/sup&gt;","plainTextFormattedCitation":"38","previouslyFormattedCitation":"&lt;sup&gt;40&lt;/sup&gt;"},"properties":{"noteIndex":0},"schema":"https://github.com/citation-style-language/schema/raw/master/csl-citation.json"}</w:instrText>
      </w:r>
      <w:r w:rsidR="00D63E3C" w:rsidRPr="003435B5">
        <w:rPr>
          <w:rFonts w:asciiTheme="majorHAnsi" w:hAnsiTheme="majorHAnsi" w:cstheme="majorHAnsi"/>
          <w:sz w:val="24"/>
          <w:szCs w:val="24"/>
          <w:highlight w:val="yellow"/>
        </w:rPr>
        <w:fldChar w:fldCharType="separate"/>
      </w:r>
      <w:r w:rsidR="00D158C9" w:rsidRPr="003435B5">
        <w:rPr>
          <w:rFonts w:asciiTheme="majorHAnsi" w:hAnsiTheme="majorHAnsi" w:cstheme="majorHAnsi"/>
          <w:noProof/>
          <w:sz w:val="24"/>
          <w:szCs w:val="24"/>
          <w:highlight w:val="yellow"/>
          <w:vertAlign w:val="superscript"/>
        </w:rPr>
        <w:t>38</w:t>
      </w:r>
      <w:r w:rsidR="00D63E3C" w:rsidRPr="003435B5">
        <w:rPr>
          <w:rFonts w:asciiTheme="majorHAnsi" w:hAnsiTheme="majorHAnsi" w:cstheme="majorHAnsi"/>
          <w:sz w:val="24"/>
          <w:szCs w:val="24"/>
          <w:highlight w:val="yellow"/>
        </w:rPr>
        <w:fldChar w:fldCharType="end"/>
      </w:r>
      <w:r w:rsidRPr="003435B5">
        <w:rPr>
          <w:rFonts w:asciiTheme="majorHAnsi" w:hAnsiTheme="majorHAnsi" w:cstheme="majorHAnsi"/>
          <w:sz w:val="24"/>
          <w:szCs w:val="24"/>
          <w:highlight w:val="yellow"/>
        </w:rPr>
        <w:t xml:space="preserve"> (</w:t>
      </w:r>
      <w:r w:rsidRPr="003435B5">
        <w:rPr>
          <w:rFonts w:asciiTheme="majorHAnsi" w:hAnsiTheme="majorHAnsi" w:cstheme="majorHAnsi"/>
          <w:b/>
          <w:bCs/>
          <w:sz w:val="24"/>
          <w:szCs w:val="24"/>
          <w:highlight w:val="yellow"/>
        </w:rPr>
        <w:t>Figure 1A</w:t>
      </w:r>
      <w:r w:rsidRPr="003435B5">
        <w:rPr>
          <w:rFonts w:asciiTheme="majorHAnsi" w:hAnsiTheme="majorHAnsi" w:cstheme="majorHAnsi"/>
          <w:sz w:val="24"/>
          <w:szCs w:val="24"/>
          <w:highlight w:val="yellow"/>
        </w:rPr>
        <w:t>).</w:t>
      </w:r>
      <w:r w:rsidR="00524B9E" w:rsidRPr="003435B5">
        <w:rPr>
          <w:rFonts w:asciiTheme="majorHAnsi" w:hAnsiTheme="majorHAnsi" w:cstheme="majorHAnsi"/>
          <w:sz w:val="24"/>
          <w:szCs w:val="24"/>
          <w:highlight w:val="yellow"/>
        </w:rPr>
        <w:t xml:space="preserve"> </w:t>
      </w:r>
      <w:r w:rsidRPr="003435B5">
        <w:rPr>
          <w:rFonts w:asciiTheme="majorHAnsi" w:hAnsiTheme="majorHAnsi" w:cstheme="majorHAnsi"/>
          <w:sz w:val="24"/>
          <w:szCs w:val="24"/>
          <w:highlight w:val="yellow"/>
        </w:rPr>
        <w:t>Prior</w:t>
      </w:r>
      <w:r w:rsidR="00524B9E" w:rsidRPr="003435B5">
        <w:rPr>
          <w:rFonts w:asciiTheme="majorHAnsi" w:hAnsiTheme="majorHAnsi" w:cstheme="majorHAnsi"/>
          <w:sz w:val="24"/>
          <w:szCs w:val="24"/>
          <w:highlight w:val="yellow"/>
        </w:rPr>
        <w:t xml:space="preserve"> registration</w:t>
      </w:r>
      <w:r w:rsidR="00F13F01" w:rsidRPr="003435B5">
        <w:rPr>
          <w:rFonts w:asciiTheme="majorHAnsi" w:hAnsiTheme="majorHAnsi" w:cstheme="majorHAnsi"/>
          <w:sz w:val="24"/>
          <w:szCs w:val="24"/>
          <w:highlight w:val="yellow"/>
        </w:rPr>
        <w:t xml:space="preserve"> with personal information</w:t>
      </w:r>
      <w:r w:rsidR="00524B9E" w:rsidRPr="003435B5">
        <w:rPr>
          <w:rFonts w:asciiTheme="majorHAnsi" w:hAnsiTheme="majorHAnsi" w:cstheme="majorHAnsi"/>
          <w:sz w:val="24"/>
          <w:szCs w:val="24"/>
          <w:highlight w:val="yellow"/>
        </w:rPr>
        <w:t xml:space="preserve"> </w:t>
      </w:r>
      <w:r w:rsidRPr="003435B5">
        <w:rPr>
          <w:rFonts w:asciiTheme="majorHAnsi" w:hAnsiTheme="majorHAnsi" w:cstheme="majorHAnsi"/>
          <w:sz w:val="24"/>
          <w:szCs w:val="24"/>
          <w:highlight w:val="yellow"/>
        </w:rPr>
        <w:t>is required to access</w:t>
      </w:r>
      <w:r w:rsidR="00524B9E" w:rsidRPr="003435B5">
        <w:rPr>
          <w:rFonts w:asciiTheme="majorHAnsi" w:hAnsiTheme="majorHAnsi" w:cstheme="majorHAnsi"/>
          <w:sz w:val="24"/>
          <w:szCs w:val="24"/>
          <w:highlight w:val="yellow"/>
        </w:rPr>
        <w:t xml:space="preserve"> the platform</w:t>
      </w:r>
      <w:r w:rsidR="00BD0CF6" w:rsidRPr="003435B5">
        <w:rPr>
          <w:rFonts w:asciiTheme="majorHAnsi" w:hAnsiTheme="majorHAnsi" w:cstheme="majorHAnsi"/>
          <w:sz w:val="24"/>
          <w:szCs w:val="24"/>
          <w:highlight w:val="yellow"/>
        </w:rPr>
        <w:t>,</w:t>
      </w:r>
      <w:r w:rsidR="00A269DD" w:rsidRPr="003435B5">
        <w:rPr>
          <w:rFonts w:asciiTheme="majorHAnsi" w:hAnsiTheme="majorHAnsi" w:cstheme="majorHAnsi"/>
          <w:sz w:val="24"/>
          <w:szCs w:val="24"/>
          <w:highlight w:val="yellow"/>
        </w:rPr>
        <w:t xml:space="preserve"> free of charge</w:t>
      </w:r>
      <w:r w:rsidR="00524B9E" w:rsidRPr="003435B5">
        <w:rPr>
          <w:rFonts w:asciiTheme="majorHAnsi" w:hAnsiTheme="majorHAnsi" w:cstheme="majorHAnsi"/>
          <w:sz w:val="24"/>
          <w:szCs w:val="24"/>
          <w:highlight w:val="yellow"/>
        </w:rPr>
        <w:t>.</w:t>
      </w:r>
    </w:p>
    <w:p w14:paraId="00DEDA14" w14:textId="77777777" w:rsidR="003435B5" w:rsidRPr="003435B5" w:rsidRDefault="003435B5" w:rsidP="003435B5">
      <w:pPr>
        <w:pStyle w:val="ListParagraph"/>
        <w:spacing w:after="0" w:line="240" w:lineRule="auto"/>
        <w:ind w:left="0"/>
        <w:rPr>
          <w:rFonts w:asciiTheme="majorHAnsi" w:hAnsiTheme="majorHAnsi" w:cstheme="majorHAnsi"/>
          <w:sz w:val="24"/>
          <w:szCs w:val="24"/>
          <w:highlight w:val="yellow"/>
        </w:rPr>
      </w:pPr>
    </w:p>
    <w:p w14:paraId="2F396D87" w14:textId="4FA069E7" w:rsidR="0072711F" w:rsidRPr="003435B5" w:rsidRDefault="002E0573" w:rsidP="003435B5">
      <w:pPr>
        <w:pStyle w:val="ListParagraph"/>
        <w:numPr>
          <w:ilvl w:val="1"/>
          <w:numId w:val="13"/>
        </w:numPr>
        <w:spacing w:after="0" w:line="240" w:lineRule="auto"/>
        <w:ind w:left="0" w:firstLine="0"/>
        <w:rPr>
          <w:rFonts w:asciiTheme="majorHAnsi" w:hAnsiTheme="majorHAnsi" w:cstheme="majorHAnsi"/>
          <w:sz w:val="24"/>
          <w:szCs w:val="24"/>
          <w:highlight w:val="yellow"/>
        </w:rPr>
      </w:pPr>
      <w:r w:rsidRPr="003435B5">
        <w:rPr>
          <w:rFonts w:asciiTheme="majorHAnsi" w:hAnsiTheme="majorHAnsi" w:cstheme="majorHAnsi"/>
          <w:sz w:val="24"/>
          <w:szCs w:val="24"/>
          <w:highlight w:val="yellow"/>
        </w:rPr>
        <w:t>C</w:t>
      </w:r>
      <w:r w:rsidR="00524B9E" w:rsidRPr="003435B5">
        <w:rPr>
          <w:rFonts w:asciiTheme="majorHAnsi" w:hAnsiTheme="majorHAnsi" w:cstheme="majorHAnsi"/>
          <w:sz w:val="24"/>
          <w:szCs w:val="24"/>
          <w:highlight w:val="yellow"/>
        </w:rPr>
        <w:t xml:space="preserve">lick on </w:t>
      </w:r>
      <w:r w:rsidR="00524B9E" w:rsidRPr="003435B5">
        <w:rPr>
          <w:rFonts w:asciiTheme="majorHAnsi" w:hAnsiTheme="majorHAnsi" w:cstheme="majorHAnsi"/>
          <w:b/>
          <w:bCs/>
          <w:sz w:val="24"/>
          <w:szCs w:val="24"/>
          <w:highlight w:val="yellow"/>
        </w:rPr>
        <w:t>Create a new Project</w:t>
      </w:r>
      <w:r w:rsidR="00524B9E" w:rsidRPr="003435B5">
        <w:rPr>
          <w:rFonts w:asciiTheme="majorHAnsi" w:hAnsiTheme="majorHAnsi" w:cstheme="majorHAnsi"/>
          <w:sz w:val="24"/>
          <w:szCs w:val="24"/>
          <w:highlight w:val="yellow"/>
        </w:rPr>
        <w:t xml:space="preserve"> to begin </w:t>
      </w:r>
      <w:r w:rsidRPr="003435B5">
        <w:rPr>
          <w:rFonts w:asciiTheme="majorHAnsi" w:hAnsiTheme="majorHAnsi" w:cstheme="majorHAnsi"/>
          <w:sz w:val="24"/>
          <w:szCs w:val="24"/>
          <w:highlight w:val="yellow"/>
        </w:rPr>
        <w:t>a new design</w:t>
      </w:r>
      <w:r w:rsidR="00F13F01" w:rsidRPr="003435B5">
        <w:rPr>
          <w:rFonts w:asciiTheme="majorHAnsi" w:hAnsiTheme="majorHAnsi" w:cstheme="majorHAnsi"/>
          <w:sz w:val="24"/>
          <w:szCs w:val="24"/>
          <w:highlight w:val="yellow"/>
        </w:rPr>
        <w:t>, and rename the Project accordingly o</w:t>
      </w:r>
      <w:r w:rsidR="00A1145D" w:rsidRPr="003435B5">
        <w:rPr>
          <w:rFonts w:asciiTheme="majorHAnsi" w:hAnsiTheme="majorHAnsi" w:cstheme="majorHAnsi"/>
          <w:sz w:val="24"/>
          <w:szCs w:val="24"/>
          <w:highlight w:val="yellow"/>
        </w:rPr>
        <w:t>n the upper right corner</w:t>
      </w:r>
      <w:r w:rsidR="00F13F01" w:rsidRPr="003435B5">
        <w:rPr>
          <w:rFonts w:asciiTheme="majorHAnsi" w:hAnsiTheme="majorHAnsi" w:cstheme="majorHAnsi"/>
          <w:sz w:val="24"/>
          <w:szCs w:val="24"/>
          <w:highlight w:val="yellow"/>
        </w:rPr>
        <w:t xml:space="preserve"> of the window</w:t>
      </w:r>
      <w:r w:rsidR="00A1145D" w:rsidRPr="003435B5">
        <w:rPr>
          <w:rFonts w:asciiTheme="majorHAnsi" w:hAnsiTheme="majorHAnsi" w:cstheme="majorHAnsi"/>
          <w:sz w:val="24"/>
          <w:szCs w:val="24"/>
          <w:highlight w:val="yellow"/>
        </w:rPr>
        <w:t>.</w:t>
      </w:r>
      <w:r w:rsidR="00F13F01" w:rsidRPr="003435B5">
        <w:rPr>
          <w:rFonts w:asciiTheme="majorHAnsi" w:hAnsiTheme="majorHAnsi" w:cstheme="majorHAnsi"/>
          <w:sz w:val="24"/>
          <w:szCs w:val="24"/>
          <w:highlight w:val="yellow"/>
        </w:rPr>
        <w:t xml:space="preserve"> </w:t>
      </w:r>
      <w:r w:rsidR="00524B9E" w:rsidRPr="003435B5">
        <w:rPr>
          <w:rFonts w:asciiTheme="majorHAnsi" w:hAnsiTheme="majorHAnsi" w:cstheme="majorHAnsi"/>
          <w:sz w:val="24"/>
          <w:szCs w:val="24"/>
          <w:highlight w:val="yellow"/>
        </w:rPr>
        <w:t xml:space="preserve">Press </w:t>
      </w:r>
      <w:r w:rsidR="00524B9E" w:rsidRPr="003435B5">
        <w:rPr>
          <w:rFonts w:asciiTheme="majorHAnsi" w:hAnsiTheme="majorHAnsi" w:cstheme="majorHAnsi"/>
          <w:b/>
          <w:bCs/>
          <w:sz w:val="24"/>
          <w:szCs w:val="24"/>
          <w:highlight w:val="yellow"/>
        </w:rPr>
        <w:t>Enter</w:t>
      </w:r>
      <w:r w:rsidR="00524B9E" w:rsidRPr="003435B5">
        <w:rPr>
          <w:rFonts w:asciiTheme="majorHAnsi" w:hAnsiTheme="majorHAnsi" w:cstheme="majorHAnsi"/>
          <w:sz w:val="24"/>
          <w:szCs w:val="24"/>
          <w:highlight w:val="yellow"/>
        </w:rPr>
        <w:t xml:space="preserve"> </w:t>
      </w:r>
      <w:r w:rsidR="00F13F01" w:rsidRPr="003435B5">
        <w:rPr>
          <w:rFonts w:asciiTheme="majorHAnsi" w:hAnsiTheme="majorHAnsi" w:cstheme="majorHAnsi"/>
          <w:sz w:val="24"/>
          <w:szCs w:val="24"/>
          <w:highlight w:val="yellow"/>
        </w:rPr>
        <w:t>to</w:t>
      </w:r>
      <w:r w:rsidR="00524B9E" w:rsidRPr="003435B5">
        <w:rPr>
          <w:rFonts w:asciiTheme="majorHAnsi" w:hAnsiTheme="majorHAnsi" w:cstheme="majorHAnsi"/>
          <w:sz w:val="24"/>
          <w:szCs w:val="24"/>
          <w:highlight w:val="yellow"/>
        </w:rPr>
        <w:t xml:space="preserve"> be direct</w:t>
      </w:r>
      <w:r w:rsidR="00F13F01" w:rsidRPr="003435B5">
        <w:rPr>
          <w:rFonts w:asciiTheme="majorHAnsi" w:hAnsiTheme="majorHAnsi" w:cstheme="majorHAnsi"/>
          <w:sz w:val="24"/>
          <w:szCs w:val="24"/>
          <w:highlight w:val="yellow"/>
        </w:rPr>
        <w:t>ed</w:t>
      </w:r>
      <w:r w:rsidR="00524B9E" w:rsidRPr="003435B5">
        <w:rPr>
          <w:rFonts w:asciiTheme="majorHAnsi" w:hAnsiTheme="majorHAnsi" w:cstheme="majorHAnsi"/>
          <w:sz w:val="24"/>
          <w:szCs w:val="24"/>
          <w:highlight w:val="yellow"/>
        </w:rPr>
        <w:t xml:space="preserve"> to </w:t>
      </w:r>
      <w:r w:rsidR="00F13F01" w:rsidRPr="003435B5">
        <w:rPr>
          <w:rFonts w:asciiTheme="majorHAnsi" w:hAnsiTheme="majorHAnsi" w:cstheme="majorHAnsi"/>
          <w:sz w:val="24"/>
          <w:szCs w:val="24"/>
          <w:highlight w:val="yellow"/>
        </w:rPr>
        <w:t>the project´s</w:t>
      </w:r>
      <w:r w:rsidR="00524B9E" w:rsidRPr="003435B5">
        <w:rPr>
          <w:rFonts w:asciiTheme="majorHAnsi" w:hAnsiTheme="majorHAnsi" w:cstheme="majorHAnsi"/>
          <w:sz w:val="24"/>
          <w:szCs w:val="24"/>
          <w:highlight w:val="yellow"/>
        </w:rPr>
        <w:t xml:space="preserve"> </w:t>
      </w:r>
      <w:proofErr w:type="spellStart"/>
      <w:r w:rsidR="00524B9E" w:rsidRPr="003435B5">
        <w:rPr>
          <w:rFonts w:asciiTheme="majorHAnsi" w:hAnsiTheme="majorHAnsi" w:cstheme="majorHAnsi"/>
          <w:sz w:val="24"/>
          <w:szCs w:val="24"/>
          <w:highlight w:val="yellow"/>
        </w:rPr>
        <w:t>workplane</w:t>
      </w:r>
      <w:proofErr w:type="spellEnd"/>
      <w:r w:rsidR="00524B9E" w:rsidRPr="003435B5">
        <w:rPr>
          <w:rFonts w:asciiTheme="majorHAnsi" w:hAnsiTheme="majorHAnsi" w:cstheme="majorHAnsi"/>
          <w:sz w:val="24"/>
          <w:szCs w:val="24"/>
          <w:highlight w:val="yellow"/>
        </w:rPr>
        <w:t xml:space="preserve"> (</w:t>
      </w:r>
      <w:r w:rsidR="00524B9E" w:rsidRPr="003435B5">
        <w:rPr>
          <w:rFonts w:asciiTheme="majorHAnsi" w:hAnsiTheme="majorHAnsi" w:cstheme="majorHAnsi"/>
          <w:b/>
          <w:bCs/>
          <w:sz w:val="24"/>
          <w:szCs w:val="24"/>
          <w:highlight w:val="yellow"/>
        </w:rPr>
        <w:t>Figure 1B</w:t>
      </w:r>
      <w:r w:rsidR="00524B9E" w:rsidRPr="003435B5">
        <w:rPr>
          <w:rFonts w:asciiTheme="majorHAnsi" w:hAnsiTheme="majorHAnsi" w:cstheme="majorHAnsi"/>
          <w:sz w:val="24"/>
          <w:szCs w:val="24"/>
          <w:highlight w:val="yellow"/>
        </w:rPr>
        <w:t xml:space="preserve">). </w:t>
      </w:r>
    </w:p>
    <w:p w14:paraId="22C3B822" w14:textId="77777777" w:rsidR="003435B5" w:rsidRDefault="003435B5" w:rsidP="003435B5">
      <w:pPr>
        <w:pStyle w:val="ListParagraph"/>
        <w:spacing w:after="0" w:line="240" w:lineRule="auto"/>
        <w:ind w:left="0"/>
        <w:rPr>
          <w:rFonts w:asciiTheme="majorHAnsi" w:hAnsiTheme="majorHAnsi" w:cstheme="majorHAnsi"/>
          <w:sz w:val="24"/>
          <w:szCs w:val="24"/>
          <w:highlight w:val="yellow"/>
        </w:rPr>
      </w:pPr>
    </w:p>
    <w:p w14:paraId="56D3C9A6" w14:textId="22C1D648" w:rsidR="00EA507E" w:rsidRPr="003435B5" w:rsidRDefault="00A269DD" w:rsidP="003435B5">
      <w:pPr>
        <w:pStyle w:val="ListParagraph"/>
        <w:numPr>
          <w:ilvl w:val="1"/>
          <w:numId w:val="13"/>
        </w:numPr>
        <w:spacing w:after="0" w:line="240" w:lineRule="auto"/>
        <w:ind w:left="0" w:firstLine="0"/>
        <w:rPr>
          <w:rFonts w:asciiTheme="majorHAnsi" w:hAnsiTheme="majorHAnsi" w:cstheme="majorHAnsi"/>
          <w:sz w:val="24"/>
          <w:szCs w:val="24"/>
          <w:highlight w:val="yellow"/>
        </w:rPr>
      </w:pPr>
      <w:r w:rsidRPr="003435B5">
        <w:rPr>
          <w:rFonts w:asciiTheme="majorHAnsi" w:hAnsiTheme="majorHAnsi" w:cstheme="majorHAnsi"/>
          <w:sz w:val="24"/>
          <w:szCs w:val="24"/>
          <w:highlight w:val="yellow"/>
        </w:rPr>
        <w:t>V</w:t>
      </w:r>
      <w:r w:rsidR="00F91127" w:rsidRPr="003435B5">
        <w:rPr>
          <w:rFonts w:asciiTheme="majorHAnsi" w:hAnsiTheme="majorHAnsi" w:cstheme="majorHAnsi"/>
          <w:sz w:val="24"/>
          <w:szCs w:val="24"/>
          <w:highlight w:val="yellow"/>
        </w:rPr>
        <w:t xml:space="preserve">erify if </w:t>
      </w:r>
      <w:r w:rsidR="002B4BE4" w:rsidRPr="003435B5">
        <w:rPr>
          <w:rFonts w:asciiTheme="majorHAnsi" w:hAnsiTheme="majorHAnsi" w:cstheme="majorHAnsi"/>
          <w:sz w:val="24"/>
          <w:szCs w:val="24"/>
          <w:highlight w:val="yellow"/>
        </w:rPr>
        <w:t>the</w:t>
      </w:r>
      <w:r w:rsidR="00F91127" w:rsidRPr="003435B5">
        <w:rPr>
          <w:rFonts w:asciiTheme="majorHAnsi" w:hAnsiTheme="majorHAnsi" w:cstheme="majorHAnsi"/>
          <w:sz w:val="24"/>
          <w:szCs w:val="24"/>
          <w:highlight w:val="yellow"/>
        </w:rPr>
        <w:t xml:space="preserve"> workplane </w:t>
      </w:r>
      <w:r w:rsidR="002B4BE4" w:rsidRPr="003435B5">
        <w:rPr>
          <w:rFonts w:asciiTheme="majorHAnsi" w:hAnsiTheme="majorHAnsi" w:cstheme="majorHAnsi"/>
          <w:sz w:val="24"/>
          <w:szCs w:val="24"/>
          <w:highlight w:val="yellow"/>
        </w:rPr>
        <w:t>has</w:t>
      </w:r>
      <w:r w:rsidR="00F91127" w:rsidRPr="003435B5">
        <w:rPr>
          <w:rFonts w:asciiTheme="majorHAnsi" w:hAnsiTheme="majorHAnsi" w:cstheme="majorHAnsi"/>
          <w:sz w:val="24"/>
          <w:szCs w:val="24"/>
          <w:highlight w:val="yellow"/>
        </w:rPr>
        <w:t xml:space="preserve"> the correct </w:t>
      </w:r>
      <w:r w:rsidR="002B4BE4" w:rsidRPr="003435B5">
        <w:rPr>
          <w:rFonts w:asciiTheme="majorHAnsi" w:hAnsiTheme="majorHAnsi" w:cstheme="majorHAnsi"/>
          <w:sz w:val="24"/>
          <w:szCs w:val="24"/>
          <w:highlight w:val="yellow"/>
        </w:rPr>
        <w:t xml:space="preserve">dimensions of 200 </w:t>
      </w:r>
      <w:r w:rsidR="003435B5">
        <w:rPr>
          <w:rFonts w:asciiTheme="majorHAnsi" w:hAnsiTheme="majorHAnsi" w:cstheme="majorHAnsi"/>
          <w:sz w:val="24"/>
          <w:szCs w:val="24"/>
          <w:highlight w:val="yellow"/>
        </w:rPr>
        <w:t>mm x</w:t>
      </w:r>
      <w:r w:rsidR="002B4BE4" w:rsidRPr="003435B5">
        <w:rPr>
          <w:rFonts w:asciiTheme="majorHAnsi" w:hAnsiTheme="majorHAnsi" w:cstheme="majorHAnsi"/>
          <w:sz w:val="24"/>
          <w:szCs w:val="24"/>
          <w:highlight w:val="yellow"/>
        </w:rPr>
        <w:t xml:space="preserve"> 200 mm, by</w:t>
      </w:r>
      <w:r w:rsidR="00F91127" w:rsidRPr="003435B5">
        <w:rPr>
          <w:rFonts w:asciiTheme="majorHAnsi" w:hAnsiTheme="majorHAnsi" w:cstheme="majorHAnsi"/>
          <w:sz w:val="24"/>
          <w:szCs w:val="24"/>
          <w:highlight w:val="yellow"/>
        </w:rPr>
        <w:t xml:space="preserve"> </w:t>
      </w:r>
      <w:r w:rsidR="002B4BE4" w:rsidRPr="003435B5">
        <w:rPr>
          <w:rFonts w:asciiTheme="majorHAnsi" w:hAnsiTheme="majorHAnsi" w:cstheme="majorHAnsi"/>
          <w:sz w:val="24"/>
          <w:szCs w:val="24"/>
          <w:highlight w:val="yellow"/>
        </w:rPr>
        <w:t xml:space="preserve">clicking with the mouse´s left button on </w:t>
      </w:r>
      <w:r w:rsidR="002B4BE4" w:rsidRPr="003435B5">
        <w:rPr>
          <w:rFonts w:asciiTheme="majorHAnsi" w:hAnsiTheme="majorHAnsi" w:cstheme="majorHAnsi"/>
          <w:b/>
          <w:bCs/>
          <w:sz w:val="24"/>
          <w:szCs w:val="24"/>
          <w:highlight w:val="yellow"/>
        </w:rPr>
        <w:t>Edit Grid</w:t>
      </w:r>
      <w:r w:rsidR="00F91127" w:rsidRPr="003435B5">
        <w:rPr>
          <w:rFonts w:asciiTheme="majorHAnsi" w:hAnsiTheme="majorHAnsi" w:cstheme="majorHAnsi"/>
          <w:sz w:val="24"/>
          <w:szCs w:val="24"/>
          <w:highlight w:val="yellow"/>
        </w:rPr>
        <w:t xml:space="preserve"> at the </w:t>
      </w:r>
      <w:r w:rsidR="002B4BE4" w:rsidRPr="003435B5">
        <w:rPr>
          <w:rFonts w:asciiTheme="majorHAnsi" w:hAnsiTheme="majorHAnsi" w:cstheme="majorHAnsi"/>
          <w:sz w:val="24"/>
          <w:szCs w:val="24"/>
          <w:highlight w:val="yellow"/>
        </w:rPr>
        <w:t xml:space="preserve">lower </w:t>
      </w:r>
      <w:r w:rsidR="00F91127" w:rsidRPr="003435B5">
        <w:rPr>
          <w:rFonts w:asciiTheme="majorHAnsi" w:hAnsiTheme="majorHAnsi" w:cstheme="majorHAnsi"/>
          <w:sz w:val="24"/>
          <w:szCs w:val="24"/>
          <w:highlight w:val="yellow"/>
        </w:rPr>
        <w:t>right corner (</w:t>
      </w:r>
      <w:r w:rsidR="00FC5F3E" w:rsidRPr="003435B5">
        <w:rPr>
          <w:rFonts w:asciiTheme="majorHAnsi" w:hAnsiTheme="majorHAnsi" w:cstheme="majorHAnsi"/>
          <w:sz w:val="24"/>
          <w:szCs w:val="24"/>
          <w:highlight w:val="yellow"/>
        </w:rPr>
        <w:t>r</w:t>
      </w:r>
      <w:r w:rsidR="00F91127" w:rsidRPr="003435B5">
        <w:rPr>
          <w:rFonts w:asciiTheme="majorHAnsi" w:hAnsiTheme="majorHAnsi" w:cstheme="majorHAnsi"/>
          <w:sz w:val="24"/>
          <w:szCs w:val="24"/>
          <w:highlight w:val="yellow"/>
        </w:rPr>
        <w:t xml:space="preserve">ed </w:t>
      </w:r>
      <w:r w:rsidR="00BD0CF6" w:rsidRPr="003435B5">
        <w:rPr>
          <w:rFonts w:asciiTheme="majorHAnsi" w:hAnsiTheme="majorHAnsi" w:cstheme="majorHAnsi"/>
          <w:sz w:val="24"/>
          <w:szCs w:val="24"/>
          <w:highlight w:val="yellow"/>
        </w:rPr>
        <w:t>square</w:t>
      </w:r>
      <w:r w:rsidR="00F91127" w:rsidRPr="003435B5">
        <w:rPr>
          <w:rFonts w:asciiTheme="majorHAnsi" w:hAnsiTheme="majorHAnsi" w:cstheme="majorHAnsi"/>
          <w:sz w:val="24"/>
          <w:szCs w:val="24"/>
          <w:highlight w:val="yellow"/>
        </w:rPr>
        <w:t xml:space="preserve"> in </w:t>
      </w:r>
      <w:r w:rsidR="00F91127" w:rsidRPr="003435B5">
        <w:rPr>
          <w:rFonts w:asciiTheme="majorHAnsi" w:hAnsiTheme="majorHAnsi" w:cstheme="majorHAnsi"/>
          <w:b/>
          <w:bCs/>
          <w:sz w:val="24"/>
          <w:szCs w:val="24"/>
          <w:highlight w:val="yellow"/>
        </w:rPr>
        <w:t>Figure 1B</w:t>
      </w:r>
      <w:r w:rsidR="00F91127" w:rsidRPr="003435B5">
        <w:rPr>
          <w:rFonts w:asciiTheme="majorHAnsi" w:hAnsiTheme="majorHAnsi" w:cstheme="majorHAnsi"/>
          <w:sz w:val="24"/>
          <w:szCs w:val="24"/>
          <w:highlight w:val="yellow"/>
        </w:rPr>
        <w:t xml:space="preserve">). </w:t>
      </w:r>
      <w:r w:rsidR="00EA507E" w:rsidRPr="003435B5">
        <w:rPr>
          <w:rFonts w:asciiTheme="majorHAnsi" w:hAnsiTheme="majorHAnsi" w:cstheme="majorHAnsi"/>
          <w:sz w:val="24"/>
          <w:szCs w:val="24"/>
          <w:highlight w:val="yellow"/>
        </w:rPr>
        <w:t>In</w:t>
      </w:r>
      <w:r w:rsidR="00F91127" w:rsidRPr="003435B5">
        <w:rPr>
          <w:rFonts w:asciiTheme="majorHAnsi" w:hAnsiTheme="majorHAnsi" w:cstheme="majorHAnsi"/>
          <w:sz w:val="24"/>
          <w:szCs w:val="24"/>
          <w:highlight w:val="yellow"/>
        </w:rPr>
        <w:t xml:space="preserve"> the </w:t>
      </w:r>
      <w:r w:rsidR="00EA507E" w:rsidRPr="003435B5">
        <w:rPr>
          <w:rFonts w:asciiTheme="majorHAnsi" w:hAnsiTheme="majorHAnsi" w:cstheme="majorHAnsi"/>
          <w:sz w:val="24"/>
          <w:szCs w:val="24"/>
          <w:highlight w:val="yellow"/>
        </w:rPr>
        <w:t>popup</w:t>
      </w:r>
      <w:r w:rsidR="00F91127" w:rsidRPr="003435B5">
        <w:rPr>
          <w:rFonts w:asciiTheme="majorHAnsi" w:hAnsiTheme="majorHAnsi" w:cstheme="majorHAnsi"/>
          <w:sz w:val="24"/>
          <w:szCs w:val="24"/>
          <w:highlight w:val="yellow"/>
        </w:rPr>
        <w:t xml:space="preserve"> window</w:t>
      </w:r>
      <w:r w:rsidR="00EA507E" w:rsidRPr="003435B5">
        <w:rPr>
          <w:rFonts w:asciiTheme="majorHAnsi" w:hAnsiTheme="majorHAnsi" w:cstheme="majorHAnsi"/>
          <w:sz w:val="24"/>
          <w:szCs w:val="24"/>
          <w:highlight w:val="yellow"/>
        </w:rPr>
        <w:t xml:space="preserve"> (</w:t>
      </w:r>
      <w:r w:rsidR="00EA507E" w:rsidRPr="003435B5">
        <w:rPr>
          <w:rFonts w:asciiTheme="majorHAnsi" w:hAnsiTheme="majorHAnsi" w:cstheme="majorHAnsi"/>
          <w:b/>
          <w:bCs/>
          <w:sz w:val="24"/>
          <w:szCs w:val="24"/>
          <w:highlight w:val="yellow"/>
        </w:rPr>
        <w:t>Figure 1C</w:t>
      </w:r>
      <w:r w:rsidR="00EA507E" w:rsidRPr="003435B5">
        <w:rPr>
          <w:rFonts w:asciiTheme="majorHAnsi" w:hAnsiTheme="majorHAnsi" w:cstheme="majorHAnsi"/>
          <w:sz w:val="24"/>
          <w:szCs w:val="24"/>
          <w:highlight w:val="yellow"/>
        </w:rPr>
        <w:t>),</w:t>
      </w:r>
      <w:r w:rsidR="00F91127" w:rsidRPr="003435B5">
        <w:rPr>
          <w:rFonts w:asciiTheme="majorHAnsi" w:hAnsiTheme="majorHAnsi" w:cstheme="majorHAnsi"/>
          <w:sz w:val="24"/>
          <w:szCs w:val="24"/>
          <w:highlight w:val="yellow"/>
        </w:rPr>
        <w:t xml:space="preserve"> </w:t>
      </w:r>
      <w:r w:rsidR="00EA507E" w:rsidRPr="003435B5">
        <w:rPr>
          <w:rFonts w:asciiTheme="majorHAnsi" w:hAnsiTheme="majorHAnsi" w:cstheme="majorHAnsi"/>
          <w:sz w:val="24"/>
          <w:szCs w:val="24"/>
          <w:highlight w:val="yellow"/>
        </w:rPr>
        <w:t>make sure that the</w:t>
      </w:r>
      <w:r w:rsidR="00F91127" w:rsidRPr="003435B5">
        <w:rPr>
          <w:rFonts w:asciiTheme="majorHAnsi" w:hAnsiTheme="majorHAnsi" w:cstheme="majorHAnsi"/>
          <w:sz w:val="24"/>
          <w:szCs w:val="24"/>
          <w:highlight w:val="yellow"/>
        </w:rPr>
        <w:t xml:space="preserve"> </w:t>
      </w:r>
      <w:r w:rsidR="00EA507E" w:rsidRPr="003435B5">
        <w:rPr>
          <w:rFonts w:asciiTheme="majorHAnsi" w:hAnsiTheme="majorHAnsi" w:cstheme="majorHAnsi"/>
          <w:sz w:val="24"/>
          <w:szCs w:val="24"/>
          <w:highlight w:val="yellow"/>
        </w:rPr>
        <w:t>“</w:t>
      </w:r>
      <w:r w:rsidR="00F91127" w:rsidRPr="003435B5">
        <w:rPr>
          <w:rFonts w:asciiTheme="majorHAnsi" w:hAnsiTheme="majorHAnsi" w:cstheme="majorHAnsi"/>
          <w:sz w:val="24"/>
          <w:szCs w:val="24"/>
          <w:highlight w:val="yellow"/>
        </w:rPr>
        <w:t>Units</w:t>
      </w:r>
      <w:r w:rsidR="00EA507E" w:rsidRPr="003435B5">
        <w:rPr>
          <w:rFonts w:asciiTheme="majorHAnsi" w:hAnsiTheme="majorHAnsi" w:cstheme="majorHAnsi"/>
          <w:sz w:val="24"/>
          <w:szCs w:val="24"/>
          <w:highlight w:val="yellow"/>
        </w:rPr>
        <w:t>” are</w:t>
      </w:r>
      <w:r w:rsidR="00F91127" w:rsidRPr="003435B5">
        <w:rPr>
          <w:rFonts w:asciiTheme="majorHAnsi" w:hAnsiTheme="majorHAnsi" w:cstheme="majorHAnsi"/>
          <w:sz w:val="24"/>
          <w:szCs w:val="24"/>
          <w:highlight w:val="yellow"/>
        </w:rPr>
        <w:t xml:space="preserve"> </w:t>
      </w:r>
      <w:r w:rsidR="00EA507E" w:rsidRPr="003435B5">
        <w:rPr>
          <w:rFonts w:asciiTheme="majorHAnsi" w:hAnsiTheme="majorHAnsi" w:cstheme="majorHAnsi"/>
          <w:sz w:val="24"/>
          <w:szCs w:val="24"/>
          <w:highlight w:val="yellow"/>
        </w:rPr>
        <w:t>m</w:t>
      </w:r>
      <w:r w:rsidR="00F91127" w:rsidRPr="003435B5">
        <w:rPr>
          <w:rFonts w:asciiTheme="majorHAnsi" w:hAnsiTheme="majorHAnsi" w:cstheme="majorHAnsi"/>
          <w:sz w:val="24"/>
          <w:szCs w:val="24"/>
          <w:highlight w:val="yellow"/>
        </w:rPr>
        <w:t>illimeters,</w:t>
      </w:r>
      <w:r w:rsidR="00EA507E" w:rsidRPr="003435B5">
        <w:rPr>
          <w:rFonts w:asciiTheme="majorHAnsi" w:hAnsiTheme="majorHAnsi" w:cstheme="majorHAnsi"/>
          <w:sz w:val="24"/>
          <w:szCs w:val="24"/>
          <w:highlight w:val="yellow"/>
        </w:rPr>
        <w:t xml:space="preserve"> and</w:t>
      </w:r>
      <w:r w:rsidR="00F91127" w:rsidRPr="003435B5">
        <w:rPr>
          <w:rFonts w:asciiTheme="majorHAnsi" w:hAnsiTheme="majorHAnsi" w:cstheme="majorHAnsi"/>
          <w:sz w:val="24"/>
          <w:szCs w:val="24"/>
          <w:highlight w:val="yellow"/>
        </w:rPr>
        <w:t xml:space="preserve"> </w:t>
      </w:r>
      <w:r w:rsidR="00FC5F3E" w:rsidRPr="003435B5">
        <w:rPr>
          <w:rFonts w:asciiTheme="majorHAnsi" w:hAnsiTheme="majorHAnsi" w:cstheme="majorHAnsi"/>
          <w:sz w:val="24"/>
          <w:szCs w:val="24"/>
          <w:highlight w:val="yellow"/>
        </w:rPr>
        <w:t xml:space="preserve">the </w:t>
      </w:r>
      <w:r w:rsidR="00EA507E" w:rsidRPr="003435B5">
        <w:rPr>
          <w:rFonts w:asciiTheme="majorHAnsi" w:hAnsiTheme="majorHAnsi" w:cstheme="majorHAnsi"/>
          <w:sz w:val="24"/>
          <w:szCs w:val="24"/>
          <w:highlight w:val="yellow"/>
        </w:rPr>
        <w:t>“</w:t>
      </w:r>
      <w:r w:rsidR="00F91127" w:rsidRPr="003435B5">
        <w:rPr>
          <w:rFonts w:asciiTheme="majorHAnsi" w:hAnsiTheme="majorHAnsi" w:cstheme="majorHAnsi"/>
          <w:sz w:val="24"/>
          <w:szCs w:val="24"/>
          <w:highlight w:val="yellow"/>
        </w:rPr>
        <w:t>Presets</w:t>
      </w:r>
      <w:r w:rsidR="00EA507E" w:rsidRPr="003435B5">
        <w:rPr>
          <w:rFonts w:asciiTheme="majorHAnsi" w:hAnsiTheme="majorHAnsi" w:cstheme="majorHAnsi"/>
          <w:sz w:val="24"/>
          <w:szCs w:val="24"/>
          <w:highlight w:val="yellow"/>
        </w:rPr>
        <w:t>” are d</w:t>
      </w:r>
      <w:r w:rsidR="00F91127" w:rsidRPr="003435B5">
        <w:rPr>
          <w:rFonts w:asciiTheme="majorHAnsi" w:hAnsiTheme="majorHAnsi" w:cstheme="majorHAnsi"/>
          <w:sz w:val="24"/>
          <w:szCs w:val="24"/>
          <w:highlight w:val="yellow"/>
        </w:rPr>
        <w:t>efault</w:t>
      </w:r>
      <w:r w:rsidR="00EA507E" w:rsidRPr="003435B5">
        <w:rPr>
          <w:rFonts w:asciiTheme="majorHAnsi" w:hAnsiTheme="majorHAnsi" w:cstheme="majorHAnsi"/>
          <w:sz w:val="24"/>
          <w:szCs w:val="24"/>
          <w:highlight w:val="yellow"/>
        </w:rPr>
        <w:t>. Enter 200.00 in the</w:t>
      </w:r>
      <w:r w:rsidR="00F91127" w:rsidRPr="003435B5">
        <w:rPr>
          <w:rFonts w:asciiTheme="majorHAnsi" w:hAnsiTheme="majorHAnsi" w:cstheme="majorHAnsi"/>
          <w:sz w:val="24"/>
          <w:szCs w:val="24"/>
          <w:highlight w:val="yellow"/>
        </w:rPr>
        <w:t xml:space="preserve"> </w:t>
      </w:r>
      <w:r w:rsidR="00EA507E" w:rsidRPr="003435B5">
        <w:rPr>
          <w:rFonts w:asciiTheme="majorHAnsi" w:hAnsiTheme="majorHAnsi" w:cstheme="majorHAnsi"/>
          <w:sz w:val="24"/>
          <w:szCs w:val="24"/>
          <w:highlight w:val="yellow"/>
        </w:rPr>
        <w:t>“</w:t>
      </w:r>
      <w:r w:rsidR="00F91127" w:rsidRPr="003435B5">
        <w:rPr>
          <w:rFonts w:asciiTheme="majorHAnsi" w:hAnsiTheme="majorHAnsi" w:cstheme="majorHAnsi"/>
          <w:sz w:val="24"/>
          <w:szCs w:val="24"/>
          <w:highlight w:val="yellow"/>
        </w:rPr>
        <w:t>Wid</w:t>
      </w:r>
      <w:r w:rsidR="00EA507E" w:rsidRPr="003435B5">
        <w:rPr>
          <w:rFonts w:asciiTheme="majorHAnsi" w:hAnsiTheme="majorHAnsi" w:cstheme="majorHAnsi"/>
          <w:sz w:val="24"/>
          <w:szCs w:val="24"/>
          <w:highlight w:val="yellow"/>
        </w:rPr>
        <w:t>t</w:t>
      </w:r>
      <w:r w:rsidR="00F91127" w:rsidRPr="003435B5">
        <w:rPr>
          <w:rFonts w:asciiTheme="majorHAnsi" w:hAnsiTheme="majorHAnsi" w:cstheme="majorHAnsi"/>
          <w:sz w:val="24"/>
          <w:szCs w:val="24"/>
          <w:highlight w:val="yellow"/>
        </w:rPr>
        <w:t>h</w:t>
      </w:r>
      <w:r w:rsidR="00EA507E" w:rsidRPr="003435B5">
        <w:rPr>
          <w:rFonts w:asciiTheme="majorHAnsi" w:hAnsiTheme="majorHAnsi" w:cstheme="majorHAnsi"/>
          <w:sz w:val="24"/>
          <w:szCs w:val="24"/>
          <w:highlight w:val="yellow"/>
        </w:rPr>
        <w:t>”</w:t>
      </w:r>
      <w:r w:rsidR="00F91127" w:rsidRPr="003435B5">
        <w:rPr>
          <w:rFonts w:asciiTheme="majorHAnsi" w:hAnsiTheme="majorHAnsi" w:cstheme="majorHAnsi"/>
          <w:sz w:val="24"/>
          <w:szCs w:val="24"/>
          <w:highlight w:val="yellow"/>
        </w:rPr>
        <w:t xml:space="preserve"> and</w:t>
      </w:r>
      <w:r w:rsidR="00EA507E" w:rsidRPr="003435B5">
        <w:rPr>
          <w:rFonts w:asciiTheme="majorHAnsi" w:hAnsiTheme="majorHAnsi" w:cstheme="majorHAnsi"/>
          <w:sz w:val="24"/>
          <w:szCs w:val="24"/>
          <w:highlight w:val="yellow"/>
        </w:rPr>
        <w:t xml:space="preserve"> in the</w:t>
      </w:r>
      <w:r w:rsidR="00F91127" w:rsidRPr="003435B5">
        <w:rPr>
          <w:rFonts w:asciiTheme="majorHAnsi" w:hAnsiTheme="majorHAnsi" w:cstheme="majorHAnsi"/>
          <w:sz w:val="24"/>
          <w:szCs w:val="24"/>
          <w:highlight w:val="yellow"/>
        </w:rPr>
        <w:t xml:space="preserve"> </w:t>
      </w:r>
      <w:r w:rsidR="00EA507E" w:rsidRPr="003435B5">
        <w:rPr>
          <w:rFonts w:asciiTheme="majorHAnsi" w:hAnsiTheme="majorHAnsi" w:cstheme="majorHAnsi"/>
          <w:sz w:val="24"/>
          <w:szCs w:val="24"/>
          <w:highlight w:val="yellow"/>
        </w:rPr>
        <w:t>“</w:t>
      </w:r>
      <w:r w:rsidR="00F91127" w:rsidRPr="003435B5">
        <w:rPr>
          <w:rFonts w:asciiTheme="majorHAnsi" w:hAnsiTheme="majorHAnsi" w:cstheme="majorHAnsi"/>
          <w:sz w:val="24"/>
          <w:szCs w:val="24"/>
          <w:highlight w:val="yellow"/>
        </w:rPr>
        <w:t>Le</w:t>
      </w:r>
      <w:r w:rsidR="00EA507E" w:rsidRPr="003435B5">
        <w:rPr>
          <w:rFonts w:asciiTheme="majorHAnsi" w:hAnsiTheme="majorHAnsi" w:cstheme="majorHAnsi"/>
          <w:sz w:val="24"/>
          <w:szCs w:val="24"/>
          <w:highlight w:val="yellow"/>
        </w:rPr>
        <w:t>n</w:t>
      </w:r>
      <w:r w:rsidR="00F91127" w:rsidRPr="003435B5">
        <w:rPr>
          <w:rFonts w:asciiTheme="majorHAnsi" w:hAnsiTheme="majorHAnsi" w:cstheme="majorHAnsi"/>
          <w:sz w:val="24"/>
          <w:szCs w:val="24"/>
          <w:highlight w:val="yellow"/>
        </w:rPr>
        <w:t>gth</w:t>
      </w:r>
      <w:r w:rsidR="00EA507E" w:rsidRPr="003435B5">
        <w:rPr>
          <w:rFonts w:asciiTheme="majorHAnsi" w:hAnsiTheme="majorHAnsi" w:cstheme="majorHAnsi"/>
          <w:sz w:val="24"/>
          <w:szCs w:val="24"/>
          <w:highlight w:val="yellow"/>
        </w:rPr>
        <w:t>” fields</w:t>
      </w:r>
      <w:r w:rsidR="00FC5F3E" w:rsidRPr="003435B5">
        <w:rPr>
          <w:rFonts w:asciiTheme="majorHAnsi" w:hAnsiTheme="majorHAnsi" w:cstheme="majorHAnsi"/>
          <w:sz w:val="24"/>
          <w:szCs w:val="24"/>
          <w:highlight w:val="yellow"/>
        </w:rPr>
        <w:t>, and</w:t>
      </w:r>
      <w:r w:rsidR="00F91127" w:rsidRPr="003435B5">
        <w:rPr>
          <w:rFonts w:asciiTheme="majorHAnsi" w:hAnsiTheme="majorHAnsi" w:cstheme="majorHAnsi"/>
          <w:sz w:val="24"/>
          <w:szCs w:val="24"/>
          <w:highlight w:val="yellow"/>
        </w:rPr>
        <w:t xml:space="preserve"> </w:t>
      </w:r>
      <w:r w:rsidR="00FC5F3E" w:rsidRPr="003435B5">
        <w:rPr>
          <w:rFonts w:asciiTheme="majorHAnsi" w:hAnsiTheme="majorHAnsi" w:cstheme="majorHAnsi"/>
          <w:sz w:val="24"/>
          <w:szCs w:val="24"/>
          <w:highlight w:val="yellow"/>
        </w:rPr>
        <w:t>c</w:t>
      </w:r>
      <w:r w:rsidR="00F91127" w:rsidRPr="003435B5">
        <w:rPr>
          <w:rFonts w:asciiTheme="majorHAnsi" w:hAnsiTheme="majorHAnsi" w:cstheme="majorHAnsi"/>
          <w:sz w:val="24"/>
          <w:szCs w:val="24"/>
          <w:highlight w:val="yellow"/>
        </w:rPr>
        <w:t xml:space="preserve">lick on </w:t>
      </w:r>
      <w:r w:rsidR="00F91127" w:rsidRPr="003435B5">
        <w:rPr>
          <w:rFonts w:asciiTheme="majorHAnsi" w:hAnsiTheme="majorHAnsi" w:cstheme="majorHAnsi"/>
          <w:b/>
          <w:bCs/>
          <w:sz w:val="24"/>
          <w:szCs w:val="24"/>
          <w:highlight w:val="yellow"/>
        </w:rPr>
        <w:t xml:space="preserve">Update </w:t>
      </w:r>
      <w:r w:rsidR="00FC5F3E" w:rsidRPr="003435B5">
        <w:rPr>
          <w:rFonts w:asciiTheme="majorHAnsi" w:hAnsiTheme="majorHAnsi" w:cstheme="majorHAnsi"/>
          <w:b/>
          <w:bCs/>
          <w:sz w:val="24"/>
          <w:szCs w:val="24"/>
          <w:highlight w:val="yellow"/>
        </w:rPr>
        <w:t>G</w:t>
      </w:r>
      <w:r w:rsidR="00F91127" w:rsidRPr="003435B5">
        <w:rPr>
          <w:rFonts w:asciiTheme="majorHAnsi" w:hAnsiTheme="majorHAnsi" w:cstheme="majorHAnsi"/>
          <w:b/>
          <w:bCs/>
          <w:sz w:val="24"/>
          <w:szCs w:val="24"/>
          <w:highlight w:val="yellow"/>
        </w:rPr>
        <w:t>rid</w:t>
      </w:r>
      <w:r w:rsidR="00F91127" w:rsidRPr="003435B5">
        <w:rPr>
          <w:rFonts w:asciiTheme="majorHAnsi" w:hAnsiTheme="majorHAnsi" w:cstheme="majorHAnsi"/>
          <w:sz w:val="24"/>
          <w:szCs w:val="24"/>
          <w:highlight w:val="yellow"/>
        </w:rPr>
        <w:t xml:space="preserve"> to save the changes.</w:t>
      </w:r>
    </w:p>
    <w:p w14:paraId="170602B1" w14:textId="77777777" w:rsidR="003435B5" w:rsidRDefault="003435B5" w:rsidP="003435B5">
      <w:pPr>
        <w:pStyle w:val="ListParagraph"/>
        <w:spacing w:after="0" w:line="240" w:lineRule="auto"/>
        <w:ind w:left="0"/>
        <w:rPr>
          <w:rFonts w:asciiTheme="majorHAnsi" w:hAnsiTheme="majorHAnsi" w:cstheme="majorHAnsi"/>
          <w:sz w:val="24"/>
          <w:szCs w:val="24"/>
          <w:highlight w:val="yellow"/>
        </w:rPr>
      </w:pPr>
    </w:p>
    <w:p w14:paraId="0E390789" w14:textId="444DC1DA" w:rsidR="0072711F" w:rsidRPr="003435B5" w:rsidRDefault="00F91127" w:rsidP="003435B5">
      <w:pPr>
        <w:pStyle w:val="ListParagraph"/>
        <w:numPr>
          <w:ilvl w:val="1"/>
          <w:numId w:val="13"/>
        </w:numPr>
        <w:spacing w:after="0" w:line="240" w:lineRule="auto"/>
        <w:ind w:left="0" w:firstLine="0"/>
        <w:rPr>
          <w:rFonts w:asciiTheme="majorHAnsi" w:hAnsiTheme="majorHAnsi" w:cstheme="majorHAnsi"/>
          <w:sz w:val="24"/>
          <w:szCs w:val="24"/>
          <w:highlight w:val="yellow"/>
        </w:rPr>
      </w:pPr>
      <w:r w:rsidRPr="003435B5">
        <w:rPr>
          <w:rFonts w:asciiTheme="majorHAnsi" w:hAnsiTheme="majorHAnsi" w:cstheme="majorHAnsi"/>
          <w:sz w:val="24"/>
          <w:szCs w:val="24"/>
          <w:highlight w:val="yellow"/>
        </w:rPr>
        <w:t xml:space="preserve">Verify if the </w:t>
      </w:r>
      <w:r w:rsidRPr="003435B5">
        <w:rPr>
          <w:rFonts w:asciiTheme="majorHAnsi" w:hAnsiTheme="majorHAnsi" w:cstheme="majorHAnsi"/>
          <w:b/>
          <w:bCs/>
          <w:sz w:val="24"/>
          <w:szCs w:val="24"/>
          <w:highlight w:val="yellow"/>
        </w:rPr>
        <w:t>Snap Grid</w:t>
      </w:r>
      <w:r w:rsidRPr="003435B5">
        <w:rPr>
          <w:rFonts w:asciiTheme="majorHAnsi" w:hAnsiTheme="majorHAnsi" w:cstheme="majorHAnsi"/>
          <w:sz w:val="24"/>
          <w:szCs w:val="24"/>
          <w:highlight w:val="yellow"/>
        </w:rPr>
        <w:t xml:space="preserve"> is set to 1.0 mm (</w:t>
      </w:r>
      <w:r w:rsidR="00FC5F3E" w:rsidRPr="003435B5">
        <w:rPr>
          <w:rFonts w:asciiTheme="majorHAnsi" w:hAnsiTheme="majorHAnsi" w:cstheme="majorHAnsi"/>
          <w:sz w:val="24"/>
          <w:szCs w:val="24"/>
          <w:highlight w:val="yellow"/>
        </w:rPr>
        <w:t>r</w:t>
      </w:r>
      <w:r w:rsidRPr="003435B5">
        <w:rPr>
          <w:rFonts w:asciiTheme="majorHAnsi" w:hAnsiTheme="majorHAnsi" w:cstheme="majorHAnsi"/>
          <w:sz w:val="24"/>
          <w:szCs w:val="24"/>
          <w:highlight w:val="yellow"/>
        </w:rPr>
        <w:t xml:space="preserve">ed </w:t>
      </w:r>
      <w:r w:rsidR="00BD0CF6" w:rsidRPr="003435B5">
        <w:rPr>
          <w:rFonts w:asciiTheme="majorHAnsi" w:hAnsiTheme="majorHAnsi" w:cstheme="majorHAnsi"/>
          <w:sz w:val="24"/>
          <w:szCs w:val="24"/>
          <w:highlight w:val="yellow"/>
        </w:rPr>
        <w:t>square</w:t>
      </w:r>
      <w:r w:rsidRPr="003435B5">
        <w:rPr>
          <w:rFonts w:asciiTheme="majorHAnsi" w:hAnsiTheme="majorHAnsi" w:cstheme="majorHAnsi"/>
          <w:sz w:val="24"/>
          <w:szCs w:val="24"/>
          <w:highlight w:val="yellow"/>
        </w:rPr>
        <w:t xml:space="preserve"> in </w:t>
      </w:r>
      <w:r w:rsidRPr="003435B5">
        <w:rPr>
          <w:rFonts w:asciiTheme="majorHAnsi" w:hAnsiTheme="majorHAnsi" w:cstheme="majorHAnsi"/>
          <w:b/>
          <w:bCs/>
          <w:sz w:val="24"/>
          <w:szCs w:val="24"/>
          <w:highlight w:val="yellow"/>
        </w:rPr>
        <w:t>Figure 1B</w:t>
      </w:r>
      <w:r w:rsidRPr="003435B5">
        <w:rPr>
          <w:rFonts w:asciiTheme="majorHAnsi" w:hAnsiTheme="majorHAnsi" w:cstheme="majorHAnsi"/>
          <w:sz w:val="24"/>
          <w:szCs w:val="24"/>
          <w:highlight w:val="yellow"/>
        </w:rPr>
        <w:t>). If it is not,</w:t>
      </w:r>
      <w:r w:rsidR="00FC5F3E" w:rsidRPr="003435B5">
        <w:rPr>
          <w:rFonts w:asciiTheme="majorHAnsi" w:hAnsiTheme="majorHAnsi" w:cstheme="majorHAnsi"/>
          <w:sz w:val="24"/>
          <w:szCs w:val="24"/>
          <w:highlight w:val="yellow"/>
        </w:rPr>
        <w:t xml:space="preserve"> click on the dropdown menu and</w:t>
      </w:r>
      <w:r w:rsidRPr="003435B5">
        <w:rPr>
          <w:rFonts w:asciiTheme="majorHAnsi" w:hAnsiTheme="majorHAnsi" w:cstheme="majorHAnsi"/>
          <w:sz w:val="24"/>
          <w:szCs w:val="24"/>
          <w:highlight w:val="yellow"/>
        </w:rPr>
        <w:t xml:space="preserve"> select </w:t>
      </w:r>
      <w:r w:rsidR="00FC5F3E" w:rsidRPr="003435B5">
        <w:rPr>
          <w:rFonts w:asciiTheme="majorHAnsi" w:hAnsiTheme="majorHAnsi" w:cstheme="majorHAnsi"/>
          <w:sz w:val="24"/>
          <w:szCs w:val="24"/>
          <w:highlight w:val="yellow"/>
        </w:rPr>
        <w:t>1.0 mm</w:t>
      </w:r>
      <w:r w:rsidRPr="003435B5">
        <w:rPr>
          <w:rFonts w:asciiTheme="majorHAnsi" w:hAnsiTheme="majorHAnsi" w:cstheme="majorHAnsi"/>
          <w:sz w:val="24"/>
          <w:szCs w:val="24"/>
          <w:highlight w:val="yellow"/>
        </w:rPr>
        <w:t>.</w:t>
      </w:r>
    </w:p>
    <w:p w14:paraId="5962F805" w14:textId="77777777" w:rsidR="003435B5" w:rsidRDefault="003435B5" w:rsidP="003435B5">
      <w:pPr>
        <w:pStyle w:val="ListParagraph"/>
        <w:spacing w:after="0" w:line="240" w:lineRule="auto"/>
        <w:ind w:left="0"/>
        <w:rPr>
          <w:rFonts w:asciiTheme="majorHAnsi" w:hAnsiTheme="majorHAnsi" w:cstheme="majorHAnsi"/>
          <w:sz w:val="24"/>
          <w:szCs w:val="24"/>
          <w:highlight w:val="yellow"/>
        </w:rPr>
      </w:pPr>
    </w:p>
    <w:p w14:paraId="7B5E106B" w14:textId="0141EE63" w:rsidR="002628C9" w:rsidRPr="003435B5" w:rsidRDefault="0072711F" w:rsidP="003435B5">
      <w:pPr>
        <w:pStyle w:val="ListParagraph"/>
        <w:numPr>
          <w:ilvl w:val="1"/>
          <w:numId w:val="13"/>
        </w:numPr>
        <w:spacing w:after="0" w:line="240" w:lineRule="auto"/>
        <w:ind w:left="0" w:firstLine="0"/>
        <w:rPr>
          <w:rFonts w:asciiTheme="majorHAnsi" w:hAnsiTheme="majorHAnsi" w:cstheme="majorHAnsi"/>
          <w:sz w:val="24"/>
          <w:szCs w:val="24"/>
          <w:highlight w:val="yellow"/>
        </w:rPr>
      </w:pPr>
      <w:r w:rsidRPr="003435B5">
        <w:rPr>
          <w:rFonts w:asciiTheme="majorHAnsi" w:hAnsiTheme="majorHAnsi" w:cstheme="majorHAnsi"/>
          <w:sz w:val="24"/>
          <w:szCs w:val="24"/>
          <w:highlight w:val="yellow"/>
        </w:rPr>
        <w:t xml:space="preserve">Under the Basic Shapes menu on the right (blue </w:t>
      </w:r>
      <w:r w:rsidR="00BD0CF6" w:rsidRPr="003435B5">
        <w:rPr>
          <w:rFonts w:asciiTheme="majorHAnsi" w:hAnsiTheme="majorHAnsi" w:cstheme="majorHAnsi"/>
          <w:sz w:val="24"/>
          <w:szCs w:val="24"/>
          <w:highlight w:val="yellow"/>
        </w:rPr>
        <w:t>square</w:t>
      </w:r>
      <w:r w:rsidRPr="003435B5">
        <w:rPr>
          <w:rFonts w:asciiTheme="majorHAnsi" w:hAnsiTheme="majorHAnsi" w:cstheme="majorHAnsi"/>
          <w:sz w:val="24"/>
          <w:szCs w:val="24"/>
          <w:highlight w:val="yellow"/>
        </w:rPr>
        <w:t xml:space="preserve"> 2 in </w:t>
      </w:r>
      <w:r w:rsidRPr="003435B5">
        <w:rPr>
          <w:rFonts w:asciiTheme="majorHAnsi" w:hAnsiTheme="majorHAnsi" w:cstheme="majorHAnsi"/>
          <w:b/>
          <w:bCs/>
          <w:sz w:val="24"/>
          <w:szCs w:val="24"/>
          <w:highlight w:val="yellow"/>
        </w:rPr>
        <w:t>Figure 1B</w:t>
      </w:r>
      <w:r w:rsidRPr="003435B5">
        <w:rPr>
          <w:rFonts w:asciiTheme="majorHAnsi" w:hAnsiTheme="majorHAnsi" w:cstheme="majorHAnsi"/>
          <w:sz w:val="24"/>
          <w:szCs w:val="24"/>
          <w:highlight w:val="yellow"/>
        </w:rPr>
        <w:t xml:space="preserve">), select a solid box </w:t>
      </w:r>
      <w:r w:rsidR="00F91127" w:rsidRPr="003435B5">
        <w:rPr>
          <w:rFonts w:asciiTheme="majorHAnsi" w:hAnsiTheme="majorHAnsi" w:cstheme="majorHAnsi"/>
          <w:sz w:val="24"/>
          <w:szCs w:val="24"/>
          <w:highlight w:val="yellow"/>
        </w:rPr>
        <w:t xml:space="preserve">and drag </w:t>
      </w:r>
      <w:r w:rsidR="00FC5F3E" w:rsidRPr="003435B5">
        <w:rPr>
          <w:rFonts w:asciiTheme="majorHAnsi" w:hAnsiTheme="majorHAnsi" w:cstheme="majorHAnsi"/>
          <w:sz w:val="24"/>
          <w:szCs w:val="24"/>
          <w:highlight w:val="yellow"/>
        </w:rPr>
        <w:t>it</w:t>
      </w:r>
      <w:r w:rsidR="00F91127" w:rsidRPr="003435B5">
        <w:rPr>
          <w:rFonts w:asciiTheme="majorHAnsi" w:hAnsiTheme="majorHAnsi" w:cstheme="majorHAnsi"/>
          <w:sz w:val="24"/>
          <w:szCs w:val="24"/>
          <w:highlight w:val="yellow"/>
        </w:rPr>
        <w:t xml:space="preserve"> to the center of the workplane</w:t>
      </w:r>
      <w:r w:rsidR="00E54F53" w:rsidRPr="003435B5">
        <w:rPr>
          <w:rFonts w:asciiTheme="majorHAnsi" w:hAnsiTheme="majorHAnsi" w:cstheme="majorHAnsi"/>
          <w:sz w:val="24"/>
          <w:szCs w:val="24"/>
          <w:highlight w:val="yellow"/>
        </w:rPr>
        <w:t>.</w:t>
      </w:r>
    </w:p>
    <w:p w14:paraId="49393C2E" w14:textId="77777777" w:rsidR="003435B5" w:rsidRPr="003435B5" w:rsidRDefault="003435B5" w:rsidP="003435B5">
      <w:pPr>
        <w:pStyle w:val="ListParagraph"/>
        <w:spacing w:after="0" w:line="240" w:lineRule="auto"/>
        <w:ind w:left="0"/>
        <w:rPr>
          <w:rFonts w:asciiTheme="majorHAnsi" w:hAnsiTheme="majorHAnsi" w:cstheme="majorHAnsi"/>
          <w:sz w:val="24"/>
          <w:szCs w:val="24"/>
        </w:rPr>
      </w:pPr>
    </w:p>
    <w:p w14:paraId="5E0211D4" w14:textId="35E22F59" w:rsidR="00BC3482" w:rsidRPr="003435B5" w:rsidRDefault="002628C9" w:rsidP="003435B5">
      <w:pPr>
        <w:pStyle w:val="ListParagraph"/>
        <w:numPr>
          <w:ilvl w:val="1"/>
          <w:numId w:val="13"/>
        </w:numPr>
        <w:spacing w:after="0" w:line="240" w:lineRule="auto"/>
        <w:ind w:left="0" w:firstLine="0"/>
        <w:rPr>
          <w:rFonts w:asciiTheme="majorHAnsi" w:hAnsiTheme="majorHAnsi" w:cstheme="majorHAnsi"/>
          <w:sz w:val="24"/>
          <w:szCs w:val="24"/>
        </w:rPr>
      </w:pPr>
      <w:r w:rsidRPr="003435B5">
        <w:rPr>
          <w:rFonts w:asciiTheme="majorHAnsi" w:hAnsiTheme="majorHAnsi" w:cstheme="majorHAnsi"/>
          <w:sz w:val="24"/>
          <w:szCs w:val="24"/>
          <w:highlight w:val="yellow"/>
        </w:rPr>
        <w:t>C</w:t>
      </w:r>
      <w:r w:rsidR="00F91127" w:rsidRPr="003435B5">
        <w:rPr>
          <w:rFonts w:asciiTheme="majorHAnsi" w:hAnsiTheme="majorHAnsi" w:cstheme="majorHAnsi"/>
          <w:sz w:val="24"/>
          <w:szCs w:val="24"/>
          <w:highlight w:val="yellow"/>
        </w:rPr>
        <w:t xml:space="preserve">lick </w:t>
      </w:r>
      <w:r w:rsidR="00317806" w:rsidRPr="003435B5">
        <w:rPr>
          <w:rFonts w:asciiTheme="majorHAnsi" w:hAnsiTheme="majorHAnsi" w:cstheme="majorHAnsi"/>
          <w:sz w:val="24"/>
          <w:szCs w:val="24"/>
          <w:highlight w:val="yellow"/>
        </w:rPr>
        <w:t>anywhere o</w:t>
      </w:r>
      <w:r w:rsidRPr="003435B5">
        <w:rPr>
          <w:rFonts w:asciiTheme="majorHAnsi" w:hAnsiTheme="majorHAnsi" w:cstheme="majorHAnsi"/>
          <w:sz w:val="24"/>
          <w:szCs w:val="24"/>
          <w:highlight w:val="yellow"/>
        </w:rPr>
        <w:t xml:space="preserve">n the box in </w:t>
      </w:r>
      <w:r w:rsidR="003435B5">
        <w:rPr>
          <w:rFonts w:asciiTheme="majorHAnsi" w:hAnsiTheme="majorHAnsi" w:cstheme="majorHAnsi"/>
          <w:sz w:val="24"/>
          <w:szCs w:val="24"/>
          <w:highlight w:val="yellow"/>
        </w:rPr>
        <w:t>the</w:t>
      </w:r>
      <w:r w:rsidRPr="003435B5">
        <w:rPr>
          <w:rFonts w:asciiTheme="majorHAnsi" w:hAnsiTheme="majorHAnsi" w:cstheme="majorHAnsi"/>
          <w:sz w:val="24"/>
          <w:szCs w:val="24"/>
          <w:highlight w:val="yellow"/>
        </w:rPr>
        <w:t xml:space="preserve"> workplane </w:t>
      </w:r>
      <w:r w:rsidR="00F91127" w:rsidRPr="003435B5">
        <w:rPr>
          <w:rFonts w:asciiTheme="majorHAnsi" w:hAnsiTheme="majorHAnsi" w:cstheme="majorHAnsi"/>
          <w:sz w:val="24"/>
          <w:szCs w:val="24"/>
          <w:highlight w:val="yellow"/>
        </w:rPr>
        <w:t xml:space="preserve">with the </w:t>
      </w:r>
      <w:r w:rsidRPr="003435B5">
        <w:rPr>
          <w:rFonts w:asciiTheme="majorHAnsi" w:hAnsiTheme="majorHAnsi" w:cstheme="majorHAnsi"/>
          <w:sz w:val="24"/>
          <w:szCs w:val="24"/>
          <w:highlight w:val="yellow"/>
        </w:rPr>
        <w:t xml:space="preserve">mouse´s left button </w:t>
      </w:r>
      <w:r w:rsidR="00F91127" w:rsidRPr="003435B5">
        <w:rPr>
          <w:rFonts w:asciiTheme="majorHAnsi" w:hAnsiTheme="majorHAnsi" w:cstheme="majorHAnsi"/>
          <w:sz w:val="24"/>
          <w:szCs w:val="24"/>
          <w:highlight w:val="yellow"/>
        </w:rPr>
        <w:t xml:space="preserve">to see </w:t>
      </w:r>
      <w:r w:rsidR="00410654" w:rsidRPr="003435B5">
        <w:rPr>
          <w:rFonts w:asciiTheme="majorHAnsi" w:hAnsiTheme="majorHAnsi" w:cstheme="majorHAnsi"/>
          <w:sz w:val="24"/>
          <w:szCs w:val="24"/>
          <w:highlight w:val="yellow"/>
        </w:rPr>
        <w:t>its</w:t>
      </w:r>
      <w:r w:rsidR="00F91127" w:rsidRPr="003435B5">
        <w:rPr>
          <w:rFonts w:asciiTheme="majorHAnsi" w:hAnsiTheme="majorHAnsi" w:cstheme="majorHAnsi"/>
          <w:sz w:val="24"/>
          <w:szCs w:val="24"/>
          <w:highlight w:val="yellow"/>
        </w:rPr>
        <w:t xml:space="preserve"> </w:t>
      </w:r>
      <w:r w:rsidR="00317806" w:rsidRPr="003435B5">
        <w:rPr>
          <w:rFonts w:asciiTheme="majorHAnsi" w:hAnsiTheme="majorHAnsi" w:cstheme="majorHAnsi"/>
          <w:sz w:val="24"/>
          <w:szCs w:val="24"/>
          <w:highlight w:val="yellow"/>
        </w:rPr>
        <w:t xml:space="preserve">edges and </w:t>
      </w:r>
      <w:r w:rsidR="00F91127" w:rsidRPr="003435B5">
        <w:rPr>
          <w:rFonts w:asciiTheme="majorHAnsi" w:hAnsiTheme="majorHAnsi" w:cstheme="majorHAnsi"/>
          <w:sz w:val="24"/>
          <w:szCs w:val="24"/>
          <w:highlight w:val="yellow"/>
        </w:rPr>
        <w:t xml:space="preserve">vertices. </w:t>
      </w:r>
      <w:r w:rsidR="00317806" w:rsidRPr="003435B5">
        <w:rPr>
          <w:rFonts w:asciiTheme="majorHAnsi" w:hAnsiTheme="majorHAnsi" w:cstheme="majorHAnsi"/>
          <w:sz w:val="24"/>
          <w:szCs w:val="24"/>
          <w:highlight w:val="yellow"/>
        </w:rPr>
        <w:t>C</w:t>
      </w:r>
      <w:r w:rsidR="00F91127" w:rsidRPr="003435B5">
        <w:rPr>
          <w:rFonts w:asciiTheme="majorHAnsi" w:hAnsiTheme="majorHAnsi" w:cstheme="majorHAnsi"/>
          <w:sz w:val="24"/>
          <w:szCs w:val="24"/>
          <w:highlight w:val="yellow"/>
        </w:rPr>
        <w:t xml:space="preserve">lick </w:t>
      </w:r>
      <w:r w:rsidR="00317806" w:rsidRPr="003435B5">
        <w:rPr>
          <w:rFonts w:asciiTheme="majorHAnsi" w:hAnsiTheme="majorHAnsi" w:cstheme="majorHAnsi"/>
          <w:sz w:val="24"/>
          <w:szCs w:val="24"/>
          <w:highlight w:val="yellow"/>
        </w:rPr>
        <w:t xml:space="preserve">on any vertex </w:t>
      </w:r>
      <w:r w:rsidR="00F91127" w:rsidRPr="003435B5">
        <w:rPr>
          <w:rFonts w:asciiTheme="majorHAnsi" w:hAnsiTheme="majorHAnsi" w:cstheme="majorHAnsi"/>
          <w:sz w:val="24"/>
          <w:szCs w:val="24"/>
          <w:highlight w:val="yellow"/>
        </w:rPr>
        <w:t>(</w:t>
      </w:r>
      <w:r w:rsidR="0046572D" w:rsidRPr="003435B5">
        <w:rPr>
          <w:rFonts w:asciiTheme="majorHAnsi" w:hAnsiTheme="majorHAnsi" w:cstheme="majorHAnsi"/>
          <w:sz w:val="24"/>
          <w:szCs w:val="24"/>
          <w:highlight w:val="yellow"/>
        </w:rPr>
        <w:t>which</w:t>
      </w:r>
      <w:r w:rsidR="00F91127" w:rsidRPr="003435B5">
        <w:rPr>
          <w:rFonts w:asciiTheme="majorHAnsi" w:hAnsiTheme="majorHAnsi" w:cstheme="majorHAnsi"/>
          <w:sz w:val="24"/>
          <w:szCs w:val="24"/>
          <w:highlight w:val="yellow"/>
        </w:rPr>
        <w:t xml:space="preserve"> </w:t>
      </w:r>
      <w:r w:rsidR="00317806" w:rsidRPr="003435B5">
        <w:rPr>
          <w:rFonts w:asciiTheme="majorHAnsi" w:hAnsiTheme="majorHAnsi" w:cstheme="majorHAnsi"/>
          <w:sz w:val="24"/>
          <w:szCs w:val="24"/>
          <w:highlight w:val="yellow"/>
        </w:rPr>
        <w:t>will then turn</w:t>
      </w:r>
      <w:r w:rsidR="00F91127" w:rsidRPr="003435B5">
        <w:rPr>
          <w:rFonts w:asciiTheme="majorHAnsi" w:hAnsiTheme="majorHAnsi" w:cstheme="majorHAnsi"/>
          <w:sz w:val="24"/>
          <w:szCs w:val="24"/>
          <w:highlight w:val="yellow"/>
        </w:rPr>
        <w:t xml:space="preserve"> red) </w:t>
      </w:r>
      <w:r w:rsidR="00317806" w:rsidRPr="003435B5">
        <w:rPr>
          <w:rFonts w:asciiTheme="majorHAnsi" w:hAnsiTheme="majorHAnsi" w:cstheme="majorHAnsi"/>
          <w:sz w:val="24"/>
          <w:szCs w:val="24"/>
          <w:highlight w:val="yellow"/>
        </w:rPr>
        <w:t xml:space="preserve">to </w:t>
      </w:r>
      <w:r w:rsidR="00F91127" w:rsidRPr="003435B5">
        <w:rPr>
          <w:rFonts w:asciiTheme="majorHAnsi" w:hAnsiTheme="majorHAnsi" w:cstheme="majorHAnsi"/>
          <w:sz w:val="24"/>
          <w:szCs w:val="24"/>
          <w:highlight w:val="yellow"/>
        </w:rPr>
        <w:t xml:space="preserve">show the </w:t>
      </w:r>
      <w:r w:rsidR="00410654" w:rsidRPr="003435B5">
        <w:rPr>
          <w:rFonts w:asciiTheme="majorHAnsi" w:hAnsiTheme="majorHAnsi" w:cstheme="majorHAnsi"/>
          <w:sz w:val="24"/>
          <w:szCs w:val="24"/>
          <w:highlight w:val="yellow"/>
        </w:rPr>
        <w:t>box</w:t>
      </w:r>
      <w:r w:rsidR="00F91127" w:rsidRPr="003435B5">
        <w:rPr>
          <w:rFonts w:asciiTheme="majorHAnsi" w:hAnsiTheme="majorHAnsi" w:cstheme="majorHAnsi"/>
          <w:sz w:val="24"/>
          <w:szCs w:val="24"/>
          <w:highlight w:val="yellow"/>
        </w:rPr>
        <w:t xml:space="preserve"> dimensions </w:t>
      </w:r>
      <w:r w:rsidR="00F91127" w:rsidRPr="003435B5">
        <w:rPr>
          <w:rFonts w:asciiTheme="majorHAnsi" w:hAnsiTheme="majorHAnsi" w:cstheme="majorHAnsi"/>
          <w:sz w:val="24"/>
          <w:szCs w:val="24"/>
          <w:highlight w:val="yellow"/>
        </w:rPr>
        <w:lastRenderedPageBreak/>
        <w:t>(</w:t>
      </w:r>
      <w:r w:rsidR="00410654" w:rsidRPr="003435B5">
        <w:rPr>
          <w:rFonts w:asciiTheme="majorHAnsi" w:hAnsiTheme="majorHAnsi" w:cstheme="majorHAnsi"/>
          <w:sz w:val="24"/>
          <w:szCs w:val="24"/>
          <w:highlight w:val="yellow"/>
        </w:rPr>
        <w:t>r</w:t>
      </w:r>
      <w:r w:rsidR="00F91127" w:rsidRPr="003435B5">
        <w:rPr>
          <w:rFonts w:asciiTheme="majorHAnsi" w:hAnsiTheme="majorHAnsi" w:cstheme="majorHAnsi"/>
          <w:sz w:val="24"/>
          <w:szCs w:val="24"/>
          <w:highlight w:val="yellow"/>
        </w:rPr>
        <w:t xml:space="preserve">ed </w:t>
      </w:r>
      <w:r w:rsidR="00BD0CF6" w:rsidRPr="003435B5">
        <w:rPr>
          <w:rFonts w:asciiTheme="majorHAnsi" w:hAnsiTheme="majorHAnsi" w:cstheme="majorHAnsi"/>
          <w:sz w:val="24"/>
          <w:szCs w:val="24"/>
          <w:highlight w:val="yellow"/>
        </w:rPr>
        <w:t>squar</w:t>
      </w:r>
      <w:r w:rsidR="00F91127" w:rsidRPr="003435B5">
        <w:rPr>
          <w:rFonts w:asciiTheme="majorHAnsi" w:hAnsiTheme="majorHAnsi" w:cstheme="majorHAnsi"/>
          <w:sz w:val="24"/>
          <w:szCs w:val="24"/>
          <w:highlight w:val="yellow"/>
        </w:rPr>
        <w:t xml:space="preserve">es in </w:t>
      </w:r>
      <w:r w:rsidR="00F91127" w:rsidRPr="003435B5">
        <w:rPr>
          <w:rFonts w:asciiTheme="majorHAnsi" w:hAnsiTheme="majorHAnsi" w:cstheme="majorHAnsi"/>
          <w:b/>
          <w:bCs/>
          <w:sz w:val="24"/>
          <w:szCs w:val="24"/>
          <w:highlight w:val="yellow"/>
        </w:rPr>
        <w:t>Figure 1D</w:t>
      </w:r>
      <w:r w:rsidR="00F91127" w:rsidRPr="003435B5">
        <w:rPr>
          <w:rFonts w:asciiTheme="majorHAnsi" w:hAnsiTheme="majorHAnsi" w:cstheme="majorHAnsi"/>
          <w:sz w:val="24"/>
          <w:szCs w:val="24"/>
          <w:highlight w:val="yellow"/>
        </w:rPr>
        <w:t xml:space="preserve">). </w:t>
      </w:r>
      <w:r w:rsidR="0046572D" w:rsidRPr="003435B5">
        <w:rPr>
          <w:rFonts w:asciiTheme="majorHAnsi" w:hAnsiTheme="majorHAnsi" w:cstheme="majorHAnsi"/>
          <w:sz w:val="24"/>
          <w:szCs w:val="24"/>
          <w:highlight w:val="yellow"/>
        </w:rPr>
        <w:t>C</w:t>
      </w:r>
      <w:r w:rsidR="00F91127" w:rsidRPr="003435B5">
        <w:rPr>
          <w:rFonts w:asciiTheme="majorHAnsi" w:hAnsiTheme="majorHAnsi" w:cstheme="majorHAnsi"/>
          <w:sz w:val="24"/>
          <w:szCs w:val="24"/>
          <w:highlight w:val="yellow"/>
        </w:rPr>
        <w:t>lick with the</w:t>
      </w:r>
      <w:r w:rsidR="0046572D" w:rsidRPr="003435B5">
        <w:rPr>
          <w:rFonts w:asciiTheme="majorHAnsi" w:hAnsiTheme="majorHAnsi" w:cstheme="majorHAnsi"/>
          <w:sz w:val="24"/>
          <w:szCs w:val="24"/>
          <w:highlight w:val="yellow"/>
        </w:rPr>
        <w:t xml:space="preserve"> mouse´s left button</w:t>
      </w:r>
      <w:r w:rsidR="00F91127" w:rsidRPr="003435B5">
        <w:rPr>
          <w:rFonts w:asciiTheme="majorHAnsi" w:hAnsiTheme="majorHAnsi" w:cstheme="majorHAnsi"/>
          <w:sz w:val="24"/>
          <w:szCs w:val="24"/>
          <w:highlight w:val="yellow"/>
        </w:rPr>
        <w:t xml:space="preserve"> </w:t>
      </w:r>
      <w:r w:rsidR="0046572D" w:rsidRPr="003435B5">
        <w:rPr>
          <w:rFonts w:asciiTheme="majorHAnsi" w:hAnsiTheme="majorHAnsi" w:cstheme="majorHAnsi"/>
          <w:sz w:val="24"/>
          <w:szCs w:val="24"/>
          <w:highlight w:val="yellow"/>
        </w:rPr>
        <w:t>on</w:t>
      </w:r>
      <w:r w:rsidR="00F91127" w:rsidRPr="003435B5">
        <w:rPr>
          <w:rFonts w:asciiTheme="majorHAnsi" w:hAnsiTheme="majorHAnsi" w:cstheme="majorHAnsi"/>
          <w:sz w:val="24"/>
          <w:szCs w:val="24"/>
          <w:highlight w:val="yellow"/>
        </w:rPr>
        <w:t xml:space="preserve"> </w:t>
      </w:r>
      <w:r w:rsidR="0046572D" w:rsidRPr="003435B5">
        <w:rPr>
          <w:rFonts w:asciiTheme="majorHAnsi" w:hAnsiTheme="majorHAnsi" w:cstheme="majorHAnsi"/>
          <w:sz w:val="24"/>
          <w:szCs w:val="24"/>
          <w:highlight w:val="yellow"/>
        </w:rPr>
        <w:t>each</w:t>
      </w:r>
      <w:r w:rsidR="00F91127" w:rsidRPr="003435B5">
        <w:rPr>
          <w:rFonts w:asciiTheme="majorHAnsi" w:hAnsiTheme="majorHAnsi" w:cstheme="majorHAnsi"/>
          <w:sz w:val="24"/>
          <w:szCs w:val="24"/>
          <w:highlight w:val="yellow"/>
        </w:rPr>
        <w:t xml:space="preserve"> dimension</w:t>
      </w:r>
      <w:r w:rsidR="0046572D" w:rsidRPr="003435B5">
        <w:rPr>
          <w:rFonts w:asciiTheme="majorHAnsi" w:hAnsiTheme="majorHAnsi" w:cstheme="majorHAnsi"/>
          <w:sz w:val="24"/>
          <w:szCs w:val="24"/>
          <w:highlight w:val="yellow"/>
        </w:rPr>
        <w:t xml:space="preserve"> and type</w:t>
      </w:r>
      <w:r w:rsidR="00F91127" w:rsidRPr="003435B5">
        <w:rPr>
          <w:rFonts w:asciiTheme="majorHAnsi" w:hAnsiTheme="majorHAnsi" w:cstheme="majorHAnsi"/>
          <w:sz w:val="24"/>
          <w:szCs w:val="24"/>
          <w:highlight w:val="yellow"/>
        </w:rPr>
        <w:t xml:space="preserve"> 130 </w:t>
      </w:r>
      <w:r w:rsidR="0046572D" w:rsidRPr="003435B5">
        <w:rPr>
          <w:rFonts w:asciiTheme="majorHAnsi" w:hAnsiTheme="majorHAnsi" w:cstheme="majorHAnsi"/>
          <w:sz w:val="24"/>
          <w:szCs w:val="24"/>
          <w:highlight w:val="yellow"/>
        </w:rPr>
        <w:t xml:space="preserve">mm for </w:t>
      </w:r>
      <w:r w:rsidR="00F91127" w:rsidRPr="003435B5">
        <w:rPr>
          <w:rFonts w:asciiTheme="majorHAnsi" w:hAnsiTheme="majorHAnsi" w:cstheme="majorHAnsi"/>
          <w:sz w:val="24"/>
          <w:szCs w:val="24"/>
          <w:highlight w:val="yellow"/>
        </w:rPr>
        <w:t xml:space="preserve">length </w:t>
      </w:r>
      <w:r w:rsidR="0046572D" w:rsidRPr="003435B5">
        <w:rPr>
          <w:rFonts w:asciiTheme="majorHAnsi" w:hAnsiTheme="majorHAnsi" w:cstheme="majorHAnsi"/>
          <w:sz w:val="24"/>
          <w:szCs w:val="24"/>
          <w:highlight w:val="yellow"/>
        </w:rPr>
        <w:t>(</w:t>
      </w:r>
      <w:r w:rsidR="00F91127" w:rsidRPr="003435B5">
        <w:rPr>
          <w:rFonts w:asciiTheme="majorHAnsi" w:hAnsiTheme="majorHAnsi" w:cstheme="majorHAnsi"/>
          <w:sz w:val="24"/>
          <w:szCs w:val="24"/>
          <w:highlight w:val="yellow"/>
        </w:rPr>
        <w:t>L)</w:t>
      </w:r>
      <w:r w:rsidR="0046572D" w:rsidRPr="003435B5">
        <w:rPr>
          <w:rFonts w:asciiTheme="majorHAnsi" w:hAnsiTheme="majorHAnsi" w:cstheme="majorHAnsi"/>
          <w:sz w:val="24"/>
          <w:szCs w:val="24"/>
          <w:highlight w:val="yellow"/>
        </w:rPr>
        <w:t>,</w:t>
      </w:r>
      <w:r w:rsidR="00F91127" w:rsidRPr="003435B5">
        <w:rPr>
          <w:rFonts w:asciiTheme="majorHAnsi" w:hAnsiTheme="majorHAnsi" w:cstheme="majorHAnsi"/>
          <w:sz w:val="24"/>
          <w:szCs w:val="24"/>
          <w:highlight w:val="yellow"/>
        </w:rPr>
        <w:t xml:space="preserve"> 130 </w:t>
      </w:r>
      <w:r w:rsidR="0046572D" w:rsidRPr="003435B5">
        <w:rPr>
          <w:rFonts w:asciiTheme="majorHAnsi" w:hAnsiTheme="majorHAnsi" w:cstheme="majorHAnsi"/>
          <w:sz w:val="24"/>
          <w:szCs w:val="24"/>
          <w:highlight w:val="yellow"/>
        </w:rPr>
        <w:t xml:space="preserve">mm for </w:t>
      </w:r>
      <w:r w:rsidR="00F91127" w:rsidRPr="003435B5">
        <w:rPr>
          <w:rFonts w:asciiTheme="majorHAnsi" w:hAnsiTheme="majorHAnsi" w:cstheme="majorHAnsi"/>
          <w:sz w:val="24"/>
          <w:szCs w:val="24"/>
          <w:highlight w:val="yellow"/>
        </w:rPr>
        <w:t xml:space="preserve">width </w:t>
      </w:r>
      <w:r w:rsidR="0046572D" w:rsidRPr="003435B5">
        <w:rPr>
          <w:rFonts w:asciiTheme="majorHAnsi" w:hAnsiTheme="majorHAnsi" w:cstheme="majorHAnsi"/>
          <w:sz w:val="24"/>
          <w:szCs w:val="24"/>
          <w:highlight w:val="yellow"/>
        </w:rPr>
        <w:t>(</w:t>
      </w:r>
      <w:r w:rsidR="00F91127" w:rsidRPr="003435B5">
        <w:rPr>
          <w:rFonts w:asciiTheme="majorHAnsi" w:hAnsiTheme="majorHAnsi" w:cstheme="majorHAnsi"/>
          <w:sz w:val="24"/>
          <w:szCs w:val="24"/>
          <w:highlight w:val="yellow"/>
        </w:rPr>
        <w:t xml:space="preserve">W) </w:t>
      </w:r>
      <w:r w:rsidR="0046572D" w:rsidRPr="003435B5">
        <w:rPr>
          <w:rFonts w:asciiTheme="majorHAnsi" w:hAnsiTheme="majorHAnsi" w:cstheme="majorHAnsi"/>
          <w:sz w:val="24"/>
          <w:szCs w:val="24"/>
          <w:highlight w:val="yellow"/>
        </w:rPr>
        <w:t>and</w:t>
      </w:r>
      <w:r w:rsidR="00F91127" w:rsidRPr="003435B5">
        <w:rPr>
          <w:rFonts w:asciiTheme="majorHAnsi" w:hAnsiTheme="majorHAnsi" w:cstheme="majorHAnsi"/>
          <w:sz w:val="24"/>
          <w:szCs w:val="24"/>
          <w:highlight w:val="yellow"/>
        </w:rPr>
        <w:t xml:space="preserve"> 40 </w:t>
      </w:r>
      <w:r w:rsidR="0046572D" w:rsidRPr="003435B5">
        <w:rPr>
          <w:rFonts w:asciiTheme="majorHAnsi" w:hAnsiTheme="majorHAnsi" w:cstheme="majorHAnsi"/>
          <w:sz w:val="24"/>
          <w:szCs w:val="24"/>
          <w:highlight w:val="yellow"/>
        </w:rPr>
        <w:t xml:space="preserve">mm for </w:t>
      </w:r>
      <w:r w:rsidR="00F91127" w:rsidRPr="003435B5">
        <w:rPr>
          <w:rFonts w:asciiTheme="majorHAnsi" w:hAnsiTheme="majorHAnsi" w:cstheme="majorHAnsi"/>
          <w:sz w:val="24"/>
          <w:szCs w:val="24"/>
          <w:highlight w:val="yellow"/>
        </w:rPr>
        <w:t xml:space="preserve">height </w:t>
      </w:r>
      <w:r w:rsidR="0046572D" w:rsidRPr="003435B5">
        <w:rPr>
          <w:rFonts w:asciiTheme="majorHAnsi" w:hAnsiTheme="majorHAnsi" w:cstheme="majorHAnsi"/>
          <w:sz w:val="24"/>
          <w:szCs w:val="24"/>
          <w:highlight w:val="yellow"/>
        </w:rPr>
        <w:t>(</w:t>
      </w:r>
      <w:r w:rsidR="00F91127" w:rsidRPr="003435B5">
        <w:rPr>
          <w:rFonts w:asciiTheme="majorHAnsi" w:hAnsiTheme="majorHAnsi" w:cstheme="majorHAnsi"/>
          <w:sz w:val="24"/>
          <w:szCs w:val="24"/>
          <w:highlight w:val="yellow"/>
        </w:rPr>
        <w:t>H)</w:t>
      </w:r>
      <w:r w:rsidR="0046572D" w:rsidRPr="003435B5">
        <w:rPr>
          <w:rFonts w:asciiTheme="majorHAnsi" w:hAnsiTheme="majorHAnsi" w:cstheme="majorHAnsi"/>
          <w:sz w:val="24"/>
          <w:szCs w:val="24"/>
          <w:highlight w:val="yellow"/>
        </w:rPr>
        <w:t>.</w:t>
      </w:r>
      <w:r w:rsidR="00F91127" w:rsidRPr="003435B5">
        <w:rPr>
          <w:rFonts w:asciiTheme="majorHAnsi" w:hAnsiTheme="majorHAnsi" w:cstheme="majorHAnsi"/>
          <w:sz w:val="24"/>
          <w:szCs w:val="24"/>
          <w:highlight w:val="yellow"/>
        </w:rPr>
        <w:t xml:space="preserve"> </w:t>
      </w:r>
      <w:r w:rsidR="0046572D" w:rsidRPr="003435B5">
        <w:rPr>
          <w:rFonts w:asciiTheme="majorHAnsi" w:hAnsiTheme="majorHAnsi" w:cstheme="majorHAnsi"/>
          <w:sz w:val="24"/>
          <w:szCs w:val="24"/>
          <w:highlight w:val="yellow"/>
        </w:rPr>
        <w:t>Recenter the box</w:t>
      </w:r>
      <w:r w:rsidR="00F91127" w:rsidRPr="003435B5">
        <w:rPr>
          <w:rFonts w:asciiTheme="majorHAnsi" w:hAnsiTheme="majorHAnsi" w:cstheme="majorHAnsi"/>
          <w:sz w:val="24"/>
          <w:szCs w:val="24"/>
          <w:highlight w:val="yellow"/>
        </w:rPr>
        <w:t xml:space="preserve"> </w:t>
      </w:r>
      <w:r w:rsidR="0046572D" w:rsidRPr="003435B5">
        <w:rPr>
          <w:rFonts w:asciiTheme="majorHAnsi" w:hAnsiTheme="majorHAnsi" w:cstheme="majorHAnsi"/>
          <w:sz w:val="24"/>
          <w:szCs w:val="24"/>
          <w:highlight w:val="yellow"/>
        </w:rPr>
        <w:t>by</w:t>
      </w:r>
      <w:r w:rsidR="00F91127" w:rsidRPr="003435B5">
        <w:rPr>
          <w:rFonts w:asciiTheme="majorHAnsi" w:hAnsiTheme="majorHAnsi" w:cstheme="majorHAnsi"/>
          <w:sz w:val="24"/>
          <w:szCs w:val="24"/>
          <w:highlight w:val="yellow"/>
        </w:rPr>
        <w:t xml:space="preserve"> drag</w:t>
      </w:r>
      <w:r w:rsidR="0046572D" w:rsidRPr="003435B5">
        <w:rPr>
          <w:rFonts w:asciiTheme="majorHAnsi" w:hAnsiTheme="majorHAnsi" w:cstheme="majorHAnsi"/>
          <w:sz w:val="24"/>
          <w:szCs w:val="24"/>
          <w:highlight w:val="yellow"/>
        </w:rPr>
        <w:t>ging it</w:t>
      </w:r>
      <w:r w:rsidR="00F91127" w:rsidRPr="003435B5">
        <w:rPr>
          <w:rFonts w:asciiTheme="majorHAnsi" w:hAnsiTheme="majorHAnsi" w:cstheme="majorHAnsi"/>
          <w:sz w:val="24"/>
          <w:szCs w:val="24"/>
          <w:highlight w:val="yellow"/>
        </w:rPr>
        <w:t xml:space="preserve"> </w:t>
      </w:r>
      <w:r w:rsidR="0046572D" w:rsidRPr="003435B5">
        <w:rPr>
          <w:rFonts w:asciiTheme="majorHAnsi" w:hAnsiTheme="majorHAnsi" w:cstheme="majorHAnsi"/>
          <w:sz w:val="24"/>
          <w:szCs w:val="24"/>
          <w:highlight w:val="yellow"/>
        </w:rPr>
        <w:t>to the middle of</w:t>
      </w:r>
      <w:r w:rsidR="00F91127" w:rsidRPr="003435B5">
        <w:rPr>
          <w:rFonts w:asciiTheme="majorHAnsi" w:hAnsiTheme="majorHAnsi" w:cstheme="majorHAnsi"/>
          <w:sz w:val="24"/>
          <w:szCs w:val="24"/>
          <w:highlight w:val="yellow"/>
        </w:rPr>
        <w:t xml:space="preserve"> the </w:t>
      </w:r>
      <w:proofErr w:type="spellStart"/>
      <w:r w:rsidR="00F91127" w:rsidRPr="003435B5">
        <w:rPr>
          <w:rFonts w:asciiTheme="majorHAnsi" w:hAnsiTheme="majorHAnsi" w:cstheme="majorHAnsi"/>
          <w:sz w:val="24"/>
          <w:szCs w:val="24"/>
          <w:highlight w:val="yellow"/>
        </w:rPr>
        <w:t>workplane</w:t>
      </w:r>
      <w:proofErr w:type="spellEnd"/>
      <w:r w:rsidR="00F91127" w:rsidRPr="003435B5">
        <w:rPr>
          <w:rFonts w:asciiTheme="majorHAnsi" w:hAnsiTheme="majorHAnsi" w:cstheme="majorHAnsi"/>
          <w:sz w:val="24"/>
          <w:szCs w:val="24"/>
          <w:highlight w:val="yellow"/>
        </w:rPr>
        <w:t>.</w:t>
      </w:r>
    </w:p>
    <w:p w14:paraId="5B714A88" w14:textId="77777777" w:rsidR="003435B5" w:rsidRPr="003435B5" w:rsidRDefault="003435B5" w:rsidP="003435B5">
      <w:pPr>
        <w:pStyle w:val="ListParagraph"/>
        <w:spacing w:after="0" w:line="240" w:lineRule="auto"/>
        <w:ind w:left="0"/>
        <w:rPr>
          <w:rFonts w:asciiTheme="majorHAnsi" w:hAnsiTheme="majorHAnsi" w:cstheme="majorHAnsi"/>
          <w:sz w:val="24"/>
          <w:szCs w:val="24"/>
        </w:rPr>
      </w:pPr>
    </w:p>
    <w:p w14:paraId="2405688E" w14:textId="7C17A788" w:rsidR="00BC3482" w:rsidRPr="003435B5" w:rsidRDefault="00EC0744" w:rsidP="003435B5">
      <w:pPr>
        <w:pStyle w:val="ListParagraph"/>
        <w:numPr>
          <w:ilvl w:val="1"/>
          <w:numId w:val="13"/>
        </w:numPr>
        <w:spacing w:after="0" w:line="240" w:lineRule="auto"/>
        <w:ind w:left="0" w:firstLine="0"/>
        <w:rPr>
          <w:rFonts w:asciiTheme="majorHAnsi" w:hAnsiTheme="majorHAnsi" w:cstheme="majorHAnsi"/>
          <w:sz w:val="24"/>
          <w:szCs w:val="24"/>
        </w:rPr>
      </w:pPr>
      <w:r w:rsidRPr="003435B5">
        <w:rPr>
          <w:rFonts w:asciiTheme="majorHAnsi" w:hAnsiTheme="majorHAnsi" w:cstheme="majorHAnsi"/>
          <w:sz w:val="24"/>
          <w:szCs w:val="24"/>
          <w:highlight w:val="yellow"/>
        </w:rPr>
        <w:t>Click on</w:t>
      </w:r>
      <w:r w:rsidR="00F91127" w:rsidRPr="003435B5">
        <w:rPr>
          <w:rFonts w:asciiTheme="majorHAnsi" w:hAnsiTheme="majorHAnsi" w:cstheme="majorHAnsi"/>
          <w:sz w:val="24"/>
          <w:szCs w:val="24"/>
          <w:highlight w:val="yellow"/>
        </w:rPr>
        <w:t xml:space="preserve"> the tool </w:t>
      </w:r>
      <w:r w:rsidR="00BD0CF6" w:rsidRPr="003435B5">
        <w:rPr>
          <w:rFonts w:asciiTheme="majorHAnsi" w:hAnsiTheme="majorHAnsi" w:cstheme="majorHAnsi"/>
          <w:b/>
          <w:bCs/>
          <w:sz w:val="24"/>
          <w:szCs w:val="24"/>
          <w:highlight w:val="yellow"/>
        </w:rPr>
        <w:t>R</w:t>
      </w:r>
      <w:r w:rsidR="00F91127" w:rsidRPr="003435B5">
        <w:rPr>
          <w:rFonts w:asciiTheme="majorHAnsi" w:hAnsiTheme="majorHAnsi" w:cstheme="majorHAnsi"/>
          <w:b/>
          <w:bCs/>
          <w:sz w:val="24"/>
          <w:szCs w:val="24"/>
          <w:highlight w:val="yellow"/>
        </w:rPr>
        <w:t>uler</w:t>
      </w:r>
      <w:r w:rsidR="00F91127" w:rsidRPr="003435B5">
        <w:rPr>
          <w:rFonts w:asciiTheme="majorHAnsi" w:hAnsiTheme="majorHAnsi" w:cstheme="majorHAnsi"/>
          <w:sz w:val="24"/>
          <w:szCs w:val="24"/>
          <w:highlight w:val="yellow"/>
        </w:rPr>
        <w:t xml:space="preserve"> </w:t>
      </w:r>
      <w:r w:rsidR="00BD0CF6" w:rsidRPr="003435B5">
        <w:rPr>
          <w:rFonts w:asciiTheme="majorHAnsi" w:hAnsiTheme="majorHAnsi" w:cstheme="majorHAnsi"/>
          <w:sz w:val="24"/>
          <w:szCs w:val="24"/>
          <w:highlight w:val="yellow"/>
        </w:rPr>
        <w:t xml:space="preserve">on the upper right corner of the screen </w:t>
      </w:r>
      <w:r w:rsidR="00F91127" w:rsidRPr="003435B5">
        <w:rPr>
          <w:rFonts w:asciiTheme="majorHAnsi" w:hAnsiTheme="majorHAnsi" w:cstheme="majorHAnsi"/>
          <w:sz w:val="24"/>
          <w:szCs w:val="24"/>
          <w:highlight w:val="yellow"/>
        </w:rPr>
        <w:t>(</w:t>
      </w:r>
      <w:r w:rsidRPr="003435B5">
        <w:rPr>
          <w:rFonts w:asciiTheme="majorHAnsi" w:hAnsiTheme="majorHAnsi" w:cstheme="majorHAnsi"/>
          <w:sz w:val="24"/>
          <w:szCs w:val="24"/>
          <w:highlight w:val="yellow"/>
        </w:rPr>
        <w:t>r</w:t>
      </w:r>
      <w:r w:rsidR="00F91127" w:rsidRPr="003435B5">
        <w:rPr>
          <w:rFonts w:asciiTheme="majorHAnsi" w:hAnsiTheme="majorHAnsi" w:cstheme="majorHAnsi"/>
          <w:sz w:val="24"/>
          <w:szCs w:val="24"/>
          <w:highlight w:val="yellow"/>
        </w:rPr>
        <w:t xml:space="preserve">ed </w:t>
      </w:r>
      <w:r w:rsidR="00BD0CF6" w:rsidRPr="003435B5">
        <w:rPr>
          <w:rFonts w:asciiTheme="majorHAnsi" w:hAnsiTheme="majorHAnsi" w:cstheme="majorHAnsi"/>
          <w:sz w:val="24"/>
          <w:szCs w:val="24"/>
          <w:highlight w:val="yellow"/>
        </w:rPr>
        <w:t>square</w:t>
      </w:r>
      <w:r w:rsidR="00C03656" w:rsidRPr="003435B5">
        <w:rPr>
          <w:rFonts w:asciiTheme="majorHAnsi" w:hAnsiTheme="majorHAnsi" w:cstheme="majorHAnsi"/>
          <w:sz w:val="24"/>
          <w:szCs w:val="24"/>
          <w:highlight w:val="yellow"/>
        </w:rPr>
        <w:t xml:space="preserve"> 1</w:t>
      </w:r>
      <w:r w:rsidR="00F91127" w:rsidRPr="003435B5">
        <w:rPr>
          <w:rFonts w:asciiTheme="majorHAnsi" w:hAnsiTheme="majorHAnsi" w:cstheme="majorHAnsi"/>
          <w:sz w:val="24"/>
          <w:szCs w:val="24"/>
          <w:highlight w:val="yellow"/>
        </w:rPr>
        <w:t xml:space="preserve"> in </w:t>
      </w:r>
      <w:r w:rsidR="00F91127" w:rsidRPr="003435B5">
        <w:rPr>
          <w:rFonts w:asciiTheme="majorHAnsi" w:hAnsiTheme="majorHAnsi" w:cstheme="majorHAnsi"/>
          <w:b/>
          <w:bCs/>
          <w:sz w:val="24"/>
          <w:szCs w:val="24"/>
          <w:highlight w:val="yellow"/>
        </w:rPr>
        <w:t>Figure 1E</w:t>
      </w:r>
      <w:r w:rsidR="00F91127" w:rsidRPr="003435B5">
        <w:rPr>
          <w:rFonts w:asciiTheme="majorHAnsi" w:hAnsiTheme="majorHAnsi" w:cstheme="majorHAnsi"/>
          <w:sz w:val="24"/>
          <w:szCs w:val="24"/>
          <w:highlight w:val="yellow"/>
        </w:rPr>
        <w:t xml:space="preserve">). </w:t>
      </w:r>
      <w:r w:rsidR="00BD0CF6" w:rsidRPr="003435B5">
        <w:rPr>
          <w:rFonts w:asciiTheme="majorHAnsi" w:hAnsiTheme="majorHAnsi" w:cstheme="majorHAnsi"/>
          <w:sz w:val="24"/>
          <w:szCs w:val="24"/>
          <w:highlight w:val="yellow"/>
        </w:rPr>
        <w:t>Immediately c</w:t>
      </w:r>
      <w:r w:rsidRPr="003435B5">
        <w:rPr>
          <w:rFonts w:asciiTheme="majorHAnsi" w:hAnsiTheme="majorHAnsi" w:cstheme="majorHAnsi"/>
          <w:sz w:val="24"/>
          <w:szCs w:val="24"/>
          <w:highlight w:val="yellow"/>
        </w:rPr>
        <w:t xml:space="preserve">lick on </w:t>
      </w:r>
      <w:r w:rsidR="00F91127" w:rsidRPr="003435B5">
        <w:rPr>
          <w:rFonts w:asciiTheme="majorHAnsi" w:hAnsiTheme="majorHAnsi" w:cstheme="majorHAnsi"/>
          <w:sz w:val="24"/>
          <w:szCs w:val="24"/>
          <w:highlight w:val="yellow"/>
        </w:rPr>
        <w:t>the</w:t>
      </w:r>
      <w:r w:rsidRPr="003435B5">
        <w:rPr>
          <w:rFonts w:asciiTheme="majorHAnsi" w:hAnsiTheme="majorHAnsi" w:cstheme="majorHAnsi"/>
          <w:sz w:val="24"/>
          <w:szCs w:val="24"/>
          <w:highlight w:val="yellow"/>
        </w:rPr>
        <w:t xml:space="preserve"> lower</w:t>
      </w:r>
      <w:r w:rsidR="00F91127" w:rsidRPr="003435B5">
        <w:rPr>
          <w:rFonts w:asciiTheme="majorHAnsi" w:hAnsiTheme="majorHAnsi" w:cstheme="majorHAnsi"/>
          <w:sz w:val="24"/>
          <w:szCs w:val="24"/>
          <w:highlight w:val="yellow"/>
        </w:rPr>
        <w:t xml:space="preserve"> left vert</w:t>
      </w:r>
      <w:r w:rsidR="00125350" w:rsidRPr="003435B5">
        <w:rPr>
          <w:rFonts w:asciiTheme="majorHAnsi" w:hAnsiTheme="majorHAnsi" w:cstheme="majorHAnsi"/>
          <w:sz w:val="24"/>
          <w:szCs w:val="24"/>
          <w:highlight w:val="yellow"/>
        </w:rPr>
        <w:t>ex</w:t>
      </w:r>
      <w:r w:rsidR="00F91127" w:rsidRPr="003435B5">
        <w:rPr>
          <w:rFonts w:asciiTheme="majorHAnsi" w:hAnsiTheme="majorHAnsi" w:cstheme="majorHAnsi"/>
          <w:sz w:val="24"/>
          <w:szCs w:val="24"/>
          <w:highlight w:val="yellow"/>
        </w:rPr>
        <w:t xml:space="preserve"> </w:t>
      </w:r>
      <w:r w:rsidR="00BD0CF6" w:rsidRPr="003435B5">
        <w:rPr>
          <w:rFonts w:asciiTheme="majorHAnsi" w:hAnsiTheme="majorHAnsi" w:cstheme="majorHAnsi"/>
          <w:sz w:val="24"/>
          <w:szCs w:val="24"/>
          <w:highlight w:val="yellow"/>
        </w:rPr>
        <w:t xml:space="preserve">of the box, </w:t>
      </w:r>
      <w:r w:rsidR="00F91127" w:rsidRPr="003435B5">
        <w:rPr>
          <w:rFonts w:asciiTheme="majorHAnsi" w:hAnsiTheme="majorHAnsi" w:cstheme="majorHAnsi"/>
          <w:sz w:val="24"/>
          <w:szCs w:val="24"/>
          <w:highlight w:val="yellow"/>
        </w:rPr>
        <w:t xml:space="preserve">as indicate in </w:t>
      </w:r>
      <w:r w:rsidR="00BD0CF6" w:rsidRPr="003435B5">
        <w:rPr>
          <w:rFonts w:asciiTheme="majorHAnsi" w:hAnsiTheme="majorHAnsi" w:cstheme="majorHAnsi"/>
          <w:b/>
          <w:bCs/>
          <w:sz w:val="24"/>
          <w:szCs w:val="24"/>
          <w:highlight w:val="yellow"/>
        </w:rPr>
        <w:t>F</w:t>
      </w:r>
      <w:r w:rsidR="00F91127" w:rsidRPr="003435B5">
        <w:rPr>
          <w:rFonts w:asciiTheme="majorHAnsi" w:hAnsiTheme="majorHAnsi" w:cstheme="majorHAnsi"/>
          <w:b/>
          <w:bCs/>
          <w:sz w:val="24"/>
          <w:szCs w:val="24"/>
          <w:highlight w:val="yellow"/>
        </w:rPr>
        <w:t>igure 1E</w:t>
      </w:r>
      <w:r w:rsidR="00F91127" w:rsidRPr="003435B5">
        <w:rPr>
          <w:rFonts w:asciiTheme="majorHAnsi" w:hAnsiTheme="majorHAnsi" w:cstheme="majorHAnsi"/>
          <w:sz w:val="24"/>
          <w:szCs w:val="24"/>
          <w:highlight w:val="yellow"/>
        </w:rPr>
        <w:t xml:space="preserve"> (</w:t>
      </w:r>
      <w:r w:rsidR="00C03656" w:rsidRPr="003435B5">
        <w:rPr>
          <w:rFonts w:asciiTheme="majorHAnsi" w:hAnsiTheme="majorHAnsi" w:cstheme="majorHAnsi"/>
          <w:sz w:val="24"/>
          <w:szCs w:val="24"/>
          <w:highlight w:val="yellow"/>
        </w:rPr>
        <w:t>red</w:t>
      </w:r>
      <w:r w:rsidR="00F91127" w:rsidRPr="003435B5">
        <w:rPr>
          <w:rFonts w:asciiTheme="majorHAnsi" w:hAnsiTheme="majorHAnsi" w:cstheme="majorHAnsi"/>
          <w:sz w:val="24"/>
          <w:szCs w:val="24"/>
          <w:highlight w:val="yellow"/>
        </w:rPr>
        <w:t xml:space="preserve"> </w:t>
      </w:r>
      <w:r w:rsidR="00BD0CF6" w:rsidRPr="003435B5">
        <w:rPr>
          <w:rFonts w:asciiTheme="majorHAnsi" w:hAnsiTheme="majorHAnsi" w:cstheme="majorHAnsi"/>
          <w:sz w:val="24"/>
          <w:szCs w:val="24"/>
          <w:highlight w:val="yellow"/>
        </w:rPr>
        <w:t>square</w:t>
      </w:r>
      <w:r w:rsidR="00C03656" w:rsidRPr="003435B5">
        <w:rPr>
          <w:rFonts w:asciiTheme="majorHAnsi" w:hAnsiTheme="majorHAnsi" w:cstheme="majorHAnsi"/>
          <w:sz w:val="24"/>
          <w:szCs w:val="24"/>
          <w:highlight w:val="yellow"/>
        </w:rPr>
        <w:t xml:space="preserve"> 2</w:t>
      </w:r>
      <w:r w:rsidR="00F91127" w:rsidRPr="003435B5">
        <w:rPr>
          <w:rFonts w:asciiTheme="majorHAnsi" w:hAnsiTheme="majorHAnsi" w:cstheme="majorHAnsi"/>
          <w:sz w:val="24"/>
          <w:szCs w:val="24"/>
          <w:highlight w:val="yellow"/>
        </w:rPr>
        <w:t>)</w:t>
      </w:r>
      <w:r w:rsidR="00BD0CF6" w:rsidRPr="003435B5">
        <w:rPr>
          <w:rFonts w:asciiTheme="majorHAnsi" w:hAnsiTheme="majorHAnsi" w:cstheme="majorHAnsi"/>
          <w:sz w:val="24"/>
          <w:szCs w:val="24"/>
          <w:highlight w:val="yellow"/>
        </w:rPr>
        <w:t>,</w:t>
      </w:r>
      <w:r w:rsidR="00F91127" w:rsidRPr="003435B5">
        <w:rPr>
          <w:rFonts w:asciiTheme="majorHAnsi" w:hAnsiTheme="majorHAnsi" w:cstheme="majorHAnsi"/>
          <w:sz w:val="24"/>
          <w:szCs w:val="24"/>
          <w:highlight w:val="yellow"/>
        </w:rPr>
        <w:t xml:space="preserve"> </w:t>
      </w:r>
      <w:r w:rsidR="00BD0CF6" w:rsidRPr="003435B5">
        <w:rPr>
          <w:rFonts w:asciiTheme="majorHAnsi" w:hAnsiTheme="majorHAnsi" w:cstheme="majorHAnsi"/>
          <w:sz w:val="24"/>
          <w:szCs w:val="24"/>
          <w:highlight w:val="yellow"/>
        </w:rPr>
        <w:t>to set the initial point (x = 0, y = 0</w:t>
      </w:r>
      <w:r w:rsidR="00F658C3" w:rsidRPr="003435B5">
        <w:rPr>
          <w:rFonts w:asciiTheme="majorHAnsi" w:hAnsiTheme="majorHAnsi" w:cstheme="majorHAnsi"/>
          <w:sz w:val="24"/>
          <w:szCs w:val="24"/>
          <w:highlight w:val="yellow"/>
        </w:rPr>
        <w:t>, z = 0</w:t>
      </w:r>
      <w:r w:rsidR="00BD0CF6" w:rsidRPr="003435B5">
        <w:rPr>
          <w:rFonts w:asciiTheme="majorHAnsi" w:hAnsiTheme="majorHAnsi" w:cstheme="majorHAnsi"/>
          <w:sz w:val="24"/>
          <w:szCs w:val="24"/>
          <w:highlight w:val="yellow"/>
        </w:rPr>
        <w:t xml:space="preserve">) of a </w:t>
      </w:r>
      <w:r w:rsidR="00F658C3" w:rsidRPr="003435B5">
        <w:rPr>
          <w:rFonts w:asciiTheme="majorHAnsi" w:hAnsiTheme="majorHAnsi" w:cstheme="majorHAnsi"/>
          <w:sz w:val="24"/>
          <w:szCs w:val="24"/>
          <w:highlight w:val="yellow"/>
        </w:rPr>
        <w:t xml:space="preserve">tridimensional </w:t>
      </w:r>
      <w:r w:rsidR="00BD0CF6" w:rsidRPr="003435B5">
        <w:rPr>
          <w:rFonts w:asciiTheme="majorHAnsi" w:hAnsiTheme="majorHAnsi" w:cstheme="majorHAnsi"/>
          <w:sz w:val="24"/>
          <w:szCs w:val="24"/>
          <w:highlight w:val="yellow"/>
        </w:rPr>
        <w:t>Cartesian coordinate system</w:t>
      </w:r>
      <w:r w:rsidR="00F91127" w:rsidRPr="003435B5">
        <w:rPr>
          <w:rFonts w:asciiTheme="majorHAnsi" w:hAnsiTheme="majorHAnsi" w:cstheme="majorHAnsi"/>
          <w:sz w:val="24"/>
          <w:szCs w:val="24"/>
          <w:highlight w:val="yellow"/>
        </w:rPr>
        <w:t>. Note that the distance between the selected vert</w:t>
      </w:r>
      <w:r w:rsidR="00BD0CF6" w:rsidRPr="003435B5">
        <w:rPr>
          <w:rFonts w:asciiTheme="majorHAnsi" w:hAnsiTheme="majorHAnsi" w:cstheme="majorHAnsi"/>
          <w:sz w:val="24"/>
          <w:szCs w:val="24"/>
          <w:highlight w:val="yellow"/>
        </w:rPr>
        <w:t>ex</w:t>
      </w:r>
      <w:r w:rsidR="00F91127" w:rsidRPr="003435B5">
        <w:rPr>
          <w:rFonts w:asciiTheme="majorHAnsi" w:hAnsiTheme="majorHAnsi" w:cstheme="majorHAnsi"/>
          <w:sz w:val="24"/>
          <w:szCs w:val="24"/>
          <w:highlight w:val="yellow"/>
        </w:rPr>
        <w:t xml:space="preserve"> and the </w:t>
      </w:r>
      <w:r w:rsidR="00BD0CF6" w:rsidRPr="003435B5">
        <w:rPr>
          <w:rFonts w:asciiTheme="majorHAnsi" w:hAnsiTheme="majorHAnsi" w:cstheme="majorHAnsi"/>
          <w:sz w:val="24"/>
          <w:szCs w:val="24"/>
          <w:highlight w:val="yellow"/>
        </w:rPr>
        <w:t>coordinate initial point will now show (r</w:t>
      </w:r>
      <w:r w:rsidR="00F91127" w:rsidRPr="003435B5">
        <w:rPr>
          <w:rFonts w:asciiTheme="majorHAnsi" w:hAnsiTheme="majorHAnsi" w:cstheme="majorHAnsi"/>
          <w:sz w:val="24"/>
          <w:szCs w:val="24"/>
          <w:highlight w:val="yellow"/>
        </w:rPr>
        <w:t xml:space="preserve">ed </w:t>
      </w:r>
      <w:r w:rsidR="00BD0CF6" w:rsidRPr="003435B5">
        <w:rPr>
          <w:rFonts w:asciiTheme="majorHAnsi" w:hAnsiTheme="majorHAnsi" w:cstheme="majorHAnsi"/>
          <w:sz w:val="24"/>
          <w:szCs w:val="24"/>
          <w:highlight w:val="yellow"/>
        </w:rPr>
        <w:t>squar</w:t>
      </w:r>
      <w:r w:rsidR="00F91127" w:rsidRPr="003435B5">
        <w:rPr>
          <w:rFonts w:asciiTheme="majorHAnsi" w:hAnsiTheme="majorHAnsi" w:cstheme="majorHAnsi"/>
          <w:sz w:val="24"/>
          <w:szCs w:val="24"/>
          <w:highlight w:val="yellow"/>
        </w:rPr>
        <w:t xml:space="preserve">es in </w:t>
      </w:r>
      <w:r w:rsidR="00F91127" w:rsidRPr="003435B5">
        <w:rPr>
          <w:rFonts w:asciiTheme="majorHAnsi" w:hAnsiTheme="majorHAnsi" w:cstheme="majorHAnsi"/>
          <w:b/>
          <w:bCs/>
          <w:sz w:val="24"/>
          <w:szCs w:val="24"/>
          <w:highlight w:val="yellow"/>
        </w:rPr>
        <w:t>Figure 1F</w:t>
      </w:r>
      <w:r w:rsidR="00F91127" w:rsidRPr="003435B5">
        <w:rPr>
          <w:rFonts w:asciiTheme="majorHAnsi" w:hAnsiTheme="majorHAnsi" w:cstheme="majorHAnsi"/>
          <w:sz w:val="24"/>
          <w:szCs w:val="24"/>
          <w:highlight w:val="yellow"/>
        </w:rPr>
        <w:t>)</w:t>
      </w:r>
      <w:r w:rsidR="00BD0CF6" w:rsidRPr="003435B5">
        <w:rPr>
          <w:rFonts w:asciiTheme="majorHAnsi" w:hAnsiTheme="majorHAnsi" w:cstheme="majorHAnsi"/>
          <w:sz w:val="24"/>
          <w:szCs w:val="24"/>
          <w:highlight w:val="yellow"/>
        </w:rPr>
        <w:t>,</w:t>
      </w:r>
      <w:r w:rsidR="00F91127" w:rsidRPr="003435B5">
        <w:rPr>
          <w:rFonts w:asciiTheme="majorHAnsi" w:hAnsiTheme="majorHAnsi" w:cstheme="majorHAnsi"/>
          <w:sz w:val="24"/>
          <w:szCs w:val="24"/>
          <w:highlight w:val="yellow"/>
        </w:rPr>
        <w:t xml:space="preserve"> where “A”</w:t>
      </w:r>
      <w:r w:rsidR="00BD0CF6" w:rsidRPr="003435B5">
        <w:rPr>
          <w:rFonts w:asciiTheme="majorHAnsi" w:hAnsiTheme="majorHAnsi" w:cstheme="majorHAnsi"/>
          <w:sz w:val="24"/>
          <w:szCs w:val="24"/>
          <w:highlight w:val="yellow"/>
        </w:rPr>
        <w:t xml:space="preserve"> </w:t>
      </w:r>
      <w:r w:rsidR="00F658C3" w:rsidRPr="003435B5">
        <w:rPr>
          <w:rFonts w:asciiTheme="majorHAnsi" w:hAnsiTheme="majorHAnsi" w:cstheme="majorHAnsi"/>
          <w:sz w:val="24"/>
          <w:szCs w:val="24"/>
          <w:highlight w:val="yellow"/>
        </w:rPr>
        <w:t xml:space="preserve">“B” </w:t>
      </w:r>
      <w:r w:rsidR="00BD0CF6" w:rsidRPr="003435B5">
        <w:rPr>
          <w:rFonts w:asciiTheme="majorHAnsi" w:hAnsiTheme="majorHAnsi" w:cstheme="majorHAnsi"/>
          <w:sz w:val="24"/>
          <w:szCs w:val="24"/>
          <w:highlight w:val="yellow"/>
        </w:rPr>
        <w:t>and</w:t>
      </w:r>
      <w:r w:rsidR="00F91127" w:rsidRPr="003435B5">
        <w:rPr>
          <w:rFonts w:asciiTheme="majorHAnsi" w:hAnsiTheme="majorHAnsi" w:cstheme="majorHAnsi"/>
          <w:sz w:val="24"/>
          <w:szCs w:val="24"/>
          <w:highlight w:val="yellow"/>
        </w:rPr>
        <w:t xml:space="preserve"> </w:t>
      </w:r>
      <w:r w:rsidR="00BD0CF6" w:rsidRPr="003435B5">
        <w:rPr>
          <w:rFonts w:asciiTheme="majorHAnsi" w:hAnsiTheme="majorHAnsi" w:cstheme="majorHAnsi"/>
          <w:sz w:val="24"/>
          <w:szCs w:val="24"/>
          <w:highlight w:val="yellow"/>
        </w:rPr>
        <w:t>“</w:t>
      </w:r>
      <w:r w:rsidR="00F658C3" w:rsidRPr="003435B5">
        <w:rPr>
          <w:rFonts w:asciiTheme="majorHAnsi" w:hAnsiTheme="majorHAnsi" w:cstheme="majorHAnsi"/>
          <w:sz w:val="24"/>
          <w:szCs w:val="24"/>
          <w:highlight w:val="yellow"/>
        </w:rPr>
        <w:t>C</w:t>
      </w:r>
      <w:r w:rsidR="00BD0CF6" w:rsidRPr="003435B5">
        <w:rPr>
          <w:rFonts w:asciiTheme="majorHAnsi" w:hAnsiTheme="majorHAnsi" w:cstheme="majorHAnsi"/>
          <w:sz w:val="24"/>
          <w:szCs w:val="24"/>
          <w:highlight w:val="yellow"/>
        </w:rPr>
        <w:t xml:space="preserve">” </w:t>
      </w:r>
      <w:r w:rsidR="00F91127" w:rsidRPr="003435B5">
        <w:rPr>
          <w:rFonts w:asciiTheme="majorHAnsi" w:hAnsiTheme="majorHAnsi" w:cstheme="majorHAnsi"/>
          <w:sz w:val="24"/>
          <w:szCs w:val="24"/>
          <w:highlight w:val="yellow"/>
        </w:rPr>
        <w:t xml:space="preserve">represent the distance to </w:t>
      </w:r>
      <w:r w:rsidR="00BD0CF6" w:rsidRPr="003435B5">
        <w:rPr>
          <w:rFonts w:asciiTheme="majorHAnsi" w:hAnsiTheme="majorHAnsi" w:cstheme="majorHAnsi"/>
          <w:sz w:val="24"/>
          <w:szCs w:val="24"/>
          <w:highlight w:val="yellow"/>
        </w:rPr>
        <w:t>the x</w:t>
      </w:r>
      <w:r w:rsidR="00F658C3" w:rsidRPr="003435B5">
        <w:rPr>
          <w:rFonts w:asciiTheme="majorHAnsi" w:hAnsiTheme="majorHAnsi" w:cstheme="majorHAnsi"/>
          <w:sz w:val="24"/>
          <w:szCs w:val="24"/>
          <w:highlight w:val="yellow"/>
        </w:rPr>
        <w:t>, y</w:t>
      </w:r>
      <w:r w:rsidR="00BD0CF6" w:rsidRPr="003435B5">
        <w:rPr>
          <w:rFonts w:asciiTheme="majorHAnsi" w:hAnsiTheme="majorHAnsi" w:cstheme="majorHAnsi"/>
          <w:sz w:val="24"/>
          <w:szCs w:val="24"/>
          <w:highlight w:val="yellow"/>
        </w:rPr>
        <w:t xml:space="preserve"> and </w:t>
      </w:r>
      <w:r w:rsidR="00F658C3" w:rsidRPr="003435B5">
        <w:rPr>
          <w:rFonts w:asciiTheme="majorHAnsi" w:hAnsiTheme="majorHAnsi" w:cstheme="majorHAnsi"/>
          <w:sz w:val="24"/>
          <w:szCs w:val="24"/>
          <w:highlight w:val="yellow"/>
        </w:rPr>
        <w:t>z</w:t>
      </w:r>
      <w:r w:rsidR="00BD0CF6" w:rsidRPr="003435B5">
        <w:rPr>
          <w:rFonts w:asciiTheme="majorHAnsi" w:hAnsiTheme="majorHAnsi" w:cstheme="majorHAnsi"/>
          <w:sz w:val="24"/>
          <w:szCs w:val="24"/>
          <w:highlight w:val="yellow"/>
        </w:rPr>
        <w:t xml:space="preserve"> axes (which should be zero in this case)</w:t>
      </w:r>
      <w:r w:rsidR="00F658C3" w:rsidRPr="003435B5">
        <w:rPr>
          <w:rFonts w:asciiTheme="majorHAnsi" w:hAnsiTheme="majorHAnsi" w:cstheme="majorHAnsi"/>
          <w:sz w:val="24"/>
          <w:szCs w:val="24"/>
          <w:highlight w:val="yellow"/>
        </w:rPr>
        <w:t>, respectively</w:t>
      </w:r>
      <w:r w:rsidR="00F91127" w:rsidRPr="003435B5">
        <w:rPr>
          <w:rFonts w:asciiTheme="majorHAnsi" w:hAnsiTheme="majorHAnsi" w:cstheme="majorHAnsi"/>
          <w:sz w:val="24"/>
          <w:szCs w:val="24"/>
          <w:highlight w:val="yellow"/>
        </w:rPr>
        <w:t>.</w:t>
      </w:r>
    </w:p>
    <w:p w14:paraId="3B9CC095" w14:textId="77777777" w:rsidR="003435B5" w:rsidRDefault="003435B5" w:rsidP="003435B5">
      <w:pPr>
        <w:pStyle w:val="ListParagraph"/>
        <w:spacing w:after="0" w:line="240" w:lineRule="auto"/>
        <w:ind w:left="0"/>
        <w:rPr>
          <w:rFonts w:asciiTheme="majorHAnsi" w:hAnsiTheme="majorHAnsi" w:cstheme="majorHAnsi"/>
          <w:sz w:val="24"/>
          <w:szCs w:val="24"/>
          <w:highlight w:val="yellow"/>
        </w:rPr>
      </w:pPr>
    </w:p>
    <w:p w14:paraId="33FF9871" w14:textId="6F6CCA60" w:rsidR="00F91127" w:rsidRPr="003435B5" w:rsidRDefault="00BC3482" w:rsidP="003435B5">
      <w:pPr>
        <w:pStyle w:val="ListParagraph"/>
        <w:numPr>
          <w:ilvl w:val="1"/>
          <w:numId w:val="13"/>
        </w:numPr>
        <w:spacing w:after="0" w:line="240" w:lineRule="auto"/>
        <w:ind w:left="0" w:firstLine="0"/>
        <w:rPr>
          <w:rFonts w:asciiTheme="majorHAnsi" w:hAnsiTheme="majorHAnsi" w:cstheme="majorHAnsi"/>
          <w:sz w:val="24"/>
          <w:szCs w:val="24"/>
          <w:highlight w:val="yellow"/>
        </w:rPr>
      </w:pPr>
      <w:r w:rsidRPr="003435B5">
        <w:rPr>
          <w:rFonts w:asciiTheme="majorHAnsi" w:hAnsiTheme="majorHAnsi" w:cstheme="majorHAnsi"/>
          <w:sz w:val="24"/>
          <w:szCs w:val="24"/>
          <w:highlight w:val="yellow"/>
        </w:rPr>
        <w:t xml:space="preserve">Next, select an empty (hole) box </w:t>
      </w:r>
      <w:r w:rsidR="00B011B1" w:rsidRPr="003435B5">
        <w:rPr>
          <w:rFonts w:asciiTheme="majorHAnsi" w:hAnsiTheme="majorHAnsi" w:cstheme="majorHAnsi"/>
          <w:sz w:val="24"/>
          <w:szCs w:val="24"/>
          <w:highlight w:val="yellow"/>
        </w:rPr>
        <w:t xml:space="preserve">from the </w:t>
      </w:r>
      <w:r w:rsidR="00B011B1" w:rsidRPr="003435B5">
        <w:rPr>
          <w:rFonts w:asciiTheme="majorHAnsi" w:hAnsiTheme="majorHAnsi" w:cstheme="majorHAnsi"/>
          <w:b/>
          <w:bCs/>
          <w:sz w:val="24"/>
          <w:szCs w:val="24"/>
          <w:highlight w:val="yellow"/>
        </w:rPr>
        <w:t>Basic Shapes</w:t>
      </w:r>
      <w:r w:rsidR="00B011B1" w:rsidRPr="003435B5">
        <w:rPr>
          <w:rFonts w:asciiTheme="majorHAnsi" w:hAnsiTheme="majorHAnsi" w:cstheme="majorHAnsi"/>
          <w:sz w:val="24"/>
          <w:szCs w:val="24"/>
          <w:highlight w:val="yellow"/>
        </w:rPr>
        <w:t xml:space="preserve"> menu on the right (blue square 2 in </w:t>
      </w:r>
      <w:r w:rsidR="00B011B1" w:rsidRPr="003435B5">
        <w:rPr>
          <w:rFonts w:asciiTheme="majorHAnsi" w:hAnsiTheme="majorHAnsi" w:cstheme="majorHAnsi"/>
          <w:b/>
          <w:bCs/>
          <w:sz w:val="24"/>
          <w:szCs w:val="24"/>
          <w:highlight w:val="yellow"/>
        </w:rPr>
        <w:t>Figure 1B</w:t>
      </w:r>
      <w:r w:rsidR="00B011B1" w:rsidRPr="003435B5">
        <w:rPr>
          <w:rFonts w:asciiTheme="majorHAnsi" w:hAnsiTheme="majorHAnsi" w:cstheme="majorHAnsi"/>
          <w:sz w:val="24"/>
          <w:szCs w:val="24"/>
          <w:highlight w:val="yellow"/>
        </w:rPr>
        <w:t xml:space="preserve">) and drag it to the </w:t>
      </w:r>
      <w:proofErr w:type="spellStart"/>
      <w:r w:rsidR="00B011B1" w:rsidRPr="003435B5">
        <w:rPr>
          <w:rFonts w:asciiTheme="majorHAnsi" w:hAnsiTheme="majorHAnsi" w:cstheme="majorHAnsi"/>
          <w:sz w:val="24"/>
          <w:szCs w:val="24"/>
          <w:highlight w:val="yellow"/>
        </w:rPr>
        <w:t>workplane</w:t>
      </w:r>
      <w:proofErr w:type="spellEnd"/>
      <w:r w:rsidR="00B011B1" w:rsidRPr="003435B5">
        <w:rPr>
          <w:rFonts w:asciiTheme="majorHAnsi" w:hAnsiTheme="majorHAnsi" w:cstheme="majorHAnsi"/>
          <w:sz w:val="24"/>
          <w:szCs w:val="24"/>
          <w:highlight w:val="yellow"/>
        </w:rPr>
        <w:t xml:space="preserve">. Set its dimensions </w:t>
      </w:r>
      <w:r w:rsidR="00417138" w:rsidRPr="003435B5">
        <w:rPr>
          <w:rFonts w:asciiTheme="majorHAnsi" w:hAnsiTheme="majorHAnsi" w:cstheme="majorHAnsi"/>
          <w:sz w:val="24"/>
          <w:szCs w:val="24"/>
          <w:highlight w:val="yellow"/>
        </w:rPr>
        <w:t>to</w:t>
      </w:r>
      <w:r w:rsidRPr="003435B5">
        <w:rPr>
          <w:rFonts w:asciiTheme="majorHAnsi" w:hAnsiTheme="majorHAnsi" w:cstheme="majorHAnsi"/>
          <w:sz w:val="24"/>
          <w:szCs w:val="24"/>
          <w:highlight w:val="yellow"/>
        </w:rPr>
        <w:t xml:space="preserve"> 30 (L) x 30 (W) x 40 (H) mm, and elevate</w:t>
      </w:r>
      <w:r w:rsidR="00417138" w:rsidRPr="003435B5">
        <w:rPr>
          <w:rFonts w:asciiTheme="majorHAnsi" w:hAnsiTheme="majorHAnsi" w:cstheme="majorHAnsi"/>
          <w:sz w:val="24"/>
          <w:szCs w:val="24"/>
          <w:highlight w:val="yellow"/>
        </w:rPr>
        <w:t xml:space="preserve"> it</w:t>
      </w:r>
      <w:r w:rsidRPr="003435B5">
        <w:rPr>
          <w:rFonts w:asciiTheme="majorHAnsi" w:hAnsiTheme="majorHAnsi" w:cstheme="majorHAnsi"/>
          <w:sz w:val="24"/>
          <w:szCs w:val="24"/>
          <w:highlight w:val="yellow"/>
        </w:rPr>
        <w:t xml:space="preserve"> 2 mm from the </w:t>
      </w:r>
      <w:proofErr w:type="spellStart"/>
      <w:r w:rsidRPr="003435B5">
        <w:rPr>
          <w:rFonts w:asciiTheme="majorHAnsi" w:hAnsiTheme="majorHAnsi" w:cstheme="majorHAnsi"/>
          <w:sz w:val="24"/>
          <w:szCs w:val="24"/>
          <w:highlight w:val="yellow"/>
        </w:rPr>
        <w:t>workplane</w:t>
      </w:r>
      <w:proofErr w:type="spellEnd"/>
      <w:r w:rsidR="00417138" w:rsidRPr="003435B5">
        <w:rPr>
          <w:rFonts w:asciiTheme="majorHAnsi" w:hAnsiTheme="majorHAnsi" w:cstheme="majorHAnsi"/>
          <w:sz w:val="24"/>
          <w:szCs w:val="24"/>
          <w:highlight w:val="yellow"/>
        </w:rPr>
        <w:t xml:space="preserve">, by typing “2.00” in the textbox </w:t>
      </w:r>
      <w:r w:rsidR="00F658C3" w:rsidRPr="003435B5">
        <w:rPr>
          <w:rFonts w:asciiTheme="majorHAnsi" w:hAnsiTheme="majorHAnsi" w:cstheme="majorHAnsi"/>
          <w:sz w:val="24"/>
          <w:szCs w:val="24"/>
          <w:highlight w:val="yellow"/>
        </w:rPr>
        <w:t>next to the green arrowhead on the lower right corner of the empty box</w:t>
      </w:r>
      <w:r w:rsidRPr="003435B5">
        <w:rPr>
          <w:rFonts w:asciiTheme="majorHAnsi" w:hAnsiTheme="majorHAnsi" w:cstheme="majorHAnsi"/>
          <w:sz w:val="24"/>
          <w:szCs w:val="24"/>
          <w:highlight w:val="yellow"/>
        </w:rPr>
        <w:t xml:space="preserve"> (</w:t>
      </w:r>
      <w:r w:rsidR="00417138" w:rsidRPr="003435B5">
        <w:rPr>
          <w:rFonts w:asciiTheme="majorHAnsi" w:hAnsiTheme="majorHAnsi" w:cstheme="majorHAnsi"/>
          <w:sz w:val="24"/>
          <w:szCs w:val="24"/>
          <w:highlight w:val="yellow"/>
        </w:rPr>
        <w:t>r</w:t>
      </w:r>
      <w:r w:rsidR="002B4BE4" w:rsidRPr="003435B5">
        <w:rPr>
          <w:rFonts w:asciiTheme="majorHAnsi" w:hAnsiTheme="majorHAnsi" w:cstheme="majorHAnsi"/>
          <w:sz w:val="24"/>
          <w:szCs w:val="24"/>
          <w:highlight w:val="yellow"/>
        </w:rPr>
        <w:t xml:space="preserve">ed </w:t>
      </w:r>
      <w:r w:rsidR="00417138" w:rsidRPr="003435B5">
        <w:rPr>
          <w:rFonts w:asciiTheme="majorHAnsi" w:hAnsiTheme="majorHAnsi" w:cstheme="majorHAnsi"/>
          <w:sz w:val="24"/>
          <w:szCs w:val="24"/>
          <w:highlight w:val="yellow"/>
        </w:rPr>
        <w:t>square</w:t>
      </w:r>
      <w:r w:rsidRPr="003435B5">
        <w:rPr>
          <w:rFonts w:asciiTheme="majorHAnsi" w:hAnsiTheme="majorHAnsi" w:cstheme="majorHAnsi"/>
          <w:sz w:val="24"/>
          <w:szCs w:val="24"/>
          <w:highlight w:val="yellow"/>
        </w:rPr>
        <w:t xml:space="preserve"> in </w:t>
      </w:r>
      <w:r w:rsidRPr="003435B5">
        <w:rPr>
          <w:rFonts w:asciiTheme="majorHAnsi" w:hAnsiTheme="majorHAnsi" w:cstheme="majorHAnsi"/>
          <w:b/>
          <w:bCs/>
          <w:sz w:val="24"/>
          <w:szCs w:val="24"/>
          <w:highlight w:val="yellow"/>
        </w:rPr>
        <w:t>Figure 1G</w:t>
      </w:r>
      <w:r w:rsidRPr="003435B5">
        <w:rPr>
          <w:rFonts w:asciiTheme="majorHAnsi" w:hAnsiTheme="majorHAnsi" w:cstheme="majorHAnsi"/>
          <w:sz w:val="24"/>
          <w:szCs w:val="24"/>
          <w:highlight w:val="yellow"/>
        </w:rPr>
        <w:t>)</w:t>
      </w:r>
      <w:r w:rsidR="00417138" w:rsidRPr="003435B5">
        <w:rPr>
          <w:rFonts w:asciiTheme="majorHAnsi" w:hAnsiTheme="majorHAnsi" w:cstheme="majorHAnsi"/>
          <w:sz w:val="24"/>
          <w:szCs w:val="24"/>
          <w:highlight w:val="yellow"/>
        </w:rPr>
        <w:t>.</w:t>
      </w:r>
      <w:r w:rsidRPr="003435B5">
        <w:rPr>
          <w:rFonts w:asciiTheme="majorHAnsi" w:hAnsiTheme="majorHAnsi" w:cstheme="majorHAnsi"/>
          <w:sz w:val="24"/>
          <w:szCs w:val="24"/>
          <w:highlight w:val="yellow"/>
        </w:rPr>
        <w:t xml:space="preserve"> </w:t>
      </w:r>
      <w:r w:rsidR="00417138" w:rsidRPr="003435B5">
        <w:rPr>
          <w:rFonts w:asciiTheme="majorHAnsi" w:hAnsiTheme="majorHAnsi" w:cstheme="majorHAnsi"/>
          <w:sz w:val="24"/>
          <w:szCs w:val="24"/>
          <w:highlight w:val="yellow"/>
        </w:rPr>
        <w:t>P</w:t>
      </w:r>
      <w:r w:rsidRPr="003435B5">
        <w:rPr>
          <w:rFonts w:asciiTheme="majorHAnsi" w:hAnsiTheme="majorHAnsi" w:cstheme="majorHAnsi"/>
          <w:sz w:val="24"/>
          <w:szCs w:val="24"/>
          <w:highlight w:val="yellow"/>
        </w:rPr>
        <w:t xml:space="preserve">osition </w:t>
      </w:r>
      <w:r w:rsidR="00417138" w:rsidRPr="003435B5">
        <w:rPr>
          <w:rFonts w:asciiTheme="majorHAnsi" w:hAnsiTheme="majorHAnsi" w:cstheme="majorHAnsi"/>
          <w:sz w:val="24"/>
          <w:szCs w:val="24"/>
          <w:highlight w:val="yellow"/>
        </w:rPr>
        <w:t>the empty box</w:t>
      </w:r>
      <w:r w:rsidRPr="003435B5">
        <w:rPr>
          <w:rFonts w:asciiTheme="majorHAnsi" w:hAnsiTheme="majorHAnsi" w:cstheme="majorHAnsi"/>
          <w:sz w:val="24"/>
          <w:szCs w:val="24"/>
          <w:highlight w:val="yellow"/>
        </w:rPr>
        <w:t xml:space="preserve"> inside the solid box 2 mm away from </w:t>
      </w:r>
      <w:r w:rsidR="00417138" w:rsidRPr="003435B5">
        <w:rPr>
          <w:rFonts w:asciiTheme="majorHAnsi" w:hAnsiTheme="majorHAnsi" w:cstheme="majorHAnsi"/>
          <w:sz w:val="24"/>
          <w:szCs w:val="24"/>
          <w:highlight w:val="yellow"/>
        </w:rPr>
        <w:t xml:space="preserve">the </w:t>
      </w:r>
      <w:proofErr w:type="spellStart"/>
      <w:r w:rsidR="00F658C3" w:rsidRPr="003435B5">
        <w:rPr>
          <w:rFonts w:asciiTheme="majorHAnsi" w:hAnsiTheme="majorHAnsi" w:cstheme="majorHAnsi"/>
          <w:sz w:val="24"/>
          <w:szCs w:val="24"/>
          <w:highlight w:val="yellow"/>
        </w:rPr>
        <w:t>x,y</w:t>
      </w:r>
      <w:proofErr w:type="spellEnd"/>
      <w:r w:rsidR="00F658C3" w:rsidRPr="003435B5">
        <w:rPr>
          <w:rFonts w:asciiTheme="majorHAnsi" w:hAnsiTheme="majorHAnsi" w:cstheme="majorHAnsi"/>
          <w:sz w:val="24"/>
          <w:szCs w:val="24"/>
          <w:highlight w:val="yellow"/>
        </w:rPr>
        <w:t xml:space="preserve"> </w:t>
      </w:r>
      <w:r w:rsidR="00417138" w:rsidRPr="003435B5">
        <w:rPr>
          <w:rFonts w:asciiTheme="majorHAnsi" w:hAnsiTheme="majorHAnsi" w:cstheme="majorHAnsi"/>
          <w:sz w:val="24"/>
          <w:szCs w:val="24"/>
          <w:highlight w:val="yellow"/>
        </w:rPr>
        <w:t>coordinate initial point, by typing “2.00” in the textboxes next to</w:t>
      </w:r>
      <w:r w:rsidRPr="003435B5">
        <w:rPr>
          <w:rFonts w:asciiTheme="majorHAnsi" w:hAnsiTheme="majorHAnsi" w:cstheme="majorHAnsi"/>
          <w:sz w:val="24"/>
          <w:szCs w:val="24"/>
          <w:highlight w:val="yellow"/>
        </w:rPr>
        <w:t xml:space="preserve"> </w:t>
      </w:r>
      <w:r w:rsidR="00417138" w:rsidRPr="003435B5">
        <w:rPr>
          <w:rFonts w:asciiTheme="majorHAnsi" w:hAnsiTheme="majorHAnsi" w:cstheme="majorHAnsi"/>
          <w:sz w:val="24"/>
          <w:szCs w:val="24"/>
          <w:highlight w:val="yellow"/>
        </w:rPr>
        <w:t>the green arrows</w:t>
      </w:r>
      <w:r w:rsidR="00F658C3" w:rsidRPr="003435B5">
        <w:rPr>
          <w:rFonts w:asciiTheme="majorHAnsi" w:hAnsiTheme="majorHAnsi" w:cstheme="majorHAnsi"/>
          <w:sz w:val="24"/>
          <w:szCs w:val="24"/>
          <w:highlight w:val="yellow"/>
        </w:rPr>
        <w:t xml:space="preserve"> on the lower left corner of the box</w:t>
      </w:r>
      <w:r w:rsidR="00417138" w:rsidRPr="003435B5">
        <w:rPr>
          <w:rFonts w:asciiTheme="majorHAnsi" w:hAnsiTheme="majorHAnsi" w:cstheme="majorHAnsi"/>
          <w:sz w:val="24"/>
          <w:szCs w:val="24"/>
          <w:highlight w:val="yellow"/>
        </w:rPr>
        <w:t xml:space="preserve"> (red squares in </w:t>
      </w:r>
      <w:r w:rsidR="00417138" w:rsidRPr="003435B5">
        <w:rPr>
          <w:rFonts w:asciiTheme="majorHAnsi" w:hAnsiTheme="majorHAnsi" w:cstheme="majorHAnsi"/>
          <w:b/>
          <w:bCs/>
          <w:sz w:val="24"/>
          <w:szCs w:val="24"/>
          <w:highlight w:val="yellow"/>
        </w:rPr>
        <w:t>Figure 1H</w:t>
      </w:r>
      <w:r w:rsidR="00417138" w:rsidRPr="003435B5">
        <w:rPr>
          <w:rFonts w:asciiTheme="majorHAnsi" w:hAnsiTheme="majorHAnsi" w:cstheme="majorHAnsi"/>
          <w:sz w:val="24"/>
          <w:szCs w:val="24"/>
          <w:highlight w:val="yellow"/>
        </w:rPr>
        <w:t xml:space="preserve">; compare with </w:t>
      </w:r>
      <w:r w:rsidR="00417138" w:rsidRPr="003435B5">
        <w:rPr>
          <w:rFonts w:asciiTheme="majorHAnsi" w:hAnsiTheme="majorHAnsi" w:cstheme="majorHAnsi"/>
          <w:b/>
          <w:bCs/>
          <w:sz w:val="24"/>
          <w:szCs w:val="24"/>
          <w:highlight w:val="yellow"/>
        </w:rPr>
        <w:t>Figure 1G</w:t>
      </w:r>
      <w:r w:rsidR="00417138" w:rsidRPr="003435B5">
        <w:rPr>
          <w:rFonts w:asciiTheme="majorHAnsi" w:hAnsiTheme="majorHAnsi" w:cstheme="majorHAnsi"/>
          <w:sz w:val="24"/>
          <w:szCs w:val="24"/>
          <w:highlight w:val="yellow"/>
        </w:rPr>
        <w:t>).</w:t>
      </w:r>
    </w:p>
    <w:p w14:paraId="381692E9" w14:textId="77777777" w:rsidR="003435B5" w:rsidRDefault="003435B5" w:rsidP="003435B5">
      <w:pPr>
        <w:pStyle w:val="ListParagraph"/>
        <w:spacing w:after="0" w:line="240" w:lineRule="auto"/>
        <w:ind w:left="0"/>
        <w:rPr>
          <w:rFonts w:asciiTheme="majorHAnsi" w:hAnsiTheme="majorHAnsi" w:cstheme="majorHAnsi"/>
          <w:sz w:val="24"/>
          <w:szCs w:val="24"/>
          <w:highlight w:val="yellow"/>
        </w:rPr>
      </w:pPr>
    </w:p>
    <w:p w14:paraId="47D07E52" w14:textId="258AEDE6" w:rsidR="002836A6" w:rsidRPr="003435B5" w:rsidRDefault="00D60A01" w:rsidP="003435B5">
      <w:pPr>
        <w:pStyle w:val="ListParagraph"/>
        <w:numPr>
          <w:ilvl w:val="1"/>
          <w:numId w:val="13"/>
        </w:numPr>
        <w:spacing w:after="0" w:line="240" w:lineRule="auto"/>
        <w:ind w:left="0" w:firstLine="0"/>
        <w:rPr>
          <w:rFonts w:asciiTheme="majorHAnsi" w:hAnsiTheme="majorHAnsi" w:cstheme="majorHAnsi"/>
          <w:sz w:val="24"/>
          <w:szCs w:val="24"/>
          <w:highlight w:val="yellow"/>
        </w:rPr>
      </w:pPr>
      <w:r w:rsidRPr="003435B5">
        <w:rPr>
          <w:rFonts w:asciiTheme="majorHAnsi" w:hAnsiTheme="majorHAnsi" w:cstheme="majorHAnsi"/>
          <w:sz w:val="24"/>
          <w:szCs w:val="24"/>
          <w:highlight w:val="yellow"/>
        </w:rPr>
        <w:t>With</w:t>
      </w:r>
      <w:r w:rsidR="002836A6" w:rsidRPr="003435B5">
        <w:rPr>
          <w:rFonts w:asciiTheme="majorHAnsi" w:hAnsiTheme="majorHAnsi" w:cstheme="majorHAnsi"/>
          <w:sz w:val="24"/>
          <w:szCs w:val="24"/>
          <w:highlight w:val="yellow"/>
        </w:rPr>
        <w:t xml:space="preserve"> th</w:t>
      </w:r>
      <w:r w:rsidRPr="003435B5">
        <w:rPr>
          <w:rFonts w:asciiTheme="majorHAnsi" w:hAnsiTheme="majorHAnsi" w:cstheme="majorHAnsi"/>
          <w:sz w:val="24"/>
          <w:szCs w:val="24"/>
          <w:highlight w:val="yellow"/>
        </w:rPr>
        <w:t>e</w:t>
      </w:r>
      <w:r w:rsidR="002836A6" w:rsidRPr="003435B5">
        <w:rPr>
          <w:rFonts w:asciiTheme="majorHAnsi" w:hAnsiTheme="majorHAnsi" w:cstheme="majorHAnsi"/>
          <w:sz w:val="24"/>
          <w:szCs w:val="24"/>
          <w:highlight w:val="yellow"/>
        </w:rPr>
        <w:t xml:space="preserve"> empty box still s</w:t>
      </w:r>
      <w:r w:rsidR="00524B9E" w:rsidRPr="003435B5">
        <w:rPr>
          <w:rFonts w:asciiTheme="majorHAnsi" w:hAnsiTheme="majorHAnsi" w:cstheme="majorHAnsi"/>
          <w:sz w:val="24"/>
          <w:szCs w:val="24"/>
          <w:highlight w:val="yellow"/>
        </w:rPr>
        <w:t>elect</w:t>
      </w:r>
      <w:r w:rsidR="002836A6" w:rsidRPr="003435B5">
        <w:rPr>
          <w:rFonts w:asciiTheme="majorHAnsi" w:hAnsiTheme="majorHAnsi" w:cstheme="majorHAnsi"/>
          <w:sz w:val="24"/>
          <w:szCs w:val="24"/>
          <w:highlight w:val="yellow"/>
        </w:rPr>
        <w:t>ed,</w:t>
      </w:r>
      <w:r w:rsidR="00524B9E" w:rsidRPr="003435B5">
        <w:rPr>
          <w:rFonts w:asciiTheme="majorHAnsi" w:hAnsiTheme="majorHAnsi" w:cstheme="majorHAnsi"/>
          <w:sz w:val="24"/>
          <w:szCs w:val="24"/>
          <w:highlight w:val="yellow"/>
        </w:rPr>
        <w:t xml:space="preserve"> </w:t>
      </w:r>
      <w:r w:rsidR="002836A6" w:rsidRPr="003435B5">
        <w:rPr>
          <w:rFonts w:asciiTheme="majorHAnsi" w:hAnsiTheme="majorHAnsi" w:cstheme="majorHAnsi"/>
          <w:sz w:val="24"/>
          <w:szCs w:val="24"/>
          <w:highlight w:val="yellow"/>
        </w:rPr>
        <w:t>press the</w:t>
      </w:r>
      <w:r w:rsidR="00524B9E" w:rsidRPr="003435B5">
        <w:rPr>
          <w:rFonts w:asciiTheme="majorHAnsi" w:hAnsiTheme="majorHAnsi" w:cstheme="majorHAnsi"/>
          <w:sz w:val="24"/>
          <w:szCs w:val="24"/>
          <w:highlight w:val="yellow"/>
        </w:rPr>
        <w:t xml:space="preserve"> </w:t>
      </w:r>
      <w:r w:rsidR="00524B9E" w:rsidRPr="003435B5">
        <w:rPr>
          <w:rFonts w:asciiTheme="majorHAnsi" w:hAnsiTheme="majorHAnsi" w:cstheme="majorHAnsi"/>
          <w:b/>
          <w:bCs/>
          <w:sz w:val="24"/>
          <w:szCs w:val="24"/>
          <w:highlight w:val="yellow"/>
        </w:rPr>
        <w:t>CtrL+D</w:t>
      </w:r>
      <w:r w:rsidR="002836A6" w:rsidRPr="003435B5">
        <w:rPr>
          <w:rFonts w:asciiTheme="majorHAnsi" w:hAnsiTheme="majorHAnsi" w:cstheme="majorHAnsi"/>
          <w:sz w:val="24"/>
          <w:szCs w:val="24"/>
          <w:highlight w:val="yellow"/>
        </w:rPr>
        <w:t xml:space="preserve"> keys </w:t>
      </w:r>
      <w:r w:rsidR="00DC3763" w:rsidRPr="003435B5">
        <w:rPr>
          <w:rFonts w:asciiTheme="majorHAnsi" w:hAnsiTheme="majorHAnsi" w:cstheme="majorHAnsi"/>
          <w:sz w:val="24"/>
          <w:szCs w:val="24"/>
          <w:highlight w:val="yellow"/>
        </w:rPr>
        <w:t>o</w:t>
      </w:r>
      <w:r w:rsidR="002836A6" w:rsidRPr="003435B5">
        <w:rPr>
          <w:rFonts w:asciiTheme="majorHAnsi" w:hAnsiTheme="majorHAnsi" w:cstheme="majorHAnsi"/>
          <w:sz w:val="24"/>
          <w:szCs w:val="24"/>
          <w:highlight w:val="yellow"/>
        </w:rPr>
        <w:t xml:space="preserve">n </w:t>
      </w:r>
      <w:r w:rsidR="003435B5">
        <w:rPr>
          <w:rFonts w:asciiTheme="majorHAnsi" w:hAnsiTheme="majorHAnsi" w:cstheme="majorHAnsi"/>
          <w:sz w:val="24"/>
          <w:szCs w:val="24"/>
          <w:highlight w:val="yellow"/>
        </w:rPr>
        <w:t>the</w:t>
      </w:r>
      <w:r w:rsidR="002836A6" w:rsidRPr="003435B5">
        <w:rPr>
          <w:rFonts w:asciiTheme="majorHAnsi" w:hAnsiTheme="majorHAnsi" w:cstheme="majorHAnsi"/>
          <w:sz w:val="24"/>
          <w:szCs w:val="24"/>
          <w:highlight w:val="yellow"/>
        </w:rPr>
        <w:t xml:space="preserve"> keyboard</w:t>
      </w:r>
      <w:r w:rsidR="00524B9E" w:rsidRPr="003435B5">
        <w:rPr>
          <w:rFonts w:asciiTheme="majorHAnsi" w:hAnsiTheme="majorHAnsi" w:cstheme="majorHAnsi"/>
          <w:sz w:val="24"/>
          <w:szCs w:val="24"/>
          <w:highlight w:val="yellow"/>
        </w:rPr>
        <w:t xml:space="preserve"> </w:t>
      </w:r>
      <w:r w:rsidR="002836A6" w:rsidRPr="003435B5">
        <w:rPr>
          <w:rFonts w:asciiTheme="majorHAnsi" w:hAnsiTheme="majorHAnsi" w:cstheme="majorHAnsi"/>
          <w:sz w:val="24"/>
          <w:szCs w:val="24"/>
          <w:highlight w:val="yellow"/>
        </w:rPr>
        <w:t xml:space="preserve">to deploy the </w:t>
      </w:r>
      <w:r w:rsidR="00DC3763" w:rsidRPr="003435B5">
        <w:rPr>
          <w:rFonts w:asciiTheme="majorHAnsi" w:hAnsiTheme="majorHAnsi" w:cstheme="majorHAnsi"/>
          <w:sz w:val="24"/>
          <w:szCs w:val="24"/>
          <w:highlight w:val="yellow"/>
        </w:rPr>
        <w:t>“</w:t>
      </w:r>
      <w:r w:rsidR="00524B9E" w:rsidRPr="003435B5">
        <w:rPr>
          <w:rFonts w:asciiTheme="majorHAnsi" w:hAnsiTheme="majorHAnsi" w:cstheme="majorHAnsi"/>
          <w:sz w:val="24"/>
          <w:szCs w:val="24"/>
          <w:highlight w:val="yellow"/>
        </w:rPr>
        <w:t>duplicate</w:t>
      </w:r>
      <w:r w:rsidR="00DC3763" w:rsidRPr="003435B5">
        <w:rPr>
          <w:rFonts w:asciiTheme="majorHAnsi" w:hAnsiTheme="majorHAnsi" w:cstheme="majorHAnsi"/>
          <w:sz w:val="24"/>
          <w:szCs w:val="24"/>
          <w:highlight w:val="yellow"/>
        </w:rPr>
        <w:t>”</w:t>
      </w:r>
      <w:r w:rsidR="002836A6" w:rsidRPr="003435B5">
        <w:rPr>
          <w:rFonts w:asciiTheme="majorHAnsi" w:hAnsiTheme="majorHAnsi" w:cstheme="majorHAnsi"/>
          <w:sz w:val="24"/>
          <w:szCs w:val="24"/>
          <w:highlight w:val="yellow"/>
        </w:rPr>
        <w:t xml:space="preserve"> command</w:t>
      </w:r>
      <w:r w:rsidR="00524B9E" w:rsidRPr="003435B5">
        <w:rPr>
          <w:rFonts w:asciiTheme="majorHAnsi" w:hAnsiTheme="majorHAnsi" w:cstheme="majorHAnsi"/>
          <w:sz w:val="24"/>
          <w:szCs w:val="24"/>
          <w:highlight w:val="yellow"/>
        </w:rPr>
        <w:t xml:space="preserve"> </w:t>
      </w:r>
      <w:r w:rsidR="002836A6" w:rsidRPr="003435B5">
        <w:rPr>
          <w:rFonts w:asciiTheme="majorHAnsi" w:hAnsiTheme="majorHAnsi" w:cstheme="majorHAnsi"/>
          <w:sz w:val="24"/>
          <w:szCs w:val="24"/>
          <w:highlight w:val="yellow"/>
        </w:rPr>
        <w:t>and</w:t>
      </w:r>
      <w:r w:rsidR="00524B9E" w:rsidRPr="003435B5">
        <w:rPr>
          <w:rFonts w:asciiTheme="majorHAnsi" w:hAnsiTheme="majorHAnsi" w:cstheme="majorHAnsi"/>
          <w:sz w:val="24"/>
          <w:szCs w:val="24"/>
          <w:highlight w:val="yellow"/>
        </w:rPr>
        <w:t xml:space="preserve"> </w:t>
      </w:r>
      <w:r w:rsidR="002836A6" w:rsidRPr="003435B5">
        <w:rPr>
          <w:rFonts w:asciiTheme="majorHAnsi" w:hAnsiTheme="majorHAnsi" w:cstheme="majorHAnsi"/>
          <w:sz w:val="24"/>
          <w:szCs w:val="24"/>
          <w:highlight w:val="yellow"/>
        </w:rPr>
        <w:t>create</w:t>
      </w:r>
      <w:r w:rsidR="00524B9E" w:rsidRPr="003435B5">
        <w:rPr>
          <w:rFonts w:asciiTheme="majorHAnsi" w:hAnsiTheme="majorHAnsi" w:cstheme="majorHAnsi"/>
          <w:sz w:val="24"/>
          <w:szCs w:val="24"/>
          <w:highlight w:val="yellow"/>
        </w:rPr>
        <w:t xml:space="preserve"> a new </w:t>
      </w:r>
      <w:r w:rsidR="002836A6" w:rsidRPr="003435B5">
        <w:rPr>
          <w:rFonts w:asciiTheme="majorHAnsi" w:hAnsiTheme="majorHAnsi" w:cstheme="majorHAnsi"/>
          <w:sz w:val="24"/>
          <w:szCs w:val="24"/>
          <w:highlight w:val="yellow"/>
        </w:rPr>
        <w:t xml:space="preserve">empty </w:t>
      </w:r>
      <w:r w:rsidR="00DC3763" w:rsidRPr="003435B5">
        <w:rPr>
          <w:rFonts w:asciiTheme="majorHAnsi" w:hAnsiTheme="majorHAnsi" w:cstheme="majorHAnsi"/>
          <w:sz w:val="24"/>
          <w:szCs w:val="24"/>
          <w:highlight w:val="yellow"/>
        </w:rPr>
        <w:t>box</w:t>
      </w:r>
      <w:r w:rsidR="00524B9E" w:rsidRPr="003435B5">
        <w:rPr>
          <w:rFonts w:asciiTheme="majorHAnsi" w:hAnsiTheme="majorHAnsi" w:cstheme="majorHAnsi"/>
          <w:sz w:val="24"/>
          <w:szCs w:val="24"/>
          <w:highlight w:val="yellow"/>
        </w:rPr>
        <w:t xml:space="preserve"> </w:t>
      </w:r>
      <w:r w:rsidR="002836A6" w:rsidRPr="003435B5">
        <w:rPr>
          <w:rFonts w:asciiTheme="majorHAnsi" w:hAnsiTheme="majorHAnsi" w:cstheme="majorHAnsi"/>
          <w:sz w:val="24"/>
          <w:szCs w:val="24"/>
          <w:highlight w:val="yellow"/>
        </w:rPr>
        <w:t xml:space="preserve">of the exact same dimensions. Position </w:t>
      </w:r>
      <w:r w:rsidR="00787739" w:rsidRPr="003435B5">
        <w:rPr>
          <w:rFonts w:asciiTheme="majorHAnsi" w:hAnsiTheme="majorHAnsi" w:cstheme="majorHAnsi"/>
          <w:sz w:val="24"/>
          <w:szCs w:val="24"/>
          <w:highlight w:val="yellow"/>
        </w:rPr>
        <w:t>the new empty box</w:t>
      </w:r>
      <w:r w:rsidR="002836A6" w:rsidRPr="003435B5">
        <w:rPr>
          <w:rFonts w:asciiTheme="majorHAnsi" w:hAnsiTheme="majorHAnsi" w:cstheme="majorHAnsi"/>
          <w:sz w:val="24"/>
          <w:szCs w:val="24"/>
          <w:highlight w:val="yellow"/>
        </w:rPr>
        <w:t xml:space="preserve"> </w:t>
      </w:r>
      <w:r w:rsidR="000D48F7" w:rsidRPr="003435B5">
        <w:rPr>
          <w:rFonts w:asciiTheme="majorHAnsi" w:hAnsiTheme="majorHAnsi" w:cstheme="majorHAnsi"/>
          <w:sz w:val="24"/>
          <w:szCs w:val="24"/>
          <w:highlight w:val="yellow"/>
        </w:rPr>
        <w:t>inside the solid box,</w:t>
      </w:r>
      <w:r w:rsidR="00B27507" w:rsidRPr="003435B5">
        <w:rPr>
          <w:rFonts w:asciiTheme="majorHAnsi" w:hAnsiTheme="majorHAnsi" w:cstheme="majorHAnsi"/>
          <w:sz w:val="24"/>
          <w:szCs w:val="24"/>
          <w:highlight w:val="yellow"/>
        </w:rPr>
        <w:t xml:space="preserve"> next to the first empty box,</w:t>
      </w:r>
      <w:r w:rsidR="000D48F7" w:rsidRPr="003435B5">
        <w:rPr>
          <w:rFonts w:asciiTheme="majorHAnsi" w:hAnsiTheme="majorHAnsi" w:cstheme="majorHAnsi"/>
          <w:sz w:val="24"/>
          <w:szCs w:val="24"/>
          <w:highlight w:val="yellow"/>
        </w:rPr>
        <w:t xml:space="preserve"> </w:t>
      </w:r>
      <w:r w:rsidR="00787739" w:rsidRPr="003435B5">
        <w:rPr>
          <w:rFonts w:asciiTheme="majorHAnsi" w:hAnsiTheme="majorHAnsi" w:cstheme="majorHAnsi"/>
          <w:sz w:val="24"/>
          <w:szCs w:val="24"/>
          <w:highlight w:val="yellow"/>
        </w:rPr>
        <w:t xml:space="preserve">by typing “34.00” in the textbox next to the green arrow along the y axis, and “2.00” in the textboxes next to the two remaining green arrows </w:t>
      </w:r>
      <w:r w:rsidR="00524B9E" w:rsidRPr="003435B5">
        <w:rPr>
          <w:rFonts w:asciiTheme="majorHAnsi" w:hAnsiTheme="majorHAnsi" w:cstheme="majorHAnsi"/>
          <w:sz w:val="24"/>
          <w:szCs w:val="24"/>
          <w:highlight w:val="yellow"/>
        </w:rPr>
        <w:t>(</w:t>
      </w:r>
      <w:r w:rsidR="00AB4B1D" w:rsidRPr="003435B5">
        <w:rPr>
          <w:rFonts w:asciiTheme="majorHAnsi" w:hAnsiTheme="majorHAnsi" w:cstheme="majorHAnsi"/>
          <w:sz w:val="24"/>
          <w:szCs w:val="24"/>
          <w:highlight w:val="yellow"/>
        </w:rPr>
        <w:t xml:space="preserve">red squares in </w:t>
      </w:r>
      <w:r w:rsidR="00524B9E" w:rsidRPr="003435B5">
        <w:rPr>
          <w:rFonts w:asciiTheme="majorHAnsi" w:hAnsiTheme="majorHAnsi" w:cstheme="majorHAnsi"/>
          <w:b/>
          <w:bCs/>
          <w:sz w:val="24"/>
          <w:szCs w:val="24"/>
          <w:highlight w:val="yellow"/>
        </w:rPr>
        <w:t>Figure 1</w:t>
      </w:r>
      <w:r w:rsidR="00B54A9B" w:rsidRPr="003435B5">
        <w:rPr>
          <w:rFonts w:asciiTheme="majorHAnsi" w:hAnsiTheme="majorHAnsi" w:cstheme="majorHAnsi"/>
          <w:b/>
          <w:bCs/>
          <w:sz w:val="24"/>
          <w:szCs w:val="24"/>
          <w:highlight w:val="yellow"/>
        </w:rPr>
        <w:t>I</w:t>
      </w:r>
      <w:r w:rsidR="00524B9E" w:rsidRPr="003435B5">
        <w:rPr>
          <w:rFonts w:asciiTheme="majorHAnsi" w:hAnsiTheme="majorHAnsi" w:cstheme="majorHAnsi"/>
          <w:sz w:val="24"/>
          <w:szCs w:val="24"/>
          <w:highlight w:val="yellow"/>
        </w:rPr>
        <w:t>).</w:t>
      </w:r>
    </w:p>
    <w:p w14:paraId="785D33C1" w14:textId="77777777" w:rsidR="003435B5" w:rsidRDefault="003435B5" w:rsidP="003435B5">
      <w:pPr>
        <w:pStyle w:val="ListParagraph"/>
        <w:spacing w:after="0" w:line="240" w:lineRule="auto"/>
        <w:ind w:left="0"/>
        <w:rPr>
          <w:rFonts w:asciiTheme="majorHAnsi" w:hAnsiTheme="majorHAnsi" w:cstheme="majorHAnsi"/>
          <w:sz w:val="24"/>
          <w:szCs w:val="24"/>
          <w:highlight w:val="yellow"/>
        </w:rPr>
      </w:pPr>
    </w:p>
    <w:p w14:paraId="1A31CDD4" w14:textId="2A64CEC5" w:rsidR="00DC3763" w:rsidRPr="003435B5" w:rsidRDefault="00524B9E" w:rsidP="003435B5">
      <w:pPr>
        <w:pStyle w:val="ListParagraph"/>
        <w:numPr>
          <w:ilvl w:val="1"/>
          <w:numId w:val="13"/>
        </w:numPr>
        <w:spacing w:after="0" w:line="240" w:lineRule="auto"/>
        <w:ind w:left="0" w:firstLine="0"/>
        <w:rPr>
          <w:rFonts w:asciiTheme="majorHAnsi" w:hAnsiTheme="majorHAnsi" w:cstheme="majorHAnsi"/>
          <w:sz w:val="24"/>
          <w:szCs w:val="24"/>
          <w:highlight w:val="yellow"/>
        </w:rPr>
      </w:pPr>
      <w:r w:rsidRPr="003435B5">
        <w:rPr>
          <w:rFonts w:asciiTheme="majorHAnsi" w:hAnsiTheme="majorHAnsi" w:cstheme="majorHAnsi"/>
          <w:sz w:val="24"/>
          <w:szCs w:val="24"/>
          <w:highlight w:val="yellow"/>
        </w:rPr>
        <w:t>Repeat this step</w:t>
      </w:r>
      <w:r w:rsidR="00B27507" w:rsidRPr="003435B5">
        <w:rPr>
          <w:rFonts w:asciiTheme="majorHAnsi" w:hAnsiTheme="majorHAnsi" w:cstheme="majorHAnsi"/>
          <w:sz w:val="24"/>
          <w:szCs w:val="24"/>
          <w:highlight w:val="yellow"/>
        </w:rPr>
        <w:t>, adjusting for the correct distances from the coordinate initial point,</w:t>
      </w:r>
      <w:r w:rsidRPr="003435B5">
        <w:rPr>
          <w:rFonts w:asciiTheme="majorHAnsi" w:hAnsiTheme="majorHAnsi" w:cstheme="majorHAnsi"/>
          <w:sz w:val="24"/>
          <w:szCs w:val="24"/>
          <w:highlight w:val="yellow"/>
        </w:rPr>
        <w:t xml:space="preserve"> until </w:t>
      </w:r>
      <w:r w:rsidR="002836A6" w:rsidRPr="003435B5">
        <w:rPr>
          <w:rFonts w:asciiTheme="majorHAnsi" w:hAnsiTheme="majorHAnsi" w:cstheme="majorHAnsi"/>
          <w:sz w:val="24"/>
          <w:szCs w:val="24"/>
          <w:highlight w:val="yellow"/>
        </w:rPr>
        <w:t xml:space="preserve">the entire solid box is </w:t>
      </w:r>
      <w:r w:rsidRPr="003435B5">
        <w:rPr>
          <w:rFonts w:asciiTheme="majorHAnsi" w:hAnsiTheme="majorHAnsi" w:cstheme="majorHAnsi"/>
          <w:sz w:val="24"/>
          <w:szCs w:val="24"/>
          <w:highlight w:val="yellow"/>
        </w:rPr>
        <w:t>fill</w:t>
      </w:r>
      <w:r w:rsidR="002836A6" w:rsidRPr="003435B5">
        <w:rPr>
          <w:rFonts w:asciiTheme="majorHAnsi" w:hAnsiTheme="majorHAnsi" w:cstheme="majorHAnsi"/>
          <w:sz w:val="24"/>
          <w:szCs w:val="24"/>
          <w:highlight w:val="yellow"/>
        </w:rPr>
        <w:t>ed with empty boxes</w:t>
      </w:r>
      <w:r w:rsidRPr="003435B5">
        <w:rPr>
          <w:rFonts w:asciiTheme="majorHAnsi" w:hAnsiTheme="majorHAnsi" w:cstheme="majorHAnsi"/>
          <w:sz w:val="24"/>
          <w:szCs w:val="24"/>
          <w:highlight w:val="yellow"/>
        </w:rPr>
        <w:t xml:space="preserve"> </w:t>
      </w:r>
      <w:r w:rsidR="00D07D69" w:rsidRPr="003435B5">
        <w:rPr>
          <w:rFonts w:asciiTheme="majorHAnsi" w:hAnsiTheme="majorHAnsi" w:cstheme="majorHAnsi"/>
          <w:sz w:val="24"/>
          <w:szCs w:val="24"/>
          <w:highlight w:val="yellow"/>
        </w:rPr>
        <w:t xml:space="preserve">spaced 2 mm apart from each other </w:t>
      </w:r>
      <w:r w:rsidRPr="003435B5">
        <w:rPr>
          <w:rFonts w:asciiTheme="majorHAnsi" w:hAnsiTheme="majorHAnsi" w:cstheme="majorHAnsi"/>
          <w:sz w:val="24"/>
          <w:szCs w:val="24"/>
          <w:highlight w:val="yellow"/>
        </w:rPr>
        <w:t>(</w:t>
      </w:r>
      <w:r w:rsidRPr="003435B5">
        <w:rPr>
          <w:rFonts w:asciiTheme="majorHAnsi" w:hAnsiTheme="majorHAnsi" w:cstheme="majorHAnsi"/>
          <w:b/>
          <w:bCs/>
          <w:sz w:val="24"/>
          <w:szCs w:val="24"/>
          <w:highlight w:val="yellow"/>
        </w:rPr>
        <w:t>Figure 1</w:t>
      </w:r>
      <w:r w:rsidR="00B54A9B" w:rsidRPr="003435B5">
        <w:rPr>
          <w:rFonts w:asciiTheme="majorHAnsi" w:hAnsiTheme="majorHAnsi" w:cstheme="majorHAnsi"/>
          <w:b/>
          <w:bCs/>
          <w:sz w:val="24"/>
          <w:szCs w:val="24"/>
          <w:highlight w:val="yellow"/>
        </w:rPr>
        <w:t>J</w:t>
      </w:r>
      <w:r w:rsidRPr="003435B5">
        <w:rPr>
          <w:rFonts w:asciiTheme="majorHAnsi" w:hAnsiTheme="majorHAnsi" w:cstheme="majorHAnsi"/>
          <w:sz w:val="24"/>
          <w:szCs w:val="24"/>
          <w:highlight w:val="yellow"/>
        </w:rPr>
        <w:t>).</w:t>
      </w:r>
    </w:p>
    <w:p w14:paraId="42B7C0A0" w14:textId="77777777" w:rsidR="003435B5" w:rsidRDefault="003435B5" w:rsidP="003435B5">
      <w:pPr>
        <w:pStyle w:val="ListParagraph"/>
        <w:spacing w:after="0" w:line="240" w:lineRule="auto"/>
        <w:ind w:left="0"/>
        <w:rPr>
          <w:rFonts w:asciiTheme="majorHAnsi" w:hAnsiTheme="majorHAnsi" w:cstheme="majorHAnsi"/>
          <w:sz w:val="24"/>
          <w:szCs w:val="24"/>
          <w:highlight w:val="yellow"/>
        </w:rPr>
      </w:pPr>
    </w:p>
    <w:p w14:paraId="3ECC901F" w14:textId="24852CA8" w:rsidR="00524B9E" w:rsidRPr="003435B5" w:rsidRDefault="00524B9E" w:rsidP="003435B5">
      <w:pPr>
        <w:pStyle w:val="ListParagraph"/>
        <w:numPr>
          <w:ilvl w:val="1"/>
          <w:numId w:val="13"/>
        </w:numPr>
        <w:spacing w:after="0" w:line="240" w:lineRule="auto"/>
        <w:ind w:left="0" w:firstLine="0"/>
        <w:rPr>
          <w:rFonts w:asciiTheme="majorHAnsi" w:hAnsiTheme="majorHAnsi" w:cstheme="majorHAnsi"/>
          <w:sz w:val="24"/>
          <w:szCs w:val="24"/>
          <w:highlight w:val="yellow"/>
        </w:rPr>
      </w:pPr>
      <w:r w:rsidRPr="003435B5">
        <w:rPr>
          <w:rFonts w:asciiTheme="majorHAnsi" w:hAnsiTheme="majorHAnsi" w:cstheme="majorHAnsi"/>
          <w:sz w:val="24"/>
          <w:szCs w:val="24"/>
          <w:highlight w:val="yellow"/>
        </w:rPr>
        <w:t xml:space="preserve">Select </w:t>
      </w:r>
      <w:r w:rsidR="002836A6" w:rsidRPr="003435B5">
        <w:rPr>
          <w:rFonts w:asciiTheme="majorHAnsi" w:hAnsiTheme="majorHAnsi" w:cstheme="majorHAnsi"/>
          <w:sz w:val="24"/>
          <w:szCs w:val="24"/>
          <w:highlight w:val="yellow"/>
        </w:rPr>
        <w:t xml:space="preserve">all </w:t>
      </w:r>
      <w:r w:rsidRPr="003435B5">
        <w:rPr>
          <w:rFonts w:asciiTheme="majorHAnsi" w:hAnsiTheme="majorHAnsi" w:cstheme="majorHAnsi"/>
          <w:sz w:val="24"/>
          <w:szCs w:val="24"/>
          <w:highlight w:val="yellow"/>
        </w:rPr>
        <w:t xml:space="preserve">the </w:t>
      </w:r>
      <w:r w:rsidR="002836A6" w:rsidRPr="003435B5">
        <w:rPr>
          <w:rFonts w:asciiTheme="majorHAnsi" w:hAnsiTheme="majorHAnsi" w:cstheme="majorHAnsi"/>
          <w:sz w:val="24"/>
          <w:szCs w:val="24"/>
          <w:highlight w:val="yellow"/>
        </w:rPr>
        <w:t>boxes</w:t>
      </w:r>
      <w:r w:rsidRPr="003435B5">
        <w:rPr>
          <w:rFonts w:asciiTheme="majorHAnsi" w:hAnsiTheme="majorHAnsi" w:cstheme="majorHAnsi"/>
          <w:sz w:val="24"/>
          <w:szCs w:val="24"/>
          <w:highlight w:val="yellow"/>
        </w:rPr>
        <w:t xml:space="preserve"> (solid and </w:t>
      </w:r>
      <w:r w:rsidR="002836A6" w:rsidRPr="003435B5">
        <w:rPr>
          <w:rFonts w:asciiTheme="majorHAnsi" w:hAnsiTheme="majorHAnsi" w:cstheme="majorHAnsi"/>
          <w:sz w:val="24"/>
          <w:szCs w:val="24"/>
          <w:highlight w:val="yellow"/>
        </w:rPr>
        <w:t>empty</w:t>
      </w:r>
      <w:r w:rsidRPr="003435B5">
        <w:rPr>
          <w:rFonts w:asciiTheme="majorHAnsi" w:hAnsiTheme="majorHAnsi" w:cstheme="majorHAnsi"/>
          <w:sz w:val="24"/>
          <w:szCs w:val="24"/>
          <w:highlight w:val="yellow"/>
        </w:rPr>
        <w:t xml:space="preserve"> </w:t>
      </w:r>
      <w:r w:rsidR="002836A6" w:rsidRPr="003435B5">
        <w:rPr>
          <w:rFonts w:asciiTheme="majorHAnsi" w:hAnsiTheme="majorHAnsi" w:cstheme="majorHAnsi"/>
          <w:sz w:val="24"/>
          <w:szCs w:val="24"/>
          <w:highlight w:val="yellow"/>
        </w:rPr>
        <w:t>ones</w:t>
      </w:r>
      <w:r w:rsidRPr="003435B5">
        <w:rPr>
          <w:rFonts w:asciiTheme="majorHAnsi" w:hAnsiTheme="majorHAnsi" w:cstheme="majorHAnsi"/>
          <w:sz w:val="24"/>
          <w:szCs w:val="24"/>
          <w:highlight w:val="yellow"/>
        </w:rPr>
        <w:t>)</w:t>
      </w:r>
      <w:r w:rsidR="00DC3763" w:rsidRPr="003435B5">
        <w:rPr>
          <w:rFonts w:asciiTheme="majorHAnsi" w:hAnsiTheme="majorHAnsi" w:cstheme="majorHAnsi"/>
          <w:sz w:val="24"/>
          <w:szCs w:val="24"/>
          <w:highlight w:val="yellow"/>
        </w:rPr>
        <w:t xml:space="preserve"> by clicking with the mouse´s left button and dragging to the entire area.</w:t>
      </w:r>
      <w:r w:rsidRPr="003435B5">
        <w:rPr>
          <w:rFonts w:asciiTheme="majorHAnsi" w:hAnsiTheme="majorHAnsi" w:cstheme="majorHAnsi"/>
          <w:sz w:val="24"/>
          <w:szCs w:val="24"/>
          <w:highlight w:val="yellow"/>
        </w:rPr>
        <w:t xml:space="preserve"> </w:t>
      </w:r>
      <w:r w:rsidR="00DC3763" w:rsidRPr="003435B5">
        <w:rPr>
          <w:rFonts w:asciiTheme="majorHAnsi" w:hAnsiTheme="majorHAnsi" w:cstheme="majorHAnsi"/>
          <w:sz w:val="24"/>
          <w:szCs w:val="24"/>
          <w:highlight w:val="yellow"/>
        </w:rPr>
        <w:t xml:space="preserve">Press the </w:t>
      </w:r>
      <w:proofErr w:type="spellStart"/>
      <w:r w:rsidRPr="003435B5">
        <w:rPr>
          <w:rFonts w:asciiTheme="majorHAnsi" w:hAnsiTheme="majorHAnsi" w:cstheme="majorHAnsi"/>
          <w:b/>
          <w:bCs/>
          <w:sz w:val="24"/>
          <w:szCs w:val="24"/>
          <w:highlight w:val="yellow"/>
        </w:rPr>
        <w:t>Ct</w:t>
      </w:r>
      <w:r w:rsidR="00356241" w:rsidRPr="003435B5">
        <w:rPr>
          <w:rFonts w:asciiTheme="majorHAnsi" w:hAnsiTheme="majorHAnsi" w:cstheme="majorHAnsi"/>
          <w:b/>
          <w:bCs/>
          <w:sz w:val="24"/>
          <w:szCs w:val="24"/>
          <w:highlight w:val="yellow"/>
        </w:rPr>
        <w:t>r</w:t>
      </w:r>
      <w:r w:rsidRPr="003435B5">
        <w:rPr>
          <w:rFonts w:asciiTheme="majorHAnsi" w:hAnsiTheme="majorHAnsi" w:cstheme="majorHAnsi"/>
          <w:b/>
          <w:bCs/>
          <w:sz w:val="24"/>
          <w:szCs w:val="24"/>
          <w:highlight w:val="yellow"/>
        </w:rPr>
        <w:t>L+G</w:t>
      </w:r>
      <w:proofErr w:type="spellEnd"/>
      <w:r w:rsidR="00DC3763" w:rsidRPr="003435B5">
        <w:rPr>
          <w:rFonts w:asciiTheme="majorHAnsi" w:hAnsiTheme="majorHAnsi" w:cstheme="majorHAnsi"/>
          <w:sz w:val="24"/>
          <w:szCs w:val="24"/>
          <w:highlight w:val="yellow"/>
        </w:rPr>
        <w:t xml:space="preserve"> keys on </w:t>
      </w:r>
      <w:r w:rsidR="003435B5">
        <w:rPr>
          <w:rFonts w:asciiTheme="majorHAnsi" w:hAnsiTheme="majorHAnsi" w:cstheme="majorHAnsi"/>
          <w:sz w:val="24"/>
          <w:szCs w:val="24"/>
          <w:highlight w:val="yellow"/>
        </w:rPr>
        <w:t>the</w:t>
      </w:r>
      <w:r w:rsidR="00DC3763" w:rsidRPr="003435B5">
        <w:rPr>
          <w:rFonts w:asciiTheme="majorHAnsi" w:hAnsiTheme="majorHAnsi" w:cstheme="majorHAnsi"/>
          <w:sz w:val="24"/>
          <w:szCs w:val="24"/>
          <w:highlight w:val="yellow"/>
        </w:rPr>
        <w:t xml:space="preserve"> keyboard to deploy the “group” command and create a single box with 16 empty spaces for fly vials (</w:t>
      </w:r>
      <w:r w:rsidR="00DC3763" w:rsidRPr="003435B5">
        <w:rPr>
          <w:rFonts w:asciiTheme="majorHAnsi" w:hAnsiTheme="majorHAnsi" w:cstheme="majorHAnsi"/>
          <w:b/>
          <w:bCs/>
          <w:sz w:val="24"/>
          <w:szCs w:val="24"/>
          <w:highlight w:val="yellow"/>
        </w:rPr>
        <w:t>Figure 1</w:t>
      </w:r>
      <w:r w:rsidR="00B54A9B" w:rsidRPr="003435B5">
        <w:rPr>
          <w:rFonts w:asciiTheme="majorHAnsi" w:hAnsiTheme="majorHAnsi" w:cstheme="majorHAnsi"/>
          <w:b/>
          <w:bCs/>
          <w:sz w:val="24"/>
          <w:szCs w:val="24"/>
          <w:highlight w:val="yellow"/>
        </w:rPr>
        <w:t>K</w:t>
      </w:r>
      <w:r w:rsidR="00DC3763" w:rsidRPr="003435B5">
        <w:rPr>
          <w:rFonts w:asciiTheme="majorHAnsi" w:hAnsiTheme="majorHAnsi" w:cstheme="majorHAnsi"/>
          <w:sz w:val="24"/>
          <w:szCs w:val="24"/>
          <w:highlight w:val="yellow"/>
        </w:rPr>
        <w:t>)</w:t>
      </w:r>
      <w:r w:rsidRPr="003435B5">
        <w:rPr>
          <w:rFonts w:asciiTheme="majorHAnsi" w:hAnsiTheme="majorHAnsi" w:cstheme="majorHAnsi"/>
          <w:sz w:val="24"/>
          <w:szCs w:val="24"/>
          <w:highlight w:val="yellow"/>
        </w:rPr>
        <w:t>.</w:t>
      </w:r>
      <w:r w:rsidR="00DC3763" w:rsidRPr="003435B5">
        <w:rPr>
          <w:rFonts w:asciiTheme="majorHAnsi" w:hAnsiTheme="majorHAnsi" w:cstheme="majorHAnsi"/>
          <w:sz w:val="24"/>
          <w:szCs w:val="24"/>
          <w:highlight w:val="yellow"/>
        </w:rPr>
        <w:t xml:space="preserve"> This is the final design of </w:t>
      </w:r>
      <w:r w:rsidR="003435B5">
        <w:rPr>
          <w:rFonts w:asciiTheme="majorHAnsi" w:hAnsiTheme="majorHAnsi" w:cstheme="majorHAnsi"/>
          <w:sz w:val="24"/>
          <w:szCs w:val="24"/>
          <w:highlight w:val="yellow"/>
        </w:rPr>
        <w:t>the</w:t>
      </w:r>
      <w:r w:rsidR="00DC3763" w:rsidRPr="003435B5">
        <w:rPr>
          <w:rFonts w:asciiTheme="majorHAnsi" w:hAnsiTheme="majorHAnsi" w:cstheme="majorHAnsi"/>
          <w:sz w:val="24"/>
          <w:szCs w:val="24"/>
          <w:highlight w:val="yellow"/>
        </w:rPr>
        <w:t xml:space="preserve"> vial rack.</w:t>
      </w:r>
    </w:p>
    <w:p w14:paraId="06882695" w14:textId="77777777" w:rsidR="003435B5" w:rsidRPr="003435B5" w:rsidRDefault="003435B5" w:rsidP="003435B5">
      <w:pPr>
        <w:pStyle w:val="ListParagraph"/>
        <w:spacing w:after="0" w:line="240" w:lineRule="auto"/>
        <w:ind w:left="0"/>
        <w:rPr>
          <w:rFonts w:asciiTheme="majorHAnsi" w:hAnsiTheme="majorHAnsi" w:cstheme="majorHAnsi"/>
          <w:sz w:val="24"/>
          <w:szCs w:val="24"/>
        </w:rPr>
      </w:pPr>
    </w:p>
    <w:p w14:paraId="4BB7A6B3" w14:textId="6EFCB877" w:rsidR="00524B9E" w:rsidRPr="003435B5" w:rsidRDefault="00B27507" w:rsidP="003435B5">
      <w:pPr>
        <w:pStyle w:val="ListParagraph"/>
        <w:numPr>
          <w:ilvl w:val="1"/>
          <w:numId w:val="13"/>
        </w:numPr>
        <w:spacing w:after="0" w:line="240" w:lineRule="auto"/>
        <w:ind w:left="0" w:firstLine="0"/>
        <w:rPr>
          <w:rFonts w:asciiTheme="majorHAnsi" w:hAnsiTheme="majorHAnsi" w:cstheme="majorHAnsi"/>
          <w:sz w:val="24"/>
          <w:szCs w:val="24"/>
        </w:rPr>
      </w:pPr>
      <w:r w:rsidRPr="003435B5">
        <w:rPr>
          <w:rFonts w:asciiTheme="majorHAnsi" w:hAnsiTheme="majorHAnsi" w:cstheme="majorHAnsi"/>
          <w:sz w:val="24"/>
          <w:szCs w:val="24"/>
          <w:highlight w:val="yellow"/>
        </w:rPr>
        <w:t xml:space="preserve">Click on </w:t>
      </w:r>
      <w:r w:rsidRPr="003435B5">
        <w:rPr>
          <w:rFonts w:asciiTheme="majorHAnsi" w:hAnsiTheme="majorHAnsi" w:cstheme="majorHAnsi"/>
          <w:b/>
          <w:bCs/>
          <w:sz w:val="24"/>
          <w:szCs w:val="24"/>
          <w:highlight w:val="yellow"/>
        </w:rPr>
        <w:t>Export</w:t>
      </w:r>
      <w:r w:rsidRPr="003435B5">
        <w:rPr>
          <w:rFonts w:asciiTheme="majorHAnsi" w:hAnsiTheme="majorHAnsi" w:cstheme="majorHAnsi"/>
          <w:sz w:val="24"/>
          <w:szCs w:val="24"/>
          <w:highlight w:val="yellow"/>
        </w:rPr>
        <w:t xml:space="preserve"> o</w:t>
      </w:r>
      <w:r w:rsidR="00DC3763" w:rsidRPr="003435B5">
        <w:rPr>
          <w:rFonts w:asciiTheme="majorHAnsi" w:hAnsiTheme="majorHAnsi" w:cstheme="majorHAnsi"/>
          <w:sz w:val="24"/>
          <w:szCs w:val="24"/>
          <w:highlight w:val="yellow"/>
        </w:rPr>
        <w:t>n the upper right corner of the Tinkercad window</w:t>
      </w:r>
      <w:r w:rsidRPr="003435B5">
        <w:rPr>
          <w:rFonts w:asciiTheme="majorHAnsi" w:hAnsiTheme="majorHAnsi" w:cstheme="majorHAnsi"/>
          <w:sz w:val="24"/>
          <w:szCs w:val="24"/>
          <w:highlight w:val="yellow"/>
        </w:rPr>
        <w:t xml:space="preserve">. </w:t>
      </w:r>
      <w:r w:rsidR="00DC3763" w:rsidRPr="003435B5">
        <w:rPr>
          <w:rFonts w:asciiTheme="majorHAnsi" w:hAnsiTheme="majorHAnsi" w:cstheme="majorHAnsi"/>
          <w:sz w:val="24"/>
          <w:szCs w:val="24"/>
          <w:highlight w:val="yellow"/>
        </w:rPr>
        <w:t xml:space="preserve"> </w:t>
      </w:r>
      <w:r w:rsidRPr="003435B5">
        <w:rPr>
          <w:rFonts w:asciiTheme="majorHAnsi" w:hAnsiTheme="majorHAnsi" w:cstheme="majorHAnsi"/>
          <w:sz w:val="24"/>
          <w:szCs w:val="24"/>
          <w:highlight w:val="yellow"/>
        </w:rPr>
        <w:t>On the window box displayed (</w:t>
      </w:r>
      <w:r w:rsidRPr="003435B5">
        <w:rPr>
          <w:rFonts w:asciiTheme="majorHAnsi" w:hAnsiTheme="majorHAnsi" w:cstheme="majorHAnsi"/>
          <w:b/>
          <w:bCs/>
          <w:sz w:val="24"/>
          <w:szCs w:val="24"/>
          <w:highlight w:val="yellow"/>
        </w:rPr>
        <w:t>Figure 1L</w:t>
      </w:r>
      <w:r w:rsidRPr="003435B5">
        <w:rPr>
          <w:rFonts w:asciiTheme="majorHAnsi" w:hAnsiTheme="majorHAnsi" w:cstheme="majorHAnsi"/>
          <w:sz w:val="24"/>
          <w:szCs w:val="24"/>
          <w:highlight w:val="yellow"/>
        </w:rPr>
        <w:t xml:space="preserve">), </w:t>
      </w:r>
      <w:r w:rsidR="00DC3763" w:rsidRPr="003435B5">
        <w:rPr>
          <w:rFonts w:asciiTheme="majorHAnsi" w:hAnsiTheme="majorHAnsi" w:cstheme="majorHAnsi"/>
          <w:sz w:val="24"/>
          <w:szCs w:val="24"/>
          <w:highlight w:val="yellow"/>
        </w:rPr>
        <w:t>select</w:t>
      </w:r>
      <w:r w:rsidR="00D60A01" w:rsidRPr="003435B5">
        <w:rPr>
          <w:rFonts w:asciiTheme="majorHAnsi" w:hAnsiTheme="majorHAnsi" w:cstheme="majorHAnsi"/>
          <w:sz w:val="24"/>
          <w:szCs w:val="24"/>
          <w:highlight w:val="yellow"/>
        </w:rPr>
        <w:t xml:space="preserve"> </w:t>
      </w:r>
      <w:r w:rsidR="00D60A01" w:rsidRPr="003435B5">
        <w:rPr>
          <w:rFonts w:asciiTheme="majorHAnsi" w:hAnsiTheme="majorHAnsi" w:cstheme="majorHAnsi"/>
          <w:b/>
          <w:bCs/>
          <w:sz w:val="24"/>
          <w:szCs w:val="24"/>
          <w:highlight w:val="yellow"/>
        </w:rPr>
        <w:t>Everything in the design</w:t>
      </w:r>
      <w:r w:rsidR="00D60A01" w:rsidRPr="003435B5">
        <w:rPr>
          <w:rFonts w:asciiTheme="majorHAnsi" w:hAnsiTheme="majorHAnsi" w:cstheme="majorHAnsi"/>
          <w:sz w:val="24"/>
          <w:szCs w:val="24"/>
          <w:highlight w:val="yellow"/>
        </w:rPr>
        <w:t xml:space="preserve"> next to </w:t>
      </w:r>
      <w:r w:rsidR="00D60A01" w:rsidRPr="003435B5">
        <w:rPr>
          <w:rFonts w:asciiTheme="majorHAnsi" w:hAnsiTheme="majorHAnsi" w:cstheme="majorHAnsi"/>
          <w:b/>
          <w:bCs/>
          <w:sz w:val="24"/>
          <w:szCs w:val="24"/>
          <w:highlight w:val="yellow"/>
        </w:rPr>
        <w:t>Include</w:t>
      </w:r>
      <w:r w:rsidR="00D60A01" w:rsidRPr="003435B5">
        <w:rPr>
          <w:rFonts w:asciiTheme="majorHAnsi" w:hAnsiTheme="majorHAnsi" w:cstheme="majorHAnsi"/>
          <w:sz w:val="24"/>
          <w:szCs w:val="24"/>
          <w:highlight w:val="yellow"/>
        </w:rPr>
        <w:t>, and</w:t>
      </w:r>
      <w:r w:rsidR="00DC3763" w:rsidRPr="003435B5">
        <w:rPr>
          <w:rFonts w:asciiTheme="majorHAnsi" w:hAnsiTheme="majorHAnsi" w:cstheme="majorHAnsi"/>
          <w:sz w:val="24"/>
          <w:szCs w:val="24"/>
          <w:highlight w:val="yellow"/>
        </w:rPr>
        <w:t xml:space="preserve"> </w:t>
      </w:r>
      <w:r w:rsidR="002844E7" w:rsidRPr="003435B5">
        <w:rPr>
          <w:rFonts w:asciiTheme="majorHAnsi" w:hAnsiTheme="majorHAnsi" w:cstheme="majorHAnsi"/>
          <w:sz w:val="24"/>
          <w:szCs w:val="24"/>
          <w:highlight w:val="yellow"/>
        </w:rPr>
        <w:t>.</w:t>
      </w:r>
      <w:r w:rsidR="002844E7" w:rsidRPr="003435B5">
        <w:rPr>
          <w:rFonts w:asciiTheme="majorHAnsi" w:hAnsiTheme="majorHAnsi" w:cstheme="majorHAnsi"/>
          <w:b/>
          <w:bCs/>
          <w:sz w:val="24"/>
          <w:szCs w:val="24"/>
          <w:highlight w:val="yellow"/>
        </w:rPr>
        <w:t>STL</w:t>
      </w:r>
      <w:r w:rsidR="00D60A01" w:rsidRPr="003435B5">
        <w:rPr>
          <w:rFonts w:asciiTheme="majorHAnsi" w:hAnsiTheme="majorHAnsi" w:cstheme="majorHAnsi"/>
          <w:sz w:val="24"/>
          <w:szCs w:val="24"/>
          <w:highlight w:val="yellow"/>
        </w:rPr>
        <w:t xml:space="preserve"> under </w:t>
      </w:r>
      <w:r w:rsidR="00D60A01" w:rsidRPr="003435B5">
        <w:rPr>
          <w:rFonts w:asciiTheme="majorHAnsi" w:hAnsiTheme="majorHAnsi" w:cstheme="majorHAnsi"/>
          <w:b/>
          <w:bCs/>
          <w:sz w:val="24"/>
          <w:szCs w:val="24"/>
          <w:highlight w:val="yellow"/>
        </w:rPr>
        <w:t>For 3D Print</w:t>
      </w:r>
      <w:r w:rsidR="002844E7" w:rsidRPr="003435B5">
        <w:rPr>
          <w:rFonts w:asciiTheme="majorHAnsi" w:hAnsiTheme="majorHAnsi" w:cstheme="majorHAnsi"/>
          <w:sz w:val="24"/>
          <w:szCs w:val="24"/>
          <w:highlight w:val="yellow"/>
        </w:rPr>
        <w:t xml:space="preserve"> as </w:t>
      </w:r>
      <w:r w:rsidR="00DC3763" w:rsidRPr="003435B5">
        <w:rPr>
          <w:rFonts w:asciiTheme="majorHAnsi" w:hAnsiTheme="majorHAnsi" w:cstheme="majorHAnsi"/>
          <w:sz w:val="24"/>
          <w:szCs w:val="24"/>
          <w:highlight w:val="yellow"/>
        </w:rPr>
        <w:t xml:space="preserve">the </w:t>
      </w:r>
      <w:r w:rsidR="002844E7" w:rsidRPr="003435B5">
        <w:rPr>
          <w:rFonts w:asciiTheme="majorHAnsi" w:hAnsiTheme="majorHAnsi" w:cstheme="majorHAnsi"/>
          <w:sz w:val="24"/>
          <w:szCs w:val="24"/>
          <w:highlight w:val="yellow"/>
        </w:rPr>
        <w:t xml:space="preserve">file </w:t>
      </w:r>
      <w:r w:rsidR="00DC3763" w:rsidRPr="003435B5">
        <w:rPr>
          <w:rFonts w:asciiTheme="majorHAnsi" w:hAnsiTheme="majorHAnsi" w:cstheme="majorHAnsi"/>
          <w:sz w:val="24"/>
          <w:szCs w:val="24"/>
          <w:highlight w:val="yellow"/>
        </w:rPr>
        <w:t>type</w:t>
      </w:r>
      <w:r w:rsidR="00524B9E" w:rsidRPr="003435B5">
        <w:rPr>
          <w:rFonts w:asciiTheme="majorHAnsi" w:hAnsiTheme="majorHAnsi" w:cstheme="majorHAnsi"/>
          <w:sz w:val="24"/>
          <w:szCs w:val="24"/>
          <w:highlight w:val="yellow"/>
        </w:rPr>
        <w:t>.</w:t>
      </w:r>
      <w:r w:rsidR="002844E7" w:rsidRPr="003435B5">
        <w:rPr>
          <w:rFonts w:asciiTheme="majorHAnsi" w:hAnsiTheme="majorHAnsi" w:cstheme="majorHAnsi"/>
          <w:sz w:val="24"/>
          <w:szCs w:val="24"/>
          <w:highlight w:val="yellow"/>
        </w:rPr>
        <w:t xml:space="preserve"> Choose a proper name for the design file and save it in an appropriate place in </w:t>
      </w:r>
      <w:r w:rsidR="003435B5">
        <w:rPr>
          <w:rFonts w:asciiTheme="majorHAnsi" w:hAnsiTheme="majorHAnsi" w:cstheme="majorHAnsi"/>
          <w:sz w:val="24"/>
          <w:szCs w:val="24"/>
          <w:highlight w:val="yellow"/>
        </w:rPr>
        <w:t>the</w:t>
      </w:r>
      <w:r w:rsidR="002844E7" w:rsidRPr="003435B5">
        <w:rPr>
          <w:rFonts w:asciiTheme="majorHAnsi" w:hAnsiTheme="majorHAnsi" w:cstheme="majorHAnsi"/>
          <w:sz w:val="24"/>
          <w:szCs w:val="24"/>
          <w:highlight w:val="yellow"/>
        </w:rPr>
        <w:t xml:space="preserve"> computer.</w:t>
      </w:r>
    </w:p>
    <w:p w14:paraId="0B36E889" w14:textId="5F5F75A3" w:rsidR="00524B9E" w:rsidRPr="003435B5" w:rsidRDefault="00524B9E" w:rsidP="003435B5">
      <w:pPr>
        <w:shd w:val="clear" w:color="auto" w:fill="FFFFFF"/>
        <w:contextualSpacing/>
        <w:rPr>
          <w:rFonts w:asciiTheme="majorHAnsi" w:hAnsiTheme="majorHAnsi" w:cstheme="majorHAnsi"/>
        </w:rPr>
      </w:pPr>
    </w:p>
    <w:p w14:paraId="54839274" w14:textId="3FF7F443" w:rsidR="00524B9E" w:rsidRPr="003435B5" w:rsidRDefault="000C47A8" w:rsidP="003435B5">
      <w:pPr>
        <w:shd w:val="clear" w:color="auto" w:fill="FFFFFF"/>
        <w:contextualSpacing/>
        <w:rPr>
          <w:rFonts w:asciiTheme="majorHAnsi" w:hAnsiTheme="majorHAnsi" w:cstheme="majorHAnsi"/>
          <w:b/>
          <w:bCs/>
          <w:highlight w:val="yellow"/>
        </w:rPr>
      </w:pPr>
      <w:r w:rsidRPr="003435B5">
        <w:rPr>
          <w:rFonts w:asciiTheme="majorHAnsi" w:hAnsiTheme="majorHAnsi" w:cstheme="majorHAnsi"/>
          <w:b/>
          <w:bCs/>
          <w:highlight w:val="yellow"/>
        </w:rPr>
        <w:t>2</w:t>
      </w:r>
      <w:r w:rsidR="00FA387F" w:rsidRPr="003435B5">
        <w:rPr>
          <w:rFonts w:asciiTheme="majorHAnsi" w:hAnsiTheme="majorHAnsi" w:cstheme="majorHAnsi"/>
          <w:b/>
          <w:bCs/>
          <w:highlight w:val="yellow"/>
        </w:rPr>
        <w:t xml:space="preserve">. </w:t>
      </w:r>
      <w:r w:rsidR="006E428C" w:rsidRPr="003435B5">
        <w:rPr>
          <w:rFonts w:asciiTheme="majorHAnsi" w:hAnsiTheme="majorHAnsi" w:cstheme="majorHAnsi"/>
          <w:b/>
          <w:bCs/>
          <w:highlight w:val="yellow"/>
        </w:rPr>
        <w:t>3D p</w:t>
      </w:r>
      <w:r w:rsidR="00524B9E" w:rsidRPr="003435B5">
        <w:rPr>
          <w:rFonts w:asciiTheme="majorHAnsi" w:hAnsiTheme="majorHAnsi" w:cstheme="majorHAnsi"/>
          <w:b/>
          <w:bCs/>
          <w:highlight w:val="yellow"/>
        </w:rPr>
        <w:t>rinting</w:t>
      </w:r>
    </w:p>
    <w:p w14:paraId="49529422" w14:textId="00F58203" w:rsidR="00951669" w:rsidRPr="003435B5" w:rsidRDefault="00951669" w:rsidP="003435B5">
      <w:pPr>
        <w:shd w:val="clear" w:color="auto" w:fill="FFFFFF"/>
        <w:contextualSpacing/>
        <w:rPr>
          <w:rFonts w:asciiTheme="majorHAnsi" w:hAnsiTheme="majorHAnsi" w:cstheme="majorHAnsi"/>
          <w:highlight w:val="yellow"/>
        </w:rPr>
      </w:pPr>
    </w:p>
    <w:p w14:paraId="10CA3A07" w14:textId="00D788EB" w:rsidR="00951669" w:rsidRPr="003435B5" w:rsidRDefault="003435B5" w:rsidP="003435B5">
      <w:pPr>
        <w:shd w:val="clear" w:color="auto" w:fill="FFFFFF"/>
        <w:contextualSpacing/>
        <w:rPr>
          <w:rFonts w:asciiTheme="majorHAnsi" w:hAnsiTheme="majorHAnsi" w:cstheme="majorHAnsi"/>
          <w:highlight w:val="yellow"/>
        </w:rPr>
      </w:pPr>
      <w:r>
        <w:rPr>
          <w:rFonts w:asciiTheme="majorHAnsi" w:hAnsiTheme="majorHAnsi" w:cstheme="majorHAnsi"/>
          <w:highlight w:val="yellow"/>
        </w:rPr>
        <w:t xml:space="preserve">NOTE: </w:t>
      </w:r>
      <w:r w:rsidR="00587254" w:rsidRPr="003435B5">
        <w:rPr>
          <w:rFonts w:asciiTheme="majorHAnsi" w:hAnsiTheme="majorHAnsi" w:cstheme="majorHAnsi"/>
          <w:highlight w:val="yellow"/>
        </w:rPr>
        <w:t xml:space="preserve">In this section, we provide instructions on how to use the STL file created in </w:t>
      </w:r>
      <w:r>
        <w:rPr>
          <w:rFonts w:asciiTheme="majorHAnsi" w:hAnsiTheme="majorHAnsi" w:cstheme="majorHAnsi"/>
          <w:highlight w:val="yellow"/>
        </w:rPr>
        <w:t>Step</w:t>
      </w:r>
      <w:r w:rsidR="00587254" w:rsidRPr="003435B5">
        <w:rPr>
          <w:rFonts w:asciiTheme="majorHAnsi" w:hAnsiTheme="majorHAnsi" w:cstheme="majorHAnsi"/>
          <w:highlight w:val="yellow"/>
        </w:rPr>
        <w:t xml:space="preserve"> 1 and convert it to the G-Code file containing the printing instructions to the 3D printer. This is the slicing process, for which we use the </w:t>
      </w:r>
      <w:proofErr w:type="spellStart"/>
      <w:r w:rsidR="00587254" w:rsidRPr="003435B5">
        <w:rPr>
          <w:rFonts w:asciiTheme="majorHAnsi" w:hAnsiTheme="majorHAnsi" w:cstheme="majorHAnsi"/>
          <w:highlight w:val="yellow"/>
        </w:rPr>
        <w:t>Repetier</w:t>
      </w:r>
      <w:proofErr w:type="spellEnd"/>
      <w:r w:rsidR="00587254" w:rsidRPr="003435B5">
        <w:rPr>
          <w:rFonts w:asciiTheme="majorHAnsi" w:hAnsiTheme="majorHAnsi" w:cstheme="majorHAnsi"/>
          <w:highlight w:val="yellow"/>
        </w:rPr>
        <w:t>-Host software.</w:t>
      </w:r>
      <w:r w:rsidR="00AE74D0" w:rsidRPr="003435B5">
        <w:rPr>
          <w:highlight w:val="green"/>
        </w:rPr>
        <w:t xml:space="preserve"> </w:t>
      </w:r>
    </w:p>
    <w:p w14:paraId="6B1610F5" w14:textId="3414A55A" w:rsidR="00621BC6" w:rsidRPr="003435B5" w:rsidRDefault="00621BC6" w:rsidP="003435B5">
      <w:pPr>
        <w:shd w:val="clear" w:color="auto" w:fill="FFFFFF"/>
        <w:contextualSpacing/>
        <w:rPr>
          <w:rFonts w:asciiTheme="majorHAnsi" w:hAnsiTheme="majorHAnsi" w:cstheme="majorHAnsi"/>
          <w:highlight w:val="yellow"/>
        </w:rPr>
      </w:pPr>
    </w:p>
    <w:p w14:paraId="5C986167" w14:textId="049C4377" w:rsidR="00621BC6" w:rsidRDefault="006E428C" w:rsidP="003435B5">
      <w:pPr>
        <w:contextualSpacing/>
        <w:rPr>
          <w:highlight w:val="yellow"/>
        </w:rPr>
      </w:pPr>
      <w:r w:rsidRPr="003435B5">
        <w:rPr>
          <w:rFonts w:asciiTheme="majorHAnsi" w:hAnsiTheme="majorHAnsi" w:cstheme="majorHAnsi"/>
          <w:highlight w:val="yellow"/>
        </w:rPr>
        <w:t>2.</w:t>
      </w:r>
      <w:r w:rsidR="00524B9E" w:rsidRPr="003435B5">
        <w:rPr>
          <w:rFonts w:asciiTheme="majorHAnsi" w:hAnsiTheme="majorHAnsi" w:cstheme="majorHAnsi"/>
          <w:highlight w:val="yellow"/>
        </w:rPr>
        <w:t xml:space="preserve">1. </w:t>
      </w:r>
      <w:r w:rsidR="00621BC6" w:rsidRPr="003435B5">
        <w:rPr>
          <w:rFonts w:asciiTheme="majorHAnsi" w:hAnsiTheme="majorHAnsi" w:cstheme="majorHAnsi"/>
          <w:highlight w:val="yellow"/>
        </w:rPr>
        <w:t xml:space="preserve">Download </w:t>
      </w:r>
      <w:r w:rsidR="00EA15D8" w:rsidRPr="003435B5">
        <w:rPr>
          <w:rFonts w:asciiTheme="majorHAnsi" w:hAnsiTheme="majorHAnsi" w:cstheme="majorHAnsi"/>
          <w:b/>
          <w:bCs/>
          <w:highlight w:val="yellow"/>
        </w:rPr>
        <w:t xml:space="preserve">Supplemental </w:t>
      </w:r>
      <w:r w:rsidR="00613756" w:rsidRPr="003435B5">
        <w:rPr>
          <w:rFonts w:asciiTheme="majorHAnsi" w:hAnsiTheme="majorHAnsi" w:cstheme="majorHAnsi"/>
          <w:b/>
          <w:bCs/>
          <w:highlight w:val="yellow"/>
        </w:rPr>
        <w:t>F</w:t>
      </w:r>
      <w:r w:rsidR="00EA15D8" w:rsidRPr="003435B5">
        <w:rPr>
          <w:rFonts w:asciiTheme="majorHAnsi" w:hAnsiTheme="majorHAnsi" w:cstheme="majorHAnsi"/>
          <w:b/>
          <w:bCs/>
          <w:highlight w:val="yellow"/>
        </w:rPr>
        <w:t>ile 1</w:t>
      </w:r>
      <w:r w:rsidR="00EA15D8" w:rsidRPr="003435B5">
        <w:rPr>
          <w:rFonts w:asciiTheme="majorHAnsi" w:hAnsiTheme="majorHAnsi" w:cstheme="majorHAnsi"/>
          <w:highlight w:val="yellow"/>
        </w:rPr>
        <w:t xml:space="preserve"> and save it on an appropriate place in </w:t>
      </w:r>
      <w:proofErr w:type="spellStart"/>
      <w:r w:rsidR="003435B5">
        <w:rPr>
          <w:rFonts w:asciiTheme="majorHAnsi" w:hAnsiTheme="majorHAnsi" w:cstheme="majorHAnsi"/>
          <w:highlight w:val="yellow"/>
        </w:rPr>
        <w:t>te</w:t>
      </w:r>
      <w:proofErr w:type="spellEnd"/>
      <w:r w:rsidR="00EA15D8" w:rsidRPr="003435B5">
        <w:rPr>
          <w:rFonts w:asciiTheme="majorHAnsi" w:hAnsiTheme="majorHAnsi" w:cstheme="majorHAnsi"/>
          <w:highlight w:val="yellow"/>
        </w:rPr>
        <w:t xml:space="preserve"> computer.</w:t>
      </w:r>
      <w:r w:rsidR="00AD1653" w:rsidRPr="003435B5">
        <w:rPr>
          <w:rFonts w:asciiTheme="majorHAnsi" w:hAnsiTheme="majorHAnsi" w:cstheme="majorHAnsi"/>
          <w:highlight w:val="yellow"/>
        </w:rPr>
        <w:t xml:space="preserve"> This is a .</w:t>
      </w:r>
      <w:proofErr w:type="spellStart"/>
      <w:r w:rsidR="00AD1653" w:rsidRPr="003435B5">
        <w:rPr>
          <w:rFonts w:asciiTheme="majorHAnsi" w:hAnsiTheme="majorHAnsi" w:cstheme="majorHAnsi"/>
          <w:highlight w:val="yellow"/>
        </w:rPr>
        <w:t>rcp</w:t>
      </w:r>
      <w:proofErr w:type="spellEnd"/>
      <w:r w:rsidR="00AD1653" w:rsidRPr="003435B5">
        <w:rPr>
          <w:rFonts w:asciiTheme="majorHAnsi" w:hAnsiTheme="majorHAnsi" w:cstheme="majorHAnsi"/>
          <w:highlight w:val="yellow"/>
        </w:rPr>
        <w:t xml:space="preserve"> file containing the printer configurations to be used below.</w:t>
      </w:r>
      <w:r w:rsidR="00F91127" w:rsidRPr="003435B5">
        <w:rPr>
          <w:rFonts w:asciiTheme="majorHAnsi" w:hAnsiTheme="majorHAnsi" w:cstheme="majorHAnsi"/>
          <w:highlight w:val="yellow"/>
        </w:rPr>
        <w:t xml:space="preserve"> </w:t>
      </w:r>
      <w:r w:rsidR="0091702A" w:rsidRPr="003435B5">
        <w:rPr>
          <w:highlight w:val="yellow"/>
        </w:rPr>
        <w:t>To get more information on the .</w:t>
      </w:r>
      <w:proofErr w:type="spellStart"/>
      <w:r w:rsidR="0091702A" w:rsidRPr="003435B5">
        <w:rPr>
          <w:highlight w:val="yellow"/>
        </w:rPr>
        <w:t>rcp</w:t>
      </w:r>
      <w:proofErr w:type="spellEnd"/>
      <w:r w:rsidR="0091702A" w:rsidRPr="003435B5">
        <w:rPr>
          <w:highlight w:val="yellow"/>
        </w:rPr>
        <w:t xml:space="preserve"> file type, please visit</w:t>
      </w:r>
      <w:r w:rsidR="009C7531" w:rsidRPr="003435B5">
        <w:rPr>
          <w:highlight w:val="yellow"/>
        </w:rPr>
        <w:t xml:space="preserve"> </w:t>
      </w:r>
      <w:r w:rsidR="00D158C9" w:rsidRPr="003435B5">
        <w:rPr>
          <w:highlight w:val="yellow"/>
        </w:rPr>
        <w:fldChar w:fldCharType="begin" w:fldLock="1"/>
      </w:r>
      <w:r w:rsidR="00D158C9" w:rsidRPr="003435B5">
        <w:rPr>
          <w:highlight w:val="yellow"/>
        </w:rPr>
        <w:instrText>ADDIN CSL_CITATION {"citationItems":[{"id":"ITEM-1","itemData":{"URL":"https://knowledge.autodesk.com/support/revit-products/learn-explore/caas/CloudHelp/cloudhelp/2016/ENU/Revit-Model/files/GUID-B89AD692-C705-458F-A638-EE7DD83D694C-htm.html","accessed":{"date-parts":[["2021","7","19"]]},"id":"ITEM-1","issued":{"date-parts":[["0"]]},"title":"Insert a Point Cloud File | Revit Products 2016 | Autodesk Knowledge Network","type":"webpage"},"uris":["http://www.mendeley.com/documents/?uuid=9eae6b75-8abf-3086-8c08-bb95dc35fdf3"]}],"mendeley":{"formattedCitation":"&lt;sup&gt;39&lt;/sup&gt;","plainTextFormattedCitation":"39"},"properties":{"noteIndex":0},"schema":"https://github.com/citation-style-language/schema/raw/master/csl-citation.json"}</w:instrText>
      </w:r>
      <w:r w:rsidR="00D158C9" w:rsidRPr="003435B5">
        <w:rPr>
          <w:highlight w:val="yellow"/>
        </w:rPr>
        <w:fldChar w:fldCharType="separate"/>
      </w:r>
      <w:r w:rsidR="00D158C9" w:rsidRPr="003435B5">
        <w:rPr>
          <w:noProof/>
          <w:highlight w:val="yellow"/>
          <w:vertAlign w:val="superscript"/>
        </w:rPr>
        <w:t>39</w:t>
      </w:r>
      <w:r w:rsidR="00D158C9" w:rsidRPr="003435B5">
        <w:rPr>
          <w:highlight w:val="yellow"/>
        </w:rPr>
        <w:fldChar w:fldCharType="end"/>
      </w:r>
      <w:r w:rsidR="00D158C9" w:rsidRPr="003435B5">
        <w:rPr>
          <w:highlight w:val="yellow"/>
        </w:rPr>
        <w:t>.</w:t>
      </w:r>
    </w:p>
    <w:p w14:paraId="74EE8F66" w14:textId="77777777" w:rsidR="003435B5" w:rsidRPr="003435B5" w:rsidRDefault="003435B5" w:rsidP="003435B5">
      <w:pPr>
        <w:contextualSpacing/>
        <w:rPr>
          <w:rFonts w:asciiTheme="majorHAnsi" w:hAnsiTheme="majorHAnsi" w:cstheme="majorHAnsi"/>
          <w:highlight w:val="yellow"/>
        </w:rPr>
      </w:pPr>
    </w:p>
    <w:p w14:paraId="61D31424" w14:textId="3B350A81" w:rsidR="00524B9E" w:rsidRDefault="00621BC6" w:rsidP="003435B5">
      <w:pPr>
        <w:contextualSpacing/>
        <w:rPr>
          <w:rFonts w:asciiTheme="majorHAnsi" w:hAnsiTheme="majorHAnsi" w:cstheme="majorHAnsi"/>
          <w:highlight w:val="yellow"/>
        </w:rPr>
      </w:pPr>
      <w:r w:rsidRPr="003435B5">
        <w:rPr>
          <w:rFonts w:asciiTheme="majorHAnsi" w:hAnsiTheme="majorHAnsi" w:cstheme="majorHAnsi"/>
          <w:highlight w:val="yellow"/>
        </w:rPr>
        <w:t>2.2.</w:t>
      </w:r>
      <w:r w:rsidR="00EA15D8" w:rsidRPr="003435B5">
        <w:rPr>
          <w:rFonts w:asciiTheme="majorHAnsi" w:hAnsiTheme="majorHAnsi" w:cstheme="majorHAnsi"/>
          <w:highlight w:val="yellow"/>
        </w:rPr>
        <w:t xml:space="preserve"> </w:t>
      </w:r>
      <w:r w:rsidR="00524B9E" w:rsidRPr="003435B5">
        <w:rPr>
          <w:rFonts w:asciiTheme="majorHAnsi" w:hAnsiTheme="majorHAnsi" w:cstheme="majorHAnsi"/>
          <w:highlight w:val="yellow"/>
        </w:rPr>
        <w:t xml:space="preserve">Open the </w:t>
      </w:r>
      <w:proofErr w:type="spellStart"/>
      <w:r w:rsidR="00524B9E" w:rsidRPr="003435B5">
        <w:rPr>
          <w:rFonts w:asciiTheme="majorHAnsi" w:hAnsiTheme="majorHAnsi" w:cstheme="majorHAnsi"/>
          <w:highlight w:val="yellow"/>
        </w:rPr>
        <w:t>Repetier</w:t>
      </w:r>
      <w:proofErr w:type="spellEnd"/>
      <w:r w:rsidR="00524B9E" w:rsidRPr="003435B5">
        <w:rPr>
          <w:rFonts w:asciiTheme="majorHAnsi" w:hAnsiTheme="majorHAnsi" w:cstheme="majorHAnsi"/>
          <w:highlight w:val="yellow"/>
        </w:rPr>
        <w:t>-Host</w:t>
      </w:r>
      <w:r w:rsidR="00B841A2" w:rsidRPr="003435B5">
        <w:rPr>
          <w:rFonts w:asciiTheme="majorHAnsi" w:hAnsiTheme="majorHAnsi" w:cstheme="majorHAnsi"/>
          <w:highlight w:val="yellow"/>
        </w:rPr>
        <w:t xml:space="preserve"> software, which should already be installed </w:t>
      </w:r>
      <w:r w:rsidR="00C42F1D">
        <w:rPr>
          <w:rFonts w:asciiTheme="majorHAnsi" w:hAnsiTheme="majorHAnsi" w:cstheme="majorHAnsi"/>
          <w:highlight w:val="yellow"/>
        </w:rPr>
        <w:t>the</w:t>
      </w:r>
      <w:r w:rsidR="00B841A2" w:rsidRPr="003435B5">
        <w:rPr>
          <w:rFonts w:asciiTheme="majorHAnsi" w:hAnsiTheme="majorHAnsi" w:cstheme="majorHAnsi"/>
          <w:highlight w:val="yellow"/>
        </w:rPr>
        <w:t xml:space="preserve"> computer</w:t>
      </w:r>
      <w:r w:rsidR="00FA62E0" w:rsidRPr="003435B5">
        <w:rPr>
          <w:rFonts w:asciiTheme="majorHAnsi" w:hAnsiTheme="majorHAnsi" w:cstheme="majorHAnsi"/>
          <w:highlight w:val="yellow"/>
        </w:rPr>
        <w:t>, following instructions from</w:t>
      </w:r>
      <w:r w:rsidR="00D63E3C" w:rsidRPr="003435B5">
        <w:rPr>
          <w:rFonts w:asciiTheme="majorHAnsi" w:hAnsiTheme="majorHAnsi" w:cstheme="majorHAnsi"/>
          <w:highlight w:val="yellow"/>
        </w:rPr>
        <w:fldChar w:fldCharType="begin" w:fldLock="1"/>
      </w:r>
      <w:r w:rsidR="00D158C9" w:rsidRPr="003435B5">
        <w:rPr>
          <w:rFonts w:asciiTheme="majorHAnsi" w:hAnsiTheme="majorHAnsi" w:cstheme="majorHAnsi"/>
          <w:highlight w:val="yellow"/>
        </w:rPr>
        <w:instrText>ADDIN CSL_CITATION {"citationItems":[{"id":"ITEM-1","itemData":{"URL":"https://www.repetier.com/","accessed":{"date-parts":[["2021","7","6"]]},"id":"ITEM-1","issued":{"date-parts":[["0"]]},"title":"- Repetier Software","type":"webpage"},"uris":["http://www.mendeley.com/documents/?uuid=d197203c-69ae-3545-9e9a-fd0185ca7cdd"]}],"mendeley":{"formattedCitation":"&lt;sup&gt;37&lt;/sup&gt;","plainTextFormattedCitation":"37","previouslyFormattedCitation":"&lt;sup&gt;39&lt;/sup&gt;"},"properties":{"noteIndex":0},"schema":"https://github.com/citation-style-language/schema/raw/master/csl-citation.json"}</w:instrText>
      </w:r>
      <w:r w:rsidR="00D63E3C" w:rsidRPr="003435B5">
        <w:rPr>
          <w:rFonts w:asciiTheme="majorHAnsi" w:hAnsiTheme="majorHAnsi" w:cstheme="majorHAnsi"/>
          <w:highlight w:val="yellow"/>
        </w:rPr>
        <w:fldChar w:fldCharType="separate"/>
      </w:r>
      <w:r w:rsidR="00D158C9" w:rsidRPr="003435B5">
        <w:rPr>
          <w:rFonts w:asciiTheme="majorHAnsi" w:hAnsiTheme="majorHAnsi" w:cstheme="majorHAnsi"/>
          <w:noProof/>
          <w:highlight w:val="yellow"/>
          <w:vertAlign w:val="superscript"/>
        </w:rPr>
        <w:t>37</w:t>
      </w:r>
      <w:r w:rsidR="00D63E3C" w:rsidRPr="003435B5">
        <w:rPr>
          <w:rFonts w:asciiTheme="majorHAnsi" w:hAnsiTheme="majorHAnsi" w:cstheme="majorHAnsi"/>
          <w:highlight w:val="yellow"/>
        </w:rPr>
        <w:fldChar w:fldCharType="end"/>
      </w:r>
      <w:r w:rsidR="00C90768" w:rsidRPr="003435B5">
        <w:rPr>
          <w:rFonts w:asciiTheme="majorHAnsi" w:hAnsiTheme="majorHAnsi" w:cstheme="majorHAnsi"/>
          <w:highlight w:val="yellow"/>
        </w:rPr>
        <w:t>.</w:t>
      </w:r>
      <w:r w:rsidR="00B841A2" w:rsidRPr="003435B5">
        <w:rPr>
          <w:rFonts w:asciiTheme="majorHAnsi" w:hAnsiTheme="majorHAnsi" w:cstheme="majorHAnsi"/>
          <w:highlight w:val="yellow"/>
        </w:rPr>
        <w:t xml:space="preserve"> Press the </w:t>
      </w:r>
      <w:proofErr w:type="spellStart"/>
      <w:r w:rsidR="00B841A2" w:rsidRPr="003435B5">
        <w:rPr>
          <w:rFonts w:asciiTheme="majorHAnsi" w:hAnsiTheme="majorHAnsi" w:cstheme="majorHAnsi"/>
          <w:b/>
          <w:bCs/>
          <w:highlight w:val="yellow"/>
        </w:rPr>
        <w:t>Ct</w:t>
      </w:r>
      <w:r w:rsidR="00356241" w:rsidRPr="003435B5">
        <w:rPr>
          <w:rFonts w:asciiTheme="majorHAnsi" w:hAnsiTheme="majorHAnsi" w:cstheme="majorHAnsi"/>
          <w:b/>
          <w:bCs/>
          <w:highlight w:val="yellow"/>
        </w:rPr>
        <w:t>r</w:t>
      </w:r>
      <w:r w:rsidR="00B841A2" w:rsidRPr="003435B5">
        <w:rPr>
          <w:rFonts w:asciiTheme="majorHAnsi" w:hAnsiTheme="majorHAnsi" w:cstheme="majorHAnsi"/>
          <w:b/>
          <w:bCs/>
          <w:highlight w:val="yellow"/>
        </w:rPr>
        <w:t>L+O</w:t>
      </w:r>
      <w:proofErr w:type="spellEnd"/>
      <w:r w:rsidR="00B841A2" w:rsidRPr="003435B5">
        <w:rPr>
          <w:rFonts w:asciiTheme="majorHAnsi" w:hAnsiTheme="majorHAnsi" w:cstheme="majorHAnsi"/>
          <w:highlight w:val="yellow"/>
        </w:rPr>
        <w:t xml:space="preserve"> keys on </w:t>
      </w:r>
      <w:r w:rsidR="003435B5">
        <w:rPr>
          <w:rFonts w:asciiTheme="majorHAnsi" w:hAnsiTheme="majorHAnsi" w:cstheme="majorHAnsi"/>
          <w:highlight w:val="yellow"/>
        </w:rPr>
        <w:t>the</w:t>
      </w:r>
      <w:r w:rsidR="00B841A2" w:rsidRPr="003435B5">
        <w:rPr>
          <w:rFonts w:asciiTheme="majorHAnsi" w:hAnsiTheme="majorHAnsi" w:cstheme="majorHAnsi"/>
          <w:highlight w:val="yellow"/>
        </w:rPr>
        <w:t xml:space="preserve"> keyboard to open the STL file </w:t>
      </w:r>
      <w:r w:rsidR="00FA62E0" w:rsidRPr="003435B5">
        <w:rPr>
          <w:rFonts w:asciiTheme="majorHAnsi" w:hAnsiTheme="majorHAnsi" w:cstheme="majorHAnsi"/>
          <w:highlight w:val="yellow"/>
        </w:rPr>
        <w:t>on</w:t>
      </w:r>
      <w:r w:rsidR="0024210E" w:rsidRPr="003435B5">
        <w:rPr>
          <w:rFonts w:asciiTheme="majorHAnsi" w:hAnsiTheme="majorHAnsi" w:cstheme="majorHAnsi"/>
          <w:highlight w:val="yellow"/>
        </w:rPr>
        <w:t xml:space="preserve"> </w:t>
      </w:r>
      <w:r w:rsidR="00C42F1D">
        <w:rPr>
          <w:rFonts w:asciiTheme="majorHAnsi" w:hAnsiTheme="majorHAnsi" w:cstheme="majorHAnsi"/>
          <w:highlight w:val="yellow"/>
        </w:rPr>
        <w:t>the</w:t>
      </w:r>
      <w:r w:rsidR="0024210E" w:rsidRPr="003435B5">
        <w:rPr>
          <w:rFonts w:asciiTheme="majorHAnsi" w:hAnsiTheme="majorHAnsi" w:cstheme="majorHAnsi"/>
          <w:highlight w:val="yellow"/>
        </w:rPr>
        <w:t xml:space="preserve"> computer </w:t>
      </w:r>
      <w:r w:rsidR="00B841A2" w:rsidRPr="003435B5">
        <w:rPr>
          <w:rFonts w:asciiTheme="majorHAnsi" w:hAnsiTheme="majorHAnsi" w:cstheme="majorHAnsi"/>
          <w:highlight w:val="yellow"/>
        </w:rPr>
        <w:t xml:space="preserve">created in </w:t>
      </w:r>
      <w:r w:rsidR="00C42F1D">
        <w:rPr>
          <w:rFonts w:asciiTheme="majorHAnsi" w:hAnsiTheme="majorHAnsi" w:cstheme="majorHAnsi"/>
          <w:highlight w:val="yellow"/>
        </w:rPr>
        <w:t>step</w:t>
      </w:r>
      <w:r w:rsidR="00B841A2" w:rsidRPr="003435B5">
        <w:rPr>
          <w:rFonts w:asciiTheme="majorHAnsi" w:hAnsiTheme="majorHAnsi" w:cstheme="majorHAnsi"/>
          <w:highlight w:val="yellow"/>
        </w:rPr>
        <w:t xml:space="preserve"> 1.</w:t>
      </w:r>
    </w:p>
    <w:p w14:paraId="06428970" w14:textId="77777777" w:rsidR="003435B5" w:rsidRPr="003435B5" w:rsidRDefault="003435B5" w:rsidP="003435B5">
      <w:pPr>
        <w:contextualSpacing/>
        <w:rPr>
          <w:rFonts w:asciiTheme="majorHAnsi" w:hAnsiTheme="majorHAnsi" w:cstheme="majorHAnsi"/>
          <w:highlight w:val="yellow"/>
        </w:rPr>
      </w:pPr>
    </w:p>
    <w:p w14:paraId="798A4CA6" w14:textId="6952CD07" w:rsidR="00F91127" w:rsidRDefault="00B841A2" w:rsidP="003435B5">
      <w:pPr>
        <w:contextualSpacing/>
        <w:rPr>
          <w:highlight w:val="yellow"/>
        </w:rPr>
      </w:pPr>
      <w:r w:rsidRPr="003435B5">
        <w:rPr>
          <w:rFonts w:asciiTheme="majorHAnsi" w:hAnsiTheme="majorHAnsi" w:cstheme="majorHAnsi"/>
          <w:highlight w:val="yellow"/>
        </w:rPr>
        <w:t>2.</w:t>
      </w:r>
      <w:r w:rsidR="00621BC6" w:rsidRPr="003435B5">
        <w:rPr>
          <w:rFonts w:asciiTheme="majorHAnsi" w:hAnsiTheme="majorHAnsi" w:cstheme="majorHAnsi"/>
          <w:highlight w:val="yellow"/>
        </w:rPr>
        <w:t>3</w:t>
      </w:r>
      <w:r w:rsidR="00524B9E" w:rsidRPr="003435B5">
        <w:rPr>
          <w:rFonts w:asciiTheme="majorHAnsi" w:hAnsiTheme="majorHAnsi" w:cstheme="majorHAnsi"/>
          <w:highlight w:val="yellow"/>
        </w:rPr>
        <w:t xml:space="preserve">. </w:t>
      </w:r>
      <w:r w:rsidR="00B61965" w:rsidRPr="003435B5">
        <w:rPr>
          <w:rFonts w:asciiTheme="majorHAnsi" w:hAnsiTheme="majorHAnsi" w:cstheme="majorHAnsi"/>
          <w:highlight w:val="yellow"/>
        </w:rPr>
        <w:t>Once opened, c</w:t>
      </w:r>
      <w:r w:rsidR="00F91127" w:rsidRPr="003435B5">
        <w:rPr>
          <w:rFonts w:asciiTheme="majorHAnsi" w:hAnsiTheme="majorHAnsi" w:cstheme="majorHAnsi"/>
          <w:highlight w:val="yellow"/>
        </w:rPr>
        <w:t>lick on the</w:t>
      </w:r>
      <w:r w:rsidR="004C4E0C" w:rsidRPr="003435B5">
        <w:rPr>
          <w:rFonts w:asciiTheme="majorHAnsi" w:hAnsiTheme="majorHAnsi" w:cstheme="majorHAnsi"/>
          <w:highlight w:val="yellow"/>
        </w:rPr>
        <w:t xml:space="preserve"> design</w:t>
      </w:r>
      <w:r w:rsidR="0091702A" w:rsidRPr="003435B5">
        <w:rPr>
          <w:rFonts w:asciiTheme="majorHAnsi" w:hAnsiTheme="majorHAnsi" w:cstheme="majorHAnsi"/>
          <w:highlight w:val="yellow"/>
        </w:rPr>
        <w:t>ed</w:t>
      </w:r>
      <w:r w:rsidR="00F91127" w:rsidRPr="003435B5">
        <w:rPr>
          <w:rFonts w:asciiTheme="majorHAnsi" w:hAnsiTheme="majorHAnsi" w:cstheme="majorHAnsi"/>
          <w:highlight w:val="yellow"/>
        </w:rPr>
        <w:t xml:space="preserve"> vial </w:t>
      </w:r>
      <w:proofErr w:type="gramStart"/>
      <w:r w:rsidR="004C4E0C" w:rsidRPr="003435B5">
        <w:rPr>
          <w:rFonts w:asciiTheme="majorHAnsi" w:hAnsiTheme="majorHAnsi" w:cstheme="majorHAnsi"/>
          <w:highlight w:val="yellow"/>
        </w:rPr>
        <w:t>rack</w:t>
      </w:r>
      <w:proofErr w:type="gramEnd"/>
      <w:r w:rsidR="00F91127" w:rsidRPr="003435B5">
        <w:rPr>
          <w:highlight w:val="yellow"/>
        </w:rPr>
        <w:t xml:space="preserve"> and press</w:t>
      </w:r>
      <w:r w:rsidR="004C4E0C" w:rsidRPr="003435B5">
        <w:rPr>
          <w:highlight w:val="yellow"/>
        </w:rPr>
        <w:t xml:space="preserve"> the</w:t>
      </w:r>
      <w:r w:rsidR="00F91127" w:rsidRPr="003435B5">
        <w:rPr>
          <w:highlight w:val="yellow"/>
        </w:rPr>
        <w:t xml:space="preserve"> </w:t>
      </w:r>
      <w:r w:rsidR="00F91127" w:rsidRPr="003435B5">
        <w:rPr>
          <w:b/>
          <w:bCs/>
          <w:highlight w:val="yellow"/>
        </w:rPr>
        <w:t>R</w:t>
      </w:r>
      <w:r w:rsidR="00F91127" w:rsidRPr="003435B5">
        <w:rPr>
          <w:highlight w:val="yellow"/>
        </w:rPr>
        <w:t xml:space="preserve"> key on </w:t>
      </w:r>
      <w:r w:rsidR="003435B5">
        <w:rPr>
          <w:highlight w:val="yellow"/>
        </w:rPr>
        <w:t>the keyboard</w:t>
      </w:r>
      <w:r w:rsidR="00F91127" w:rsidRPr="003435B5">
        <w:rPr>
          <w:highlight w:val="yellow"/>
        </w:rPr>
        <w:t xml:space="preserve"> to open the </w:t>
      </w:r>
      <w:r w:rsidR="00B61965" w:rsidRPr="003435B5">
        <w:rPr>
          <w:highlight w:val="yellow"/>
        </w:rPr>
        <w:t xml:space="preserve">editing </w:t>
      </w:r>
      <w:r w:rsidR="004C4E0C" w:rsidRPr="003435B5">
        <w:rPr>
          <w:highlight w:val="yellow"/>
        </w:rPr>
        <w:t>menu</w:t>
      </w:r>
      <w:r w:rsidR="00F91127" w:rsidRPr="003435B5">
        <w:rPr>
          <w:highlight w:val="yellow"/>
        </w:rPr>
        <w:t xml:space="preserve"> on the right side of the screen (</w:t>
      </w:r>
      <w:r w:rsidR="004C4E0C" w:rsidRPr="003435B5">
        <w:rPr>
          <w:highlight w:val="yellow"/>
        </w:rPr>
        <w:t>red square</w:t>
      </w:r>
      <w:r w:rsidR="0091702A" w:rsidRPr="003435B5">
        <w:rPr>
          <w:highlight w:val="yellow"/>
        </w:rPr>
        <w:t xml:space="preserve"> 1</w:t>
      </w:r>
      <w:r w:rsidR="004C4E0C" w:rsidRPr="003435B5">
        <w:rPr>
          <w:highlight w:val="yellow"/>
        </w:rPr>
        <w:t xml:space="preserve"> in </w:t>
      </w:r>
      <w:r w:rsidR="00F91127" w:rsidRPr="003435B5">
        <w:rPr>
          <w:b/>
          <w:bCs/>
          <w:highlight w:val="yellow"/>
        </w:rPr>
        <w:t>Figure 2A</w:t>
      </w:r>
      <w:r w:rsidR="00F91127" w:rsidRPr="003435B5">
        <w:rPr>
          <w:highlight w:val="yellow"/>
        </w:rPr>
        <w:t xml:space="preserve">). </w:t>
      </w:r>
      <w:r w:rsidR="004C4E0C" w:rsidRPr="003435B5">
        <w:rPr>
          <w:highlight w:val="yellow"/>
        </w:rPr>
        <w:t>Centralize</w:t>
      </w:r>
      <w:r w:rsidR="00F91127" w:rsidRPr="003435B5">
        <w:rPr>
          <w:highlight w:val="yellow"/>
        </w:rPr>
        <w:t xml:space="preserve"> the object </w:t>
      </w:r>
      <w:r w:rsidR="004C4E0C" w:rsidRPr="003435B5">
        <w:rPr>
          <w:highlight w:val="yellow"/>
        </w:rPr>
        <w:t>on</w:t>
      </w:r>
      <w:r w:rsidR="00F91127" w:rsidRPr="003435B5">
        <w:rPr>
          <w:highlight w:val="yellow"/>
        </w:rPr>
        <w:t xml:space="preserve"> the </w:t>
      </w:r>
      <w:r w:rsidR="00B61965" w:rsidRPr="003435B5">
        <w:rPr>
          <w:highlight w:val="yellow"/>
        </w:rPr>
        <w:t xml:space="preserve">printing </w:t>
      </w:r>
      <w:r w:rsidR="00F91127" w:rsidRPr="003435B5">
        <w:rPr>
          <w:highlight w:val="yellow"/>
        </w:rPr>
        <w:t>table</w:t>
      </w:r>
      <w:r w:rsidR="004C4E0C" w:rsidRPr="003435B5">
        <w:rPr>
          <w:highlight w:val="yellow"/>
        </w:rPr>
        <w:t xml:space="preserve"> by</w:t>
      </w:r>
      <w:r w:rsidR="00F91127" w:rsidRPr="003435B5">
        <w:rPr>
          <w:highlight w:val="yellow"/>
        </w:rPr>
        <w:t xml:space="preserve"> clicking on </w:t>
      </w:r>
      <w:r w:rsidR="004C4E0C" w:rsidRPr="003435B5">
        <w:rPr>
          <w:highlight w:val="yellow"/>
        </w:rPr>
        <w:t xml:space="preserve">the </w:t>
      </w:r>
      <w:r w:rsidR="00F91127" w:rsidRPr="003435B5">
        <w:rPr>
          <w:b/>
          <w:bCs/>
          <w:highlight w:val="yellow"/>
        </w:rPr>
        <w:t>Center Object</w:t>
      </w:r>
      <w:r w:rsidR="004C4E0C" w:rsidRPr="003435B5">
        <w:rPr>
          <w:highlight w:val="yellow"/>
        </w:rPr>
        <w:t xml:space="preserve"> button, indicated with </w:t>
      </w:r>
      <w:r w:rsidR="0091702A" w:rsidRPr="003435B5">
        <w:rPr>
          <w:highlight w:val="yellow"/>
        </w:rPr>
        <w:t>red</w:t>
      </w:r>
      <w:r w:rsidR="004C4E0C" w:rsidRPr="003435B5">
        <w:rPr>
          <w:highlight w:val="yellow"/>
        </w:rPr>
        <w:t xml:space="preserve"> square</w:t>
      </w:r>
      <w:r w:rsidR="0091702A" w:rsidRPr="003435B5">
        <w:rPr>
          <w:highlight w:val="yellow"/>
        </w:rPr>
        <w:t xml:space="preserve"> 2</w:t>
      </w:r>
      <w:r w:rsidR="004C4E0C" w:rsidRPr="003435B5">
        <w:rPr>
          <w:highlight w:val="yellow"/>
        </w:rPr>
        <w:t xml:space="preserve"> </w:t>
      </w:r>
      <w:r w:rsidR="00F91127" w:rsidRPr="003435B5">
        <w:rPr>
          <w:highlight w:val="yellow"/>
        </w:rPr>
        <w:t xml:space="preserve">in </w:t>
      </w:r>
      <w:r w:rsidR="00F91127" w:rsidRPr="003435B5">
        <w:rPr>
          <w:b/>
          <w:bCs/>
          <w:highlight w:val="yellow"/>
        </w:rPr>
        <w:t>Figure 2A</w:t>
      </w:r>
      <w:r w:rsidR="00B61965" w:rsidRPr="003435B5">
        <w:rPr>
          <w:highlight w:val="yellow"/>
        </w:rPr>
        <w:t xml:space="preserve">, on the </w:t>
      </w:r>
      <w:r w:rsidR="00B61965" w:rsidRPr="003435B5">
        <w:rPr>
          <w:b/>
          <w:bCs/>
          <w:highlight w:val="yellow"/>
        </w:rPr>
        <w:t>Object Placement</w:t>
      </w:r>
      <w:r w:rsidR="00B61965" w:rsidRPr="003435B5">
        <w:rPr>
          <w:highlight w:val="yellow"/>
        </w:rPr>
        <w:t xml:space="preserve"> tab</w:t>
      </w:r>
      <w:r w:rsidR="00F91127" w:rsidRPr="003435B5">
        <w:rPr>
          <w:highlight w:val="yellow"/>
        </w:rPr>
        <w:t>.</w:t>
      </w:r>
    </w:p>
    <w:p w14:paraId="289066CD" w14:textId="77777777" w:rsidR="003435B5" w:rsidRPr="003435B5" w:rsidRDefault="003435B5" w:rsidP="003435B5">
      <w:pPr>
        <w:contextualSpacing/>
        <w:rPr>
          <w:rFonts w:asciiTheme="majorHAnsi" w:hAnsiTheme="majorHAnsi" w:cstheme="majorHAnsi"/>
          <w:highlight w:val="yellow"/>
        </w:rPr>
      </w:pPr>
    </w:p>
    <w:p w14:paraId="4BD02658" w14:textId="0B607666" w:rsidR="00B61965" w:rsidRDefault="00B61965" w:rsidP="003435B5">
      <w:pPr>
        <w:contextualSpacing/>
        <w:rPr>
          <w:rFonts w:asciiTheme="majorHAnsi" w:hAnsiTheme="majorHAnsi" w:cstheme="majorHAnsi"/>
          <w:highlight w:val="yellow"/>
        </w:rPr>
      </w:pPr>
      <w:r w:rsidRPr="003435B5">
        <w:rPr>
          <w:rFonts w:asciiTheme="majorHAnsi" w:hAnsiTheme="majorHAnsi" w:cstheme="majorHAnsi"/>
          <w:highlight w:val="yellow"/>
        </w:rPr>
        <w:t xml:space="preserve">2.4. Click on the </w:t>
      </w:r>
      <w:r w:rsidRPr="003435B5">
        <w:rPr>
          <w:rFonts w:asciiTheme="majorHAnsi" w:hAnsiTheme="majorHAnsi" w:cstheme="majorHAnsi"/>
          <w:b/>
          <w:bCs/>
          <w:highlight w:val="yellow"/>
        </w:rPr>
        <w:t>Slicer</w:t>
      </w:r>
      <w:r w:rsidRPr="003435B5">
        <w:rPr>
          <w:rFonts w:asciiTheme="majorHAnsi" w:hAnsiTheme="majorHAnsi" w:cstheme="majorHAnsi"/>
          <w:highlight w:val="yellow"/>
        </w:rPr>
        <w:t xml:space="preserve"> tab (red square 1 in </w:t>
      </w:r>
      <w:r w:rsidRPr="003435B5">
        <w:rPr>
          <w:rFonts w:asciiTheme="majorHAnsi" w:hAnsiTheme="majorHAnsi" w:cstheme="majorHAnsi"/>
          <w:b/>
          <w:bCs/>
          <w:highlight w:val="yellow"/>
        </w:rPr>
        <w:t>Figure 2B</w:t>
      </w:r>
      <w:r w:rsidRPr="003435B5">
        <w:rPr>
          <w:rFonts w:asciiTheme="majorHAnsi" w:hAnsiTheme="majorHAnsi" w:cstheme="majorHAnsi"/>
          <w:highlight w:val="yellow"/>
        </w:rPr>
        <w:t xml:space="preserve">) next to </w:t>
      </w:r>
      <w:r w:rsidRPr="003435B5">
        <w:rPr>
          <w:rFonts w:asciiTheme="majorHAnsi" w:hAnsiTheme="majorHAnsi" w:cstheme="majorHAnsi"/>
          <w:b/>
          <w:bCs/>
          <w:highlight w:val="yellow"/>
        </w:rPr>
        <w:t>Object Placement</w:t>
      </w:r>
      <w:r w:rsidRPr="003435B5">
        <w:rPr>
          <w:rFonts w:asciiTheme="majorHAnsi" w:hAnsiTheme="majorHAnsi" w:cstheme="majorHAnsi"/>
          <w:highlight w:val="yellow"/>
        </w:rPr>
        <w:t xml:space="preserve"> tab, and then click on the </w:t>
      </w:r>
      <w:r w:rsidRPr="003435B5">
        <w:rPr>
          <w:rFonts w:asciiTheme="majorHAnsi" w:hAnsiTheme="majorHAnsi" w:cstheme="majorHAnsi"/>
          <w:b/>
          <w:bCs/>
          <w:highlight w:val="yellow"/>
        </w:rPr>
        <w:t>Configuration</w:t>
      </w:r>
      <w:r w:rsidRPr="003435B5">
        <w:rPr>
          <w:rFonts w:asciiTheme="majorHAnsi" w:hAnsiTheme="majorHAnsi" w:cstheme="majorHAnsi"/>
          <w:highlight w:val="yellow"/>
        </w:rPr>
        <w:t xml:space="preserve"> button (red square 2 in </w:t>
      </w:r>
      <w:r w:rsidRPr="003435B5">
        <w:rPr>
          <w:rFonts w:asciiTheme="majorHAnsi" w:hAnsiTheme="majorHAnsi" w:cstheme="majorHAnsi"/>
          <w:b/>
          <w:bCs/>
          <w:highlight w:val="yellow"/>
        </w:rPr>
        <w:t>Figure 2B</w:t>
      </w:r>
      <w:r w:rsidRPr="003435B5">
        <w:rPr>
          <w:rFonts w:asciiTheme="majorHAnsi" w:hAnsiTheme="majorHAnsi" w:cstheme="majorHAnsi"/>
          <w:highlight w:val="yellow"/>
        </w:rPr>
        <w:t xml:space="preserve">) below. </w:t>
      </w:r>
      <w:r w:rsidR="00FB111B" w:rsidRPr="003435B5">
        <w:rPr>
          <w:rFonts w:asciiTheme="majorHAnsi" w:hAnsiTheme="majorHAnsi" w:cstheme="majorHAnsi"/>
          <w:highlight w:val="yellow"/>
        </w:rPr>
        <w:t>Note that a</w:t>
      </w:r>
      <w:r w:rsidRPr="003435B5">
        <w:rPr>
          <w:rFonts w:asciiTheme="majorHAnsi" w:hAnsiTheme="majorHAnsi" w:cstheme="majorHAnsi"/>
          <w:highlight w:val="yellow"/>
        </w:rPr>
        <w:t xml:space="preserve"> new window on the left will open where the printer parameters such as velocity, layer thickness and holders can be defined (see </w:t>
      </w:r>
      <w:r w:rsidR="00E43383" w:rsidRPr="003435B5">
        <w:rPr>
          <w:rFonts w:asciiTheme="majorHAnsi" w:hAnsiTheme="majorHAnsi" w:cstheme="majorHAnsi"/>
          <w:highlight w:val="yellow"/>
        </w:rPr>
        <w:t xml:space="preserve">more </w:t>
      </w:r>
      <w:r w:rsidRPr="003435B5">
        <w:rPr>
          <w:rFonts w:asciiTheme="majorHAnsi" w:hAnsiTheme="majorHAnsi" w:cstheme="majorHAnsi"/>
          <w:highlight w:val="yellow"/>
        </w:rPr>
        <w:t>details in the Discussion below).</w:t>
      </w:r>
    </w:p>
    <w:p w14:paraId="0EAAEB9E" w14:textId="77777777" w:rsidR="003435B5" w:rsidRPr="003435B5" w:rsidRDefault="003435B5" w:rsidP="003435B5">
      <w:pPr>
        <w:contextualSpacing/>
        <w:rPr>
          <w:rFonts w:asciiTheme="majorHAnsi" w:hAnsiTheme="majorHAnsi" w:cstheme="majorHAnsi"/>
          <w:highlight w:val="yellow"/>
        </w:rPr>
      </w:pPr>
    </w:p>
    <w:p w14:paraId="25A75069" w14:textId="463A7B54" w:rsidR="00524B9E" w:rsidRDefault="00B179BC" w:rsidP="003435B5">
      <w:pPr>
        <w:contextualSpacing/>
        <w:rPr>
          <w:rFonts w:asciiTheme="majorHAnsi" w:hAnsiTheme="majorHAnsi" w:cstheme="majorHAnsi"/>
          <w:highlight w:val="yellow"/>
        </w:rPr>
      </w:pPr>
      <w:r w:rsidRPr="003435B5">
        <w:rPr>
          <w:rFonts w:asciiTheme="majorHAnsi" w:hAnsiTheme="majorHAnsi" w:cstheme="majorHAnsi"/>
          <w:highlight w:val="yellow"/>
        </w:rPr>
        <w:t>2.</w:t>
      </w:r>
      <w:r w:rsidR="00FB111B" w:rsidRPr="003435B5">
        <w:rPr>
          <w:rFonts w:asciiTheme="majorHAnsi" w:hAnsiTheme="majorHAnsi" w:cstheme="majorHAnsi"/>
          <w:highlight w:val="yellow"/>
        </w:rPr>
        <w:t>5</w:t>
      </w:r>
      <w:r w:rsidR="00524B9E" w:rsidRPr="003435B5">
        <w:rPr>
          <w:rFonts w:asciiTheme="majorHAnsi" w:hAnsiTheme="majorHAnsi" w:cstheme="majorHAnsi"/>
          <w:highlight w:val="yellow"/>
        </w:rPr>
        <w:t xml:space="preserve">. </w:t>
      </w:r>
      <w:r w:rsidR="00CE1E4A" w:rsidRPr="003435B5">
        <w:rPr>
          <w:rFonts w:asciiTheme="majorHAnsi" w:hAnsiTheme="majorHAnsi" w:cstheme="majorHAnsi"/>
          <w:highlight w:val="yellow"/>
        </w:rPr>
        <w:t xml:space="preserve">Click on the </w:t>
      </w:r>
      <w:r w:rsidR="00CE1E4A" w:rsidRPr="003435B5">
        <w:rPr>
          <w:rFonts w:asciiTheme="majorHAnsi" w:hAnsiTheme="majorHAnsi" w:cstheme="majorHAnsi"/>
          <w:b/>
          <w:bCs/>
          <w:highlight w:val="yellow"/>
        </w:rPr>
        <w:t>Import</w:t>
      </w:r>
      <w:r w:rsidR="00CE1E4A" w:rsidRPr="003435B5">
        <w:rPr>
          <w:rFonts w:asciiTheme="majorHAnsi" w:hAnsiTheme="majorHAnsi" w:cstheme="majorHAnsi"/>
          <w:highlight w:val="yellow"/>
        </w:rPr>
        <w:t xml:space="preserve"> button (red </w:t>
      </w:r>
      <w:r w:rsidR="00756B52" w:rsidRPr="003435B5">
        <w:rPr>
          <w:rFonts w:asciiTheme="majorHAnsi" w:hAnsiTheme="majorHAnsi" w:cstheme="majorHAnsi"/>
          <w:highlight w:val="yellow"/>
        </w:rPr>
        <w:t>square</w:t>
      </w:r>
      <w:r w:rsidR="00CE1E4A" w:rsidRPr="003435B5">
        <w:rPr>
          <w:rFonts w:asciiTheme="majorHAnsi" w:hAnsiTheme="majorHAnsi" w:cstheme="majorHAnsi"/>
          <w:highlight w:val="yellow"/>
        </w:rPr>
        <w:t xml:space="preserve"> 3 in </w:t>
      </w:r>
      <w:r w:rsidR="00CE1E4A" w:rsidRPr="003435B5">
        <w:rPr>
          <w:rFonts w:asciiTheme="majorHAnsi" w:hAnsiTheme="majorHAnsi" w:cstheme="majorHAnsi"/>
          <w:b/>
          <w:bCs/>
          <w:highlight w:val="yellow"/>
        </w:rPr>
        <w:t>Figure 2E</w:t>
      </w:r>
      <w:r w:rsidR="00CE1E4A" w:rsidRPr="003435B5">
        <w:rPr>
          <w:rFonts w:asciiTheme="majorHAnsi" w:hAnsiTheme="majorHAnsi" w:cstheme="majorHAnsi"/>
          <w:highlight w:val="yellow"/>
        </w:rPr>
        <w:t xml:space="preserve">), select </w:t>
      </w:r>
      <w:r w:rsidR="00CE1E4A" w:rsidRPr="003435B5">
        <w:rPr>
          <w:rFonts w:asciiTheme="majorHAnsi" w:hAnsiTheme="majorHAnsi" w:cstheme="majorHAnsi"/>
          <w:b/>
          <w:bCs/>
          <w:highlight w:val="yellow"/>
        </w:rPr>
        <w:t>Supplemental File 1</w:t>
      </w:r>
      <w:r w:rsidR="00CE1E4A" w:rsidRPr="003435B5">
        <w:rPr>
          <w:rFonts w:asciiTheme="majorHAnsi" w:hAnsiTheme="majorHAnsi" w:cstheme="majorHAnsi"/>
          <w:highlight w:val="yellow"/>
        </w:rPr>
        <w:t xml:space="preserve"> from </w:t>
      </w:r>
      <w:r w:rsidR="003435B5">
        <w:rPr>
          <w:rFonts w:asciiTheme="majorHAnsi" w:hAnsiTheme="majorHAnsi" w:cstheme="majorHAnsi"/>
          <w:highlight w:val="yellow"/>
        </w:rPr>
        <w:t>the</w:t>
      </w:r>
      <w:r w:rsidR="00CE1E4A" w:rsidRPr="003435B5">
        <w:rPr>
          <w:rFonts w:asciiTheme="majorHAnsi" w:hAnsiTheme="majorHAnsi" w:cstheme="majorHAnsi"/>
          <w:highlight w:val="yellow"/>
        </w:rPr>
        <w:t xml:space="preserve"> files, and press </w:t>
      </w:r>
      <w:r w:rsidR="00CE1E4A" w:rsidRPr="003435B5">
        <w:rPr>
          <w:rFonts w:asciiTheme="majorHAnsi" w:hAnsiTheme="majorHAnsi" w:cstheme="majorHAnsi"/>
          <w:b/>
          <w:bCs/>
          <w:highlight w:val="yellow"/>
        </w:rPr>
        <w:t>Enter</w:t>
      </w:r>
      <w:r w:rsidR="00CE1E4A" w:rsidRPr="003435B5">
        <w:rPr>
          <w:rFonts w:asciiTheme="majorHAnsi" w:hAnsiTheme="majorHAnsi" w:cstheme="majorHAnsi"/>
          <w:highlight w:val="yellow"/>
        </w:rPr>
        <w:t>.</w:t>
      </w:r>
      <w:r w:rsidR="00BA0D61" w:rsidRPr="003435B5">
        <w:rPr>
          <w:rFonts w:asciiTheme="majorHAnsi" w:hAnsiTheme="majorHAnsi" w:cstheme="majorHAnsi"/>
          <w:highlight w:val="yellow"/>
        </w:rPr>
        <w:t xml:space="preserve"> </w:t>
      </w:r>
      <w:r w:rsidR="00D96FFA" w:rsidRPr="003435B5">
        <w:rPr>
          <w:rFonts w:asciiTheme="majorHAnsi" w:hAnsiTheme="majorHAnsi" w:cstheme="majorHAnsi"/>
          <w:highlight w:val="yellow"/>
        </w:rPr>
        <w:t>Note that this .</w:t>
      </w:r>
      <w:proofErr w:type="spellStart"/>
      <w:r w:rsidR="00D96FFA" w:rsidRPr="003435B5">
        <w:rPr>
          <w:rFonts w:asciiTheme="majorHAnsi" w:hAnsiTheme="majorHAnsi" w:cstheme="majorHAnsi"/>
          <w:highlight w:val="yellow"/>
        </w:rPr>
        <w:t>rcp</w:t>
      </w:r>
      <w:proofErr w:type="spellEnd"/>
      <w:r w:rsidR="00D96FFA" w:rsidRPr="003435B5">
        <w:rPr>
          <w:rFonts w:asciiTheme="majorHAnsi" w:hAnsiTheme="majorHAnsi" w:cstheme="majorHAnsi"/>
          <w:highlight w:val="yellow"/>
        </w:rPr>
        <w:t xml:space="preserve"> file (downloaded in step 2.1) provides the parameters for </w:t>
      </w:r>
      <w:r w:rsidR="00EB2BAE" w:rsidRPr="003435B5">
        <w:rPr>
          <w:rFonts w:asciiTheme="majorHAnsi" w:hAnsiTheme="majorHAnsi" w:cstheme="majorHAnsi"/>
          <w:highlight w:val="yellow"/>
        </w:rPr>
        <w:t xml:space="preserve">the </w:t>
      </w:r>
      <w:r w:rsidR="00D96FFA" w:rsidRPr="003435B5">
        <w:rPr>
          <w:rFonts w:asciiTheme="majorHAnsi" w:hAnsiTheme="majorHAnsi" w:cstheme="majorHAnsi"/>
          <w:highlight w:val="yellow"/>
        </w:rPr>
        <w:t xml:space="preserve">automatic configuration of the printer </w:t>
      </w:r>
      <w:r w:rsidR="00FE32BC" w:rsidRPr="003435B5">
        <w:rPr>
          <w:rFonts w:asciiTheme="majorHAnsi" w:hAnsiTheme="majorHAnsi" w:cstheme="majorHAnsi"/>
          <w:highlight w:val="yellow"/>
        </w:rPr>
        <w:t xml:space="preserve">we have optimized for this </w:t>
      </w:r>
      <w:r w:rsidR="00A611F1" w:rsidRPr="003435B5">
        <w:rPr>
          <w:rFonts w:asciiTheme="majorHAnsi" w:hAnsiTheme="majorHAnsi" w:cstheme="majorHAnsi"/>
          <w:highlight w:val="yellow"/>
        </w:rPr>
        <w:t>vial</w:t>
      </w:r>
      <w:r w:rsidR="00FA62E0" w:rsidRPr="003435B5">
        <w:rPr>
          <w:rFonts w:asciiTheme="majorHAnsi" w:hAnsiTheme="majorHAnsi" w:cstheme="majorHAnsi"/>
          <w:highlight w:val="yellow"/>
        </w:rPr>
        <w:t xml:space="preserve"> rack</w:t>
      </w:r>
      <w:r w:rsidR="00FE32BC" w:rsidRPr="003435B5">
        <w:rPr>
          <w:rFonts w:asciiTheme="majorHAnsi" w:hAnsiTheme="majorHAnsi" w:cstheme="majorHAnsi"/>
          <w:highlight w:val="yellow"/>
        </w:rPr>
        <w:t xml:space="preserve">. </w:t>
      </w:r>
    </w:p>
    <w:p w14:paraId="4C9A2858" w14:textId="77777777" w:rsidR="00C9533A" w:rsidRPr="003435B5" w:rsidRDefault="00C9533A" w:rsidP="003435B5">
      <w:pPr>
        <w:contextualSpacing/>
        <w:rPr>
          <w:rFonts w:asciiTheme="majorHAnsi" w:hAnsiTheme="majorHAnsi" w:cstheme="majorHAnsi"/>
          <w:highlight w:val="yellow"/>
        </w:rPr>
      </w:pPr>
    </w:p>
    <w:p w14:paraId="791506BC" w14:textId="1D875832" w:rsidR="00524B9E" w:rsidRDefault="00B179BC" w:rsidP="003435B5">
      <w:pPr>
        <w:contextualSpacing/>
        <w:rPr>
          <w:rFonts w:asciiTheme="majorHAnsi" w:hAnsiTheme="majorHAnsi" w:cstheme="majorHAnsi"/>
          <w:highlight w:val="yellow"/>
        </w:rPr>
      </w:pPr>
      <w:r w:rsidRPr="003435B5">
        <w:rPr>
          <w:rFonts w:asciiTheme="majorHAnsi" w:hAnsiTheme="majorHAnsi" w:cstheme="majorHAnsi"/>
          <w:highlight w:val="yellow"/>
        </w:rPr>
        <w:t>2.</w:t>
      </w:r>
      <w:r w:rsidR="00E43383" w:rsidRPr="003435B5">
        <w:rPr>
          <w:rFonts w:asciiTheme="majorHAnsi" w:hAnsiTheme="majorHAnsi" w:cstheme="majorHAnsi"/>
          <w:highlight w:val="yellow"/>
        </w:rPr>
        <w:t>6</w:t>
      </w:r>
      <w:r w:rsidR="00524B9E" w:rsidRPr="003435B5">
        <w:rPr>
          <w:rFonts w:asciiTheme="majorHAnsi" w:hAnsiTheme="majorHAnsi" w:cstheme="majorHAnsi"/>
          <w:highlight w:val="yellow"/>
        </w:rPr>
        <w:t xml:space="preserve">. </w:t>
      </w:r>
      <w:r w:rsidR="00FA62E0" w:rsidRPr="003435B5">
        <w:rPr>
          <w:rFonts w:asciiTheme="majorHAnsi" w:hAnsiTheme="majorHAnsi" w:cstheme="majorHAnsi"/>
          <w:highlight w:val="yellow"/>
        </w:rPr>
        <w:t xml:space="preserve">To finish configuring the printing parameters, select </w:t>
      </w:r>
      <w:r w:rsidR="00FA62E0" w:rsidRPr="00C9533A">
        <w:rPr>
          <w:rFonts w:asciiTheme="majorHAnsi" w:hAnsiTheme="majorHAnsi" w:cstheme="majorHAnsi"/>
          <w:b/>
          <w:bCs/>
          <w:highlight w:val="yellow"/>
        </w:rPr>
        <w:t>None</w:t>
      </w:r>
      <w:r w:rsidR="00FA62E0" w:rsidRPr="003435B5">
        <w:rPr>
          <w:rFonts w:asciiTheme="majorHAnsi" w:hAnsiTheme="majorHAnsi" w:cstheme="majorHAnsi"/>
          <w:highlight w:val="yellow"/>
        </w:rPr>
        <w:t xml:space="preserve"> for Support Type o</w:t>
      </w:r>
      <w:r w:rsidR="00524B9E" w:rsidRPr="003435B5">
        <w:rPr>
          <w:rFonts w:asciiTheme="majorHAnsi" w:hAnsiTheme="majorHAnsi" w:cstheme="majorHAnsi"/>
          <w:highlight w:val="yellow"/>
        </w:rPr>
        <w:t>n</w:t>
      </w:r>
      <w:r w:rsidR="00B024E8" w:rsidRPr="003435B5">
        <w:rPr>
          <w:rFonts w:asciiTheme="majorHAnsi" w:hAnsiTheme="majorHAnsi" w:cstheme="majorHAnsi"/>
          <w:highlight w:val="yellow"/>
        </w:rPr>
        <w:t xml:space="preserve"> the menu on the right</w:t>
      </w:r>
      <w:r w:rsidR="00FA62E0" w:rsidRPr="003435B5">
        <w:rPr>
          <w:rFonts w:asciiTheme="majorHAnsi" w:hAnsiTheme="majorHAnsi" w:cstheme="majorHAnsi"/>
          <w:highlight w:val="yellow"/>
        </w:rPr>
        <w:t xml:space="preserve"> (red </w:t>
      </w:r>
      <w:r w:rsidR="00E43383" w:rsidRPr="003435B5">
        <w:rPr>
          <w:rFonts w:asciiTheme="majorHAnsi" w:hAnsiTheme="majorHAnsi" w:cstheme="majorHAnsi"/>
          <w:highlight w:val="yellow"/>
        </w:rPr>
        <w:t>square</w:t>
      </w:r>
      <w:r w:rsidR="00FA62E0" w:rsidRPr="003435B5">
        <w:rPr>
          <w:rFonts w:asciiTheme="majorHAnsi" w:hAnsiTheme="majorHAnsi" w:cstheme="majorHAnsi"/>
          <w:highlight w:val="yellow"/>
        </w:rPr>
        <w:t xml:space="preserve"> 4 in </w:t>
      </w:r>
      <w:r w:rsidR="00FA62E0" w:rsidRPr="00C9533A">
        <w:rPr>
          <w:rFonts w:asciiTheme="majorHAnsi" w:hAnsiTheme="majorHAnsi" w:cstheme="majorHAnsi"/>
          <w:b/>
          <w:bCs/>
          <w:highlight w:val="yellow"/>
        </w:rPr>
        <w:t>Figure 2</w:t>
      </w:r>
      <w:r w:rsidR="00A76FFE" w:rsidRPr="00C9533A">
        <w:rPr>
          <w:rFonts w:asciiTheme="majorHAnsi" w:hAnsiTheme="majorHAnsi" w:cstheme="majorHAnsi"/>
          <w:b/>
          <w:bCs/>
          <w:highlight w:val="yellow"/>
        </w:rPr>
        <w:t>E</w:t>
      </w:r>
      <w:r w:rsidR="00FA62E0" w:rsidRPr="003435B5">
        <w:rPr>
          <w:rFonts w:asciiTheme="majorHAnsi" w:hAnsiTheme="majorHAnsi" w:cstheme="majorHAnsi"/>
          <w:highlight w:val="yellow"/>
        </w:rPr>
        <w:t>)</w:t>
      </w:r>
      <w:r w:rsidR="00B024E8" w:rsidRPr="003435B5">
        <w:rPr>
          <w:rFonts w:asciiTheme="majorHAnsi" w:hAnsiTheme="majorHAnsi" w:cstheme="majorHAnsi"/>
          <w:highlight w:val="yellow"/>
        </w:rPr>
        <w:t>,</w:t>
      </w:r>
      <w:r w:rsidR="00A76FFE" w:rsidRPr="003435B5">
        <w:rPr>
          <w:rFonts w:asciiTheme="majorHAnsi" w:hAnsiTheme="majorHAnsi" w:cstheme="majorHAnsi"/>
          <w:highlight w:val="yellow"/>
        </w:rPr>
        <w:t xml:space="preserve"> as printing of this piece does not require a support to prevent bending or other deformities</w:t>
      </w:r>
      <w:r w:rsidR="00A76FFE" w:rsidRPr="003435B5">
        <w:rPr>
          <w:rFonts w:asciiTheme="majorHAnsi" w:hAnsiTheme="majorHAnsi" w:cstheme="majorHAnsi"/>
          <w:b/>
          <w:bCs/>
          <w:highlight w:val="yellow"/>
        </w:rPr>
        <w:t xml:space="preserve">. </w:t>
      </w:r>
      <w:r w:rsidR="00EB2BAE" w:rsidRPr="003435B5">
        <w:rPr>
          <w:rFonts w:asciiTheme="majorHAnsi" w:hAnsiTheme="majorHAnsi" w:cstheme="majorHAnsi"/>
          <w:highlight w:val="yellow"/>
        </w:rPr>
        <w:t xml:space="preserve">In </w:t>
      </w:r>
      <w:r w:rsidR="00EB2BAE" w:rsidRPr="00C9533A">
        <w:rPr>
          <w:rFonts w:asciiTheme="majorHAnsi" w:hAnsiTheme="majorHAnsi" w:cstheme="majorHAnsi"/>
          <w:b/>
          <w:bCs/>
          <w:highlight w:val="yellow"/>
        </w:rPr>
        <w:t>Infill Density</w:t>
      </w:r>
      <w:r w:rsidR="00EB2BAE" w:rsidRPr="003435B5">
        <w:rPr>
          <w:rFonts w:asciiTheme="majorHAnsi" w:hAnsiTheme="majorHAnsi" w:cstheme="majorHAnsi"/>
          <w:highlight w:val="yellow"/>
        </w:rPr>
        <w:t xml:space="preserve"> (red square 5 in </w:t>
      </w:r>
      <w:r w:rsidR="00EB2BAE" w:rsidRPr="00C9533A">
        <w:rPr>
          <w:rFonts w:asciiTheme="majorHAnsi" w:hAnsiTheme="majorHAnsi" w:cstheme="majorHAnsi"/>
          <w:b/>
          <w:bCs/>
          <w:highlight w:val="yellow"/>
        </w:rPr>
        <w:t>Figure 2E</w:t>
      </w:r>
      <w:r w:rsidR="00EB2BAE" w:rsidRPr="003435B5">
        <w:rPr>
          <w:rFonts w:asciiTheme="majorHAnsi" w:hAnsiTheme="majorHAnsi" w:cstheme="majorHAnsi"/>
          <w:highlight w:val="yellow"/>
        </w:rPr>
        <w:t>), choose 20% to create a solid structure (see more details about these parameters in the Discussion below).</w:t>
      </w:r>
    </w:p>
    <w:p w14:paraId="6C4F2524" w14:textId="77777777" w:rsidR="00C9533A" w:rsidRPr="003435B5" w:rsidRDefault="00C9533A" w:rsidP="003435B5">
      <w:pPr>
        <w:contextualSpacing/>
        <w:rPr>
          <w:rFonts w:asciiTheme="majorHAnsi" w:hAnsiTheme="majorHAnsi" w:cstheme="majorHAnsi"/>
          <w:highlight w:val="green"/>
        </w:rPr>
      </w:pPr>
    </w:p>
    <w:p w14:paraId="233418CA" w14:textId="5BC20F02" w:rsidR="00524B9E" w:rsidRDefault="00B179BC" w:rsidP="003435B5">
      <w:pPr>
        <w:contextualSpacing/>
        <w:rPr>
          <w:rFonts w:asciiTheme="majorHAnsi" w:hAnsiTheme="majorHAnsi" w:cstheme="majorHAnsi"/>
          <w:highlight w:val="yellow"/>
        </w:rPr>
      </w:pPr>
      <w:r w:rsidRPr="003435B5">
        <w:rPr>
          <w:rFonts w:asciiTheme="majorHAnsi" w:hAnsiTheme="majorHAnsi" w:cstheme="majorHAnsi"/>
          <w:highlight w:val="yellow"/>
        </w:rPr>
        <w:t>2.</w:t>
      </w:r>
      <w:r w:rsidR="00E43383" w:rsidRPr="003435B5">
        <w:rPr>
          <w:rFonts w:asciiTheme="majorHAnsi" w:hAnsiTheme="majorHAnsi" w:cstheme="majorHAnsi"/>
          <w:highlight w:val="yellow"/>
        </w:rPr>
        <w:t>7</w:t>
      </w:r>
      <w:r w:rsidR="00524B9E" w:rsidRPr="003435B5">
        <w:rPr>
          <w:rFonts w:asciiTheme="majorHAnsi" w:hAnsiTheme="majorHAnsi" w:cstheme="majorHAnsi"/>
          <w:highlight w:val="yellow"/>
        </w:rPr>
        <w:t xml:space="preserve">. </w:t>
      </w:r>
      <w:r w:rsidR="004F1420" w:rsidRPr="003435B5">
        <w:rPr>
          <w:rFonts w:asciiTheme="majorHAnsi" w:hAnsiTheme="majorHAnsi" w:cstheme="majorHAnsi"/>
          <w:highlight w:val="yellow"/>
        </w:rPr>
        <w:t>C</w:t>
      </w:r>
      <w:r w:rsidR="00524B9E" w:rsidRPr="003435B5">
        <w:rPr>
          <w:rFonts w:asciiTheme="majorHAnsi" w:hAnsiTheme="majorHAnsi" w:cstheme="majorHAnsi"/>
          <w:highlight w:val="yellow"/>
        </w:rPr>
        <w:t xml:space="preserve">lick on </w:t>
      </w:r>
      <w:r w:rsidR="00524B9E" w:rsidRPr="00C9533A">
        <w:rPr>
          <w:rFonts w:asciiTheme="majorHAnsi" w:hAnsiTheme="majorHAnsi" w:cstheme="majorHAnsi"/>
          <w:b/>
          <w:bCs/>
          <w:highlight w:val="yellow"/>
        </w:rPr>
        <w:t xml:space="preserve">Slice with </w:t>
      </w:r>
      <w:proofErr w:type="spellStart"/>
      <w:r w:rsidR="004F1420" w:rsidRPr="00C9533A">
        <w:rPr>
          <w:rFonts w:asciiTheme="majorHAnsi" w:hAnsiTheme="majorHAnsi" w:cstheme="majorHAnsi"/>
          <w:b/>
          <w:bCs/>
          <w:highlight w:val="yellow"/>
        </w:rPr>
        <w:t>C</w:t>
      </w:r>
      <w:r w:rsidR="00524B9E" w:rsidRPr="00C9533A">
        <w:rPr>
          <w:rFonts w:asciiTheme="majorHAnsi" w:hAnsiTheme="majorHAnsi" w:cstheme="majorHAnsi"/>
          <w:b/>
          <w:bCs/>
          <w:highlight w:val="yellow"/>
        </w:rPr>
        <w:t>ura</w:t>
      </w:r>
      <w:r w:rsidR="004F1420" w:rsidRPr="00C9533A">
        <w:rPr>
          <w:rFonts w:asciiTheme="majorHAnsi" w:hAnsiTheme="majorHAnsi" w:cstheme="majorHAnsi"/>
          <w:b/>
          <w:bCs/>
          <w:highlight w:val="yellow"/>
        </w:rPr>
        <w:t>E</w:t>
      </w:r>
      <w:r w:rsidR="00524B9E" w:rsidRPr="00C9533A">
        <w:rPr>
          <w:rFonts w:asciiTheme="majorHAnsi" w:hAnsiTheme="majorHAnsi" w:cstheme="majorHAnsi"/>
          <w:b/>
          <w:bCs/>
          <w:highlight w:val="yellow"/>
        </w:rPr>
        <w:t>ngine</w:t>
      </w:r>
      <w:proofErr w:type="spellEnd"/>
      <w:r w:rsidR="00524B9E" w:rsidRPr="003435B5">
        <w:rPr>
          <w:rFonts w:asciiTheme="majorHAnsi" w:hAnsiTheme="majorHAnsi" w:cstheme="majorHAnsi"/>
          <w:highlight w:val="yellow"/>
        </w:rPr>
        <w:t xml:space="preserve"> </w:t>
      </w:r>
      <w:r w:rsidR="00242ACD" w:rsidRPr="003435B5">
        <w:rPr>
          <w:rFonts w:asciiTheme="majorHAnsi" w:hAnsiTheme="majorHAnsi" w:cstheme="majorHAnsi"/>
          <w:highlight w:val="yellow"/>
        </w:rPr>
        <w:t xml:space="preserve">on the upper right corner of the screen </w:t>
      </w:r>
      <w:r w:rsidR="004F1420" w:rsidRPr="003435B5">
        <w:rPr>
          <w:rFonts w:asciiTheme="majorHAnsi" w:hAnsiTheme="majorHAnsi" w:cstheme="majorHAnsi"/>
          <w:highlight w:val="yellow"/>
        </w:rPr>
        <w:t>to run the slicing</w:t>
      </w:r>
      <w:r w:rsidR="00524B9E" w:rsidRPr="003435B5">
        <w:rPr>
          <w:rFonts w:asciiTheme="majorHAnsi" w:hAnsiTheme="majorHAnsi" w:cstheme="majorHAnsi"/>
          <w:highlight w:val="yellow"/>
        </w:rPr>
        <w:t xml:space="preserve"> program</w:t>
      </w:r>
      <w:r w:rsidR="00311162" w:rsidRPr="003435B5">
        <w:rPr>
          <w:rFonts w:asciiTheme="majorHAnsi" w:hAnsiTheme="majorHAnsi" w:cstheme="majorHAnsi"/>
          <w:highlight w:val="yellow"/>
        </w:rPr>
        <w:t xml:space="preserve"> and generate the G-Code, which has the information necessary for the printer</w:t>
      </w:r>
      <w:r w:rsidR="00B25792" w:rsidRPr="003435B5">
        <w:rPr>
          <w:rFonts w:asciiTheme="majorHAnsi" w:hAnsiTheme="majorHAnsi" w:cstheme="majorHAnsi"/>
          <w:highlight w:val="yellow"/>
        </w:rPr>
        <w:t xml:space="preserve"> to print the piece</w:t>
      </w:r>
      <w:r w:rsidR="004F1420" w:rsidRPr="003435B5">
        <w:rPr>
          <w:rFonts w:asciiTheme="majorHAnsi" w:hAnsiTheme="majorHAnsi" w:cstheme="majorHAnsi"/>
          <w:highlight w:val="yellow"/>
        </w:rPr>
        <w:t>.</w:t>
      </w:r>
      <w:r w:rsidR="00524B9E" w:rsidRPr="003435B5">
        <w:rPr>
          <w:rFonts w:asciiTheme="majorHAnsi" w:hAnsiTheme="majorHAnsi" w:cstheme="majorHAnsi"/>
          <w:highlight w:val="yellow"/>
        </w:rPr>
        <w:t xml:space="preserve"> </w:t>
      </w:r>
      <w:r w:rsidR="004F1420" w:rsidRPr="003435B5">
        <w:rPr>
          <w:rFonts w:asciiTheme="majorHAnsi" w:hAnsiTheme="majorHAnsi" w:cstheme="majorHAnsi"/>
          <w:highlight w:val="yellow"/>
        </w:rPr>
        <w:t xml:space="preserve">Note that </w:t>
      </w:r>
      <w:r w:rsidR="00311162" w:rsidRPr="003435B5">
        <w:rPr>
          <w:rFonts w:asciiTheme="majorHAnsi" w:hAnsiTheme="majorHAnsi" w:cstheme="majorHAnsi"/>
          <w:highlight w:val="yellow"/>
        </w:rPr>
        <w:t xml:space="preserve">under the </w:t>
      </w:r>
      <w:r w:rsidR="00311162" w:rsidRPr="00C9533A">
        <w:rPr>
          <w:rFonts w:asciiTheme="majorHAnsi" w:hAnsiTheme="majorHAnsi" w:cstheme="majorHAnsi"/>
          <w:b/>
          <w:bCs/>
          <w:highlight w:val="yellow"/>
        </w:rPr>
        <w:t>Print Preview</w:t>
      </w:r>
      <w:r w:rsidR="00311162" w:rsidRPr="003435B5">
        <w:rPr>
          <w:rFonts w:asciiTheme="majorHAnsi" w:hAnsiTheme="majorHAnsi" w:cstheme="majorHAnsi"/>
          <w:highlight w:val="yellow"/>
        </w:rPr>
        <w:t xml:space="preserve"> tab on the menu on the right</w:t>
      </w:r>
      <w:r w:rsidR="00242ACD" w:rsidRPr="003435B5">
        <w:rPr>
          <w:rFonts w:asciiTheme="majorHAnsi" w:hAnsiTheme="majorHAnsi" w:cstheme="majorHAnsi"/>
          <w:highlight w:val="yellow"/>
        </w:rPr>
        <w:t xml:space="preserve"> (next to the </w:t>
      </w:r>
      <w:r w:rsidR="00242ACD" w:rsidRPr="00C9533A">
        <w:rPr>
          <w:rFonts w:asciiTheme="majorHAnsi" w:hAnsiTheme="majorHAnsi" w:cstheme="majorHAnsi"/>
          <w:b/>
          <w:bCs/>
          <w:highlight w:val="yellow"/>
        </w:rPr>
        <w:t>Slicer</w:t>
      </w:r>
      <w:r w:rsidR="00242ACD" w:rsidRPr="003435B5">
        <w:rPr>
          <w:rFonts w:asciiTheme="majorHAnsi" w:hAnsiTheme="majorHAnsi" w:cstheme="majorHAnsi"/>
          <w:highlight w:val="yellow"/>
        </w:rPr>
        <w:t xml:space="preserve"> tab)</w:t>
      </w:r>
      <w:r w:rsidR="00311162" w:rsidRPr="003435B5">
        <w:rPr>
          <w:rFonts w:asciiTheme="majorHAnsi" w:hAnsiTheme="majorHAnsi" w:cstheme="majorHAnsi"/>
          <w:highlight w:val="yellow"/>
        </w:rPr>
        <w:t xml:space="preserve">, </w:t>
      </w:r>
      <w:r w:rsidR="004F1420" w:rsidRPr="003435B5">
        <w:rPr>
          <w:rFonts w:asciiTheme="majorHAnsi" w:hAnsiTheme="majorHAnsi" w:cstheme="majorHAnsi"/>
          <w:highlight w:val="yellow"/>
        </w:rPr>
        <w:t xml:space="preserve">information about the time and amount of material required for the printing job to be completed will then show (red </w:t>
      </w:r>
      <w:r w:rsidR="00242ACD" w:rsidRPr="003435B5">
        <w:rPr>
          <w:rFonts w:asciiTheme="majorHAnsi" w:hAnsiTheme="majorHAnsi" w:cstheme="majorHAnsi"/>
          <w:highlight w:val="yellow"/>
        </w:rPr>
        <w:t>square 1</w:t>
      </w:r>
      <w:r w:rsidR="004F1420" w:rsidRPr="003435B5">
        <w:rPr>
          <w:rFonts w:asciiTheme="majorHAnsi" w:hAnsiTheme="majorHAnsi" w:cstheme="majorHAnsi"/>
          <w:highlight w:val="yellow"/>
        </w:rPr>
        <w:t xml:space="preserve"> in </w:t>
      </w:r>
      <w:r w:rsidR="004F1420" w:rsidRPr="00C9533A">
        <w:rPr>
          <w:rFonts w:asciiTheme="majorHAnsi" w:hAnsiTheme="majorHAnsi" w:cstheme="majorHAnsi"/>
          <w:b/>
          <w:bCs/>
          <w:highlight w:val="yellow"/>
        </w:rPr>
        <w:t>Figure 2</w:t>
      </w:r>
      <w:r w:rsidR="00B5315D" w:rsidRPr="00C9533A">
        <w:rPr>
          <w:rFonts w:asciiTheme="majorHAnsi" w:hAnsiTheme="majorHAnsi" w:cstheme="majorHAnsi"/>
          <w:b/>
          <w:bCs/>
          <w:highlight w:val="yellow"/>
        </w:rPr>
        <w:t>F</w:t>
      </w:r>
      <w:r w:rsidR="004F1420" w:rsidRPr="003435B5">
        <w:rPr>
          <w:rFonts w:asciiTheme="majorHAnsi" w:hAnsiTheme="majorHAnsi" w:cstheme="majorHAnsi"/>
          <w:highlight w:val="yellow"/>
        </w:rPr>
        <w:t>).</w:t>
      </w:r>
      <w:r w:rsidR="00524B9E" w:rsidRPr="003435B5">
        <w:rPr>
          <w:rFonts w:asciiTheme="majorHAnsi" w:hAnsiTheme="majorHAnsi" w:cstheme="majorHAnsi"/>
          <w:highlight w:val="yellow"/>
        </w:rPr>
        <w:t xml:space="preserve"> </w:t>
      </w:r>
    </w:p>
    <w:p w14:paraId="3EC69FDC" w14:textId="77777777" w:rsidR="00C9533A" w:rsidRPr="003435B5" w:rsidRDefault="00C9533A" w:rsidP="003435B5">
      <w:pPr>
        <w:contextualSpacing/>
        <w:rPr>
          <w:rFonts w:asciiTheme="majorHAnsi" w:hAnsiTheme="majorHAnsi" w:cstheme="majorHAnsi"/>
          <w:highlight w:val="yellow"/>
        </w:rPr>
      </w:pPr>
    </w:p>
    <w:p w14:paraId="5D440D91" w14:textId="5EC48821" w:rsidR="00524B9E" w:rsidRDefault="00532A40" w:rsidP="003435B5">
      <w:pPr>
        <w:contextualSpacing/>
        <w:rPr>
          <w:rFonts w:asciiTheme="majorHAnsi" w:hAnsiTheme="majorHAnsi" w:cstheme="majorHAnsi"/>
          <w:highlight w:val="yellow"/>
        </w:rPr>
      </w:pPr>
      <w:r w:rsidRPr="003435B5">
        <w:rPr>
          <w:rFonts w:asciiTheme="majorHAnsi" w:hAnsiTheme="majorHAnsi" w:cstheme="majorHAnsi"/>
          <w:highlight w:val="yellow"/>
        </w:rPr>
        <w:t>2.</w:t>
      </w:r>
      <w:r w:rsidR="009A0942" w:rsidRPr="003435B5">
        <w:rPr>
          <w:rFonts w:asciiTheme="majorHAnsi" w:hAnsiTheme="majorHAnsi" w:cstheme="majorHAnsi"/>
          <w:highlight w:val="yellow"/>
        </w:rPr>
        <w:t>9</w:t>
      </w:r>
      <w:r w:rsidR="00524B9E" w:rsidRPr="003435B5">
        <w:rPr>
          <w:rFonts w:asciiTheme="majorHAnsi" w:hAnsiTheme="majorHAnsi" w:cstheme="majorHAnsi"/>
          <w:highlight w:val="yellow"/>
        </w:rPr>
        <w:t>.</w:t>
      </w:r>
      <w:r w:rsidR="00311162" w:rsidRPr="003435B5">
        <w:rPr>
          <w:rFonts w:asciiTheme="majorHAnsi" w:hAnsiTheme="majorHAnsi" w:cstheme="majorHAnsi"/>
          <w:highlight w:val="yellow"/>
        </w:rPr>
        <w:t xml:space="preserve"> </w:t>
      </w:r>
      <w:r w:rsidR="00524B9E" w:rsidRPr="003435B5">
        <w:rPr>
          <w:rFonts w:asciiTheme="majorHAnsi" w:hAnsiTheme="majorHAnsi" w:cstheme="majorHAnsi"/>
          <w:highlight w:val="yellow"/>
        </w:rPr>
        <w:t xml:space="preserve">Click on </w:t>
      </w:r>
      <w:r w:rsidR="00311162" w:rsidRPr="00C9533A">
        <w:rPr>
          <w:rFonts w:asciiTheme="majorHAnsi" w:hAnsiTheme="majorHAnsi" w:cstheme="majorHAnsi"/>
          <w:b/>
          <w:bCs/>
          <w:highlight w:val="yellow"/>
        </w:rPr>
        <w:t>S</w:t>
      </w:r>
      <w:r w:rsidR="00524B9E" w:rsidRPr="00C9533A">
        <w:rPr>
          <w:rFonts w:asciiTheme="majorHAnsi" w:hAnsiTheme="majorHAnsi" w:cstheme="majorHAnsi"/>
          <w:b/>
          <w:bCs/>
          <w:highlight w:val="yellow"/>
        </w:rPr>
        <w:t xml:space="preserve">ave for SD </w:t>
      </w:r>
      <w:r w:rsidR="00311162" w:rsidRPr="00C9533A">
        <w:rPr>
          <w:rFonts w:asciiTheme="majorHAnsi" w:hAnsiTheme="majorHAnsi" w:cstheme="majorHAnsi"/>
          <w:b/>
          <w:bCs/>
          <w:highlight w:val="yellow"/>
        </w:rPr>
        <w:t>P</w:t>
      </w:r>
      <w:r w:rsidR="00524B9E" w:rsidRPr="00C9533A">
        <w:rPr>
          <w:rFonts w:asciiTheme="majorHAnsi" w:hAnsiTheme="majorHAnsi" w:cstheme="majorHAnsi"/>
          <w:b/>
          <w:bCs/>
          <w:highlight w:val="yellow"/>
        </w:rPr>
        <w:t>rint</w:t>
      </w:r>
      <w:r w:rsidR="00524B9E" w:rsidRPr="003435B5">
        <w:rPr>
          <w:rFonts w:asciiTheme="majorHAnsi" w:hAnsiTheme="majorHAnsi" w:cstheme="majorHAnsi"/>
          <w:highlight w:val="yellow"/>
        </w:rPr>
        <w:t xml:space="preserve"> </w:t>
      </w:r>
      <w:r w:rsidR="00311162" w:rsidRPr="003435B5">
        <w:rPr>
          <w:rFonts w:asciiTheme="majorHAnsi" w:hAnsiTheme="majorHAnsi" w:cstheme="majorHAnsi"/>
          <w:highlight w:val="yellow"/>
        </w:rPr>
        <w:t>to</w:t>
      </w:r>
      <w:r w:rsidR="00524B9E" w:rsidRPr="003435B5">
        <w:rPr>
          <w:rFonts w:asciiTheme="majorHAnsi" w:hAnsiTheme="majorHAnsi" w:cstheme="majorHAnsi"/>
          <w:highlight w:val="yellow"/>
        </w:rPr>
        <w:t xml:space="preserve"> save </w:t>
      </w:r>
      <w:r w:rsidR="00311162" w:rsidRPr="003435B5">
        <w:rPr>
          <w:rFonts w:asciiTheme="majorHAnsi" w:hAnsiTheme="majorHAnsi" w:cstheme="majorHAnsi"/>
          <w:highlight w:val="yellow"/>
        </w:rPr>
        <w:t>the G-Code file</w:t>
      </w:r>
      <w:r w:rsidR="00524B9E" w:rsidRPr="003435B5">
        <w:rPr>
          <w:rFonts w:asciiTheme="majorHAnsi" w:hAnsiTheme="majorHAnsi" w:cstheme="majorHAnsi"/>
          <w:highlight w:val="yellow"/>
        </w:rPr>
        <w:t xml:space="preserve"> in a SD card</w:t>
      </w:r>
      <w:r w:rsidR="00B5315D" w:rsidRPr="003435B5">
        <w:rPr>
          <w:rFonts w:asciiTheme="majorHAnsi" w:hAnsiTheme="majorHAnsi" w:cstheme="majorHAnsi"/>
          <w:highlight w:val="yellow"/>
        </w:rPr>
        <w:t xml:space="preserve"> (</w:t>
      </w:r>
      <w:r w:rsidR="00242ACD" w:rsidRPr="003435B5">
        <w:rPr>
          <w:rFonts w:asciiTheme="majorHAnsi" w:hAnsiTheme="majorHAnsi" w:cstheme="majorHAnsi"/>
          <w:highlight w:val="yellow"/>
        </w:rPr>
        <w:t>red</w:t>
      </w:r>
      <w:r w:rsidR="00B5315D" w:rsidRPr="003435B5">
        <w:rPr>
          <w:rFonts w:asciiTheme="majorHAnsi" w:hAnsiTheme="majorHAnsi" w:cstheme="majorHAnsi"/>
          <w:highlight w:val="yellow"/>
        </w:rPr>
        <w:t xml:space="preserve"> </w:t>
      </w:r>
      <w:r w:rsidR="00A83950" w:rsidRPr="003435B5">
        <w:rPr>
          <w:rFonts w:asciiTheme="majorHAnsi" w:hAnsiTheme="majorHAnsi" w:cstheme="majorHAnsi"/>
          <w:highlight w:val="yellow"/>
        </w:rPr>
        <w:t>square</w:t>
      </w:r>
      <w:r w:rsidR="00242ACD" w:rsidRPr="003435B5">
        <w:rPr>
          <w:rFonts w:asciiTheme="majorHAnsi" w:hAnsiTheme="majorHAnsi" w:cstheme="majorHAnsi"/>
          <w:highlight w:val="yellow"/>
        </w:rPr>
        <w:t xml:space="preserve"> 2</w:t>
      </w:r>
      <w:r w:rsidR="00B5315D" w:rsidRPr="003435B5">
        <w:rPr>
          <w:rFonts w:asciiTheme="majorHAnsi" w:hAnsiTheme="majorHAnsi" w:cstheme="majorHAnsi"/>
          <w:highlight w:val="yellow"/>
        </w:rPr>
        <w:t xml:space="preserve"> in </w:t>
      </w:r>
      <w:r w:rsidR="00B5315D" w:rsidRPr="00C9533A">
        <w:rPr>
          <w:rFonts w:asciiTheme="majorHAnsi" w:hAnsiTheme="majorHAnsi" w:cstheme="majorHAnsi"/>
          <w:b/>
          <w:bCs/>
          <w:highlight w:val="yellow"/>
        </w:rPr>
        <w:t>Figure 2F</w:t>
      </w:r>
      <w:r w:rsidR="00B5315D" w:rsidRPr="003435B5">
        <w:rPr>
          <w:rFonts w:asciiTheme="majorHAnsi" w:hAnsiTheme="majorHAnsi" w:cstheme="majorHAnsi"/>
          <w:highlight w:val="yellow"/>
        </w:rPr>
        <w:t>)</w:t>
      </w:r>
      <w:r w:rsidR="00524B9E" w:rsidRPr="003435B5">
        <w:rPr>
          <w:rFonts w:asciiTheme="majorHAnsi" w:hAnsiTheme="majorHAnsi" w:cstheme="majorHAnsi"/>
          <w:highlight w:val="yellow"/>
        </w:rPr>
        <w:t>.</w:t>
      </w:r>
      <w:r w:rsidR="00942E39" w:rsidRPr="003435B5">
        <w:rPr>
          <w:highlight w:val="yellow"/>
        </w:rPr>
        <w:t xml:space="preserve"> </w:t>
      </w:r>
      <w:r w:rsidR="00242ACD" w:rsidRPr="003435B5">
        <w:rPr>
          <w:highlight w:val="yellow"/>
        </w:rPr>
        <w:t>Note that t</w:t>
      </w:r>
      <w:r w:rsidR="00942E39" w:rsidRPr="003435B5">
        <w:rPr>
          <w:highlight w:val="yellow"/>
        </w:rPr>
        <w:t xml:space="preserve">he G-Code contains the 3D coordinates of the designed piece, </w:t>
      </w:r>
      <w:r w:rsidR="00942E39" w:rsidRPr="003435B5">
        <w:rPr>
          <w:rFonts w:asciiTheme="majorHAnsi" w:hAnsiTheme="majorHAnsi" w:cstheme="majorHAnsi"/>
          <w:highlight w:val="yellow"/>
        </w:rPr>
        <w:t>sliced into layers, for proper function of the printer.</w:t>
      </w:r>
    </w:p>
    <w:p w14:paraId="34A738EC" w14:textId="77777777" w:rsidR="00C9533A" w:rsidRPr="003435B5" w:rsidRDefault="00C9533A" w:rsidP="003435B5">
      <w:pPr>
        <w:contextualSpacing/>
        <w:rPr>
          <w:rFonts w:asciiTheme="majorHAnsi" w:hAnsiTheme="majorHAnsi" w:cstheme="majorHAnsi"/>
          <w:highlight w:val="yellow"/>
        </w:rPr>
      </w:pPr>
    </w:p>
    <w:p w14:paraId="43ACB2C1" w14:textId="0515B284" w:rsidR="00524B9E" w:rsidRDefault="00532A40" w:rsidP="003435B5">
      <w:pPr>
        <w:contextualSpacing/>
        <w:rPr>
          <w:rFonts w:asciiTheme="majorHAnsi" w:hAnsiTheme="majorHAnsi" w:cstheme="majorHAnsi"/>
          <w:highlight w:val="yellow"/>
        </w:rPr>
      </w:pPr>
      <w:r w:rsidRPr="003435B5">
        <w:rPr>
          <w:rFonts w:asciiTheme="majorHAnsi" w:hAnsiTheme="majorHAnsi" w:cstheme="majorHAnsi"/>
          <w:highlight w:val="yellow"/>
        </w:rPr>
        <w:t>2.</w:t>
      </w:r>
      <w:r w:rsidR="009A0942" w:rsidRPr="003435B5">
        <w:rPr>
          <w:rFonts w:asciiTheme="majorHAnsi" w:hAnsiTheme="majorHAnsi" w:cstheme="majorHAnsi"/>
          <w:highlight w:val="yellow"/>
        </w:rPr>
        <w:t>10</w:t>
      </w:r>
      <w:r w:rsidR="00524B9E" w:rsidRPr="003435B5">
        <w:rPr>
          <w:rFonts w:asciiTheme="majorHAnsi" w:hAnsiTheme="majorHAnsi" w:cstheme="majorHAnsi"/>
          <w:highlight w:val="yellow"/>
        </w:rPr>
        <w:t>. Insert the SD card in the R</w:t>
      </w:r>
      <w:r w:rsidR="00942E39" w:rsidRPr="003435B5">
        <w:rPr>
          <w:rFonts w:asciiTheme="majorHAnsi" w:hAnsiTheme="majorHAnsi" w:cstheme="majorHAnsi"/>
          <w:highlight w:val="yellow"/>
        </w:rPr>
        <w:t>e</w:t>
      </w:r>
      <w:r w:rsidR="00524B9E" w:rsidRPr="003435B5">
        <w:rPr>
          <w:rFonts w:asciiTheme="majorHAnsi" w:hAnsiTheme="majorHAnsi" w:cstheme="majorHAnsi"/>
          <w:highlight w:val="yellow"/>
        </w:rPr>
        <w:t>pR</w:t>
      </w:r>
      <w:r w:rsidR="00942E39" w:rsidRPr="003435B5">
        <w:rPr>
          <w:rFonts w:asciiTheme="majorHAnsi" w:hAnsiTheme="majorHAnsi" w:cstheme="majorHAnsi"/>
          <w:highlight w:val="yellow"/>
        </w:rPr>
        <w:t>a</w:t>
      </w:r>
      <w:r w:rsidR="00524B9E" w:rsidRPr="003435B5">
        <w:rPr>
          <w:rFonts w:asciiTheme="majorHAnsi" w:hAnsiTheme="majorHAnsi" w:cstheme="majorHAnsi"/>
          <w:highlight w:val="yellow"/>
        </w:rPr>
        <w:t>p 3D</w:t>
      </w:r>
      <w:r w:rsidR="00942E39" w:rsidRPr="003435B5">
        <w:rPr>
          <w:rFonts w:asciiTheme="majorHAnsi" w:hAnsiTheme="majorHAnsi" w:cstheme="majorHAnsi"/>
          <w:highlight w:val="yellow"/>
        </w:rPr>
        <w:t xml:space="preserve"> printer,</w:t>
      </w:r>
      <w:r w:rsidR="00524B9E" w:rsidRPr="003435B5">
        <w:rPr>
          <w:rFonts w:asciiTheme="majorHAnsi" w:hAnsiTheme="majorHAnsi" w:cstheme="majorHAnsi"/>
          <w:highlight w:val="yellow"/>
        </w:rPr>
        <w:t xml:space="preserve"> and </w:t>
      </w:r>
      <w:r w:rsidR="00942E39" w:rsidRPr="003435B5">
        <w:rPr>
          <w:rFonts w:asciiTheme="majorHAnsi" w:hAnsiTheme="majorHAnsi" w:cstheme="majorHAnsi"/>
          <w:highlight w:val="yellow"/>
        </w:rPr>
        <w:t xml:space="preserve">then follow the information displayed on </w:t>
      </w:r>
      <w:r w:rsidR="00B25792" w:rsidRPr="003435B5">
        <w:rPr>
          <w:rFonts w:asciiTheme="majorHAnsi" w:hAnsiTheme="majorHAnsi" w:cstheme="majorHAnsi"/>
          <w:highlight w:val="yellow"/>
        </w:rPr>
        <w:t xml:space="preserve">the </w:t>
      </w:r>
      <w:r w:rsidR="00942E39" w:rsidRPr="003435B5">
        <w:rPr>
          <w:rFonts w:asciiTheme="majorHAnsi" w:hAnsiTheme="majorHAnsi" w:cstheme="majorHAnsi"/>
          <w:highlight w:val="yellow"/>
        </w:rPr>
        <w:t xml:space="preserve">printer screen to </w:t>
      </w:r>
      <w:r w:rsidR="00524B9E" w:rsidRPr="003435B5">
        <w:rPr>
          <w:rFonts w:asciiTheme="majorHAnsi" w:hAnsiTheme="majorHAnsi" w:cstheme="majorHAnsi"/>
          <w:highlight w:val="yellow"/>
        </w:rPr>
        <w:t>select print</w:t>
      </w:r>
      <w:r w:rsidR="004B4B70" w:rsidRPr="003435B5">
        <w:rPr>
          <w:rFonts w:asciiTheme="majorHAnsi" w:hAnsiTheme="majorHAnsi" w:cstheme="majorHAnsi"/>
          <w:highlight w:val="yellow"/>
        </w:rPr>
        <w:t>ing</w:t>
      </w:r>
      <w:r w:rsidR="00524B9E" w:rsidRPr="003435B5">
        <w:rPr>
          <w:rFonts w:asciiTheme="majorHAnsi" w:hAnsiTheme="majorHAnsi" w:cstheme="majorHAnsi"/>
          <w:highlight w:val="yellow"/>
        </w:rPr>
        <w:t xml:space="preserve"> from the SD</w:t>
      </w:r>
      <w:r w:rsidR="00B25792" w:rsidRPr="003435B5">
        <w:rPr>
          <w:rFonts w:asciiTheme="majorHAnsi" w:hAnsiTheme="majorHAnsi" w:cstheme="majorHAnsi"/>
          <w:highlight w:val="yellow"/>
        </w:rPr>
        <w:t xml:space="preserve"> card</w:t>
      </w:r>
      <w:r w:rsidR="00942E39" w:rsidRPr="003435B5">
        <w:rPr>
          <w:rFonts w:asciiTheme="majorHAnsi" w:hAnsiTheme="majorHAnsi" w:cstheme="majorHAnsi"/>
          <w:highlight w:val="yellow"/>
        </w:rPr>
        <w:t>.</w:t>
      </w:r>
    </w:p>
    <w:p w14:paraId="2C6E18C4" w14:textId="77777777" w:rsidR="00C9533A" w:rsidRPr="003435B5" w:rsidRDefault="00C9533A" w:rsidP="003435B5">
      <w:pPr>
        <w:contextualSpacing/>
        <w:rPr>
          <w:rFonts w:asciiTheme="majorHAnsi" w:hAnsiTheme="majorHAnsi" w:cstheme="majorHAnsi"/>
          <w:highlight w:val="yellow"/>
        </w:rPr>
      </w:pPr>
    </w:p>
    <w:p w14:paraId="5352739F" w14:textId="11B64BDD" w:rsidR="00524B9E" w:rsidRPr="003435B5" w:rsidRDefault="00532A40" w:rsidP="003435B5">
      <w:pPr>
        <w:contextualSpacing/>
        <w:rPr>
          <w:rFonts w:asciiTheme="majorHAnsi" w:hAnsiTheme="majorHAnsi" w:cstheme="majorHAnsi"/>
        </w:rPr>
      </w:pPr>
      <w:r w:rsidRPr="003435B5">
        <w:rPr>
          <w:rFonts w:asciiTheme="majorHAnsi" w:hAnsiTheme="majorHAnsi" w:cstheme="majorHAnsi"/>
          <w:highlight w:val="yellow"/>
        </w:rPr>
        <w:t>2.</w:t>
      </w:r>
      <w:r w:rsidR="00621BC6" w:rsidRPr="003435B5">
        <w:rPr>
          <w:rFonts w:asciiTheme="majorHAnsi" w:hAnsiTheme="majorHAnsi" w:cstheme="majorHAnsi"/>
          <w:highlight w:val="yellow"/>
        </w:rPr>
        <w:t>1</w:t>
      </w:r>
      <w:r w:rsidR="009A0942" w:rsidRPr="003435B5">
        <w:rPr>
          <w:rFonts w:asciiTheme="majorHAnsi" w:hAnsiTheme="majorHAnsi" w:cstheme="majorHAnsi"/>
          <w:highlight w:val="yellow"/>
        </w:rPr>
        <w:t>1</w:t>
      </w:r>
      <w:r w:rsidR="00524B9E" w:rsidRPr="003435B5">
        <w:rPr>
          <w:rFonts w:asciiTheme="majorHAnsi" w:hAnsiTheme="majorHAnsi" w:cstheme="majorHAnsi"/>
          <w:highlight w:val="yellow"/>
        </w:rPr>
        <w:t xml:space="preserve">. Select the </w:t>
      </w:r>
      <w:r w:rsidR="00942E39" w:rsidRPr="003435B5">
        <w:rPr>
          <w:rFonts w:asciiTheme="majorHAnsi" w:hAnsiTheme="majorHAnsi" w:cstheme="majorHAnsi"/>
          <w:highlight w:val="yellow"/>
        </w:rPr>
        <w:t xml:space="preserve">G-Code </w:t>
      </w:r>
      <w:r w:rsidR="00524B9E" w:rsidRPr="003435B5">
        <w:rPr>
          <w:rFonts w:asciiTheme="majorHAnsi" w:hAnsiTheme="majorHAnsi" w:cstheme="majorHAnsi"/>
          <w:highlight w:val="yellow"/>
        </w:rPr>
        <w:t>file</w:t>
      </w:r>
      <w:r w:rsidR="00942E39" w:rsidRPr="003435B5">
        <w:rPr>
          <w:rFonts w:asciiTheme="majorHAnsi" w:hAnsiTheme="majorHAnsi" w:cstheme="majorHAnsi"/>
          <w:highlight w:val="yellow"/>
        </w:rPr>
        <w:t xml:space="preserve"> of the </w:t>
      </w:r>
      <w:r w:rsidR="0029368C" w:rsidRPr="003435B5">
        <w:rPr>
          <w:rFonts w:asciiTheme="majorHAnsi" w:hAnsiTheme="majorHAnsi" w:cstheme="majorHAnsi"/>
          <w:highlight w:val="yellow"/>
        </w:rPr>
        <w:t>vial</w:t>
      </w:r>
      <w:r w:rsidR="00942E39" w:rsidRPr="003435B5">
        <w:rPr>
          <w:rFonts w:asciiTheme="majorHAnsi" w:hAnsiTheme="majorHAnsi" w:cstheme="majorHAnsi"/>
          <w:highlight w:val="yellow"/>
        </w:rPr>
        <w:t xml:space="preserve"> rack</w:t>
      </w:r>
      <w:r w:rsidR="00524B9E" w:rsidRPr="003435B5">
        <w:rPr>
          <w:rFonts w:asciiTheme="majorHAnsi" w:hAnsiTheme="majorHAnsi" w:cstheme="majorHAnsi"/>
          <w:highlight w:val="yellow"/>
        </w:rPr>
        <w:t xml:space="preserve">. </w:t>
      </w:r>
      <w:r w:rsidR="002159EE" w:rsidRPr="003435B5">
        <w:rPr>
          <w:rFonts w:asciiTheme="majorHAnsi" w:hAnsiTheme="majorHAnsi" w:cstheme="majorHAnsi"/>
          <w:highlight w:val="yellow"/>
        </w:rPr>
        <w:t>Note that t</w:t>
      </w:r>
      <w:r w:rsidR="00524B9E" w:rsidRPr="003435B5">
        <w:rPr>
          <w:rFonts w:asciiTheme="majorHAnsi" w:hAnsiTheme="majorHAnsi" w:cstheme="majorHAnsi"/>
          <w:highlight w:val="yellow"/>
        </w:rPr>
        <w:t>he printer will automatically warm</w:t>
      </w:r>
      <w:r w:rsidR="00942E39" w:rsidRPr="003435B5">
        <w:rPr>
          <w:rFonts w:asciiTheme="majorHAnsi" w:hAnsiTheme="majorHAnsi" w:cstheme="majorHAnsi"/>
          <w:highlight w:val="yellow"/>
        </w:rPr>
        <w:t xml:space="preserve"> up and start</w:t>
      </w:r>
      <w:r w:rsidR="00524B9E" w:rsidRPr="003435B5">
        <w:rPr>
          <w:rFonts w:asciiTheme="majorHAnsi" w:hAnsiTheme="majorHAnsi" w:cstheme="majorHAnsi"/>
          <w:highlight w:val="yellow"/>
        </w:rPr>
        <w:t xml:space="preserve"> print</w:t>
      </w:r>
      <w:r w:rsidR="00942E39" w:rsidRPr="003435B5">
        <w:rPr>
          <w:rFonts w:asciiTheme="majorHAnsi" w:hAnsiTheme="majorHAnsi" w:cstheme="majorHAnsi"/>
          <w:highlight w:val="yellow"/>
        </w:rPr>
        <w:t>ing</w:t>
      </w:r>
      <w:r w:rsidR="00524B9E" w:rsidRPr="003435B5">
        <w:rPr>
          <w:rFonts w:asciiTheme="majorHAnsi" w:hAnsiTheme="majorHAnsi" w:cstheme="majorHAnsi"/>
          <w:highlight w:val="yellow"/>
        </w:rPr>
        <w:t xml:space="preserve"> </w:t>
      </w:r>
      <w:r w:rsidR="00C9533A">
        <w:rPr>
          <w:rFonts w:asciiTheme="majorHAnsi" w:hAnsiTheme="majorHAnsi" w:cstheme="majorHAnsi"/>
          <w:highlight w:val="yellow"/>
        </w:rPr>
        <w:t>the</w:t>
      </w:r>
      <w:r w:rsidR="00524B9E" w:rsidRPr="003435B5">
        <w:rPr>
          <w:rFonts w:asciiTheme="majorHAnsi" w:hAnsiTheme="majorHAnsi" w:cstheme="majorHAnsi"/>
          <w:highlight w:val="yellow"/>
        </w:rPr>
        <w:t xml:space="preserve"> </w:t>
      </w:r>
      <w:r w:rsidR="00942E39" w:rsidRPr="003435B5">
        <w:rPr>
          <w:rFonts w:asciiTheme="majorHAnsi" w:hAnsiTheme="majorHAnsi" w:cstheme="majorHAnsi"/>
          <w:highlight w:val="yellow"/>
        </w:rPr>
        <w:t>designed piece</w:t>
      </w:r>
      <w:r w:rsidR="00B25792" w:rsidRPr="003435B5">
        <w:rPr>
          <w:rFonts w:asciiTheme="majorHAnsi" w:hAnsiTheme="majorHAnsi" w:cstheme="majorHAnsi"/>
          <w:highlight w:val="yellow"/>
        </w:rPr>
        <w:t>, which should take several hours</w:t>
      </w:r>
      <w:r w:rsidR="00524B9E" w:rsidRPr="003435B5">
        <w:rPr>
          <w:rFonts w:asciiTheme="majorHAnsi" w:hAnsiTheme="majorHAnsi" w:cstheme="majorHAnsi"/>
          <w:highlight w:val="yellow"/>
        </w:rPr>
        <w:t>.</w:t>
      </w:r>
      <w:r w:rsidR="0029368C" w:rsidRPr="003435B5">
        <w:rPr>
          <w:rFonts w:asciiTheme="majorHAnsi" w:hAnsiTheme="majorHAnsi" w:cstheme="majorHAnsi"/>
          <w:highlight w:val="yellow"/>
        </w:rPr>
        <w:t xml:space="preserve"> The rack</w:t>
      </w:r>
      <w:r w:rsidR="004B4B70" w:rsidRPr="003435B5">
        <w:rPr>
          <w:rFonts w:asciiTheme="majorHAnsi" w:hAnsiTheme="majorHAnsi" w:cstheme="majorHAnsi"/>
          <w:highlight w:val="yellow"/>
        </w:rPr>
        <w:t xml:space="preserve"> (</w:t>
      </w:r>
      <w:r w:rsidR="004B4B70" w:rsidRPr="00C9533A">
        <w:rPr>
          <w:rFonts w:asciiTheme="majorHAnsi" w:hAnsiTheme="majorHAnsi" w:cstheme="majorHAnsi"/>
          <w:b/>
          <w:bCs/>
          <w:highlight w:val="yellow"/>
        </w:rPr>
        <w:t>Figure 3A</w:t>
      </w:r>
      <w:r w:rsidR="004B4B70" w:rsidRPr="003435B5">
        <w:rPr>
          <w:rFonts w:asciiTheme="majorHAnsi" w:hAnsiTheme="majorHAnsi" w:cstheme="majorHAnsi"/>
          <w:highlight w:val="yellow"/>
        </w:rPr>
        <w:t>)</w:t>
      </w:r>
      <w:r w:rsidR="0029368C" w:rsidRPr="003435B5">
        <w:rPr>
          <w:rFonts w:asciiTheme="majorHAnsi" w:hAnsiTheme="majorHAnsi" w:cstheme="majorHAnsi"/>
          <w:highlight w:val="yellow"/>
        </w:rPr>
        <w:t xml:space="preserve"> should be ready for use immediately after the printing job is completed.</w:t>
      </w:r>
    </w:p>
    <w:p w14:paraId="5A21FD2E" w14:textId="592D40EF" w:rsidR="00532A40" w:rsidRPr="003435B5" w:rsidRDefault="00532A40" w:rsidP="003435B5">
      <w:pPr>
        <w:contextualSpacing/>
        <w:rPr>
          <w:rFonts w:asciiTheme="majorHAnsi" w:hAnsiTheme="majorHAnsi" w:cstheme="majorHAnsi"/>
        </w:rPr>
      </w:pPr>
    </w:p>
    <w:p w14:paraId="6AB97381" w14:textId="25D74DE8" w:rsidR="0089465B" w:rsidRPr="00C9533A" w:rsidRDefault="0089465B" w:rsidP="003435B5">
      <w:pPr>
        <w:shd w:val="clear" w:color="auto" w:fill="FFFFFF"/>
        <w:contextualSpacing/>
        <w:rPr>
          <w:rFonts w:asciiTheme="majorHAnsi" w:hAnsiTheme="majorHAnsi" w:cstheme="majorHAnsi"/>
          <w:b/>
          <w:bCs/>
        </w:rPr>
      </w:pPr>
      <w:r w:rsidRPr="00C9533A">
        <w:rPr>
          <w:rFonts w:asciiTheme="majorHAnsi" w:hAnsiTheme="majorHAnsi" w:cstheme="majorHAnsi"/>
          <w:b/>
          <w:bCs/>
        </w:rPr>
        <w:t xml:space="preserve">3. </w:t>
      </w:r>
      <w:r w:rsidR="006A01C1" w:rsidRPr="00C9533A">
        <w:rPr>
          <w:rFonts w:asciiTheme="majorHAnsi" w:hAnsiTheme="majorHAnsi" w:cstheme="majorHAnsi"/>
          <w:b/>
          <w:bCs/>
        </w:rPr>
        <w:t>Behavioral analysis apparatuses</w:t>
      </w:r>
    </w:p>
    <w:p w14:paraId="41BB4EB5" w14:textId="2415D283" w:rsidR="0089465B" w:rsidRPr="003435B5" w:rsidRDefault="0089465B" w:rsidP="003435B5">
      <w:pPr>
        <w:shd w:val="clear" w:color="auto" w:fill="FFFFFF"/>
        <w:contextualSpacing/>
        <w:rPr>
          <w:rFonts w:asciiTheme="majorHAnsi" w:hAnsiTheme="majorHAnsi" w:cstheme="majorHAnsi"/>
        </w:rPr>
      </w:pPr>
    </w:p>
    <w:p w14:paraId="1D2A8EFA" w14:textId="6939E600" w:rsidR="00524B9E" w:rsidRPr="003435B5" w:rsidRDefault="00C9533A" w:rsidP="003435B5">
      <w:pPr>
        <w:shd w:val="clear" w:color="auto" w:fill="FFFFFF"/>
        <w:contextualSpacing/>
        <w:rPr>
          <w:rFonts w:asciiTheme="majorHAnsi" w:hAnsiTheme="majorHAnsi" w:cstheme="majorHAnsi"/>
        </w:rPr>
      </w:pPr>
      <w:r>
        <w:rPr>
          <w:rFonts w:asciiTheme="majorHAnsi" w:hAnsiTheme="majorHAnsi" w:cstheme="majorHAnsi"/>
        </w:rPr>
        <w:t xml:space="preserve">NOTE: </w:t>
      </w:r>
      <w:r w:rsidR="00524B9E" w:rsidRPr="003435B5">
        <w:rPr>
          <w:rFonts w:asciiTheme="majorHAnsi" w:hAnsiTheme="majorHAnsi" w:cstheme="majorHAnsi"/>
        </w:rPr>
        <w:t>Th</w:t>
      </w:r>
      <w:r w:rsidR="00F6611D" w:rsidRPr="003435B5">
        <w:rPr>
          <w:rFonts w:asciiTheme="majorHAnsi" w:hAnsiTheme="majorHAnsi" w:cstheme="majorHAnsi"/>
        </w:rPr>
        <w:t>e</w:t>
      </w:r>
      <w:r w:rsidR="00524B9E" w:rsidRPr="003435B5">
        <w:rPr>
          <w:rFonts w:asciiTheme="majorHAnsi" w:hAnsiTheme="majorHAnsi" w:cstheme="majorHAnsi"/>
        </w:rPr>
        <w:t xml:space="preserve"> </w:t>
      </w:r>
      <w:r w:rsidR="00587254" w:rsidRPr="003435B5">
        <w:rPr>
          <w:rFonts w:asciiTheme="majorHAnsi" w:hAnsiTheme="majorHAnsi" w:cstheme="majorHAnsi"/>
        </w:rPr>
        <w:t>step</w:t>
      </w:r>
      <w:r w:rsidR="00F6611D" w:rsidRPr="003435B5">
        <w:rPr>
          <w:rFonts w:asciiTheme="majorHAnsi" w:hAnsiTheme="majorHAnsi" w:cstheme="majorHAnsi"/>
        </w:rPr>
        <w:t xml:space="preserve">s described in </w:t>
      </w:r>
      <w:r>
        <w:rPr>
          <w:rFonts w:asciiTheme="majorHAnsi" w:hAnsiTheme="majorHAnsi" w:cstheme="majorHAnsi"/>
        </w:rPr>
        <w:t>steps</w:t>
      </w:r>
      <w:r w:rsidR="00731B8F" w:rsidRPr="003435B5">
        <w:rPr>
          <w:rFonts w:asciiTheme="majorHAnsi" w:hAnsiTheme="majorHAnsi" w:cstheme="majorHAnsi"/>
        </w:rPr>
        <w:t xml:space="preserve"> 1 and 2</w:t>
      </w:r>
      <w:r w:rsidR="00524B9E" w:rsidRPr="003435B5">
        <w:rPr>
          <w:rFonts w:asciiTheme="majorHAnsi" w:hAnsiTheme="majorHAnsi" w:cstheme="majorHAnsi"/>
        </w:rPr>
        <w:t xml:space="preserve"> can be </w:t>
      </w:r>
      <w:r w:rsidR="00F6611D" w:rsidRPr="003435B5">
        <w:rPr>
          <w:rFonts w:asciiTheme="majorHAnsi" w:hAnsiTheme="majorHAnsi" w:cstheme="majorHAnsi"/>
        </w:rPr>
        <w:t xml:space="preserve">repeated with appropriate adjustments to print several </w:t>
      </w:r>
      <w:r w:rsidR="00164E97" w:rsidRPr="003435B5">
        <w:rPr>
          <w:rFonts w:asciiTheme="majorHAnsi" w:hAnsiTheme="majorHAnsi" w:cstheme="majorHAnsi"/>
        </w:rPr>
        <w:t xml:space="preserve">of the pieces of </w:t>
      </w:r>
      <w:r w:rsidR="00F6611D" w:rsidRPr="003435B5">
        <w:rPr>
          <w:rFonts w:asciiTheme="majorHAnsi" w:hAnsiTheme="majorHAnsi" w:cstheme="majorHAnsi"/>
        </w:rPr>
        <w:t xml:space="preserve">lab equipment </w:t>
      </w:r>
      <w:r w:rsidR="00524B9E" w:rsidRPr="003435B5">
        <w:rPr>
          <w:rFonts w:asciiTheme="majorHAnsi" w:hAnsiTheme="majorHAnsi" w:cstheme="majorHAnsi"/>
        </w:rPr>
        <w:t>needed. However,</w:t>
      </w:r>
      <w:r w:rsidR="00F6611D" w:rsidRPr="003435B5">
        <w:rPr>
          <w:rFonts w:asciiTheme="majorHAnsi" w:hAnsiTheme="majorHAnsi" w:cstheme="majorHAnsi"/>
        </w:rPr>
        <w:t xml:space="preserve"> we realize that designing new pieces may be challenging and time-consuming for beginner users</w:t>
      </w:r>
      <w:r w:rsidR="00B86775" w:rsidRPr="003435B5">
        <w:rPr>
          <w:rFonts w:asciiTheme="majorHAnsi" w:hAnsiTheme="majorHAnsi" w:cstheme="majorHAnsi"/>
        </w:rPr>
        <w:t xml:space="preserve"> of </w:t>
      </w:r>
      <w:proofErr w:type="spellStart"/>
      <w:r w:rsidR="00B86775" w:rsidRPr="003435B5">
        <w:rPr>
          <w:rFonts w:asciiTheme="majorHAnsi" w:hAnsiTheme="majorHAnsi" w:cstheme="majorHAnsi"/>
        </w:rPr>
        <w:t>Tinkercad</w:t>
      </w:r>
      <w:proofErr w:type="spellEnd"/>
      <w:r w:rsidR="00F6611D" w:rsidRPr="003435B5">
        <w:rPr>
          <w:rFonts w:asciiTheme="majorHAnsi" w:hAnsiTheme="majorHAnsi" w:cstheme="majorHAnsi"/>
        </w:rPr>
        <w:t xml:space="preserve">, so </w:t>
      </w:r>
      <w:r w:rsidR="00731B8F" w:rsidRPr="003435B5">
        <w:rPr>
          <w:rFonts w:asciiTheme="majorHAnsi" w:hAnsiTheme="majorHAnsi" w:cstheme="majorHAnsi"/>
        </w:rPr>
        <w:t>instead of providing step-by-step protocol</w:t>
      </w:r>
      <w:r w:rsidR="00587254" w:rsidRPr="003435B5">
        <w:rPr>
          <w:rFonts w:asciiTheme="majorHAnsi" w:hAnsiTheme="majorHAnsi" w:cstheme="majorHAnsi"/>
        </w:rPr>
        <w:t>s</w:t>
      </w:r>
      <w:r w:rsidR="00731B8F" w:rsidRPr="003435B5">
        <w:rPr>
          <w:rFonts w:asciiTheme="majorHAnsi" w:hAnsiTheme="majorHAnsi" w:cstheme="majorHAnsi"/>
        </w:rPr>
        <w:t xml:space="preserve"> on how to design all models, </w:t>
      </w:r>
      <w:r w:rsidR="00F6611D" w:rsidRPr="003435B5">
        <w:rPr>
          <w:rFonts w:asciiTheme="majorHAnsi" w:hAnsiTheme="majorHAnsi" w:cstheme="majorHAnsi"/>
        </w:rPr>
        <w:t>we are making available</w:t>
      </w:r>
      <w:r w:rsidR="00524B9E" w:rsidRPr="003435B5">
        <w:rPr>
          <w:rFonts w:asciiTheme="majorHAnsi" w:hAnsiTheme="majorHAnsi" w:cstheme="majorHAnsi"/>
        </w:rPr>
        <w:t xml:space="preserve"> </w:t>
      </w:r>
      <w:r w:rsidR="00164E97" w:rsidRPr="003435B5">
        <w:rPr>
          <w:rFonts w:asciiTheme="majorHAnsi" w:hAnsiTheme="majorHAnsi" w:cstheme="majorHAnsi"/>
        </w:rPr>
        <w:t xml:space="preserve">for download </w:t>
      </w:r>
      <w:r w:rsidR="00524B9E" w:rsidRPr="003435B5">
        <w:rPr>
          <w:rFonts w:asciiTheme="majorHAnsi" w:hAnsiTheme="majorHAnsi" w:cstheme="majorHAnsi"/>
        </w:rPr>
        <w:t xml:space="preserve">several </w:t>
      </w:r>
      <w:r w:rsidR="00F6611D" w:rsidRPr="003435B5">
        <w:rPr>
          <w:rFonts w:asciiTheme="majorHAnsi" w:hAnsiTheme="majorHAnsi" w:cstheme="majorHAnsi"/>
        </w:rPr>
        <w:t xml:space="preserve">design </w:t>
      </w:r>
      <w:r w:rsidR="00524B9E" w:rsidRPr="003435B5">
        <w:rPr>
          <w:rFonts w:asciiTheme="majorHAnsi" w:hAnsiTheme="majorHAnsi" w:cstheme="majorHAnsi"/>
        </w:rPr>
        <w:t>models</w:t>
      </w:r>
      <w:r w:rsidR="00F6611D" w:rsidRPr="003435B5">
        <w:rPr>
          <w:rFonts w:asciiTheme="majorHAnsi" w:hAnsiTheme="majorHAnsi" w:cstheme="majorHAnsi"/>
        </w:rPr>
        <w:t xml:space="preserve"> </w:t>
      </w:r>
      <w:r w:rsidR="00731B8F" w:rsidRPr="003435B5">
        <w:rPr>
          <w:rFonts w:asciiTheme="majorHAnsi" w:hAnsiTheme="majorHAnsi" w:cstheme="majorHAnsi"/>
        </w:rPr>
        <w:t>we created as</w:t>
      </w:r>
      <w:r w:rsidR="00524B9E" w:rsidRPr="003435B5">
        <w:rPr>
          <w:rFonts w:asciiTheme="majorHAnsi" w:hAnsiTheme="majorHAnsi" w:cstheme="majorHAnsi"/>
        </w:rPr>
        <w:t xml:space="preserve"> </w:t>
      </w:r>
      <w:r w:rsidR="00F6611D" w:rsidRPr="003435B5">
        <w:rPr>
          <w:rFonts w:asciiTheme="majorHAnsi" w:hAnsiTheme="majorHAnsi" w:cstheme="majorHAnsi"/>
        </w:rPr>
        <w:t xml:space="preserve">STL files (see </w:t>
      </w:r>
      <w:r w:rsidR="00F6611D" w:rsidRPr="00C9533A">
        <w:rPr>
          <w:rFonts w:asciiTheme="majorHAnsi" w:hAnsiTheme="majorHAnsi" w:cstheme="majorHAnsi"/>
          <w:b/>
          <w:bCs/>
        </w:rPr>
        <w:t xml:space="preserve">Supplemental Files </w:t>
      </w:r>
      <w:r w:rsidR="00B86775" w:rsidRPr="00C9533A">
        <w:rPr>
          <w:rFonts w:asciiTheme="majorHAnsi" w:hAnsiTheme="majorHAnsi" w:cstheme="majorHAnsi"/>
          <w:b/>
          <w:bCs/>
        </w:rPr>
        <w:t>2-</w:t>
      </w:r>
      <w:r w:rsidR="00C4536B" w:rsidRPr="00C9533A">
        <w:rPr>
          <w:rFonts w:asciiTheme="majorHAnsi" w:hAnsiTheme="majorHAnsi" w:cstheme="majorHAnsi"/>
          <w:b/>
          <w:bCs/>
        </w:rPr>
        <w:t>11</w:t>
      </w:r>
      <w:r w:rsidR="00F6611D" w:rsidRPr="003435B5">
        <w:rPr>
          <w:rFonts w:asciiTheme="majorHAnsi" w:hAnsiTheme="majorHAnsi" w:cstheme="majorHAnsi"/>
        </w:rPr>
        <w:t>).</w:t>
      </w:r>
    </w:p>
    <w:p w14:paraId="1F7542ED" w14:textId="37F44B5F" w:rsidR="00587254" w:rsidRPr="003435B5" w:rsidRDefault="00587254" w:rsidP="003435B5">
      <w:pPr>
        <w:shd w:val="clear" w:color="auto" w:fill="FFFFFF"/>
        <w:contextualSpacing/>
        <w:rPr>
          <w:rFonts w:asciiTheme="majorHAnsi" w:hAnsiTheme="majorHAnsi" w:cstheme="majorHAnsi"/>
        </w:rPr>
      </w:pPr>
    </w:p>
    <w:p w14:paraId="1DA58619" w14:textId="7E9B5A55" w:rsidR="004F3C9E" w:rsidRDefault="004F3C9E" w:rsidP="003435B5">
      <w:pPr>
        <w:shd w:val="clear" w:color="auto" w:fill="FFFFFF"/>
        <w:contextualSpacing/>
        <w:rPr>
          <w:rFonts w:asciiTheme="majorHAnsi" w:hAnsiTheme="majorHAnsi" w:cstheme="majorHAnsi"/>
        </w:rPr>
      </w:pPr>
      <w:r w:rsidRPr="003435B5">
        <w:rPr>
          <w:rFonts w:asciiTheme="majorHAnsi" w:hAnsiTheme="majorHAnsi" w:cstheme="majorHAnsi"/>
        </w:rPr>
        <w:t>3.</w:t>
      </w:r>
      <w:r w:rsidR="004B4B70" w:rsidRPr="003435B5">
        <w:rPr>
          <w:rFonts w:asciiTheme="majorHAnsi" w:hAnsiTheme="majorHAnsi" w:cstheme="majorHAnsi"/>
        </w:rPr>
        <w:t>1</w:t>
      </w:r>
      <w:r w:rsidRPr="003435B5">
        <w:rPr>
          <w:rFonts w:asciiTheme="majorHAnsi" w:hAnsiTheme="majorHAnsi" w:cstheme="majorHAnsi"/>
        </w:rPr>
        <w:t xml:space="preserve">. </w:t>
      </w:r>
      <w:r w:rsidR="00C14EB5" w:rsidRPr="003435B5">
        <w:rPr>
          <w:rFonts w:asciiTheme="majorHAnsi" w:hAnsiTheme="majorHAnsi" w:cstheme="majorHAnsi"/>
        </w:rPr>
        <w:t xml:space="preserve">Download </w:t>
      </w:r>
      <w:r w:rsidRPr="00C9533A">
        <w:rPr>
          <w:rFonts w:asciiTheme="majorHAnsi" w:hAnsiTheme="majorHAnsi" w:cstheme="majorHAnsi"/>
          <w:b/>
          <w:bCs/>
        </w:rPr>
        <w:t xml:space="preserve">Supplemental File </w:t>
      </w:r>
      <w:r w:rsidR="004B4B70" w:rsidRPr="00C9533A">
        <w:rPr>
          <w:rFonts w:asciiTheme="majorHAnsi" w:hAnsiTheme="majorHAnsi" w:cstheme="majorHAnsi"/>
          <w:b/>
          <w:bCs/>
        </w:rPr>
        <w:t>2</w:t>
      </w:r>
      <w:r w:rsidRPr="003435B5">
        <w:rPr>
          <w:rFonts w:asciiTheme="majorHAnsi" w:hAnsiTheme="majorHAnsi" w:cstheme="majorHAnsi"/>
        </w:rPr>
        <w:t xml:space="preserve"> </w:t>
      </w:r>
      <w:r w:rsidR="00C14EB5" w:rsidRPr="003435B5">
        <w:rPr>
          <w:rFonts w:asciiTheme="majorHAnsi" w:hAnsiTheme="majorHAnsi" w:cstheme="majorHAnsi"/>
        </w:rPr>
        <w:t>for a</w:t>
      </w:r>
      <w:r w:rsidRPr="003435B5">
        <w:rPr>
          <w:rFonts w:asciiTheme="majorHAnsi" w:hAnsiTheme="majorHAnsi" w:cstheme="majorHAnsi"/>
        </w:rPr>
        <w:t xml:space="preserve"> model of a small funnel (</w:t>
      </w:r>
      <w:r w:rsidRPr="00C9533A">
        <w:rPr>
          <w:rFonts w:asciiTheme="majorHAnsi" w:hAnsiTheme="majorHAnsi" w:cstheme="majorHAnsi"/>
          <w:b/>
          <w:bCs/>
        </w:rPr>
        <w:t>Figure</w:t>
      </w:r>
      <w:r w:rsidR="00641738" w:rsidRPr="00C9533A">
        <w:rPr>
          <w:rFonts w:asciiTheme="majorHAnsi" w:hAnsiTheme="majorHAnsi" w:cstheme="majorHAnsi"/>
          <w:b/>
          <w:bCs/>
        </w:rPr>
        <w:t xml:space="preserve"> 3</w:t>
      </w:r>
      <w:r w:rsidR="004B4B70" w:rsidRPr="00C9533A">
        <w:rPr>
          <w:rFonts w:asciiTheme="majorHAnsi" w:hAnsiTheme="majorHAnsi" w:cstheme="majorHAnsi"/>
          <w:b/>
          <w:bCs/>
        </w:rPr>
        <w:t>B</w:t>
      </w:r>
      <w:r w:rsidRPr="003435B5">
        <w:rPr>
          <w:rFonts w:asciiTheme="majorHAnsi" w:hAnsiTheme="majorHAnsi" w:cstheme="majorHAnsi"/>
        </w:rPr>
        <w:t xml:space="preserve">), routinely used in </w:t>
      </w:r>
      <w:proofErr w:type="spellStart"/>
      <w:r w:rsidRPr="003435B5">
        <w:rPr>
          <w:rFonts w:asciiTheme="majorHAnsi" w:hAnsiTheme="majorHAnsi" w:cstheme="majorHAnsi"/>
        </w:rPr>
        <w:t>flylab</w:t>
      </w:r>
      <w:r w:rsidR="00B86775" w:rsidRPr="003435B5">
        <w:rPr>
          <w:rFonts w:asciiTheme="majorHAnsi" w:hAnsiTheme="majorHAnsi" w:cstheme="majorHAnsi"/>
        </w:rPr>
        <w:t>s</w:t>
      </w:r>
      <w:proofErr w:type="spellEnd"/>
      <w:r w:rsidRPr="003435B5">
        <w:rPr>
          <w:rFonts w:asciiTheme="majorHAnsi" w:hAnsiTheme="majorHAnsi" w:cstheme="majorHAnsi"/>
        </w:rPr>
        <w:t xml:space="preserve"> to help transfer adult flies to new vials or bottles by avoiding flies crawling </w:t>
      </w:r>
      <w:r w:rsidR="00164E97" w:rsidRPr="003435B5">
        <w:rPr>
          <w:rFonts w:asciiTheme="majorHAnsi" w:hAnsiTheme="majorHAnsi" w:cstheme="majorHAnsi"/>
        </w:rPr>
        <w:t xml:space="preserve">up </w:t>
      </w:r>
      <w:r w:rsidRPr="003435B5">
        <w:rPr>
          <w:rFonts w:asciiTheme="majorHAnsi" w:hAnsiTheme="majorHAnsi" w:cstheme="majorHAnsi"/>
        </w:rPr>
        <w:t>the inside walls of these containers to escape.</w:t>
      </w:r>
    </w:p>
    <w:p w14:paraId="28E5759A" w14:textId="77777777" w:rsidR="00C9533A" w:rsidRPr="003435B5" w:rsidRDefault="00C9533A" w:rsidP="003435B5">
      <w:pPr>
        <w:shd w:val="clear" w:color="auto" w:fill="FFFFFF"/>
        <w:contextualSpacing/>
        <w:rPr>
          <w:rFonts w:asciiTheme="majorHAnsi" w:hAnsiTheme="majorHAnsi" w:cstheme="majorHAnsi"/>
        </w:rPr>
      </w:pPr>
    </w:p>
    <w:p w14:paraId="32335104" w14:textId="1151222F" w:rsidR="00E3799E" w:rsidRDefault="00E3799E" w:rsidP="003435B5">
      <w:pPr>
        <w:shd w:val="clear" w:color="auto" w:fill="FFFFFF"/>
        <w:contextualSpacing/>
        <w:rPr>
          <w:rFonts w:asciiTheme="majorHAnsi" w:hAnsiTheme="majorHAnsi" w:cstheme="majorHAnsi"/>
        </w:rPr>
      </w:pPr>
      <w:r w:rsidRPr="003435B5">
        <w:rPr>
          <w:rFonts w:asciiTheme="majorHAnsi" w:hAnsiTheme="majorHAnsi" w:cstheme="majorHAnsi"/>
        </w:rPr>
        <w:t xml:space="preserve">3.2. </w:t>
      </w:r>
      <w:r w:rsidR="00C14EB5" w:rsidRPr="003435B5">
        <w:rPr>
          <w:rFonts w:asciiTheme="majorHAnsi" w:hAnsiTheme="majorHAnsi" w:cstheme="majorHAnsi"/>
        </w:rPr>
        <w:t xml:space="preserve">Download </w:t>
      </w:r>
      <w:r w:rsidRPr="00C9533A">
        <w:rPr>
          <w:rFonts w:asciiTheme="majorHAnsi" w:hAnsiTheme="majorHAnsi" w:cstheme="majorHAnsi"/>
          <w:b/>
          <w:bCs/>
        </w:rPr>
        <w:t>Supplemental File 3</w:t>
      </w:r>
      <w:r w:rsidRPr="003435B5">
        <w:rPr>
          <w:rFonts w:asciiTheme="majorHAnsi" w:hAnsiTheme="majorHAnsi" w:cstheme="majorHAnsi"/>
        </w:rPr>
        <w:t xml:space="preserve"> </w:t>
      </w:r>
      <w:r w:rsidR="00C14EB5" w:rsidRPr="003435B5">
        <w:rPr>
          <w:rFonts w:asciiTheme="majorHAnsi" w:hAnsiTheme="majorHAnsi" w:cstheme="majorHAnsi"/>
        </w:rPr>
        <w:t>for</w:t>
      </w:r>
      <w:r w:rsidRPr="003435B5">
        <w:rPr>
          <w:rFonts w:asciiTheme="majorHAnsi" w:hAnsiTheme="majorHAnsi" w:cstheme="majorHAnsi"/>
        </w:rPr>
        <w:t xml:space="preserve"> a tapping mat support (</w:t>
      </w:r>
      <w:r w:rsidRPr="00C9533A">
        <w:rPr>
          <w:rFonts w:asciiTheme="majorHAnsi" w:hAnsiTheme="majorHAnsi" w:cstheme="majorHAnsi"/>
          <w:b/>
          <w:bCs/>
        </w:rPr>
        <w:t>Figure 3C</w:t>
      </w:r>
      <w:r w:rsidRPr="003435B5">
        <w:rPr>
          <w:rFonts w:asciiTheme="majorHAnsi" w:hAnsiTheme="majorHAnsi" w:cstheme="majorHAnsi"/>
        </w:rPr>
        <w:t>),</w:t>
      </w:r>
      <w:r w:rsidR="006E2A68" w:rsidRPr="003435B5">
        <w:rPr>
          <w:rFonts w:asciiTheme="majorHAnsi" w:hAnsiTheme="majorHAnsi" w:cstheme="majorHAnsi"/>
        </w:rPr>
        <w:t xml:space="preserve"> </w:t>
      </w:r>
      <w:r w:rsidR="00164E97" w:rsidRPr="003435B5">
        <w:rPr>
          <w:rFonts w:asciiTheme="majorHAnsi" w:hAnsiTheme="majorHAnsi" w:cstheme="majorHAnsi"/>
        </w:rPr>
        <w:t>which</w:t>
      </w:r>
      <w:r w:rsidRPr="003435B5">
        <w:rPr>
          <w:rFonts w:asciiTheme="majorHAnsi" w:hAnsiTheme="majorHAnsi" w:cstheme="majorHAnsi"/>
        </w:rPr>
        <w:t xml:space="preserve"> can hold a</w:t>
      </w:r>
      <w:r w:rsidR="00164E97" w:rsidRPr="003435B5">
        <w:rPr>
          <w:rFonts w:asciiTheme="majorHAnsi" w:hAnsiTheme="majorHAnsi" w:cstheme="majorHAnsi"/>
        </w:rPr>
        <w:t>n</w:t>
      </w:r>
      <w:r w:rsidRPr="003435B5">
        <w:rPr>
          <w:rFonts w:asciiTheme="majorHAnsi" w:hAnsiTheme="majorHAnsi" w:cstheme="majorHAnsi"/>
        </w:rPr>
        <w:t xml:space="preserve"> ethylene-vinyl acetate foam or a thick cotton mat wh</w:t>
      </w:r>
      <w:r w:rsidR="00164E97" w:rsidRPr="003435B5">
        <w:rPr>
          <w:rFonts w:asciiTheme="majorHAnsi" w:hAnsiTheme="majorHAnsi" w:cstheme="majorHAnsi"/>
        </w:rPr>
        <w:t>ich</w:t>
      </w:r>
      <w:r w:rsidRPr="003435B5">
        <w:rPr>
          <w:rFonts w:asciiTheme="majorHAnsi" w:hAnsiTheme="majorHAnsi" w:cstheme="majorHAnsi"/>
        </w:rPr>
        <w:t xml:space="preserve"> glass vials or bottles can be tapped onto when one is tipping flies into new containers with freshly made food.</w:t>
      </w:r>
    </w:p>
    <w:p w14:paraId="70991267" w14:textId="77777777" w:rsidR="00C9533A" w:rsidRPr="003435B5" w:rsidRDefault="00C9533A" w:rsidP="003435B5">
      <w:pPr>
        <w:shd w:val="clear" w:color="auto" w:fill="FFFFFF"/>
        <w:contextualSpacing/>
        <w:rPr>
          <w:rFonts w:asciiTheme="majorHAnsi" w:hAnsiTheme="majorHAnsi" w:cstheme="majorHAnsi"/>
        </w:rPr>
      </w:pPr>
    </w:p>
    <w:p w14:paraId="49DA5E44" w14:textId="77777777" w:rsidR="00C9533A" w:rsidRDefault="00E3799E" w:rsidP="003435B5">
      <w:pPr>
        <w:shd w:val="clear" w:color="auto" w:fill="FFFFFF"/>
        <w:contextualSpacing/>
        <w:rPr>
          <w:rFonts w:asciiTheme="majorHAnsi" w:hAnsiTheme="majorHAnsi" w:cstheme="majorHAnsi"/>
        </w:rPr>
      </w:pPr>
      <w:r w:rsidRPr="003435B5">
        <w:rPr>
          <w:rFonts w:asciiTheme="majorHAnsi" w:hAnsiTheme="majorHAnsi" w:cstheme="majorHAnsi"/>
        </w:rPr>
        <w:t xml:space="preserve">3.3. </w:t>
      </w:r>
      <w:r w:rsidR="00C14EB5" w:rsidRPr="003435B5">
        <w:rPr>
          <w:rFonts w:asciiTheme="majorHAnsi" w:hAnsiTheme="majorHAnsi" w:cstheme="majorHAnsi"/>
        </w:rPr>
        <w:t xml:space="preserve">Download </w:t>
      </w:r>
      <w:r w:rsidR="00C9533A" w:rsidRPr="00C9533A">
        <w:rPr>
          <w:rFonts w:asciiTheme="majorHAnsi" w:hAnsiTheme="majorHAnsi" w:cstheme="majorHAnsi"/>
          <w:b/>
          <w:bCs/>
        </w:rPr>
        <w:t xml:space="preserve">Supplemental File </w:t>
      </w:r>
      <w:r w:rsidRPr="00C9533A">
        <w:rPr>
          <w:rFonts w:asciiTheme="majorHAnsi" w:hAnsiTheme="majorHAnsi" w:cstheme="majorHAnsi"/>
          <w:b/>
          <w:bCs/>
        </w:rPr>
        <w:t>4</w:t>
      </w:r>
      <w:r w:rsidRPr="003435B5">
        <w:rPr>
          <w:rFonts w:asciiTheme="majorHAnsi" w:hAnsiTheme="majorHAnsi" w:cstheme="majorHAnsi"/>
        </w:rPr>
        <w:t xml:space="preserve"> and </w:t>
      </w:r>
      <w:r w:rsidR="00C9533A" w:rsidRPr="00C9533A">
        <w:rPr>
          <w:rFonts w:asciiTheme="majorHAnsi" w:hAnsiTheme="majorHAnsi" w:cstheme="majorHAnsi"/>
          <w:b/>
          <w:bCs/>
        </w:rPr>
        <w:t xml:space="preserve">Supplemental File </w:t>
      </w:r>
      <w:r w:rsidRPr="00C9533A">
        <w:rPr>
          <w:rFonts w:asciiTheme="majorHAnsi" w:hAnsiTheme="majorHAnsi" w:cstheme="majorHAnsi"/>
          <w:b/>
          <w:bCs/>
        </w:rPr>
        <w:t>5</w:t>
      </w:r>
      <w:r w:rsidRPr="003435B5">
        <w:rPr>
          <w:rFonts w:asciiTheme="majorHAnsi" w:hAnsiTheme="majorHAnsi" w:cstheme="majorHAnsi"/>
        </w:rPr>
        <w:t xml:space="preserve"> </w:t>
      </w:r>
      <w:r w:rsidR="00C14EB5" w:rsidRPr="003435B5">
        <w:rPr>
          <w:rFonts w:asciiTheme="majorHAnsi" w:hAnsiTheme="majorHAnsi" w:cstheme="majorHAnsi"/>
        </w:rPr>
        <w:t>for</w:t>
      </w:r>
      <w:r w:rsidRPr="003435B5">
        <w:rPr>
          <w:rFonts w:asciiTheme="majorHAnsi" w:hAnsiTheme="majorHAnsi" w:cstheme="majorHAnsi"/>
        </w:rPr>
        <w:t xml:space="preserve"> the model of a camera stand that we named Stalker (</w:t>
      </w:r>
      <w:r w:rsidRPr="00C9533A">
        <w:rPr>
          <w:rFonts w:asciiTheme="majorHAnsi" w:hAnsiTheme="majorHAnsi" w:cstheme="majorHAnsi"/>
          <w:b/>
          <w:bCs/>
        </w:rPr>
        <w:t>Figure 3D</w:t>
      </w:r>
      <w:r w:rsidRPr="003435B5">
        <w:rPr>
          <w:rFonts w:asciiTheme="majorHAnsi" w:hAnsiTheme="majorHAnsi" w:cstheme="majorHAnsi"/>
        </w:rPr>
        <w:t xml:space="preserve">). </w:t>
      </w:r>
    </w:p>
    <w:p w14:paraId="2F7C9B88" w14:textId="77777777" w:rsidR="00C9533A" w:rsidRDefault="00C9533A" w:rsidP="003435B5">
      <w:pPr>
        <w:shd w:val="clear" w:color="auto" w:fill="FFFFFF"/>
        <w:contextualSpacing/>
        <w:rPr>
          <w:rFonts w:asciiTheme="majorHAnsi" w:hAnsiTheme="majorHAnsi" w:cstheme="majorHAnsi"/>
        </w:rPr>
      </w:pPr>
    </w:p>
    <w:p w14:paraId="29F9FF47" w14:textId="01257542" w:rsidR="00587254" w:rsidRDefault="00C9533A" w:rsidP="003435B5">
      <w:pPr>
        <w:shd w:val="clear" w:color="auto" w:fill="FFFFFF"/>
        <w:contextualSpacing/>
        <w:rPr>
          <w:rFonts w:asciiTheme="majorHAnsi" w:hAnsiTheme="majorHAnsi" w:cstheme="majorHAnsi"/>
        </w:rPr>
      </w:pPr>
      <w:r>
        <w:rPr>
          <w:rFonts w:asciiTheme="majorHAnsi" w:hAnsiTheme="majorHAnsi" w:cstheme="majorHAnsi"/>
        </w:rPr>
        <w:t>NOTE: T</w:t>
      </w:r>
      <w:r w:rsidR="006E2A68" w:rsidRPr="003435B5">
        <w:rPr>
          <w:rFonts w:asciiTheme="majorHAnsi" w:hAnsiTheme="majorHAnsi" w:cstheme="majorHAnsi"/>
        </w:rPr>
        <w:t>he apparatus</w:t>
      </w:r>
      <w:r w:rsidR="00E3799E" w:rsidRPr="003435B5">
        <w:rPr>
          <w:rFonts w:asciiTheme="majorHAnsi" w:hAnsiTheme="majorHAnsi" w:cstheme="majorHAnsi"/>
        </w:rPr>
        <w:t xml:space="preserve"> allows any camera (professional, webcams, cellphones, etc.) to be positioned on top of a base where a Petri dish containing larvae or adult flies can be imaged or video recorded. Stalker allows the imaging of animal behavior that take</w:t>
      </w:r>
      <w:r w:rsidR="00C14EB5" w:rsidRPr="003435B5">
        <w:rPr>
          <w:rFonts w:asciiTheme="majorHAnsi" w:hAnsiTheme="majorHAnsi" w:cstheme="majorHAnsi"/>
        </w:rPr>
        <w:t>s</w:t>
      </w:r>
      <w:r w:rsidR="00E3799E" w:rsidRPr="003435B5">
        <w:rPr>
          <w:rFonts w:asciiTheme="majorHAnsi" w:hAnsiTheme="majorHAnsi" w:cstheme="majorHAnsi"/>
        </w:rPr>
        <w:t xml:space="preserve"> place horizontally, always at the same distance from the Petri dish, which avoids introducing variability </w:t>
      </w:r>
      <w:r w:rsidR="00164E97" w:rsidRPr="003435B5">
        <w:rPr>
          <w:rFonts w:asciiTheme="majorHAnsi" w:hAnsiTheme="majorHAnsi" w:cstheme="majorHAnsi"/>
        </w:rPr>
        <w:t>in</w:t>
      </w:r>
      <w:r w:rsidR="00E3799E" w:rsidRPr="003435B5">
        <w:rPr>
          <w:rFonts w:asciiTheme="majorHAnsi" w:hAnsiTheme="majorHAnsi" w:cstheme="majorHAnsi"/>
        </w:rPr>
        <w:t xml:space="preserve">to the experimental measurements if the recordings must be made on different days, for example, or if the camera needs to be used for another purpose in between recordings. The apparatus is </w:t>
      </w:r>
      <w:r w:rsidR="00164E97" w:rsidRPr="003435B5">
        <w:rPr>
          <w:rFonts w:asciiTheme="majorHAnsi" w:hAnsiTheme="majorHAnsi" w:cstheme="majorHAnsi"/>
        </w:rPr>
        <w:t>convenient</w:t>
      </w:r>
      <w:r w:rsidR="00E3799E" w:rsidRPr="003435B5">
        <w:rPr>
          <w:rFonts w:asciiTheme="majorHAnsi" w:hAnsiTheme="majorHAnsi" w:cstheme="majorHAnsi"/>
        </w:rPr>
        <w:t xml:space="preserve">ly modular and can be easily assembled after printing the base and the top from </w:t>
      </w:r>
      <w:r w:rsidR="00E3799E" w:rsidRPr="00C9533A">
        <w:rPr>
          <w:rFonts w:asciiTheme="majorHAnsi" w:hAnsiTheme="majorHAnsi" w:cstheme="majorHAnsi"/>
          <w:b/>
          <w:bCs/>
        </w:rPr>
        <w:t>Supplemental File 4</w:t>
      </w:r>
      <w:r w:rsidR="00E3799E" w:rsidRPr="003435B5">
        <w:rPr>
          <w:rFonts w:asciiTheme="majorHAnsi" w:hAnsiTheme="majorHAnsi" w:cstheme="majorHAnsi"/>
        </w:rPr>
        <w:t xml:space="preserve">, and the sides from </w:t>
      </w:r>
      <w:r w:rsidR="00E3799E" w:rsidRPr="00C9533A">
        <w:rPr>
          <w:rFonts w:asciiTheme="majorHAnsi" w:hAnsiTheme="majorHAnsi" w:cstheme="majorHAnsi"/>
          <w:b/>
          <w:bCs/>
        </w:rPr>
        <w:t>Supplemental File 5</w:t>
      </w:r>
      <w:r w:rsidR="00E3799E" w:rsidRPr="003435B5">
        <w:rPr>
          <w:rFonts w:asciiTheme="majorHAnsi" w:hAnsiTheme="majorHAnsi" w:cstheme="majorHAnsi"/>
        </w:rPr>
        <w:t>. The 1 cm</w:t>
      </w:r>
      <w:r w:rsidR="00E3799E" w:rsidRPr="003435B5">
        <w:rPr>
          <w:rFonts w:asciiTheme="majorHAnsi" w:hAnsiTheme="majorHAnsi" w:cstheme="majorHAnsi"/>
          <w:vertAlign w:val="superscript"/>
        </w:rPr>
        <w:t>2</w:t>
      </w:r>
      <w:r w:rsidR="00E3799E" w:rsidRPr="003435B5">
        <w:rPr>
          <w:rFonts w:asciiTheme="majorHAnsi" w:hAnsiTheme="majorHAnsi" w:cstheme="majorHAnsi"/>
        </w:rPr>
        <w:t xml:space="preserve"> squares at the base, which can be highlighted using a permanent marker, help track distance travelled by individual animals. </w:t>
      </w:r>
      <w:r w:rsidR="00C14EB5" w:rsidRPr="003435B5">
        <w:rPr>
          <w:rFonts w:asciiTheme="majorHAnsi" w:hAnsiTheme="majorHAnsi" w:cstheme="majorHAnsi"/>
        </w:rPr>
        <w:t>Print t</w:t>
      </w:r>
      <w:r w:rsidR="00E3799E" w:rsidRPr="003435B5">
        <w:rPr>
          <w:rFonts w:asciiTheme="majorHAnsi" w:hAnsiTheme="majorHAnsi" w:cstheme="majorHAnsi"/>
        </w:rPr>
        <w:t>he apparatus (at least the base) using white filament, so that there is enough contrast between the background and the animals for the tracking software to identify each fly.</w:t>
      </w:r>
    </w:p>
    <w:p w14:paraId="236E33F9" w14:textId="77777777" w:rsidR="00C9533A" w:rsidRPr="003435B5" w:rsidRDefault="00C9533A" w:rsidP="003435B5">
      <w:pPr>
        <w:shd w:val="clear" w:color="auto" w:fill="FFFFFF"/>
        <w:contextualSpacing/>
        <w:rPr>
          <w:rFonts w:asciiTheme="majorHAnsi" w:hAnsiTheme="majorHAnsi" w:cstheme="majorHAnsi"/>
        </w:rPr>
      </w:pPr>
    </w:p>
    <w:p w14:paraId="0C509E36" w14:textId="5B0FAC8A" w:rsidR="00916EC1" w:rsidRDefault="00E14CFF" w:rsidP="003435B5">
      <w:pPr>
        <w:shd w:val="clear" w:color="auto" w:fill="FFFFFF"/>
        <w:contextualSpacing/>
        <w:rPr>
          <w:rFonts w:asciiTheme="majorHAnsi" w:hAnsiTheme="majorHAnsi" w:cstheme="majorHAnsi"/>
        </w:rPr>
      </w:pPr>
      <w:r w:rsidRPr="003435B5">
        <w:rPr>
          <w:rFonts w:asciiTheme="majorHAnsi" w:hAnsiTheme="majorHAnsi" w:cstheme="majorHAnsi"/>
        </w:rPr>
        <w:t>3.</w:t>
      </w:r>
      <w:r w:rsidR="004B4B70" w:rsidRPr="003435B5">
        <w:rPr>
          <w:rFonts w:asciiTheme="majorHAnsi" w:hAnsiTheme="majorHAnsi" w:cstheme="majorHAnsi"/>
        </w:rPr>
        <w:t>4</w:t>
      </w:r>
      <w:r w:rsidRPr="003435B5">
        <w:rPr>
          <w:rFonts w:asciiTheme="majorHAnsi" w:hAnsiTheme="majorHAnsi" w:cstheme="majorHAnsi"/>
        </w:rPr>
        <w:t xml:space="preserve">. </w:t>
      </w:r>
      <w:r w:rsidR="00C14EB5" w:rsidRPr="003435B5">
        <w:rPr>
          <w:rFonts w:asciiTheme="majorHAnsi" w:hAnsiTheme="majorHAnsi" w:cstheme="majorHAnsi"/>
        </w:rPr>
        <w:t xml:space="preserve">Download </w:t>
      </w:r>
      <w:r w:rsidRPr="00C9533A">
        <w:rPr>
          <w:rFonts w:asciiTheme="majorHAnsi" w:hAnsiTheme="majorHAnsi" w:cstheme="majorHAnsi"/>
          <w:b/>
          <w:bCs/>
        </w:rPr>
        <w:t xml:space="preserve">Supplemental File </w:t>
      </w:r>
      <w:r w:rsidR="004F3C9E" w:rsidRPr="00C9533A">
        <w:rPr>
          <w:rFonts w:asciiTheme="majorHAnsi" w:hAnsiTheme="majorHAnsi" w:cstheme="majorHAnsi"/>
          <w:b/>
          <w:bCs/>
        </w:rPr>
        <w:t>6</w:t>
      </w:r>
      <w:r w:rsidR="006B2087" w:rsidRPr="003435B5">
        <w:rPr>
          <w:rFonts w:asciiTheme="majorHAnsi" w:hAnsiTheme="majorHAnsi" w:cstheme="majorHAnsi"/>
        </w:rPr>
        <w:t xml:space="preserve"> </w:t>
      </w:r>
      <w:r w:rsidR="00C14EB5" w:rsidRPr="003435B5">
        <w:rPr>
          <w:rFonts w:asciiTheme="majorHAnsi" w:hAnsiTheme="majorHAnsi" w:cstheme="majorHAnsi"/>
        </w:rPr>
        <w:t>for</w:t>
      </w:r>
      <w:r w:rsidR="006B2087" w:rsidRPr="003435B5">
        <w:rPr>
          <w:rFonts w:asciiTheme="majorHAnsi" w:hAnsiTheme="majorHAnsi" w:cstheme="majorHAnsi"/>
        </w:rPr>
        <w:t xml:space="preserve"> the printable design of the Fly Motel (</w:t>
      </w:r>
      <w:r w:rsidR="006B2087" w:rsidRPr="00C9533A">
        <w:rPr>
          <w:rFonts w:asciiTheme="majorHAnsi" w:hAnsiTheme="majorHAnsi" w:cstheme="majorHAnsi"/>
          <w:b/>
          <w:bCs/>
        </w:rPr>
        <w:t xml:space="preserve">Figure </w:t>
      </w:r>
      <w:r w:rsidR="00551FB7" w:rsidRPr="00C9533A">
        <w:rPr>
          <w:rFonts w:asciiTheme="majorHAnsi" w:hAnsiTheme="majorHAnsi" w:cstheme="majorHAnsi"/>
          <w:b/>
          <w:bCs/>
        </w:rPr>
        <w:t>3</w:t>
      </w:r>
      <w:r w:rsidR="00C5796E" w:rsidRPr="00C9533A">
        <w:rPr>
          <w:rFonts w:asciiTheme="majorHAnsi" w:hAnsiTheme="majorHAnsi" w:cstheme="majorHAnsi"/>
          <w:b/>
          <w:bCs/>
        </w:rPr>
        <w:t>E</w:t>
      </w:r>
      <w:r w:rsidR="006B2087" w:rsidRPr="003435B5">
        <w:rPr>
          <w:rFonts w:asciiTheme="majorHAnsi" w:hAnsiTheme="majorHAnsi" w:cstheme="majorHAnsi"/>
        </w:rPr>
        <w:t>), which has ten courtship and mating arenas (rooms) organized in a manner to facilitate video recording</w:t>
      </w:r>
      <w:r w:rsidR="00B86775" w:rsidRPr="003435B5">
        <w:rPr>
          <w:rFonts w:asciiTheme="majorHAnsi" w:hAnsiTheme="majorHAnsi" w:cstheme="majorHAnsi"/>
        </w:rPr>
        <w:t>s</w:t>
      </w:r>
      <w:r w:rsidR="006B2087" w:rsidRPr="003435B5">
        <w:rPr>
          <w:rFonts w:asciiTheme="majorHAnsi" w:hAnsiTheme="majorHAnsi" w:cstheme="majorHAnsi"/>
        </w:rPr>
        <w:t xml:space="preserve"> of ten individual mating pairs at a time. </w:t>
      </w:r>
      <w:r w:rsidR="00152426" w:rsidRPr="003435B5">
        <w:rPr>
          <w:rFonts w:asciiTheme="majorHAnsi" w:hAnsiTheme="majorHAnsi" w:cstheme="majorHAnsi"/>
        </w:rPr>
        <w:t xml:space="preserve">Note that </w:t>
      </w:r>
      <w:r w:rsidR="00C9533A">
        <w:rPr>
          <w:rFonts w:asciiTheme="majorHAnsi" w:hAnsiTheme="majorHAnsi" w:cstheme="majorHAnsi"/>
        </w:rPr>
        <w:t>the</w:t>
      </w:r>
      <w:r w:rsidR="006B2087" w:rsidRPr="003435B5">
        <w:rPr>
          <w:rFonts w:asciiTheme="majorHAnsi" w:hAnsiTheme="majorHAnsi" w:cstheme="majorHAnsi"/>
        </w:rPr>
        <w:t xml:space="preserve"> Fly Motel is based on the device published </w:t>
      </w:r>
      <w:r w:rsidR="00B86775" w:rsidRPr="003435B5">
        <w:rPr>
          <w:rFonts w:asciiTheme="majorHAnsi" w:hAnsiTheme="majorHAnsi" w:cstheme="majorHAnsi"/>
        </w:rPr>
        <w:t>in</w:t>
      </w:r>
      <w:r w:rsidR="00B1597B" w:rsidRPr="003435B5">
        <w:rPr>
          <w:rFonts w:asciiTheme="majorHAnsi" w:hAnsiTheme="majorHAnsi" w:cstheme="majorHAnsi"/>
        </w:rPr>
        <w:t xml:space="preserve"> </w:t>
      </w:r>
      <w:r w:rsidR="00B1597B" w:rsidRPr="003435B5">
        <w:rPr>
          <w:rFonts w:asciiTheme="majorHAnsi" w:hAnsiTheme="majorHAnsi" w:cstheme="majorHAnsi"/>
        </w:rPr>
        <w:fldChar w:fldCharType="begin" w:fldLock="1"/>
      </w:r>
      <w:r w:rsidR="00D158C9" w:rsidRPr="003435B5">
        <w:rPr>
          <w:rFonts w:asciiTheme="majorHAnsi" w:hAnsiTheme="majorHAnsi" w:cstheme="majorHAnsi"/>
        </w:rPr>
        <w:instrText>ADDIN CSL_CITATION {"citationItems":[{"id":"ITEM-1","itemData":{"DOI":"10.3791/55808","ISSN":"1940087X","PMID":"28605393","abstract":"Many insights into the molecular mechanisms underlying learning and memory have been elucidated through the use of simple behavioral assays in model organisms such as the fruit fly, Drosophila melanogaster. Drosophila is useful for understanding the basic neurobiology underlying cognitive deficits resulting from mutations in genes associated with human cognitive disorders, such as intellectual disability (ID) and autism. This work describes a methodology for testing learning and memory using a classic paradigm in Drosophila known as courtship conditioning. Male flies court females using a distinct pattern of easily recognizable behaviors. Premated females are not receptive to mating and will reject the male’s copulation attempts. In response to this rejection, male flies reduce their courtship behavior. This learned reduction in courtship behavior is measured over time, serving as an indicator of learning and memory. The basic numerical output of this assay is the courtship index (CI), which is defined as the percentage of time that a male spends courting during a 10 min interval. The learning index (LI) is the relative reduction of CI in flies that have been exposed to a premated female compared to naïve flies with no previous social encounters. For the statistical comparison of LIs between genotypes, a randomization test with bootstrapping is used. To illustrate how the assay can be used to address the role of a gene relating to learning and memory, the pan-neuronal knockdown of Dihydroxyacetone phosphate acyltransferase (Dhap-at) was characterized here. The human ortholog of Dhap-at, glyceronephosphate O-acyltransferase (GNPT), is involved in rhizomelic chondrodysplasia punctata type 2, an autosomal-recessive syndrome characterized by severe ID. Using the courtship conditioning assay, it was determined that Dhap-at is required for long-term memory, but not for short-term memory. This result serves as a basis for further investigation of the underlying molecular mechanisms.","author":[{"dropping-particle":"","family":"Koemans","given":"Tom S.","non-dropping-particle":"","parse-names":false,"suffix":""},{"dropping-particle":"","family":"Oppitz","given":"Cornelia","non-dropping-particle":"","parse-names":false,"suffix":""},{"dropping-particle":"","family":"Donders","given":"Rogier A.T.","non-dropping-particle":"","parse-names":false,"suffix":""},{"dropping-particle":"","family":"Bokhoven","given":"Hans","non-dropping-particle":"Van","parse-names":false,"suffix":""},{"dropping-particle":"","family":"Schenck","given":"Annette","non-dropping-particle":"","parse-names":false,"suffix":""},{"dropping-particle":"","family":"Keleman","given":"Krystyna","non-dropping-particle":"","parse-names":false,"suffix":""},{"dropping-particle":"","family":"Kramer","given":"Jamie M.","non-dropping-particle":"","parse-names":false,"suffix":""}],"container-title":"Journal of Visualized Experiments","id":"ITEM-1","issue":"124","issued":{"date-parts":[["2017","6","5"]]},"page":"55808","publisher":"Journal of Visualized Experiments","title":"Drosophila courtship conditioning as a measure of learning and memory","type":"article-journal","volume":"2017"},"uris":["http://www.mendeley.com/documents/?uuid=aed8f1dd-bdcf-3d90-bd8a-aa9914c55325"]}],"mendeley":{"formattedCitation":"&lt;sup&gt;40&lt;/sup&gt;","plainTextFormattedCitation":"40","previouslyFormattedCitation":"&lt;sup&gt;41&lt;/sup&gt;"},"properties":{"noteIndex":0},"schema":"https://github.com/citation-style-language/schema/raw/master/csl-citation.json"}</w:instrText>
      </w:r>
      <w:r w:rsidR="00B1597B" w:rsidRPr="003435B5">
        <w:rPr>
          <w:rFonts w:asciiTheme="majorHAnsi" w:hAnsiTheme="majorHAnsi" w:cstheme="majorHAnsi"/>
        </w:rPr>
        <w:fldChar w:fldCharType="separate"/>
      </w:r>
      <w:r w:rsidR="00D158C9" w:rsidRPr="003435B5">
        <w:rPr>
          <w:rFonts w:asciiTheme="majorHAnsi" w:hAnsiTheme="majorHAnsi" w:cstheme="majorHAnsi"/>
          <w:noProof/>
          <w:vertAlign w:val="superscript"/>
        </w:rPr>
        <w:t>40</w:t>
      </w:r>
      <w:r w:rsidR="00B1597B" w:rsidRPr="003435B5">
        <w:rPr>
          <w:rFonts w:asciiTheme="majorHAnsi" w:hAnsiTheme="majorHAnsi" w:cstheme="majorHAnsi"/>
        </w:rPr>
        <w:fldChar w:fldCharType="end"/>
      </w:r>
      <w:r w:rsidR="00B86775" w:rsidRPr="003435B5">
        <w:rPr>
          <w:rFonts w:asciiTheme="majorHAnsi" w:hAnsiTheme="majorHAnsi" w:cstheme="majorHAnsi"/>
        </w:rPr>
        <w:t xml:space="preserve">, where detailed explanation for its use </w:t>
      </w:r>
      <w:r w:rsidR="00F029E7" w:rsidRPr="003435B5">
        <w:rPr>
          <w:rFonts w:asciiTheme="majorHAnsi" w:hAnsiTheme="majorHAnsi" w:cstheme="majorHAnsi"/>
        </w:rPr>
        <w:t xml:space="preserve">in behavioral studies </w:t>
      </w:r>
      <w:r w:rsidR="00B86775" w:rsidRPr="003435B5">
        <w:rPr>
          <w:rFonts w:asciiTheme="majorHAnsi" w:hAnsiTheme="majorHAnsi" w:cstheme="majorHAnsi"/>
        </w:rPr>
        <w:t>is found</w:t>
      </w:r>
      <w:r w:rsidR="006B2087" w:rsidRPr="003435B5">
        <w:rPr>
          <w:rFonts w:asciiTheme="majorHAnsi" w:hAnsiTheme="majorHAnsi" w:cstheme="majorHAnsi"/>
        </w:rPr>
        <w:t xml:space="preserve">. </w:t>
      </w:r>
      <w:r w:rsidR="004C4E0C" w:rsidRPr="003435B5">
        <w:rPr>
          <w:rFonts w:asciiTheme="majorHAnsi" w:hAnsiTheme="majorHAnsi" w:cstheme="majorHAnsi"/>
        </w:rPr>
        <w:t>I</w:t>
      </w:r>
      <w:r w:rsidR="00392141" w:rsidRPr="003435B5">
        <w:rPr>
          <w:rFonts w:asciiTheme="majorHAnsi" w:hAnsiTheme="majorHAnsi" w:cstheme="majorHAnsi"/>
        </w:rPr>
        <w:t>n addition to the 3D-printed parts</w:t>
      </w:r>
      <w:r w:rsidR="000C67FF" w:rsidRPr="003435B5">
        <w:rPr>
          <w:rFonts w:asciiTheme="majorHAnsi" w:hAnsiTheme="majorHAnsi" w:cstheme="majorHAnsi"/>
        </w:rPr>
        <w:t xml:space="preserve">, </w:t>
      </w:r>
      <w:r w:rsidR="004C4E0C" w:rsidRPr="003435B5">
        <w:rPr>
          <w:rFonts w:asciiTheme="majorHAnsi" w:hAnsiTheme="majorHAnsi" w:cstheme="majorHAnsi"/>
        </w:rPr>
        <w:t xml:space="preserve">the apparatus </w:t>
      </w:r>
      <w:r w:rsidR="006B2087" w:rsidRPr="003435B5">
        <w:rPr>
          <w:rFonts w:asciiTheme="majorHAnsi" w:hAnsiTheme="majorHAnsi" w:cstheme="majorHAnsi"/>
        </w:rPr>
        <w:t xml:space="preserve">requires </w:t>
      </w:r>
      <w:r w:rsidR="00551FB7" w:rsidRPr="003435B5">
        <w:rPr>
          <w:rFonts w:asciiTheme="majorHAnsi" w:hAnsiTheme="majorHAnsi" w:cstheme="majorHAnsi"/>
        </w:rPr>
        <w:t>12</w:t>
      </w:r>
      <w:r w:rsidR="006B2087" w:rsidRPr="003435B5">
        <w:rPr>
          <w:rFonts w:asciiTheme="majorHAnsi" w:hAnsiTheme="majorHAnsi" w:cstheme="majorHAnsi"/>
        </w:rPr>
        <w:t xml:space="preserve"> screws</w:t>
      </w:r>
      <w:r w:rsidR="004F3C9E" w:rsidRPr="003435B5">
        <w:rPr>
          <w:rFonts w:asciiTheme="majorHAnsi" w:hAnsiTheme="majorHAnsi" w:cstheme="majorHAnsi"/>
        </w:rPr>
        <w:t xml:space="preserve"> </w:t>
      </w:r>
      <w:r w:rsidR="00551FB7" w:rsidRPr="003435B5">
        <w:rPr>
          <w:rFonts w:asciiTheme="majorHAnsi" w:hAnsiTheme="majorHAnsi" w:cstheme="majorHAnsi"/>
        </w:rPr>
        <w:t>(3</w:t>
      </w:r>
      <w:r w:rsidR="00392141" w:rsidRPr="003435B5">
        <w:rPr>
          <w:rFonts w:asciiTheme="majorHAnsi" w:hAnsiTheme="majorHAnsi" w:cstheme="majorHAnsi"/>
        </w:rPr>
        <w:t xml:space="preserve"> </w:t>
      </w:r>
      <w:r w:rsidR="00551FB7" w:rsidRPr="003435B5">
        <w:rPr>
          <w:rFonts w:asciiTheme="majorHAnsi" w:hAnsiTheme="majorHAnsi" w:cstheme="majorHAnsi"/>
        </w:rPr>
        <w:t>x</w:t>
      </w:r>
      <w:r w:rsidR="00392141" w:rsidRPr="003435B5">
        <w:rPr>
          <w:rFonts w:asciiTheme="majorHAnsi" w:hAnsiTheme="majorHAnsi" w:cstheme="majorHAnsi"/>
        </w:rPr>
        <w:t xml:space="preserve"> </w:t>
      </w:r>
      <w:r w:rsidR="00551FB7" w:rsidRPr="003435B5">
        <w:rPr>
          <w:rFonts w:asciiTheme="majorHAnsi" w:hAnsiTheme="majorHAnsi" w:cstheme="majorHAnsi"/>
        </w:rPr>
        <w:t>8</w:t>
      </w:r>
      <w:r w:rsidR="00392141" w:rsidRPr="003435B5">
        <w:rPr>
          <w:rFonts w:asciiTheme="majorHAnsi" w:hAnsiTheme="majorHAnsi" w:cstheme="majorHAnsi"/>
        </w:rPr>
        <w:t xml:space="preserve"> </w:t>
      </w:r>
      <w:r w:rsidR="00551FB7" w:rsidRPr="003435B5">
        <w:rPr>
          <w:rFonts w:asciiTheme="majorHAnsi" w:hAnsiTheme="majorHAnsi" w:cstheme="majorHAnsi"/>
        </w:rPr>
        <w:t>mm)</w:t>
      </w:r>
      <w:r w:rsidR="00392141" w:rsidRPr="003435B5">
        <w:rPr>
          <w:rFonts w:asciiTheme="majorHAnsi" w:hAnsiTheme="majorHAnsi" w:cstheme="majorHAnsi"/>
        </w:rPr>
        <w:t xml:space="preserve"> </w:t>
      </w:r>
      <w:r w:rsidR="004F3C9E" w:rsidRPr="003435B5">
        <w:rPr>
          <w:rFonts w:asciiTheme="majorHAnsi" w:hAnsiTheme="majorHAnsi" w:cstheme="majorHAnsi"/>
        </w:rPr>
        <w:t xml:space="preserve">for fixing the </w:t>
      </w:r>
      <w:r w:rsidR="00916EC1" w:rsidRPr="003435B5">
        <w:rPr>
          <w:rFonts w:asciiTheme="majorHAnsi" w:hAnsiTheme="majorHAnsi" w:cstheme="majorHAnsi"/>
        </w:rPr>
        <w:t>upper part</w:t>
      </w:r>
      <w:r w:rsidR="00CD4DCE" w:rsidRPr="003435B5">
        <w:rPr>
          <w:rFonts w:asciiTheme="majorHAnsi" w:hAnsiTheme="majorHAnsi" w:cstheme="majorHAnsi"/>
        </w:rPr>
        <w:t xml:space="preserve"> </w:t>
      </w:r>
      <w:r w:rsidR="000C67FF" w:rsidRPr="003435B5">
        <w:rPr>
          <w:rFonts w:asciiTheme="majorHAnsi" w:hAnsiTheme="majorHAnsi" w:cstheme="majorHAnsi"/>
        </w:rPr>
        <w:t>to</w:t>
      </w:r>
      <w:r w:rsidR="00CD4DCE" w:rsidRPr="003435B5">
        <w:rPr>
          <w:rFonts w:asciiTheme="majorHAnsi" w:hAnsiTheme="majorHAnsi" w:cstheme="majorHAnsi"/>
        </w:rPr>
        <w:t xml:space="preserve"> the lower</w:t>
      </w:r>
      <w:r w:rsidR="004F3C9E" w:rsidRPr="003435B5">
        <w:rPr>
          <w:rFonts w:asciiTheme="majorHAnsi" w:hAnsiTheme="majorHAnsi" w:cstheme="majorHAnsi"/>
        </w:rPr>
        <w:t xml:space="preserve"> </w:t>
      </w:r>
      <w:r w:rsidR="00392141" w:rsidRPr="003435B5">
        <w:rPr>
          <w:rFonts w:asciiTheme="majorHAnsi" w:hAnsiTheme="majorHAnsi" w:cstheme="majorHAnsi"/>
        </w:rPr>
        <w:t>one to</w:t>
      </w:r>
      <w:r w:rsidR="004F3C9E" w:rsidRPr="003435B5">
        <w:rPr>
          <w:rFonts w:asciiTheme="majorHAnsi" w:hAnsiTheme="majorHAnsi" w:cstheme="majorHAnsi"/>
        </w:rPr>
        <w:t xml:space="preserve"> stabiliz</w:t>
      </w:r>
      <w:r w:rsidR="00392141" w:rsidRPr="003435B5">
        <w:rPr>
          <w:rFonts w:asciiTheme="majorHAnsi" w:hAnsiTheme="majorHAnsi" w:cstheme="majorHAnsi"/>
        </w:rPr>
        <w:t>e</w:t>
      </w:r>
      <w:r w:rsidR="004F3C9E" w:rsidRPr="003435B5">
        <w:rPr>
          <w:rFonts w:asciiTheme="majorHAnsi" w:hAnsiTheme="majorHAnsi" w:cstheme="majorHAnsi"/>
        </w:rPr>
        <w:t xml:space="preserve"> the assembled device</w:t>
      </w:r>
      <w:r w:rsidR="000C67FF" w:rsidRPr="003435B5">
        <w:rPr>
          <w:rFonts w:asciiTheme="majorHAnsi" w:hAnsiTheme="majorHAnsi" w:cstheme="majorHAnsi"/>
        </w:rPr>
        <w:t>,</w:t>
      </w:r>
      <w:r w:rsidR="00CD4DCE" w:rsidRPr="003435B5">
        <w:rPr>
          <w:rFonts w:asciiTheme="majorHAnsi" w:hAnsiTheme="majorHAnsi" w:cstheme="majorHAnsi"/>
        </w:rPr>
        <w:t xml:space="preserve"> an acrylic </w:t>
      </w:r>
      <w:r w:rsidR="000C67FF" w:rsidRPr="003435B5">
        <w:rPr>
          <w:rFonts w:asciiTheme="majorHAnsi" w:hAnsiTheme="majorHAnsi" w:cstheme="majorHAnsi"/>
        </w:rPr>
        <w:t>plate</w:t>
      </w:r>
      <w:r w:rsidR="00CD4DCE" w:rsidRPr="003435B5">
        <w:rPr>
          <w:rFonts w:asciiTheme="majorHAnsi" w:hAnsiTheme="majorHAnsi" w:cstheme="majorHAnsi"/>
        </w:rPr>
        <w:t xml:space="preserve"> </w:t>
      </w:r>
      <w:r w:rsidR="000C67FF" w:rsidRPr="003435B5">
        <w:rPr>
          <w:rFonts w:asciiTheme="majorHAnsi" w:hAnsiTheme="majorHAnsi" w:cstheme="majorHAnsi"/>
        </w:rPr>
        <w:t>(</w:t>
      </w:r>
      <w:r w:rsidR="00551FB7" w:rsidRPr="003435B5">
        <w:rPr>
          <w:rFonts w:asciiTheme="majorHAnsi" w:hAnsiTheme="majorHAnsi" w:cstheme="majorHAnsi"/>
        </w:rPr>
        <w:t>60</w:t>
      </w:r>
      <w:r w:rsidR="00CD4DCE" w:rsidRPr="003435B5">
        <w:rPr>
          <w:rFonts w:asciiTheme="majorHAnsi" w:hAnsiTheme="majorHAnsi" w:cstheme="majorHAnsi"/>
        </w:rPr>
        <w:t xml:space="preserve"> x </w:t>
      </w:r>
      <w:r w:rsidR="00551FB7" w:rsidRPr="003435B5">
        <w:rPr>
          <w:rFonts w:asciiTheme="majorHAnsi" w:hAnsiTheme="majorHAnsi" w:cstheme="majorHAnsi"/>
        </w:rPr>
        <w:t xml:space="preserve">60 </w:t>
      </w:r>
      <w:r w:rsidR="00CD4DCE" w:rsidRPr="003435B5">
        <w:rPr>
          <w:rFonts w:asciiTheme="majorHAnsi" w:hAnsiTheme="majorHAnsi" w:cstheme="majorHAnsi"/>
        </w:rPr>
        <w:t xml:space="preserve">x </w:t>
      </w:r>
      <w:r w:rsidR="00551FB7" w:rsidRPr="003435B5">
        <w:rPr>
          <w:rFonts w:asciiTheme="majorHAnsi" w:hAnsiTheme="majorHAnsi" w:cstheme="majorHAnsi"/>
        </w:rPr>
        <w:t>3</w:t>
      </w:r>
      <w:r w:rsidR="00CD4DCE" w:rsidRPr="003435B5">
        <w:rPr>
          <w:rFonts w:asciiTheme="majorHAnsi" w:hAnsiTheme="majorHAnsi" w:cstheme="majorHAnsi"/>
        </w:rPr>
        <w:t xml:space="preserve"> mm</w:t>
      </w:r>
      <w:r w:rsidR="000C67FF" w:rsidRPr="003435B5">
        <w:rPr>
          <w:rFonts w:asciiTheme="majorHAnsi" w:hAnsiTheme="majorHAnsi" w:cstheme="majorHAnsi"/>
        </w:rPr>
        <w:t>), and a zip tight</w:t>
      </w:r>
      <w:r w:rsidR="00CD4DCE" w:rsidRPr="003435B5">
        <w:rPr>
          <w:rFonts w:asciiTheme="majorHAnsi" w:hAnsiTheme="majorHAnsi" w:cstheme="majorHAnsi"/>
        </w:rPr>
        <w:t>.</w:t>
      </w:r>
      <w:r w:rsidR="000C67FF" w:rsidRPr="003435B5">
        <w:rPr>
          <w:rFonts w:asciiTheme="majorHAnsi" w:hAnsiTheme="majorHAnsi" w:cstheme="majorHAnsi"/>
        </w:rPr>
        <w:t xml:space="preserve"> Because the </w:t>
      </w:r>
      <w:r w:rsidR="00164E97" w:rsidRPr="003435B5">
        <w:rPr>
          <w:rFonts w:asciiTheme="majorHAnsi" w:hAnsiTheme="majorHAnsi" w:cstheme="majorHAnsi"/>
        </w:rPr>
        <w:t xml:space="preserve">structure </w:t>
      </w:r>
      <w:r w:rsidR="000C67FF" w:rsidRPr="003435B5">
        <w:rPr>
          <w:rFonts w:asciiTheme="majorHAnsi" w:hAnsiTheme="majorHAnsi" w:cstheme="majorHAnsi"/>
        </w:rPr>
        <w:t xml:space="preserve">of the Fly Motel is more complex, we also provide an instructional video </w:t>
      </w:r>
      <w:r w:rsidR="00DC72B6" w:rsidRPr="003435B5">
        <w:rPr>
          <w:rFonts w:asciiTheme="majorHAnsi" w:hAnsiTheme="majorHAnsi" w:cstheme="majorHAnsi"/>
        </w:rPr>
        <w:t>(</w:t>
      </w:r>
      <w:r w:rsidR="00DC72B6" w:rsidRPr="00C9533A">
        <w:rPr>
          <w:rFonts w:asciiTheme="majorHAnsi" w:hAnsiTheme="majorHAnsi" w:cstheme="majorHAnsi"/>
          <w:b/>
          <w:bCs/>
        </w:rPr>
        <w:t>Supplemental File 7</w:t>
      </w:r>
      <w:r w:rsidR="00DC72B6" w:rsidRPr="003435B5">
        <w:rPr>
          <w:rFonts w:asciiTheme="majorHAnsi" w:hAnsiTheme="majorHAnsi" w:cstheme="majorHAnsi"/>
        </w:rPr>
        <w:t>)</w:t>
      </w:r>
      <w:r w:rsidR="000C67FF" w:rsidRPr="003435B5">
        <w:rPr>
          <w:rFonts w:asciiTheme="majorHAnsi" w:hAnsiTheme="majorHAnsi" w:cstheme="majorHAnsi"/>
        </w:rPr>
        <w:t xml:space="preserve"> </w:t>
      </w:r>
      <w:r w:rsidR="00164E97" w:rsidRPr="003435B5">
        <w:rPr>
          <w:rFonts w:asciiTheme="majorHAnsi" w:hAnsiTheme="majorHAnsi" w:cstheme="majorHAnsi"/>
        </w:rPr>
        <w:t xml:space="preserve">of </w:t>
      </w:r>
      <w:r w:rsidR="000C67FF" w:rsidRPr="003435B5">
        <w:rPr>
          <w:rFonts w:asciiTheme="majorHAnsi" w:hAnsiTheme="majorHAnsi" w:cstheme="majorHAnsi"/>
        </w:rPr>
        <w:t xml:space="preserve">how to </w:t>
      </w:r>
      <w:r w:rsidR="00164E97" w:rsidRPr="003435B5">
        <w:rPr>
          <w:rFonts w:asciiTheme="majorHAnsi" w:hAnsiTheme="majorHAnsi" w:cstheme="majorHAnsi"/>
        </w:rPr>
        <w:t>assemble</w:t>
      </w:r>
      <w:r w:rsidR="000C67FF" w:rsidRPr="003435B5">
        <w:rPr>
          <w:rFonts w:asciiTheme="majorHAnsi" w:hAnsiTheme="majorHAnsi" w:cstheme="majorHAnsi"/>
        </w:rPr>
        <w:t xml:space="preserve"> it correctly, given that all required pieces and a screwdriver are available.</w:t>
      </w:r>
    </w:p>
    <w:p w14:paraId="035B077F" w14:textId="77777777" w:rsidR="00C9533A" w:rsidRPr="003435B5" w:rsidRDefault="00C9533A" w:rsidP="003435B5">
      <w:pPr>
        <w:shd w:val="clear" w:color="auto" w:fill="FFFFFF"/>
        <w:contextualSpacing/>
        <w:rPr>
          <w:rFonts w:asciiTheme="majorHAnsi" w:hAnsiTheme="majorHAnsi" w:cstheme="majorHAnsi"/>
        </w:rPr>
      </w:pPr>
    </w:p>
    <w:p w14:paraId="2BCCD17B" w14:textId="02E54470" w:rsidR="008B4171" w:rsidRDefault="008B4171" w:rsidP="003435B5">
      <w:pPr>
        <w:shd w:val="clear" w:color="auto" w:fill="FFFFFF"/>
        <w:contextualSpacing/>
        <w:rPr>
          <w:rFonts w:asciiTheme="majorHAnsi" w:hAnsiTheme="majorHAnsi" w:cstheme="majorHAnsi"/>
        </w:rPr>
      </w:pPr>
      <w:r w:rsidRPr="003435B5">
        <w:rPr>
          <w:rFonts w:asciiTheme="majorHAnsi" w:hAnsiTheme="majorHAnsi" w:cstheme="majorHAnsi"/>
        </w:rPr>
        <w:t>3.</w:t>
      </w:r>
      <w:r w:rsidR="004B4B70" w:rsidRPr="003435B5">
        <w:rPr>
          <w:rFonts w:asciiTheme="majorHAnsi" w:hAnsiTheme="majorHAnsi" w:cstheme="majorHAnsi"/>
        </w:rPr>
        <w:t>5</w:t>
      </w:r>
      <w:r w:rsidRPr="003435B5">
        <w:rPr>
          <w:rFonts w:asciiTheme="majorHAnsi" w:hAnsiTheme="majorHAnsi" w:cstheme="majorHAnsi"/>
        </w:rPr>
        <w:t xml:space="preserve">. </w:t>
      </w:r>
      <w:r w:rsidR="00601C21" w:rsidRPr="003435B5">
        <w:rPr>
          <w:rFonts w:asciiTheme="majorHAnsi" w:hAnsiTheme="majorHAnsi" w:cstheme="majorHAnsi"/>
        </w:rPr>
        <w:t xml:space="preserve">Download </w:t>
      </w:r>
      <w:r w:rsidR="00597A32" w:rsidRPr="00C9533A">
        <w:rPr>
          <w:rFonts w:asciiTheme="majorHAnsi" w:hAnsiTheme="majorHAnsi" w:cstheme="majorHAnsi"/>
          <w:b/>
          <w:bCs/>
        </w:rPr>
        <w:t xml:space="preserve">Supplemental File </w:t>
      </w:r>
      <w:r w:rsidR="000C67FF" w:rsidRPr="00C9533A">
        <w:rPr>
          <w:rFonts w:asciiTheme="majorHAnsi" w:hAnsiTheme="majorHAnsi" w:cstheme="majorHAnsi"/>
          <w:b/>
          <w:bCs/>
        </w:rPr>
        <w:t>8</w:t>
      </w:r>
      <w:r w:rsidR="00597A32" w:rsidRPr="003435B5">
        <w:rPr>
          <w:rFonts w:asciiTheme="majorHAnsi" w:hAnsiTheme="majorHAnsi" w:cstheme="majorHAnsi"/>
        </w:rPr>
        <w:t xml:space="preserve"> </w:t>
      </w:r>
      <w:r w:rsidR="00601C21" w:rsidRPr="003435B5">
        <w:rPr>
          <w:rFonts w:asciiTheme="majorHAnsi" w:hAnsiTheme="majorHAnsi" w:cstheme="majorHAnsi"/>
        </w:rPr>
        <w:t>for</w:t>
      </w:r>
      <w:r w:rsidR="00CA78F9" w:rsidRPr="003435B5">
        <w:rPr>
          <w:rFonts w:asciiTheme="majorHAnsi" w:hAnsiTheme="majorHAnsi" w:cstheme="majorHAnsi"/>
        </w:rPr>
        <w:t xml:space="preserve"> the model of a T-Maze (</w:t>
      </w:r>
      <w:r w:rsidR="00CA78F9" w:rsidRPr="00C9533A">
        <w:rPr>
          <w:rFonts w:asciiTheme="majorHAnsi" w:hAnsiTheme="majorHAnsi" w:cstheme="majorHAnsi"/>
          <w:b/>
          <w:bCs/>
        </w:rPr>
        <w:t xml:space="preserve">Figure </w:t>
      </w:r>
      <w:r w:rsidR="00551FB7" w:rsidRPr="00C9533A">
        <w:rPr>
          <w:rFonts w:asciiTheme="majorHAnsi" w:hAnsiTheme="majorHAnsi" w:cstheme="majorHAnsi"/>
          <w:b/>
          <w:bCs/>
        </w:rPr>
        <w:t>3</w:t>
      </w:r>
      <w:r w:rsidR="00C5796E" w:rsidRPr="00C9533A">
        <w:rPr>
          <w:rFonts w:asciiTheme="majorHAnsi" w:hAnsiTheme="majorHAnsi" w:cstheme="majorHAnsi"/>
          <w:b/>
          <w:bCs/>
        </w:rPr>
        <w:t>F</w:t>
      </w:r>
      <w:r w:rsidR="00CA78F9" w:rsidRPr="003435B5">
        <w:rPr>
          <w:rFonts w:asciiTheme="majorHAnsi" w:hAnsiTheme="majorHAnsi" w:cstheme="majorHAnsi"/>
        </w:rPr>
        <w:t xml:space="preserve">), which is used for memory assays using adult flies. A detailed explanation of how the T-Maze is used to make flies </w:t>
      </w:r>
      <w:r w:rsidR="00CA78F9" w:rsidRPr="003435B5">
        <w:rPr>
          <w:rFonts w:asciiTheme="majorHAnsi" w:hAnsiTheme="majorHAnsi" w:cstheme="majorHAnsi"/>
        </w:rPr>
        <w:lastRenderedPageBreak/>
        <w:t>associate repulsive odor stimul</w:t>
      </w:r>
      <w:r w:rsidR="00B974C4" w:rsidRPr="003435B5">
        <w:rPr>
          <w:rFonts w:asciiTheme="majorHAnsi" w:hAnsiTheme="majorHAnsi" w:cstheme="majorHAnsi"/>
        </w:rPr>
        <w:t>i with their phototropic behavior is found in the original publication</w:t>
      </w:r>
      <w:r w:rsidR="00B267DD" w:rsidRPr="003435B5">
        <w:rPr>
          <w:rFonts w:asciiTheme="majorHAnsi" w:hAnsiTheme="majorHAnsi" w:cstheme="majorHAnsi"/>
        </w:rPr>
        <w:fldChar w:fldCharType="begin" w:fldLock="1"/>
      </w:r>
      <w:r w:rsidR="00D158C9" w:rsidRPr="003435B5">
        <w:rPr>
          <w:rFonts w:asciiTheme="majorHAnsi" w:hAnsiTheme="majorHAnsi" w:cstheme="majorHAnsi"/>
        </w:rPr>
        <w:instrText>ADDIN CSL_CITATION {"citationItems":[{"id":"ITEM-1","itemData":{"DOI":"10.3791/2504","ISSN":"1940087X","PMID":"21445036","abstract":"Advances in genetic methods have enabled the study of genes involved in human neurodegenerative diseases using Drosophila as a model system1. Most of these diseases, including Alzheimer's, Parkinson's and Huntington's disease are characterized by age-dependent deterioration in learning and memory functions and movement coordination2. Here we use behavioral assays, including the negative geotaxis assay3 and the aversive phototaxic suppression assay (APS assay)4,5, to show that some of the behavior characteristics associated with human neurodegeneration can be recapitulated in flies. In the negative geotaxis assay, the natural tendency of flies to move against gravity when agitated is utilized to study genes or conditions that may hinder locomotor capacities. In the APS assay, the learning and memory functions are tested in positively-phototactic flies trained to associate light with aversive bitter taste and hence avoid this otherwise natural tendency to move toward light. Testing these trained flies 6 hours post-training is used to assess memory functions. Using these assays, the contribution of any genetic or environmental factors toward developing neurodegeneration can be easily studied in flies. © 2011 Journal of Visualized Experiments.","author":[{"dropping-particle":"","family":"Ali","given":"Yousuf O.","non-dropping-particle":"","parse-names":false,"suffix":""},{"dropping-particle":"","family":"Escala","given":"Wilfredo","non-dropping-particle":"","parse-names":false,"suffix":""},{"dropping-particle":"","family":"Ruan","given":"Kai","non-dropping-particle":"","parse-names":false,"suffix":""},{"dropping-particle":"","family":"Zhai","given":"R. Grace","non-dropping-particle":"","parse-names":false,"suffix":""}],"container-title":"Journal of Visualized Experiments","id":"ITEM-1","issue":"49","issued":{"date-parts":[["2011"]]},"publisher":"Journal of Visualized Experiments","title":"Assaying locomotor, learning, and memory deficits in Drosophila models of neurodegeneration","type":"article-journal"},"uris":["http://www.mendeley.com/documents/?uuid=879e95a4-35d2-39ec-91bd-d046d63f4ab8"]}],"mendeley":{"formattedCitation":"&lt;sup&gt;41&lt;/sup&gt;","plainTextFormattedCitation":"41","previouslyFormattedCitation":"&lt;sup&gt;42&lt;/sup&gt;"},"properties":{"noteIndex":0},"schema":"https://github.com/citation-style-language/schema/raw/master/csl-citation.json"}</w:instrText>
      </w:r>
      <w:r w:rsidR="00B267DD" w:rsidRPr="003435B5">
        <w:rPr>
          <w:rFonts w:asciiTheme="majorHAnsi" w:hAnsiTheme="majorHAnsi" w:cstheme="majorHAnsi"/>
        </w:rPr>
        <w:fldChar w:fldCharType="separate"/>
      </w:r>
      <w:r w:rsidR="00D158C9" w:rsidRPr="003435B5">
        <w:rPr>
          <w:rFonts w:asciiTheme="majorHAnsi" w:hAnsiTheme="majorHAnsi" w:cstheme="majorHAnsi"/>
          <w:noProof/>
          <w:vertAlign w:val="superscript"/>
        </w:rPr>
        <w:t>41</w:t>
      </w:r>
      <w:r w:rsidR="00B267DD" w:rsidRPr="003435B5">
        <w:rPr>
          <w:rFonts w:asciiTheme="majorHAnsi" w:hAnsiTheme="majorHAnsi" w:cstheme="majorHAnsi"/>
        </w:rPr>
        <w:fldChar w:fldCharType="end"/>
      </w:r>
      <w:r w:rsidR="00B974C4" w:rsidRPr="003435B5">
        <w:rPr>
          <w:rFonts w:asciiTheme="majorHAnsi" w:hAnsiTheme="majorHAnsi" w:cstheme="majorHAnsi"/>
        </w:rPr>
        <w:t>.</w:t>
      </w:r>
      <w:r w:rsidR="00CA78F9" w:rsidRPr="003435B5">
        <w:rPr>
          <w:rFonts w:asciiTheme="majorHAnsi" w:hAnsiTheme="majorHAnsi" w:cstheme="majorHAnsi"/>
        </w:rPr>
        <w:t xml:space="preserve"> Th</w:t>
      </w:r>
      <w:r w:rsidR="00B974C4" w:rsidRPr="003435B5">
        <w:rPr>
          <w:rFonts w:asciiTheme="majorHAnsi" w:hAnsiTheme="majorHAnsi" w:cstheme="majorHAnsi"/>
        </w:rPr>
        <w:t>e</w:t>
      </w:r>
      <w:r w:rsidR="00CA78F9" w:rsidRPr="003435B5">
        <w:rPr>
          <w:rFonts w:asciiTheme="majorHAnsi" w:hAnsiTheme="majorHAnsi" w:cstheme="majorHAnsi"/>
        </w:rPr>
        <w:t xml:space="preserve"> </w:t>
      </w:r>
      <w:r w:rsidR="00B974C4" w:rsidRPr="003435B5">
        <w:rPr>
          <w:rFonts w:asciiTheme="majorHAnsi" w:hAnsiTheme="majorHAnsi" w:cstheme="majorHAnsi"/>
        </w:rPr>
        <w:t>apparatus also makes use of two transluc</w:t>
      </w:r>
      <w:r w:rsidR="00164E97" w:rsidRPr="003435B5">
        <w:rPr>
          <w:rFonts w:asciiTheme="majorHAnsi" w:hAnsiTheme="majorHAnsi" w:cstheme="majorHAnsi"/>
        </w:rPr>
        <w:t>ent</w:t>
      </w:r>
      <w:r w:rsidR="00B974C4" w:rsidRPr="003435B5">
        <w:rPr>
          <w:rFonts w:asciiTheme="majorHAnsi" w:hAnsiTheme="majorHAnsi" w:cstheme="majorHAnsi"/>
        </w:rPr>
        <w:t xml:space="preserve"> 15 mL conical tubes</w:t>
      </w:r>
      <w:r w:rsidR="003B57A9" w:rsidRPr="003435B5">
        <w:rPr>
          <w:rFonts w:asciiTheme="majorHAnsi" w:hAnsiTheme="majorHAnsi" w:cstheme="majorHAnsi"/>
        </w:rPr>
        <w:t xml:space="preserve">, which are </w:t>
      </w:r>
      <w:r w:rsidR="005D24AD" w:rsidRPr="003435B5">
        <w:rPr>
          <w:rFonts w:asciiTheme="majorHAnsi" w:hAnsiTheme="majorHAnsi" w:cstheme="majorHAnsi"/>
        </w:rPr>
        <w:t xml:space="preserve">commonly </w:t>
      </w:r>
      <w:r w:rsidR="003B57A9" w:rsidRPr="003435B5">
        <w:rPr>
          <w:rFonts w:asciiTheme="majorHAnsi" w:hAnsiTheme="majorHAnsi" w:cstheme="majorHAnsi"/>
        </w:rPr>
        <w:t>found in any lab and are attached to the 2 cm</w:t>
      </w:r>
      <w:r w:rsidR="00241474" w:rsidRPr="003435B5">
        <w:rPr>
          <w:rFonts w:asciiTheme="majorHAnsi" w:hAnsiTheme="majorHAnsi" w:cstheme="majorHAnsi"/>
        </w:rPr>
        <w:t>-wide</w:t>
      </w:r>
      <w:r w:rsidR="003B57A9" w:rsidRPr="003435B5">
        <w:rPr>
          <w:rFonts w:asciiTheme="majorHAnsi" w:hAnsiTheme="majorHAnsi" w:cstheme="majorHAnsi"/>
        </w:rPr>
        <w:t xml:space="preserve"> circular opening</w:t>
      </w:r>
      <w:r w:rsidR="00241474" w:rsidRPr="003435B5">
        <w:rPr>
          <w:rFonts w:asciiTheme="majorHAnsi" w:hAnsiTheme="majorHAnsi" w:cstheme="majorHAnsi"/>
        </w:rPr>
        <w:t>s</w:t>
      </w:r>
      <w:r w:rsidR="003B57A9" w:rsidRPr="003435B5">
        <w:rPr>
          <w:rFonts w:asciiTheme="majorHAnsi" w:hAnsiTheme="majorHAnsi" w:cstheme="majorHAnsi"/>
        </w:rPr>
        <w:t xml:space="preserve"> </w:t>
      </w:r>
      <w:r w:rsidR="00241474" w:rsidRPr="003435B5">
        <w:rPr>
          <w:rFonts w:asciiTheme="majorHAnsi" w:hAnsiTheme="majorHAnsi" w:cstheme="majorHAnsi"/>
        </w:rPr>
        <w:t>in</w:t>
      </w:r>
      <w:r w:rsidR="003B57A9" w:rsidRPr="003435B5">
        <w:rPr>
          <w:rFonts w:asciiTheme="majorHAnsi" w:hAnsiTheme="majorHAnsi" w:cstheme="majorHAnsi"/>
        </w:rPr>
        <w:t xml:space="preserve"> each side of the central piece.</w:t>
      </w:r>
      <w:r w:rsidR="00776AAC" w:rsidRPr="003435B5">
        <w:rPr>
          <w:rFonts w:asciiTheme="majorHAnsi" w:hAnsiTheme="majorHAnsi" w:cstheme="majorHAnsi"/>
        </w:rPr>
        <w:t xml:space="preserve"> Note that the printing of the T-Maze requires a support (see more details in the </w:t>
      </w:r>
      <w:r w:rsidR="004B3778" w:rsidRPr="003435B5">
        <w:rPr>
          <w:rFonts w:asciiTheme="majorHAnsi" w:hAnsiTheme="majorHAnsi" w:cstheme="majorHAnsi"/>
        </w:rPr>
        <w:t xml:space="preserve">legend to </w:t>
      </w:r>
      <w:r w:rsidR="004B3778" w:rsidRPr="00C9533A">
        <w:rPr>
          <w:rFonts w:asciiTheme="majorHAnsi" w:hAnsiTheme="majorHAnsi" w:cstheme="majorHAnsi"/>
          <w:b/>
          <w:bCs/>
        </w:rPr>
        <w:t>Figure 2</w:t>
      </w:r>
      <w:r w:rsidR="00776AAC" w:rsidRPr="003435B5">
        <w:rPr>
          <w:rFonts w:asciiTheme="majorHAnsi" w:hAnsiTheme="majorHAnsi" w:cstheme="majorHAnsi"/>
        </w:rPr>
        <w:t xml:space="preserve">). Select “Everywhere” for Support Type (red square 4 in </w:t>
      </w:r>
      <w:r w:rsidR="00776AAC" w:rsidRPr="00C9533A">
        <w:rPr>
          <w:rFonts w:asciiTheme="majorHAnsi" w:hAnsiTheme="majorHAnsi" w:cstheme="majorHAnsi"/>
          <w:b/>
          <w:bCs/>
        </w:rPr>
        <w:t>Figure 2E</w:t>
      </w:r>
      <w:r w:rsidR="00776AAC" w:rsidRPr="003435B5">
        <w:rPr>
          <w:rFonts w:asciiTheme="majorHAnsi" w:hAnsiTheme="majorHAnsi" w:cstheme="majorHAnsi"/>
        </w:rPr>
        <w:t>) after following steps 2.1-2.6 above.</w:t>
      </w:r>
      <w:r w:rsidR="00EB2BAE" w:rsidRPr="003435B5">
        <w:rPr>
          <w:rFonts w:asciiTheme="majorHAnsi" w:hAnsiTheme="majorHAnsi" w:cstheme="majorHAnsi"/>
          <w:highlight w:val="green"/>
        </w:rPr>
        <w:t xml:space="preserve">  </w:t>
      </w:r>
    </w:p>
    <w:p w14:paraId="307F1C9C" w14:textId="77777777" w:rsidR="00C9533A" w:rsidRPr="003435B5" w:rsidRDefault="00C9533A" w:rsidP="003435B5">
      <w:pPr>
        <w:shd w:val="clear" w:color="auto" w:fill="FFFFFF"/>
        <w:contextualSpacing/>
        <w:rPr>
          <w:rFonts w:asciiTheme="majorHAnsi" w:hAnsiTheme="majorHAnsi" w:cstheme="majorHAnsi"/>
        </w:rPr>
      </w:pPr>
    </w:p>
    <w:p w14:paraId="02C753C5" w14:textId="276BC6B3" w:rsidR="002B6C7E" w:rsidRPr="003435B5" w:rsidRDefault="002B6C7E" w:rsidP="003435B5">
      <w:pPr>
        <w:shd w:val="clear" w:color="auto" w:fill="FFFFFF"/>
        <w:contextualSpacing/>
        <w:rPr>
          <w:rFonts w:asciiTheme="majorHAnsi" w:hAnsiTheme="majorHAnsi" w:cstheme="majorHAnsi"/>
        </w:rPr>
      </w:pPr>
      <w:r w:rsidRPr="003435B5">
        <w:rPr>
          <w:rFonts w:asciiTheme="majorHAnsi" w:hAnsiTheme="majorHAnsi" w:cstheme="majorHAnsi"/>
        </w:rPr>
        <w:t>3.</w:t>
      </w:r>
      <w:r w:rsidR="004B4B70" w:rsidRPr="003435B5">
        <w:rPr>
          <w:rFonts w:asciiTheme="majorHAnsi" w:hAnsiTheme="majorHAnsi" w:cstheme="majorHAnsi"/>
        </w:rPr>
        <w:t>6</w:t>
      </w:r>
      <w:r w:rsidRPr="003435B5">
        <w:rPr>
          <w:rFonts w:asciiTheme="majorHAnsi" w:hAnsiTheme="majorHAnsi" w:cstheme="majorHAnsi"/>
        </w:rPr>
        <w:t xml:space="preserve">. </w:t>
      </w:r>
      <w:r w:rsidR="00601C21" w:rsidRPr="003435B5">
        <w:rPr>
          <w:rFonts w:asciiTheme="majorHAnsi" w:hAnsiTheme="majorHAnsi" w:cstheme="majorHAnsi"/>
        </w:rPr>
        <w:t xml:space="preserve">Download </w:t>
      </w:r>
      <w:r w:rsidR="00C9533A" w:rsidRPr="00C9533A">
        <w:rPr>
          <w:rFonts w:asciiTheme="majorHAnsi" w:hAnsiTheme="majorHAnsi" w:cstheme="majorHAnsi"/>
          <w:b/>
          <w:bCs/>
        </w:rPr>
        <w:t xml:space="preserve">Supplemental File </w:t>
      </w:r>
      <w:r w:rsidR="00E3799E" w:rsidRPr="00C9533A">
        <w:rPr>
          <w:rFonts w:asciiTheme="majorHAnsi" w:hAnsiTheme="majorHAnsi" w:cstheme="majorHAnsi"/>
          <w:b/>
          <w:bCs/>
        </w:rPr>
        <w:t>9</w:t>
      </w:r>
      <w:r w:rsidR="00E3799E" w:rsidRPr="003435B5">
        <w:rPr>
          <w:rFonts w:asciiTheme="majorHAnsi" w:hAnsiTheme="majorHAnsi" w:cstheme="majorHAnsi"/>
        </w:rPr>
        <w:t xml:space="preserve"> and </w:t>
      </w:r>
      <w:r w:rsidR="00C9533A" w:rsidRPr="00C9533A">
        <w:rPr>
          <w:rFonts w:asciiTheme="majorHAnsi" w:hAnsiTheme="majorHAnsi" w:cstheme="majorHAnsi"/>
          <w:b/>
          <w:bCs/>
        </w:rPr>
        <w:t xml:space="preserve">Supplemental File </w:t>
      </w:r>
      <w:r w:rsidR="00E3799E" w:rsidRPr="00C9533A">
        <w:rPr>
          <w:rFonts w:asciiTheme="majorHAnsi" w:hAnsiTheme="majorHAnsi" w:cstheme="majorHAnsi"/>
          <w:b/>
          <w:bCs/>
        </w:rPr>
        <w:t>10</w:t>
      </w:r>
      <w:r w:rsidR="00E3799E" w:rsidRPr="003435B5">
        <w:rPr>
          <w:rFonts w:asciiTheme="majorHAnsi" w:hAnsiTheme="majorHAnsi" w:cstheme="majorHAnsi"/>
        </w:rPr>
        <w:t xml:space="preserve"> </w:t>
      </w:r>
      <w:r w:rsidR="00601C21" w:rsidRPr="003435B5">
        <w:rPr>
          <w:rFonts w:asciiTheme="majorHAnsi" w:hAnsiTheme="majorHAnsi" w:cstheme="majorHAnsi"/>
        </w:rPr>
        <w:t xml:space="preserve">for </w:t>
      </w:r>
      <w:r w:rsidR="00E3799E" w:rsidRPr="003435B5">
        <w:rPr>
          <w:rFonts w:asciiTheme="majorHAnsi" w:hAnsiTheme="majorHAnsi" w:cstheme="majorHAnsi"/>
        </w:rPr>
        <w:t>the design of the printable parts of our version of the apparatus for rapid iterative negative geotaxis (RING) assays (</w:t>
      </w:r>
      <w:r w:rsidR="00E3799E" w:rsidRPr="00C9533A">
        <w:rPr>
          <w:rFonts w:asciiTheme="majorHAnsi" w:hAnsiTheme="majorHAnsi" w:cstheme="majorHAnsi"/>
          <w:b/>
          <w:bCs/>
        </w:rPr>
        <w:t>Figure 3G</w:t>
      </w:r>
      <w:r w:rsidR="00E3799E" w:rsidRPr="003435B5">
        <w:rPr>
          <w:rFonts w:asciiTheme="majorHAnsi" w:hAnsiTheme="majorHAnsi" w:cstheme="majorHAnsi"/>
        </w:rPr>
        <w:t xml:space="preserve">), </w:t>
      </w:r>
      <w:r w:rsidR="00150564" w:rsidRPr="003435B5">
        <w:rPr>
          <w:rFonts w:asciiTheme="majorHAnsi" w:hAnsiTheme="majorHAnsi" w:cstheme="majorHAnsi"/>
        </w:rPr>
        <w:t xml:space="preserve">used </w:t>
      </w:r>
      <w:r w:rsidR="00AE779C" w:rsidRPr="003435B5">
        <w:rPr>
          <w:rFonts w:asciiTheme="majorHAnsi" w:hAnsiTheme="majorHAnsi" w:cstheme="majorHAnsi"/>
        </w:rPr>
        <w:t xml:space="preserve">to perform climbing assays with </w:t>
      </w:r>
      <w:r w:rsidR="0068373D" w:rsidRPr="003435B5">
        <w:rPr>
          <w:rFonts w:asciiTheme="majorHAnsi" w:hAnsiTheme="majorHAnsi" w:cstheme="majorHAnsi"/>
        </w:rPr>
        <w:t xml:space="preserve">adult </w:t>
      </w:r>
      <w:r w:rsidR="00AE779C" w:rsidRPr="003435B5">
        <w:rPr>
          <w:rFonts w:asciiTheme="majorHAnsi" w:hAnsiTheme="majorHAnsi" w:cstheme="majorHAnsi"/>
        </w:rPr>
        <w:t xml:space="preserve">flies of several genotypes or </w:t>
      </w:r>
      <w:r w:rsidR="005D24AD" w:rsidRPr="003435B5">
        <w:rPr>
          <w:rFonts w:asciiTheme="majorHAnsi" w:hAnsiTheme="majorHAnsi" w:cstheme="majorHAnsi"/>
        </w:rPr>
        <w:t>environmental conditions</w:t>
      </w:r>
      <w:r w:rsidR="00AE779C" w:rsidRPr="003435B5">
        <w:rPr>
          <w:rFonts w:asciiTheme="majorHAnsi" w:hAnsiTheme="majorHAnsi" w:cstheme="majorHAnsi"/>
        </w:rPr>
        <w:t xml:space="preserve"> simultaneously, generating results in a</w:t>
      </w:r>
      <w:r w:rsidR="00BD2E13" w:rsidRPr="003435B5">
        <w:rPr>
          <w:rFonts w:asciiTheme="majorHAnsi" w:hAnsiTheme="majorHAnsi" w:cstheme="majorHAnsi"/>
        </w:rPr>
        <w:t xml:space="preserve"> more standardized and</w:t>
      </w:r>
      <w:r w:rsidR="00AE779C" w:rsidRPr="003435B5">
        <w:rPr>
          <w:rFonts w:asciiTheme="majorHAnsi" w:hAnsiTheme="majorHAnsi" w:cstheme="majorHAnsi"/>
        </w:rPr>
        <w:t xml:space="preserve"> </w:t>
      </w:r>
      <w:r w:rsidR="0068373D" w:rsidRPr="003435B5">
        <w:rPr>
          <w:rFonts w:asciiTheme="majorHAnsi" w:hAnsiTheme="majorHAnsi" w:cstheme="majorHAnsi"/>
        </w:rPr>
        <w:t>higher</w:t>
      </w:r>
      <w:r w:rsidR="00BD2E13" w:rsidRPr="003435B5">
        <w:rPr>
          <w:rFonts w:asciiTheme="majorHAnsi" w:hAnsiTheme="majorHAnsi" w:cstheme="majorHAnsi"/>
        </w:rPr>
        <w:t>-</w:t>
      </w:r>
      <w:r w:rsidR="00AE779C" w:rsidRPr="003435B5">
        <w:rPr>
          <w:rFonts w:asciiTheme="majorHAnsi" w:hAnsiTheme="majorHAnsi" w:cstheme="majorHAnsi"/>
        </w:rPr>
        <w:t>throughput fashion</w:t>
      </w:r>
      <w:r w:rsidR="00CF095D" w:rsidRPr="003435B5">
        <w:rPr>
          <w:rFonts w:asciiTheme="majorHAnsi" w:hAnsiTheme="majorHAnsi" w:cstheme="majorHAnsi"/>
        </w:rPr>
        <w:fldChar w:fldCharType="begin" w:fldLock="1"/>
      </w:r>
      <w:r w:rsidR="00D158C9" w:rsidRPr="003435B5">
        <w:rPr>
          <w:rFonts w:asciiTheme="majorHAnsi" w:hAnsiTheme="majorHAnsi" w:cstheme="majorHAnsi"/>
        </w:rPr>
        <w:instrText>ADDIN CSL_CITATION {"citationItems":[{"id":"ITEM-1","itemData":{"DOI":"10.3791/3795","ISSN":"1940087X","abstract":"Drosophila melanogaster, the fruit fly, has been used to study molecular mechanisms of a wide range of human diseases such as cancer, cardiovascular disease and various neurological diseases(1). We have optimized simple and robust behavioral assays for determining larval locomotion, adult climbing ability (RING assay), and courtship behaviors of Drosophila. These behavioral assays are widely applicable for studying the role of genetic and environmental factors on fly behavior. Larval crawling ability can be reliably used for determining early stage changes in the crawling abilities of Drosophila larvae and also for examining effect of drugs or human disease genes (in transgenic flies) on their locomotion. The larval crawling assay becomes more applicable if expression or abolition of a gene causes lethality in pupal or adult stages, as these flies do not survive to adulthood where they otherwise could be assessed. This basic assay can also be used in conjunction with bright light or stress to examine additional behavioral responses in Drosophila larvae. Courtship behavior has been widely used to investigate genetic basis of sexual behavior, and can also be used to examine activity and coordination, as well as learning and memory. Drosophila courtship behavior involves the exchange of various sensory stimuli including visual, auditory, and chemosensory signals between males and females that lead to a complex series of well characterized motor behaviors culminating in successful copulation. Traditional adult climbing assays (negative geotaxis) are tedious, labor intensive, and time consuming, with significant variation between different trials(2-4). The rapid iterative negative geotaxis (RING) assay(5) has many advantages over more widely employed protocols, providing a reproducible, sensitive, and high throughput approach to quantify adult locomotor and negative geotaxis behaviors. In the RING assay, several genotypes or drug treatments can be tested simultaneously using large number of animals, with the high-throughput approach making it more amenable for screening experiments.","author":[{"dropping-particle":"","family":"Nichols","given":"Charles D.","non-dropping-particle":"","parse-names":false,"suffix":""},{"dropping-particle":"","family":"Becnel","given":"Jaime","non-dropping-particle":"","parse-names":false,"suffix":""},{"dropping-particle":"","family":"Pandey","given":"Udai B.","non-dropping-particle":"","parse-names":false,"suffix":""}],"container-title":"Journal of visualized experiments : JoVE","id":"ITEM-1","issue":"e3795","issued":{"date-parts":[["2012"]]},"title":"Methods to assay Drosophila behavior.","type":"article-journal","volume":"61"},"uris":["http://www.mendeley.com/documents/?uuid=fe2edab5-e521-4f81-a315-0b827977be64"]}],"mendeley":{"formattedCitation":"&lt;sup&gt;42&lt;/sup&gt;","plainTextFormattedCitation":"42","previouslyFormattedCitation":"&lt;sup&gt;43&lt;/sup&gt;"},"properties":{"noteIndex":0},"schema":"https://github.com/citation-style-language/schema/raw/master/csl-citation.json"}</w:instrText>
      </w:r>
      <w:r w:rsidR="00CF095D" w:rsidRPr="003435B5">
        <w:rPr>
          <w:rFonts w:asciiTheme="majorHAnsi" w:hAnsiTheme="majorHAnsi" w:cstheme="majorHAnsi"/>
        </w:rPr>
        <w:fldChar w:fldCharType="separate"/>
      </w:r>
      <w:r w:rsidR="00D158C9" w:rsidRPr="003435B5">
        <w:rPr>
          <w:rFonts w:asciiTheme="majorHAnsi" w:hAnsiTheme="majorHAnsi" w:cstheme="majorHAnsi"/>
          <w:noProof/>
          <w:vertAlign w:val="superscript"/>
        </w:rPr>
        <w:t>42</w:t>
      </w:r>
      <w:r w:rsidR="00CF095D" w:rsidRPr="003435B5">
        <w:rPr>
          <w:rFonts w:asciiTheme="majorHAnsi" w:hAnsiTheme="majorHAnsi" w:cstheme="majorHAnsi"/>
        </w:rPr>
        <w:fldChar w:fldCharType="end"/>
      </w:r>
      <w:r w:rsidR="00AE779C" w:rsidRPr="003435B5">
        <w:rPr>
          <w:rFonts w:asciiTheme="majorHAnsi" w:hAnsiTheme="majorHAnsi" w:cstheme="majorHAnsi"/>
        </w:rPr>
        <w:t>.</w:t>
      </w:r>
      <w:r w:rsidR="00564F92" w:rsidRPr="003435B5">
        <w:rPr>
          <w:rFonts w:asciiTheme="majorHAnsi" w:hAnsiTheme="majorHAnsi" w:cstheme="majorHAnsi"/>
        </w:rPr>
        <w:t xml:space="preserve"> </w:t>
      </w:r>
      <w:r w:rsidR="00E3799E" w:rsidRPr="003435B5">
        <w:rPr>
          <w:rFonts w:asciiTheme="majorHAnsi" w:hAnsiTheme="majorHAnsi" w:cstheme="majorHAnsi"/>
        </w:rPr>
        <w:t xml:space="preserve">The RING apparatus is also modular, and in addition to the 3D-printed parts, it requires other pieces that can be easily purchased online or in a hardware store at low cost: </w:t>
      </w:r>
      <w:r w:rsidR="00E668B3" w:rsidRPr="003435B5">
        <w:rPr>
          <w:rFonts w:asciiTheme="majorHAnsi" w:hAnsiTheme="majorHAnsi" w:cstheme="majorHAnsi"/>
        </w:rPr>
        <w:t xml:space="preserve">two </w:t>
      </w:r>
      <w:r w:rsidR="00166F3B" w:rsidRPr="003435B5">
        <w:rPr>
          <w:rFonts w:ascii="Times New Roman" w:hAnsi="Times New Roman" w:cs="Times New Roman"/>
        </w:rPr>
        <w:t>Φ</w:t>
      </w:r>
      <w:r w:rsidR="00E668B3" w:rsidRPr="003435B5">
        <w:rPr>
          <w:rFonts w:asciiTheme="majorHAnsi" w:hAnsiTheme="majorHAnsi" w:cstheme="majorHAnsi"/>
        </w:rPr>
        <w:t>8 x 300 mm rectified shafts</w:t>
      </w:r>
      <w:r w:rsidR="00AD2FD2" w:rsidRPr="003435B5">
        <w:rPr>
          <w:rFonts w:asciiTheme="majorHAnsi" w:hAnsiTheme="majorHAnsi" w:cstheme="majorHAnsi"/>
        </w:rPr>
        <w:t>,</w:t>
      </w:r>
      <w:r w:rsidR="0068373D" w:rsidRPr="003435B5">
        <w:rPr>
          <w:rFonts w:asciiTheme="majorHAnsi" w:hAnsiTheme="majorHAnsi" w:cstheme="majorHAnsi"/>
        </w:rPr>
        <w:t xml:space="preserve"> </w:t>
      </w:r>
      <w:r w:rsidR="00551FB7" w:rsidRPr="003435B5">
        <w:rPr>
          <w:rFonts w:asciiTheme="majorHAnsi" w:hAnsiTheme="majorHAnsi" w:cstheme="majorHAnsi"/>
        </w:rPr>
        <w:t>four</w:t>
      </w:r>
      <w:r w:rsidR="00E668B3" w:rsidRPr="003435B5">
        <w:rPr>
          <w:rFonts w:asciiTheme="majorHAnsi" w:hAnsiTheme="majorHAnsi" w:cstheme="majorHAnsi"/>
        </w:rPr>
        <w:t xml:space="preserve"> </w:t>
      </w:r>
      <w:r w:rsidR="00166F3B" w:rsidRPr="003435B5">
        <w:rPr>
          <w:rFonts w:ascii="Times New Roman" w:hAnsi="Times New Roman" w:cs="Times New Roman"/>
        </w:rPr>
        <w:t>Φ</w:t>
      </w:r>
      <w:r w:rsidR="00E668B3" w:rsidRPr="003435B5">
        <w:rPr>
          <w:rFonts w:asciiTheme="majorHAnsi" w:hAnsiTheme="majorHAnsi" w:cstheme="majorHAnsi"/>
        </w:rPr>
        <w:t>8 mm linear bearings</w:t>
      </w:r>
      <w:r w:rsidR="00F37D3A" w:rsidRPr="003435B5">
        <w:rPr>
          <w:rFonts w:asciiTheme="majorHAnsi" w:hAnsiTheme="majorHAnsi" w:cstheme="majorHAnsi"/>
        </w:rPr>
        <w:t xml:space="preserve">, rubber bands (or </w:t>
      </w:r>
      <w:r w:rsidR="005D24AD" w:rsidRPr="003435B5">
        <w:rPr>
          <w:rFonts w:asciiTheme="majorHAnsi" w:hAnsiTheme="majorHAnsi" w:cstheme="majorHAnsi"/>
        </w:rPr>
        <w:t xml:space="preserve">pieces of </w:t>
      </w:r>
      <w:r w:rsidR="00F37D3A" w:rsidRPr="003435B5">
        <w:rPr>
          <w:rFonts w:asciiTheme="majorHAnsi" w:hAnsiTheme="majorHAnsi" w:cstheme="majorHAnsi"/>
        </w:rPr>
        <w:t>a string)</w:t>
      </w:r>
      <w:r w:rsidR="00E668B3" w:rsidRPr="003435B5">
        <w:rPr>
          <w:rFonts w:asciiTheme="majorHAnsi" w:hAnsiTheme="majorHAnsi" w:cstheme="majorHAnsi"/>
        </w:rPr>
        <w:t>,</w:t>
      </w:r>
      <w:r w:rsidR="00E14CFF" w:rsidRPr="003435B5">
        <w:rPr>
          <w:rFonts w:asciiTheme="majorHAnsi" w:hAnsiTheme="majorHAnsi" w:cstheme="majorHAnsi"/>
        </w:rPr>
        <w:t xml:space="preserve"> a </w:t>
      </w:r>
      <w:r w:rsidR="00DC72B6" w:rsidRPr="003435B5">
        <w:rPr>
          <w:rFonts w:asciiTheme="majorHAnsi" w:hAnsiTheme="majorHAnsi" w:cstheme="majorHAnsi"/>
        </w:rPr>
        <w:t xml:space="preserve">240 x 60 x 20 mm </w:t>
      </w:r>
      <w:r w:rsidR="00E14CFF" w:rsidRPr="003435B5">
        <w:rPr>
          <w:rFonts w:asciiTheme="majorHAnsi" w:hAnsiTheme="majorHAnsi" w:cstheme="majorHAnsi"/>
        </w:rPr>
        <w:t>piece of wood for the base</w:t>
      </w:r>
      <w:r w:rsidR="00C4536B" w:rsidRPr="003435B5">
        <w:rPr>
          <w:rFonts w:asciiTheme="majorHAnsi" w:hAnsiTheme="majorHAnsi" w:cstheme="majorHAnsi"/>
        </w:rPr>
        <w:t>,</w:t>
      </w:r>
      <w:r w:rsidR="00E14CFF" w:rsidRPr="003435B5">
        <w:rPr>
          <w:rFonts w:asciiTheme="majorHAnsi" w:hAnsiTheme="majorHAnsi" w:cstheme="majorHAnsi"/>
        </w:rPr>
        <w:t xml:space="preserve"> and</w:t>
      </w:r>
      <w:r w:rsidR="00025960" w:rsidRPr="003435B5">
        <w:rPr>
          <w:rFonts w:asciiTheme="majorHAnsi" w:hAnsiTheme="majorHAnsi" w:cstheme="majorHAnsi"/>
        </w:rPr>
        <w:t xml:space="preserve"> eight wood</w:t>
      </w:r>
      <w:r w:rsidR="00E14CFF" w:rsidRPr="003435B5">
        <w:rPr>
          <w:rFonts w:asciiTheme="majorHAnsi" w:hAnsiTheme="majorHAnsi" w:cstheme="majorHAnsi"/>
        </w:rPr>
        <w:t xml:space="preserve"> screws</w:t>
      </w:r>
      <w:r w:rsidR="00025960" w:rsidRPr="003435B5">
        <w:rPr>
          <w:rFonts w:asciiTheme="majorHAnsi" w:hAnsiTheme="majorHAnsi" w:cstheme="majorHAnsi"/>
        </w:rPr>
        <w:t xml:space="preserve"> (8</w:t>
      </w:r>
      <w:r w:rsidR="00C4536B" w:rsidRPr="003435B5">
        <w:rPr>
          <w:rFonts w:asciiTheme="majorHAnsi" w:hAnsiTheme="majorHAnsi" w:cstheme="majorHAnsi"/>
        </w:rPr>
        <w:t xml:space="preserve"> </w:t>
      </w:r>
      <w:r w:rsidR="00025960" w:rsidRPr="003435B5">
        <w:rPr>
          <w:rFonts w:asciiTheme="majorHAnsi" w:hAnsiTheme="majorHAnsi" w:cstheme="majorHAnsi"/>
        </w:rPr>
        <w:t>mm)</w:t>
      </w:r>
      <w:r w:rsidR="00E14CFF" w:rsidRPr="003435B5">
        <w:rPr>
          <w:rFonts w:asciiTheme="majorHAnsi" w:hAnsiTheme="majorHAnsi" w:cstheme="majorHAnsi"/>
        </w:rPr>
        <w:t xml:space="preserve"> to fix the printed parts to the wood base</w:t>
      </w:r>
      <w:r w:rsidR="0068373D" w:rsidRPr="003435B5">
        <w:rPr>
          <w:rFonts w:asciiTheme="majorHAnsi" w:hAnsiTheme="majorHAnsi" w:cstheme="majorHAnsi"/>
        </w:rPr>
        <w:t>.</w:t>
      </w:r>
      <w:r w:rsidR="00E668B3" w:rsidRPr="003435B5">
        <w:rPr>
          <w:rFonts w:asciiTheme="majorHAnsi" w:hAnsiTheme="majorHAnsi" w:cstheme="majorHAnsi"/>
        </w:rPr>
        <w:t xml:space="preserve"> </w:t>
      </w:r>
      <w:r w:rsidR="00601C21" w:rsidRPr="003435B5">
        <w:rPr>
          <w:rFonts w:asciiTheme="majorHAnsi" w:hAnsiTheme="majorHAnsi" w:cstheme="majorHAnsi"/>
        </w:rPr>
        <w:t>Download</w:t>
      </w:r>
      <w:r w:rsidR="00E668B3" w:rsidRPr="003435B5">
        <w:rPr>
          <w:rFonts w:asciiTheme="majorHAnsi" w:hAnsiTheme="majorHAnsi" w:cstheme="majorHAnsi"/>
        </w:rPr>
        <w:t xml:space="preserve"> </w:t>
      </w:r>
      <w:r w:rsidR="00E668B3" w:rsidRPr="00C9533A">
        <w:rPr>
          <w:rFonts w:asciiTheme="majorHAnsi" w:hAnsiTheme="majorHAnsi" w:cstheme="majorHAnsi"/>
          <w:b/>
          <w:bCs/>
        </w:rPr>
        <w:t xml:space="preserve">Supplemental File </w:t>
      </w:r>
      <w:r w:rsidR="004F3C9E" w:rsidRPr="00C9533A">
        <w:rPr>
          <w:rFonts w:asciiTheme="majorHAnsi" w:hAnsiTheme="majorHAnsi" w:cstheme="majorHAnsi"/>
          <w:b/>
          <w:bCs/>
        </w:rPr>
        <w:t>1</w:t>
      </w:r>
      <w:r w:rsidR="00C4536B" w:rsidRPr="00C9533A">
        <w:rPr>
          <w:rFonts w:asciiTheme="majorHAnsi" w:hAnsiTheme="majorHAnsi" w:cstheme="majorHAnsi"/>
          <w:b/>
          <w:bCs/>
        </w:rPr>
        <w:t>1</w:t>
      </w:r>
      <w:r w:rsidR="00E668B3" w:rsidRPr="00C9533A">
        <w:rPr>
          <w:rFonts w:asciiTheme="majorHAnsi" w:hAnsiTheme="majorHAnsi" w:cstheme="majorHAnsi"/>
          <w:b/>
          <w:bCs/>
        </w:rPr>
        <w:t xml:space="preserve"> </w:t>
      </w:r>
      <w:r w:rsidR="00601C21" w:rsidRPr="003435B5">
        <w:rPr>
          <w:rFonts w:asciiTheme="majorHAnsi" w:hAnsiTheme="majorHAnsi" w:cstheme="majorHAnsi"/>
        </w:rPr>
        <w:t>for</w:t>
      </w:r>
      <w:r w:rsidR="00E3799E" w:rsidRPr="003435B5">
        <w:rPr>
          <w:rFonts w:asciiTheme="majorHAnsi" w:hAnsiTheme="majorHAnsi" w:cstheme="majorHAnsi"/>
        </w:rPr>
        <w:t xml:space="preserve"> instruction</w:t>
      </w:r>
      <w:r w:rsidR="00601C21" w:rsidRPr="003435B5">
        <w:rPr>
          <w:rFonts w:asciiTheme="majorHAnsi" w:hAnsiTheme="majorHAnsi" w:cstheme="majorHAnsi"/>
        </w:rPr>
        <w:t>s</w:t>
      </w:r>
      <w:r w:rsidR="00E3799E" w:rsidRPr="003435B5">
        <w:rPr>
          <w:rFonts w:asciiTheme="majorHAnsi" w:hAnsiTheme="majorHAnsi" w:cstheme="majorHAnsi"/>
        </w:rPr>
        <w:t xml:space="preserve"> </w:t>
      </w:r>
      <w:r w:rsidR="00E668B3" w:rsidRPr="003435B5">
        <w:rPr>
          <w:rFonts w:asciiTheme="majorHAnsi" w:hAnsiTheme="majorHAnsi" w:cstheme="majorHAnsi"/>
        </w:rPr>
        <w:t xml:space="preserve">on how to assemble the device once </w:t>
      </w:r>
      <w:r w:rsidR="0045096B" w:rsidRPr="003435B5">
        <w:rPr>
          <w:rFonts w:asciiTheme="majorHAnsi" w:hAnsiTheme="majorHAnsi" w:cstheme="majorHAnsi"/>
        </w:rPr>
        <w:t>all parts are printed or purchased.</w:t>
      </w:r>
      <w:r w:rsidR="00AD2FD2" w:rsidRPr="003435B5">
        <w:rPr>
          <w:rFonts w:asciiTheme="majorHAnsi" w:hAnsiTheme="majorHAnsi" w:cstheme="majorHAnsi"/>
        </w:rPr>
        <w:t xml:space="preserve"> A detailed explanation of how to use the RING apparatus is found in the original publication</w:t>
      </w:r>
      <w:r w:rsidR="00DD0F2F" w:rsidRPr="003435B5">
        <w:rPr>
          <w:rFonts w:asciiTheme="majorHAnsi" w:hAnsiTheme="majorHAnsi" w:cstheme="majorHAnsi"/>
        </w:rPr>
        <w:fldChar w:fldCharType="begin" w:fldLock="1"/>
      </w:r>
      <w:r w:rsidR="00D158C9" w:rsidRPr="003435B5">
        <w:rPr>
          <w:rFonts w:asciiTheme="majorHAnsi" w:hAnsiTheme="majorHAnsi" w:cstheme="majorHAnsi"/>
        </w:rPr>
        <w:instrText>ADDIN CSL_CITATION {"citationItems":[{"id":"ITEM-1","itemData":{"DOI":"10.3791/3795","ISSN":"1940087X","abstract":"Drosophila melanogaster, the fruit fly, has been used to study molecular mechanisms of a wide range of human diseases such as cancer, cardiovascular disease and various neurological diseases(1). We have optimized simple and robust behavioral assays for determining larval locomotion, adult climbing ability (RING assay), and courtship behaviors of Drosophila. These behavioral assays are widely applicable for studying the role of genetic and environmental factors on fly behavior. Larval crawling ability can be reliably used for determining early stage changes in the crawling abilities of Drosophila larvae and also for examining effect of drugs or human disease genes (in transgenic flies) on their locomotion. The larval crawling assay becomes more applicable if expression or abolition of a gene causes lethality in pupal or adult stages, as these flies do not survive to adulthood where they otherwise could be assessed. This basic assay can also be used in conjunction with bright light or stress to examine additional behavioral responses in Drosophila larvae. Courtship behavior has been widely used to investigate genetic basis of sexual behavior, and can also be used to examine activity and coordination, as well as learning and memory. Drosophila courtship behavior involves the exchange of various sensory stimuli including visual, auditory, and chemosensory signals between males and females that lead to a complex series of well characterized motor behaviors culminating in successful copulation. Traditional adult climbing assays (negative geotaxis) are tedious, labor intensive, and time consuming, with significant variation between different trials(2-4). The rapid iterative negative geotaxis (RING) assay(5) has many advantages over more widely employed protocols, providing a reproducible, sensitive, and high throughput approach to quantify adult locomotor and negative geotaxis behaviors. In the RING assay, several genotypes or drug treatments can be tested simultaneously using large number of animals, with the high-throughput approach making it more amenable for screening experiments.","author":[{"dropping-particle":"","family":"Nichols","given":"Charles D.","non-dropping-particle":"","parse-names":false,"suffix":""},{"dropping-particle":"","family":"Becnel","given":"Jaime","non-dropping-particle":"","parse-names":false,"suffix":""},{"dropping-particle":"","family":"Pandey","given":"Udai B.","non-dropping-particle":"","parse-names":false,"suffix":""}],"container-title":"Journal of visualized experiments : JoVE","id":"ITEM-1","issue":"e3795","issued":{"date-parts":[["2012"]]},"title":"Methods to assay Drosophila behavior.","type":"article-journal","volume":"61"},"uris":["http://www.mendeley.com/documents/?uuid=fe2edab5-e521-4f81-a315-0b827977be64"]}],"mendeley":{"formattedCitation":"&lt;sup&gt;42&lt;/sup&gt;","plainTextFormattedCitation":"42","previouslyFormattedCitation":"&lt;sup&gt;43&lt;/sup&gt;"},"properties":{"noteIndex":0},"schema":"https://github.com/citation-style-language/schema/raw/master/csl-citation.json"}</w:instrText>
      </w:r>
      <w:r w:rsidR="00DD0F2F" w:rsidRPr="003435B5">
        <w:rPr>
          <w:rFonts w:asciiTheme="majorHAnsi" w:hAnsiTheme="majorHAnsi" w:cstheme="majorHAnsi"/>
        </w:rPr>
        <w:fldChar w:fldCharType="separate"/>
      </w:r>
      <w:r w:rsidR="00D158C9" w:rsidRPr="003435B5">
        <w:rPr>
          <w:rFonts w:asciiTheme="majorHAnsi" w:hAnsiTheme="majorHAnsi" w:cstheme="majorHAnsi"/>
          <w:noProof/>
          <w:vertAlign w:val="superscript"/>
        </w:rPr>
        <w:t>42</w:t>
      </w:r>
      <w:r w:rsidR="00DD0F2F" w:rsidRPr="003435B5">
        <w:rPr>
          <w:rFonts w:asciiTheme="majorHAnsi" w:hAnsiTheme="majorHAnsi" w:cstheme="majorHAnsi"/>
        </w:rPr>
        <w:fldChar w:fldCharType="end"/>
      </w:r>
      <w:r w:rsidR="00AD2FD2" w:rsidRPr="003435B5">
        <w:rPr>
          <w:rFonts w:asciiTheme="majorHAnsi" w:hAnsiTheme="majorHAnsi" w:cstheme="majorHAnsi"/>
        </w:rPr>
        <w:t>.</w:t>
      </w:r>
    </w:p>
    <w:p w14:paraId="0A098436" w14:textId="77777777" w:rsidR="00524B9E" w:rsidRPr="003435B5" w:rsidRDefault="00524B9E" w:rsidP="003435B5">
      <w:pPr>
        <w:pBdr>
          <w:top w:val="nil"/>
          <w:left w:val="nil"/>
          <w:bottom w:val="nil"/>
          <w:right w:val="nil"/>
          <w:between w:val="nil"/>
        </w:pBdr>
        <w:contextualSpacing/>
        <w:rPr>
          <w:rFonts w:asciiTheme="majorHAnsi" w:hAnsiTheme="majorHAnsi" w:cstheme="majorHAnsi"/>
        </w:rPr>
      </w:pPr>
    </w:p>
    <w:p w14:paraId="3F09A3C4" w14:textId="77777777" w:rsidR="00195DB2" w:rsidRPr="00C9533A" w:rsidRDefault="00195DB2" w:rsidP="003435B5">
      <w:pPr>
        <w:pBdr>
          <w:top w:val="nil"/>
          <w:left w:val="nil"/>
          <w:bottom w:val="nil"/>
          <w:right w:val="nil"/>
          <w:between w:val="nil"/>
        </w:pBdr>
        <w:contextualSpacing/>
        <w:rPr>
          <w:rFonts w:asciiTheme="majorHAnsi" w:hAnsiTheme="majorHAnsi" w:cstheme="majorHAnsi"/>
          <w:b/>
          <w:bCs/>
        </w:rPr>
      </w:pPr>
      <w:r w:rsidRPr="00C9533A">
        <w:rPr>
          <w:rFonts w:asciiTheme="majorHAnsi" w:hAnsiTheme="majorHAnsi" w:cstheme="majorHAnsi"/>
          <w:b/>
          <w:bCs/>
        </w:rPr>
        <w:t>4. Larval mobility assay</w:t>
      </w:r>
    </w:p>
    <w:p w14:paraId="6FDC6FBD" w14:textId="77777777" w:rsidR="00195DB2" w:rsidRPr="003435B5" w:rsidRDefault="00195DB2" w:rsidP="003435B5">
      <w:pPr>
        <w:pBdr>
          <w:top w:val="nil"/>
          <w:left w:val="nil"/>
          <w:bottom w:val="nil"/>
          <w:right w:val="nil"/>
          <w:between w:val="nil"/>
        </w:pBdr>
        <w:contextualSpacing/>
      </w:pPr>
    </w:p>
    <w:p w14:paraId="76B7A82F" w14:textId="6AC18F61" w:rsidR="00195DB2" w:rsidRPr="003435B5" w:rsidRDefault="00C9533A" w:rsidP="003435B5">
      <w:pPr>
        <w:pBdr>
          <w:top w:val="nil"/>
          <w:left w:val="nil"/>
          <w:bottom w:val="nil"/>
          <w:right w:val="nil"/>
          <w:between w:val="nil"/>
        </w:pBdr>
        <w:contextualSpacing/>
      </w:pPr>
      <w:r>
        <w:t xml:space="preserve">NOTE: </w:t>
      </w:r>
      <w:r w:rsidR="00195DB2" w:rsidRPr="003435B5">
        <w:t>We have optimized this protocol, originally based on Nichols et al</w:t>
      </w:r>
      <w:r>
        <w:t>.</w:t>
      </w:r>
      <w:r w:rsidR="00DD0F2F" w:rsidRPr="003435B5">
        <w:fldChar w:fldCharType="begin" w:fldLock="1"/>
      </w:r>
      <w:r w:rsidR="00D158C9" w:rsidRPr="003435B5">
        <w:instrText>ADDIN CSL_CITATION {"citationItems":[{"id":"ITEM-1","itemData":{"DOI":"10.3791/3795","ISSN":"1940087X","abstract":"Drosophila melanogaster, the fruit fly, has been used to study molecular mechanisms of a wide range of human diseases such as cancer, cardiovascular disease and various neurological diseases(1). We have optimized simple and robust behavioral assays for determining larval locomotion, adult climbing ability (RING assay), and courtship behaviors of Drosophila. These behavioral assays are widely applicable for studying the role of genetic and environmental factors on fly behavior. Larval crawling ability can be reliably used for determining early stage changes in the crawling abilities of Drosophila larvae and also for examining effect of drugs or human disease genes (in transgenic flies) on their locomotion. The larval crawling assay becomes more applicable if expression or abolition of a gene causes lethality in pupal or adult stages, as these flies do not survive to adulthood where they otherwise could be assessed. This basic assay can also be used in conjunction with bright light or stress to examine additional behavioral responses in Drosophila larvae. Courtship behavior has been widely used to investigate genetic basis of sexual behavior, and can also be used to examine activity and coordination, as well as learning and memory. Drosophila courtship behavior involves the exchange of various sensory stimuli including visual, auditory, and chemosensory signals between males and females that lead to a complex series of well characterized motor behaviors culminating in successful copulation. Traditional adult climbing assays (negative geotaxis) are tedious, labor intensive, and time consuming, with significant variation between different trials(2-4). The rapid iterative negative geotaxis (RING) assay(5) has many advantages over more widely employed protocols, providing a reproducible, sensitive, and high throughput approach to quantify adult locomotor and negative geotaxis behaviors. In the RING assay, several genotypes or drug treatments can be tested simultaneously using large number of animals, with the high-throughput approach making it more amenable for screening experiments.","author":[{"dropping-particle":"","family":"Nichols","given":"Charles D.","non-dropping-particle":"","parse-names":false,"suffix":""},{"dropping-particle":"","family":"Becnel","given":"Jaime","non-dropping-particle":"","parse-names":false,"suffix":""},{"dropping-particle":"","family":"Pandey","given":"Udai B.","non-dropping-particle":"","parse-names":false,"suffix":""}],"container-title":"Journal of visualized experiments : JoVE","id":"ITEM-1","issue":"e3795","issued":{"date-parts":[["2012"]]},"title":"Methods to assay Drosophila behavior.","type":"article-journal","volume":"61"},"uris":["http://www.mendeley.com/documents/?uuid=fe2edab5-e521-4f81-a315-0b827977be64"]}],"mendeley":{"formattedCitation":"&lt;sup&gt;42&lt;/sup&gt;","plainTextFormattedCitation":"42","previouslyFormattedCitation":"&lt;sup&gt;43&lt;/sup&gt;"},"properties":{"noteIndex":0},"schema":"https://github.com/citation-style-language/schema/raw/master/csl-citation.json"}</w:instrText>
      </w:r>
      <w:r w:rsidR="00DD0F2F" w:rsidRPr="003435B5">
        <w:fldChar w:fldCharType="separate"/>
      </w:r>
      <w:r w:rsidR="00D158C9" w:rsidRPr="003435B5">
        <w:rPr>
          <w:noProof/>
          <w:vertAlign w:val="superscript"/>
        </w:rPr>
        <w:t>42</w:t>
      </w:r>
      <w:r w:rsidR="00DD0F2F" w:rsidRPr="003435B5">
        <w:fldChar w:fldCharType="end"/>
      </w:r>
      <w:r w:rsidR="00DC72B6" w:rsidRPr="003435B5">
        <w:t>,</w:t>
      </w:r>
      <w:r w:rsidR="00195DB2" w:rsidRPr="003435B5">
        <w:t xml:space="preserve"> to study the effects of AOX </w:t>
      </w:r>
      <w:r w:rsidR="00164E97" w:rsidRPr="003435B5">
        <w:t xml:space="preserve">expression </w:t>
      </w:r>
      <w:r w:rsidR="00195DB2" w:rsidRPr="003435B5">
        <w:t xml:space="preserve">on </w:t>
      </w:r>
      <w:r w:rsidR="00195DB2" w:rsidRPr="003435B5">
        <w:rPr>
          <w:i/>
          <w:iCs/>
        </w:rPr>
        <w:t>Drosophila</w:t>
      </w:r>
      <w:r w:rsidR="00195DB2" w:rsidRPr="003435B5">
        <w:t xml:space="preserve"> development under cold stress. The lines 3x</w:t>
      </w:r>
      <w:r w:rsidR="00195DB2" w:rsidRPr="003435B5">
        <w:rPr>
          <w:i/>
          <w:iCs/>
        </w:rPr>
        <w:t>tubAOX</w:t>
      </w:r>
      <w:r w:rsidR="00DD0F2F" w:rsidRPr="003435B5">
        <w:rPr>
          <w:i/>
          <w:iCs/>
        </w:rPr>
        <w:fldChar w:fldCharType="begin" w:fldLock="1"/>
      </w:r>
      <w:r w:rsidR="00D158C9" w:rsidRPr="003435B5">
        <w:rPr>
          <w:i/>
          <w:iCs/>
        </w:rPr>
        <w:instrText>ADDIN CSL_CITATION {"citationItems":[{"id":"ITEM-1","itemData":{"DOI":"10.1093/hmg/ddt601","ISSN":"09646906","abstract":"Mitochondrial dysfunction is a significant factor in human disease, ranging fromsystemic disorders of childhood to cardiomyopathy, ischaemia and neurodegeneration. Cytochrome oxidase, the terminal enzyme of the mitochondrial respiratory chain, is a frequent target. Lower eukaryotes possess alternative respiratory-chain enzymes that provide non-proton-translocating by passes for respiratory complexes I (single-subunit reduced nicotinamide adenine dinucleotide dehydrogenases, e.g. Ndi1 fromyeast) or III + IV [alternative oxidase (AOX)], under conditions of respiratory stress or overload. In previous studies, itwas shown that transfer of yeast Ndi1 or Ciona intestinalis AOX to Drosophila was able toovercome the lethality produced by toxins or partial knockdown of complex I or IV. Here, we show that AOX can provide a complete or substantial rescue of a range of phenotypes induced by global or tissue-specific knockdown of different cIV subunits, including integral subunits required for catalysis, as well as peripheral subunits required for multimerization and assembly. AOX was also able to overcome the pupal lethality produced by muscle-specific knockdown of subunit CoVb, although the rescued flies were short lived and had a motility defect. cIV knockdown in neurons was not lethal during development but produced a rapidly progressing locomotor and seizure-sensitivity phenotype, which was substantially alleviated by AOX. Expression of Ndi1 exacerbated the neuronal phenotype produced by cIV knockdown. Ndi1 expressed in place of essential cI subunits produced a distinct residual phenotype of delayed development, bang sensitivity and male sterility. These findings confirm the potential utility of alternative respiratory chain enzymes as tools to combat mitochondrial disease, while indicating important limitations thereof. © The Author 2013. Published by Oxford University Press.","author":[{"dropping-particle":"","family":"Kemppainen","given":"Kia K.","non-dropping-particle":"","parse-names":false,"suffix":""},{"dropping-particle":"","family":"Rinne","given":"Juho","non-dropping-particle":"","parse-names":false,"suffix":""},{"dropping-particle":"","family":"Sriram","given":"Ashwin","non-dropping-particle":"","parse-names":false,"suffix":""},{"dropping-particle":"","family":"Lakanmaa","given":"Matti","non-dropping-particle":"","parse-names":false,"suffix":""},{"dropping-particle":"","family":"Zeb","given":"Akbar","non-dropping-particle":"","parse-names":false,"suffix":""},{"dropping-particle":"","family":"Tuomela","given":"Tea","non-dropping-particle":"","parse-names":false,"suffix":""},{"dropping-particle":"","family":"Popplestone","given":"Anna","non-dropping-particle":"","parse-names":false,"suffix":""},{"dropping-particle":"","family":"Singh","given":"Satpal","non-dropping-particle":"","parse-names":false,"suffix":""},{"dropping-particle":"","family":"Sanz","given":"Alberto","non-dropping-particle":"","parse-names":false,"suffix":""},{"dropping-particle":"","family":"Rustin","given":"Pierre","non-dropping-particle":"","parse-names":false,"suffix":""},{"dropping-particle":"","family":"Jacobs","given":"Howard T.","non-dropping-particle":"","parse-names":false,"suffix":""}],"container-title":"Human Molecular Genetics","id":"ITEM-1","issue":"8","issued":{"date-parts":[["2014"]]},"page":"2078-2093","title":"Expression of alternative oxidase in Drosophila ameliorates diverse phenotypes due to cytochrome oxidase deficiency","type":"article-journal","volume":"23"},"uris":["http://www.mendeley.com/documents/?uuid=3c6e269d-97cb-4fdb-a3ee-a5e0a3e7d581"]}],"mendeley":{"formattedCitation":"&lt;sup&gt;25&lt;/sup&gt;","plainTextFormattedCitation":"25","previouslyFormattedCitation":"&lt;sup&gt;27&lt;/sup&gt;"},"properties":{"noteIndex":0},"schema":"https://github.com/citation-style-language/schema/raw/master/csl-citation.json"}</w:instrText>
      </w:r>
      <w:r w:rsidR="00DD0F2F" w:rsidRPr="003435B5">
        <w:rPr>
          <w:i/>
          <w:iCs/>
        </w:rPr>
        <w:fldChar w:fldCharType="separate"/>
      </w:r>
      <w:r w:rsidR="00D158C9" w:rsidRPr="003435B5">
        <w:rPr>
          <w:iCs/>
          <w:noProof/>
          <w:vertAlign w:val="superscript"/>
        </w:rPr>
        <w:t>25</w:t>
      </w:r>
      <w:r w:rsidR="00DD0F2F" w:rsidRPr="003435B5">
        <w:rPr>
          <w:i/>
          <w:iCs/>
        </w:rPr>
        <w:fldChar w:fldCharType="end"/>
      </w:r>
      <w:r w:rsidR="00195DB2" w:rsidRPr="003435B5">
        <w:t xml:space="preserve"> and </w:t>
      </w:r>
      <w:r w:rsidR="00195DB2" w:rsidRPr="003435B5">
        <w:rPr>
          <w:i/>
          <w:iCs/>
        </w:rPr>
        <w:t>w</w:t>
      </w:r>
      <w:r w:rsidR="00195DB2" w:rsidRPr="003435B5">
        <w:rPr>
          <w:i/>
          <w:iCs/>
          <w:vertAlign w:val="superscript"/>
        </w:rPr>
        <w:t>1118</w:t>
      </w:r>
      <w:r w:rsidR="00195DB2" w:rsidRPr="003435B5">
        <w:t>, used as examples of AOX-expressing and control larvae, respectively, were cultured on standard diet</w:t>
      </w:r>
      <w:r w:rsidR="00DD0F2F" w:rsidRPr="003435B5">
        <w:fldChar w:fldCharType="begin" w:fldLock="1"/>
      </w:r>
      <w:r w:rsidR="00D158C9" w:rsidRPr="003435B5">
        <w:instrText>ADDIN CSL_CITATION {"citationItems":[{"id":"ITEM-1","itemData":{"DOI":"10.1016/j.cmet.2009.03.004","ISSN":"15504131","abstract":"Defects in mitochondrial OXPHOS are associated with diverse and mostly intractable human disorders. The single-subunit alternative oxidase (AOX) found in many eukaryotes, but not in arthropods or vertebrates, offers a potential bypass of the OXPHOS cytochrome chain under conditions of pathological OXPHOS inhibition. We have engineered Ciona intestinalis AOX for conditional expression in Drosophila melanogaster. Ubiquitous AOX expression produced no detrimental phenotype in wild-type flies. However, mitochondrial suspensions from AOX-expressing flies exhibited a significant cyanide-resistant substrate oxidation, and the flies were partially resistant to both cyanide and antimycin. AOX expression was able to complement the semilethality of partial knockdown of both cyclope (COXVIc) and the complex IV assembly factor Surf1. It also rescued the locomotor defect and excess mitochondrial ROS production of flies mutated in dj-1β, a Drosophila homolog of the human Parkinson's disease gene DJ1. AOX appears to offer promise as a wide-spectrum therapeutic tool in OXPHOS disorders. © 2009 Elsevier Inc. All rights reserved.","author":[{"dropping-particle":"","family":"Fernandez-Ayala","given":"Daniel J.M.","non-dropping-particle":"","parse-names":false,"suffix":""},{"dropping-particle":"","family":"Sanz","given":"Alberto","non-dropping-particle":"","parse-names":false,"suffix":""},{"dropping-particle":"","family":"Vartiainen","given":"Suvi","non-dropping-particle":"","parse-names":false,"suffix":""},{"dropping-particle":"","family":"Kemppainen","given":"Kia K.","non-dropping-particle":"","parse-names":false,"suffix":""},{"dropping-particle":"","family":"Babusiak","given":"Marek","non-dropping-particle":"","parse-names":false,"suffix":""},{"dropping-particle":"","family":"Mustalahti","given":"Eero","non-dropping-particle":"","parse-names":false,"suffix":""},{"dropping-particle":"","family":"Costa","given":"Rodolfo","non-dropping-particle":"","parse-names":false,"suffix":""},{"dropping-particle":"","family":"Tuomela","given":"Tea","non-dropping-particle":"","parse-names":false,"suffix":""},{"dropping-particle":"","family":"Zeviani","given":"Massimo","non-dropping-particle":"","parse-names":false,"suffix":""},{"dropping-particle":"","family":"Chung","given":"Jongkyeong","non-dropping-particle":"","parse-names":false,"suffix":""},{"dropping-particle":"","family":"O'Dell","given":"Kevin M.C.","non-dropping-particle":"","parse-names":false,"suffix":""},{"dropping-particle":"","family":"Rustin","given":"Pierre","non-dropping-particle":"","parse-names":false,"suffix":""},{"dropping-particle":"","family":"Jacobs","given":"Howard T.","non-dropping-particle":"","parse-names":false,"suffix":""}],"container-title":"Cell Metabolism","id":"ITEM-1","issue":"5","issued":{"date-parts":[["2009"]]},"page":"449-460","title":"Expression of the Ciona intestinalis Alternative Oxidase (AOX) in Drosophila Complements Defects in Mitochondrial Oxidative Phosphorylation","type":"article-journal","volume":"9"},"uris":["http://www.mendeley.com/documents/?uuid=64a355cb-0482-4d7f-98b6-126fee6e5c09"]}],"mendeley":{"formattedCitation":"&lt;sup&gt;24&lt;/sup&gt;","plainTextFormattedCitation":"24","previouslyFormattedCitation":"&lt;sup&gt;26&lt;/sup&gt;"},"properties":{"noteIndex":0},"schema":"https://github.com/citation-style-language/schema/raw/master/csl-citation.json"}</w:instrText>
      </w:r>
      <w:r w:rsidR="00DD0F2F" w:rsidRPr="003435B5">
        <w:fldChar w:fldCharType="separate"/>
      </w:r>
      <w:r w:rsidR="00D158C9" w:rsidRPr="003435B5">
        <w:rPr>
          <w:noProof/>
          <w:vertAlign w:val="superscript"/>
        </w:rPr>
        <w:t>24</w:t>
      </w:r>
      <w:r w:rsidR="00DD0F2F" w:rsidRPr="003435B5">
        <w:fldChar w:fldCharType="end"/>
      </w:r>
      <w:r w:rsidR="00195DB2" w:rsidRPr="003435B5">
        <w:t xml:space="preserve"> at 12</w:t>
      </w:r>
      <w:r>
        <w:t xml:space="preserve"> </w:t>
      </w:r>
      <w:r w:rsidR="00195DB2" w:rsidRPr="003435B5">
        <w:t xml:space="preserve">°C, according to </w:t>
      </w:r>
      <w:proofErr w:type="spellStart"/>
      <w:r w:rsidR="00195DB2" w:rsidRPr="003435B5">
        <w:t>Saari</w:t>
      </w:r>
      <w:proofErr w:type="spellEnd"/>
      <w:r w:rsidR="00195DB2" w:rsidRPr="003435B5">
        <w:t xml:space="preserve"> et al</w:t>
      </w:r>
      <w:r>
        <w:t>.</w:t>
      </w:r>
      <w:r w:rsidR="00DD0F2F" w:rsidRPr="003435B5">
        <w:fldChar w:fldCharType="begin" w:fldLock="1"/>
      </w:r>
      <w:r w:rsidR="00D158C9" w:rsidRPr="003435B5">
        <w:instrText>ADDIN CSL_CITATION {"citationItems":[{"id":"ITEM-1","itemData":{"DOI":"10.1016/j.bbadis.2018.10.012","ISSN":"1879260X","abstract":"The alternative respiratory chain (aRC), comprising the alternative NADH dehydrogenases (NDX) and quinone oxidases (AOX), is found in microbes, fungi and plants, where it buffers stresses arising from restrictions on electron flow in the oxidative phosphorylation system. The aRC enzymes are also found in species belonging to most metazoan phyla, including some chordates and arthropods species, although not in vertebrates or in Drosophila. We postulated that the aRC enzymes might be deployed to alleviate pathological stresses arising from mitochondrial dysfunction in a wide variety of disease states. However, before such therapies can be contemplated, it is essential to understand the effects of aRC enzymes on cell metabolism and organismal physiology. Here we report and discuss new findings that shed light on the functions of the aRC enzymes in animals, and the unexpected benefits and detriments that they confer on model organisms. In Ciona intestinalis, the aRC is induced by hypoxia and by sulfide, but is unresponsive to other environmental stressors. When expressed in Drosophila, AOX results in impaired survival under restricted nutrition, in addition to the previously reported male reproductive anomalies. In contrast, it confers cold resistance to developing and adult flies, and counteracts cell signaling defects that underlie developmental dysmorphologies. The aRC enzymes may also influence lifespan and stress resistance more generally, by eliciting or interfering with hormetic mechanisms. In sum, their judicious use may lead to major benefits in medicine, but this will require a thorough characterization of their properties and physiological effects.","author":[{"dropping-particle":"","family":"Saari","given":"Sina","non-dropping-particle":"","parse-names":false,"suffix":""},{"dropping-particle":"","family":"Garcia","given":"Geovana S.","non-dropping-particle":"","parse-names":false,"suffix":""},{"dropping-particle":"","family":"Bremer","given":"Katharina","non-dropping-particle":"","parse-names":false,"suffix":""},{"dropping-particle":"","family":"Chioda","given":"Marina M.","non-dropping-particle":"","parse-names":false,"suffix":""},{"dropping-particle":"","family":"Andjelković","given":"Ana","non-dropping-particle":"","parse-names":false,"suffix":""},{"dropping-particle":"V.","family":"Debes","given":"Paul","non-dropping-particle":"","parse-names":false,"suffix":""},{"dropping-particle":"","family":"Nikinmaa","given":"Mikko","non-dropping-particle":"","parse-names":false,"suffix":""},{"dropping-particle":"","family":"Szibor","given":"Marten","non-dropping-particle":"","parse-names":false,"suffix":""},{"dropping-particle":"","family":"Dufour","given":"Eric","non-dropping-particle":"","parse-names":false,"suffix":""},{"dropping-particle":"","family":"Rustin","given":"Pierre","non-dropping-particle":"","parse-names":false,"suffix":""},{"dropping-particle":"","family":"Oliveira","given":"Marcos T.","non-dropping-particle":"","parse-names":false,"suffix":""},{"dropping-particle":"","family":"Jacobs","given":"Howard T.","non-dropping-particle":"","parse-names":false,"suffix":""}],"container-title":"Biochimica et Biophysica Acta - Molecular Basis of Disease","id":"ITEM-1","issue":"4","issued":{"date-parts":[["2019"]]},"page":"854-866","title":"Alternative respiratory chain enzymes: Therapeutic potential and possible pitfalls","type":"article-journal","volume":"1865"},"uris":["http://www.mendeley.com/documents/?uuid=51dfdcc6-b76f-4871-b3be-3b0903aa441d"]}],"mendeley":{"formattedCitation":"&lt;sup&gt;34&lt;/sup&gt;","plainTextFormattedCitation":"34","previouslyFormattedCitation":"&lt;sup&gt;36&lt;/sup&gt;"},"properties":{"noteIndex":0},"schema":"https://github.com/citation-style-language/schema/raw/master/csl-citation.json"}</w:instrText>
      </w:r>
      <w:r w:rsidR="00DD0F2F" w:rsidRPr="003435B5">
        <w:fldChar w:fldCharType="separate"/>
      </w:r>
      <w:r w:rsidR="00D158C9" w:rsidRPr="003435B5">
        <w:rPr>
          <w:noProof/>
          <w:vertAlign w:val="superscript"/>
        </w:rPr>
        <w:t>34</w:t>
      </w:r>
      <w:r w:rsidR="00DD0F2F" w:rsidRPr="003435B5">
        <w:fldChar w:fldCharType="end"/>
      </w:r>
      <w:r w:rsidR="00195DB2" w:rsidRPr="003435B5">
        <w:t xml:space="preserve">. We recommend this protocol to analyze </w:t>
      </w:r>
      <w:r w:rsidR="00164E97" w:rsidRPr="003435B5">
        <w:t xml:space="preserve">the </w:t>
      </w:r>
      <w:r w:rsidR="00195DB2" w:rsidRPr="003435B5">
        <w:t>mobility of larval samples of any genetic condition, cultured under any environmental condition of interest.</w:t>
      </w:r>
      <w:r w:rsidR="00511CC6" w:rsidRPr="003435B5">
        <w:t xml:space="preserve"> </w:t>
      </w:r>
    </w:p>
    <w:p w14:paraId="7EBBFD18" w14:textId="443379C0" w:rsidR="00195DB2" w:rsidRPr="003435B5" w:rsidRDefault="00195DB2" w:rsidP="003435B5">
      <w:pPr>
        <w:pBdr>
          <w:top w:val="nil"/>
          <w:left w:val="nil"/>
          <w:bottom w:val="nil"/>
          <w:right w:val="nil"/>
          <w:between w:val="nil"/>
        </w:pBdr>
        <w:contextualSpacing/>
      </w:pPr>
    </w:p>
    <w:p w14:paraId="0CE982D3" w14:textId="2147AA8D" w:rsidR="00195DB2" w:rsidRDefault="00195DB2" w:rsidP="003435B5">
      <w:pPr>
        <w:pBdr>
          <w:top w:val="nil"/>
          <w:left w:val="nil"/>
          <w:bottom w:val="nil"/>
          <w:right w:val="nil"/>
          <w:between w:val="nil"/>
        </w:pBdr>
        <w:contextualSpacing/>
      </w:pPr>
      <w:r w:rsidRPr="003435B5">
        <w:t xml:space="preserve">4.1. Prepare 2% agar plates by boiling the equivalent amount of agar in deionized water, pouring into </w:t>
      </w:r>
      <w:r w:rsidR="00166F3B" w:rsidRPr="003435B5">
        <w:rPr>
          <w:rFonts w:ascii="Times New Roman" w:hAnsi="Times New Roman" w:cs="Times New Roman"/>
        </w:rPr>
        <w:t>Φ</w:t>
      </w:r>
      <w:r w:rsidRPr="003435B5">
        <w:t xml:space="preserve">90 X 15 mm Petri dishes, and allowing them to solidify at room temperature. For plates with a final volume of 20 mL each, use 0.4 g </w:t>
      </w:r>
      <w:r w:rsidR="00C9533A">
        <w:t xml:space="preserve">of </w:t>
      </w:r>
      <w:r w:rsidRPr="003435B5">
        <w:t>agar.</w:t>
      </w:r>
    </w:p>
    <w:p w14:paraId="5127FF3A" w14:textId="77777777" w:rsidR="00C9533A" w:rsidRPr="003435B5" w:rsidRDefault="00C9533A" w:rsidP="003435B5">
      <w:pPr>
        <w:pBdr>
          <w:top w:val="nil"/>
          <w:left w:val="nil"/>
          <w:bottom w:val="nil"/>
          <w:right w:val="nil"/>
          <w:between w:val="nil"/>
        </w:pBdr>
        <w:contextualSpacing/>
      </w:pPr>
    </w:p>
    <w:p w14:paraId="754C8AED" w14:textId="0A7E9E16" w:rsidR="00195DB2" w:rsidRDefault="00195DB2" w:rsidP="003435B5">
      <w:pPr>
        <w:pBdr>
          <w:top w:val="nil"/>
          <w:left w:val="nil"/>
          <w:bottom w:val="nil"/>
          <w:right w:val="nil"/>
          <w:between w:val="nil"/>
        </w:pBdr>
        <w:contextualSpacing/>
      </w:pPr>
      <w:r w:rsidRPr="003435B5">
        <w:t xml:space="preserve">4.2. Carefully collect wandering L3 larvae from the side of the culture vials/flasks using a pair of round tip forceps or a </w:t>
      </w:r>
      <w:proofErr w:type="gramStart"/>
      <w:r w:rsidRPr="003435B5">
        <w:t>brush, and</w:t>
      </w:r>
      <w:proofErr w:type="gramEnd"/>
      <w:r w:rsidRPr="003435B5">
        <w:t xml:space="preserve"> place the individuals in a </w:t>
      </w:r>
      <w:r w:rsidR="00166F3B" w:rsidRPr="003435B5">
        <w:rPr>
          <w:rFonts w:ascii="Times New Roman" w:hAnsi="Times New Roman" w:cs="Times New Roman"/>
        </w:rPr>
        <w:t>Φ</w:t>
      </w:r>
      <w:r w:rsidRPr="003435B5">
        <w:t xml:space="preserve">90 </w:t>
      </w:r>
      <w:r w:rsidR="00C9533A">
        <w:t>x</w:t>
      </w:r>
      <w:r w:rsidRPr="003435B5">
        <w:t xml:space="preserve"> 15 mm Petri dish with deionized water for less than 10 seconds to rinse food particles attached to their body. </w:t>
      </w:r>
    </w:p>
    <w:p w14:paraId="5C0880F0" w14:textId="77777777" w:rsidR="00C9533A" w:rsidRPr="003435B5" w:rsidRDefault="00C9533A" w:rsidP="003435B5">
      <w:pPr>
        <w:pBdr>
          <w:top w:val="nil"/>
          <w:left w:val="nil"/>
          <w:bottom w:val="nil"/>
          <w:right w:val="nil"/>
          <w:between w:val="nil"/>
        </w:pBdr>
        <w:contextualSpacing/>
      </w:pPr>
    </w:p>
    <w:p w14:paraId="147AA1BB" w14:textId="2B4BF253" w:rsidR="00195DB2" w:rsidRDefault="00195DB2" w:rsidP="003435B5">
      <w:pPr>
        <w:pBdr>
          <w:top w:val="nil"/>
          <w:left w:val="nil"/>
          <w:bottom w:val="nil"/>
          <w:right w:val="nil"/>
          <w:between w:val="nil"/>
        </w:pBdr>
        <w:contextualSpacing/>
      </w:pPr>
      <w:r w:rsidRPr="003435B5">
        <w:t>4.3. Transfer individual larva to dishes with agarose and wait 5 minutes for the animals to acclimate.</w:t>
      </w:r>
    </w:p>
    <w:p w14:paraId="1B9C1A38" w14:textId="77777777" w:rsidR="00C9533A" w:rsidRPr="003435B5" w:rsidRDefault="00C9533A" w:rsidP="003435B5">
      <w:pPr>
        <w:pBdr>
          <w:top w:val="nil"/>
          <w:left w:val="nil"/>
          <w:bottom w:val="nil"/>
          <w:right w:val="nil"/>
          <w:between w:val="nil"/>
        </w:pBdr>
        <w:contextualSpacing/>
      </w:pPr>
    </w:p>
    <w:p w14:paraId="3F9B51AF" w14:textId="76488B54" w:rsidR="00195DB2" w:rsidRDefault="00195DB2" w:rsidP="003435B5">
      <w:pPr>
        <w:pBdr>
          <w:top w:val="nil"/>
          <w:left w:val="nil"/>
          <w:bottom w:val="nil"/>
          <w:right w:val="nil"/>
          <w:between w:val="nil"/>
        </w:pBdr>
        <w:contextualSpacing/>
      </w:pPr>
      <w:r w:rsidRPr="003435B5">
        <w:t>4.4.</w:t>
      </w:r>
      <w:r w:rsidRPr="003435B5">
        <w:tab/>
        <w:t xml:space="preserve">Position the dishes </w:t>
      </w:r>
      <w:r w:rsidR="00164E97" w:rsidRPr="003435B5">
        <w:t>containing the</w:t>
      </w:r>
      <w:r w:rsidRPr="003435B5">
        <w:t xml:space="preserve"> individual larva on top of a graph paper (0.2 cm</w:t>
      </w:r>
      <w:r w:rsidRPr="003435B5">
        <w:rPr>
          <w:vertAlign w:val="superscript"/>
        </w:rPr>
        <w:t>2</w:t>
      </w:r>
      <w:r w:rsidRPr="003435B5">
        <w:t xml:space="preserve"> grid</w:t>
      </w:r>
      <w:proofErr w:type="gramStart"/>
      <w:r w:rsidRPr="003435B5">
        <w:t>), and</w:t>
      </w:r>
      <w:proofErr w:type="gramEnd"/>
      <w:r w:rsidRPr="003435B5">
        <w:t xml:space="preserve"> count the number of lines crossed by the animal for 1 minute, as it moves on top of the agar. Each line crossed represent </w:t>
      </w:r>
      <w:proofErr w:type="gramStart"/>
      <w:r w:rsidRPr="003435B5">
        <w:t>a distance of 2</w:t>
      </w:r>
      <w:proofErr w:type="gramEnd"/>
      <w:r w:rsidRPr="003435B5">
        <w:t xml:space="preserve"> mm. Repeat the procedure with the same individual 10-15 times to obtain technical replicates.</w:t>
      </w:r>
    </w:p>
    <w:p w14:paraId="58160921" w14:textId="77777777" w:rsidR="00C9533A" w:rsidRPr="003435B5" w:rsidRDefault="00C9533A" w:rsidP="003435B5">
      <w:pPr>
        <w:pBdr>
          <w:top w:val="nil"/>
          <w:left w:val="nil"/>
          <w:bottom w:val="nil"/>
          <w:right w:val="nil"/>
          <w:between w:val="nil"/>
        </w:pBdr>
        <w:contextualSpacing/>
      </w:pPr>
    </w:p>
    <w:p w14:paraId="44997CBE" w14:textId="523C1DA5" w:rsidR="00195DB2" w:rsidRDefault="00195DB2" w:rsidP="003435B5">
      <w:pPr>
        <w:pBdr>
          <w:top w:val="nil"/>
          <w:left w:val="nil"/>
          <w:bottom w:val="nil"/>
          <w:right w:val="nil"/>
          <w:between w:val="nil"/>
        </w:pBdr>
        <w:contextualSpacing/>
      </w:pPr>
      <w:r w:rsidRPr="003435B5">
        <w:t xml:space="preserve">4.5. Repeat step 4.4 with at least 8-10 individuals from different tubes/flasks, cultured at </w:t>
      </w:r>
      <w:r w:rsidRPr="003435B5">
        <w:lastRenderedPageBreak/>
        <w:t>different times to obtain biological replicates of the same line.</w:t>
      </w:r>
    </w:p>
    <w:p w14:paraId="674A1FDA" w14:textId="77777777" w:rsidR="00C9533A" w:rsidRPr="003435B5" w:rsidRDefault="00C9533A" w:rsidP="003435B5">
      <w:pPr>
        <w:pBdr>
          <w:top w:val="nil"/>
          <w:left w:val="nil"/>
          <w:bottom w:val="nil"/>
          <w:right w:val="nil"/>
          <w:between w:val="nil"/>
        </w:pBdr>
        <w:contextualSpacing/>
      </w:pPr>
    </w:p>
    <w:p w14:paraId="4F535A84" w14:textId="561C1C3D" w:rsidR="00195DB2" w:rsidRDefault="00195DB2" w:rsidP="003435B5">
      <w:pPr>
        <w:pBdr>
          <w:top w:val="nil"/>
          <w:left w:val="nil"/>
          <w:bottom w:val="nil"/>
          <w:right w:val="nil"/>
          <w:between w:val="nil"/>
        </w:pBdr>
        <w:contextualSpacing/>
      </w:pPr>
      <w:r w:rsidRPr="003435B5">
        <w:t xml:space="preserve">4.6. Repeat steps 4.4 and 4.5 to obtain data for the other </w:t>
      </w:r>
      <w:r w:rsidR="00164E97" w:rsidRPr="003435B5">
        <w:t xml:space="preserve">fly </w:t>
      </w:r>
      <w:r w:rsidRPr="003435B5">
        <w:t>line (or for as many lines as one intends to analyze).</w:t>
      </w:r>
    </w:p>
    <w:p w14:paraId="0F742163" w14:textId="77777777" w:rsidR="00C9533A" w:rsidRPr="003435B5" w:rsidRDefault="00C9533A" w:rsidP="003435B5">
      <w:pPr>
        <w:pBdr>
          <w:top w:val="nil"/>
          <w:left w:val="nil"/>
          <w:bottom w:val="nil"/>
          <w:right w:val="nil"/>
          <w:between w:val="nil"/>
        </w:pBdr>
        <w:contextualSpacing/>
      </w:pPr>
    </w:p>
    <w:p w14:paraId="4BC45D75" w14:textId="0D61EAD4" w:rsidR="00195DB2" w:rsidRDefault="00195DB2" w:rsidP="003435B5">
      <w:pPr>
        <w:pBdr>
          <w:top w:val="nil"/>
          <w:left w:val="nil"/>
          <w:bottom w:val="nil"/>
          <w:right w:val="nil"/>
          <w:between w:val="nil"/>
        </w:pBdr>
        <w:contextualSpacing/>
      </w:pPr>
      <w:r w:rsidRPr="003435B5">
        <w:t xml:space="preserve">4.7. The same individual larvae used in steps 4.4-4.6 may be used to obtain additional data on body movement by placing the agar dishes with an individual larva under a stereomicroscope and counting the number of peristaltic contractions of the body wall for 1 minute. </w:t>
      </w:r>
      <w:r w:rsidR="00C9533A">
        <w:t>Obtain t</w:t>
      </w:r>
      <w:r w:rsidRPr="003435B5">
        <w:t>echnical and biological replicates for an estimate of average mobility among the fly lines analyzed.</w:t>
      </w:r>
    </w:p>
    <w:p w14:paraId="4C0EBC43" w14:textId="77777777" w:rsidR="00C9533A" w:rsidRPr="003435B5" w:rsidRDefault="00C9533A" w:rsidP="003435B5">
      <w:pPr>
        <w:pBdr>
          <w:top w:val="nil"/>
          <w:left w:val="nil"/>
          <w:bottom w:val="nil"/>
          <w:right w:val="nil"/>
          <w:between w:val="nil"/>
        </w:pBdr>
        <w:contextualSpacing/>
      </w:pPr>
    </w:p>
    <w:p w14:paraId="51C79228" w14:textId="6104B566" w:rsidR="00195DB2" w:rsidRPr="003435B5" w:rsidRDefault="00195DB2" w:rsidP="003435B5">
      <w:pPr>
        <w:pBdr>
          <w:top w:val="nil"/>
          <w:left w:val="nil"/>
          <w:bottom w:val="nil"/>
          <w:right w:val="nil"/>
          <w:between w:val="nil"/>
        </w:pBdr>
        <w:contextualSpacing/>
      </w:pPr>
      <w:r w:rsidRPr="003435B5">
        <w:t xml:space="preserve">4.8. Apply the statistical test to calculate the probability of the values of these larval mobility parameters being distinct among the lines of interest. Because we are comparing here data from only two lines, a </w:t>
      </w:r>
      <w:proofErr w:type="gramStart"/>
      <w:r w:rsidRPr="003435B5">
        <w:t>Student’s</w:t>
      </w:r>
      <w:proofErr w:type="gramEnd"/>
      <w:r w:rsidRPr="003435B5">
        <w:t xml:space="preserve"> t test may be applied.</w:t>
      </w:r>
    </w:p>
    <w:p w14:paraId="703EE0B8" w14:textId="77777777" w:rsidR="00195DB2" w:rsidRPr="003435B5" w:rsidRDefault="00195DB2" w:rsidP="003435B5">
      <w:pPr>
        <w:pBdr>
          <w:top w:val="nil"/>
          <w:left w:val="nil"/>
          <w:bottom w:val="nil"/>
          <w:right w:val="nil"/>
          <w:between w:val="nil"/>
        </w:pBdr>
        <w:contextualSpacing/>
      </w:pPr>
    </w:p>
    <w:p w14:paraId="373FEB08" w14:textId="77777777" w:rsidR="00195DB2" w:rsidRPr="00C9533A" w:rsidRDefault="00195DB2" w:rsidP="003435B5">
      <w:pPr>
        <w:pBdr>
          <w:top w:val="nil"/>
          <w:left w:val="nil"/>
          <w:bottom w:val="nil"/>
          <w:right w:val="nil"/>
          <w:between w:val="nil"/>
        </w:pBdr>
        <w:contextualSpacing/>
        <w:rPr>
          <w:b/>
          <w:bCs/>
          <w:highlight w:val="yellow"/>
        </w:rPr>
      </w:pPr>
      <w:r w:rsidRPr="00C9533A">
        <w:rPr>
          <w:b/>
          <w:bCs/>
          <w:highlight w:val="yellow"/>
        </w:rPr>
        <w:t>5. Mitochondrial respirometry using larval homogenates</w:t>
      </w:r>
    </w:p>
    <w:p w14:paraId="2A2852DF" w14:textId="77777777" w:rsidR="00195DB2" w:rsidRPr="003435B5" w:rsidRDefault="00195DB2" w:rsidP="003435B5">
      <w:pPr>
        <w:pBdr>
          <w:top w:val="nil"/>
          <w:left w:val="nil"/>
          <w:bottom w:val="nil"/>
          <w:right w:val="nil"/>
          <w:between w:val="nil"/>
        </w:pBdr>
        <w:contextualSpacing/>
        <w:rPr>
          <w:highlight w:val="yellow"/>
        </w:rPr>
      </w:pPr>
    </w:p>
    <w:p w14:paraId="67FFFAFE" w14:textId="2B048F83" w:rsidR="00195DB2" w:rsidRPr="003435B5" w:rsidRDefault="00C9533A" w:rsidP="003435B5">
      <w:pPr>
        <w:pBdr>
          <w:top w:val="nil"/>
          <w:left w:val="nil"/>
          <w:bottom w:val="nil"/>
          <w:right w:val="nil"/>
          <w:between w:val="nil"/>
        </w:pBdr>
        <w:contextualSpacing/>
        <w:rPr>
          <w:highlight w:val="yellow"/>
        </w:rPr>
      </w:pPr>
      <w:r>
        <w:rPr>
          <w:highlight w:val="yellow"/>
        </w:rPr>
        <w:t xml:space="preserve">NOTE: </w:t>
      </w:r>
      <w:r w:rsidR="00195DB2" w:rsidRPr="003435B5">
        <w:rPr>
          <w:highlight w:val="yellow"/>
        </w:rPr>
        <w:t>The following protocol was optimized to measure mitochondrial oxygen consumption from larval homogenates of the AOX-expressing line 3x</w:t>
      </w:r>
      <w:r w:rsidR="00195DB2" w:rsidRPr="003435B5">
        <w:rPr>
          <w:i/>
          <w:iCs/>
          <w:highlight w:val="yellow"/>
        </w:rPr>
        <w:t>tubAOX</w:t>
      </w:r>
      <w:r w:rsidR="00195DB2" w:rsidRPr="003435B5">
        <w:rPr>
          <w:highlight w:val="yellow"/>
        </w:rPr>
        <w:t xml:space="preserve"> and the control </w:t>
      </w:r>
      <w:r w:rsidR="00195DB2" w:rsidRPr="003435B5">
        <w:rPr>
          <w:i/>
          <w:iCs/>
          <w:highlight w:val="yellow"/>
        </w:rPr>
        <w:t>w</w:t>
      </w:r>
      <w:r w:rsidR="00195DB2" w:rsidRPr="003435B5">
        <w:rPr>
          <w:i/>
          <w:iCs/>
          <w:highlight w:val="yellow"/>
          <w:vertAlign w:val="superscript"/>
        </w:rPr>
        <w:t>1118</w:t>
      </w:r>
      <w:r w:rsidR="00195DB2" w:rsidRPr="003435B5">
        <w:rPr>
          <w:highlight w:val="yellow"/>
        </w:rPr>
        <w:t xml:space="preserve">, cultured at 12°C, but we also recommend it to be used for larval samples of any genetic and environmental conditions. We realize that conducting such experiments should not be included as an “affordable” goal for a “home-made” </w:t>
      </w:r>
      <w:proofErr w:type="spellStart"/>
      <w:r w:rsidR="00195DB2" w:rsidRPr="003435B5">
        <w:rPr>
          <w:highlight w:val="yellow"/>
        </w:rPr>
        <w:t>flylab</w:t>
      </w:r>
      <w:proofErr w:type="spellEnd"/>
      <w:r w:rsidR="00195DB2" w:rsidRPr="003435B5">
        <w:rPr>
          <w:highlight w:val="yellow"/>
        </w:rPr>
        <w:t xml:space="preserve">, unlike all other protocols we provide in this article, as a considerable initial investment must be made for a lab to acquire a high resolution </w:t>
      </w:r>
      <w:proofErr w:type="spellStart"/>
      <w:r w:rsidR="00195DB2" w:rsidRPr="003435B5">
        <w:rPr>
          <w:highlight w:val="yellow"/>
        </w:rPr>
        <w:t>oxygraph</w:t>
      </w:r>
      <w:proofErr w:type="spellEnd"/>
      <w:r w:rsidR="00195DB2" w:rsidRPr="003435B5">
        <w:rPr>
          <w:highlight w:val="yellow"/>
        </w:rPr>
        <w:t xml:space="preserve">. </w:t>
      </w:r>
      <w:r>
        <w:rPr>
          <w:highlight w:val="yellow"/>
        </w:rPr>
        <w:t>The</w:t>
      </w:r>
      <w:r w:rsidR="00195DB2" w:rsidRPr="003435B5">
        <w:rPr>
          <w:highlight w:val="yellow"/>
        </w:rPr>
        <w:t xml:space="preserve"> protocol is to be used with the Oxygraph-2k (O2k) </w:t>
      </w:r>
      <w:r w:rsidR="001B55E1" w:rsidRPr="003435B5">
        <w:rPr>
          <w:highlight w:val="yellow"/>
        </w:rPr>
        <w:t xml:space="preserve">and the </w:t>
      </w:r>
      <w:proofErr w:type="spellStart"/>
      <w:r w:rsidR="001B55E1" w:rsidRPr="003435B5">
        <w:rPr>
          <w:highlight w:val="yellow"/>
        </w:rPr>
        <w:t>DatLab</w:t>
      </w:r>
      <w:proofErr w:type="spellEnd"/>
      <w:r w:rsidR="001B55E1" w:rsidRPr="003435B5">
        <w:rPr>
          <w:highlight w:val="yellow"/>
        </w:rPr>
        <w:t xml:space="preserve"> software </w:t>
      </w:r>
      <w:r w:rsidR="00195DB2" w:rsidRPr="003435B5">
        <w:rPr>
          <w:highlight w:val="yellow"/>
        </w:rPr>
        <w:t xml:space="preserve">from </w:t>
      </w:r>
      <w:proofErr w:type="spellStart"/>
      <w:r w:rsidR="00195DB2" w:rsidRPr="003435B5">
        <w:rPr>
          <w:highlight w:val="yellow"/>
        </w:rPr>
        <w:t>Oroboros</w:t>
      </w:r>
      <w:proofErr w:type="spellEnd"/>
      <w:r w:rsidR="00195DB2" w:rsidRPr="003435B5">
        <w:rPr>
          <w:highlight w:val="yellow"/>
        </w:rPr>
        <w:t xml:space="preserve"> Instruments, so further optimization is required should the reader want to use an alternative equipment.</w:t>
      </w:r>
    </w:p>
    <w:p w14:paraId="624CD523" w14:textId="77777777" w:rsidR="00195DB2" w:rsidRPr="003435B5" w:rsidRDefault="00195DB2" w:rsidP="003435B5">
      <w:pPr>
        <w:pBdr>
          <w:top w:val="nil"/>
          <w:left w:val="nil"/>
          <w:bottom w:val="nil"/>
          <w:right w:val="nil"/>
          <w:between w:val="nil"/>
        </w:pBdr>
        <w:contextualSpacing/>
        <w:rPr>
          <w:highlight w:val="yellow"/>
        </w:rPr>
      </w:pPr>
    </w:p>
    <w:p w14:paraId="38998B03" w14:textId="356C5E80" w:rsidR="00195DB2" w:rsidRDefault="00195DB2" w:rsidP="003435B5">
      <w:pPr>
        <w:pBdr>
          <w:top w:val="nil"/>
          <w:left w:val="nil"/>
          <w:bottom w:val="nil"/>
          <w:right w:val="nil"/>
          <w:between w:val="nil"/>
        </w:pBdr>
        <w:contextualSpacing/>
        <w:rPr>
          <w:highlight w:val="yellow"/>
        </w:rPr>
      </w:pPr>
      <w:r w:rsidRPr="003435B5">
        <w:rPr>
          <w:highlight w:val="yellow"/>
        </w:rPr>
        <w:t xml:space="preserve">5.1. Turn on the O2k and start the </w:t>
      </w:r>
      <w:proofErr w:type="spellStart"/>
      <w:r w:rsidRPr="003435B5">
        <w:rPr>
          <w:highlight w:val="yellow"/>
        </w:rPr>
        <w:t>DatLab</w:t>
      </w:r>
      <w:proofErr w:type="spellEnd"/>
      <w:r w:rsidRPr="003435B5">
        <w:rPr>
          <w:highlight w:val="yellow"/>
        </w:rPr>
        <w:t xml:space="preserve"> software in the computer connected to the </w:t>
      </w:r>
      <w:proofErr w:type="spellStart"/>
      <w:r w:rsidRPr="003435B5">
        <w:rPr>
          <w:highlight w:val="yellow"/>
        </w:rPr>
        <w:t>oxygraph</w:t>
      </w:r>
      <w:proofErr w:type="spellEnd"/>
      <w:r w:rsidRPr="003435B5">
        <w:rPr>
          <w:highlight w:val="yellow"/>
        </w:rPr>
        <w:t>. The magnetic bars inside the assay chambers should start stirring automatically. Remove the ethanol storage solution from the chambers.</w:t>
      </w:r>
    </w:p>
    <w:p w14:paraId="1972147E" w14:textId="77777777" w:rsidR="00C9533A" w:rsidRPr="003435B5" w:rsidRDefault="00C9533A" w:rsidP="003435B5">
      <w:pPr>
        <w:pBdr>
          <w:top w:val="nil"/>
          <w:left w:val="nil"/>
          <w:bottom w:val="nil"/>
          <w:right w:val="nil"/>
          <w:between w:val="nil"/>
        </w:pBdr>
        <w:contextualSpacing/>
        <w:rPr>
          <w:highlight w:val="yellow"/>
        </w:rPr>
      </w:pPr>
    </w:p>
    <w:p w14:paraId="7576D01F" w14:textId="03FEC51C" w:rsidR="00195DB2" w:rsidRDefault="00195DB2" w:rsidP="003435B5">
      <w:pPr>
        <w:pBdr>
          <w:top w:val="nil"/>
          <w:left w:val="nil"/>
          <w:bottom w:val="nil"/>
          <w:right w:val="nil"/>
          <w:between w:val="nil"/>
        </w:pBdr>
        <w:contextualSpacing/>
        <w:rPr>
          <w:highlight w:val="yellow"/>
        </w:rPr>
      </w:pPr>
      <w:r w:rsidRPr="003435B5">
        <w:rPr>
          <w:highlight w:val="yellow"/>
        </w:rPr>
        <w:t>5.2. Wash the chambers at least 3 times with 100% ethanol and 3 times with ultrapure water.</w:t>
      </w:r>
    </w:p>
    <w:p w14:paraId="5FDC6543" w14:textId="77777777" w:rsidR="00C9533A" w:rsidRPr="003435B5" w:rsidRDefault="00C9533A" w:rsidP="003435B5">
      <w:pPr>
        <w:pBdr>
          <w:top w:val="nil"/>
          <w:left w:val="nil"/>
          <w:bottom w:val="nil"/>
          <w:right w:val="nil"/>
          <w:between w:val="nil"/>
        </w:pBdr>
        <w:contextualSpacing/>
        <w:rPr>
          <w:highlight w:val="yellow"/>
        </w:rPr>
      </w:pPr>
    </w:p>
    <w:p w14:paraId="6A1B33E3" w14:textId="7550D310" w:rsidR="00195DB2" w:rsidRDefault="00195DB2" w:rsidP="003435B5">
      <w:pPr>
        <w:pBdr>
          <w:top w:val="nil"/>
          <w:left w:val="nil"/>
          <w:bottom w:val="nil"/>
          <w:right w:val="nil"/>
          <w:between w:val="nil"/>
        </w:pBdr>
        <w:contextualSpacing/>
        <w:rPr>
          <w:highlight w:val="yellow"/>
        </w:rPr>
      </w:pPr>
      <w:r w:rsidRPr="003435B5">
        <w:rPr>
          <w:highlight w:val="yellow"/>
        </w:rPr>
        <w:t xml:space="preserve">5.3. In </w:t>
      </w:r>
      <w:proofErr w:type="spellStart"/>
      <w:r w:rsidRPr="003435B5">
        <w:rPr>
          <w:highlight w:val="yellow"/>
        </w:rPr>
        <w:t>DatLab</w:t>
      </w:r>
      <w:proofErr w:type="spellEnd"/>
      <w:r w:rsidRPr="003435B5">
        <w:rPr>
          <w:highlight w:val="yellow"/>
        </w:rPr>
        <w:t xml:space="preserve">, the window </w:t>
      </w:r>
      <w:r w:rsidRPr="00C9533A">
        <w:rPr>
          <w:b/>
          <w:bCs/>
          <w:highlight w:val="yellow"/>
        </w:rPr>
        <w:t>O2k Control</w:t>
      </w:r>
      <w:r w:rsidRPr="003435B5">
        <w:rPr>
          <w:highlight w:val="yellow"/>
        </w:rPr>
        <w:t xml:space="preserve"> will open automatically. In </w:t>
      </w:r>
      <w:r w:rsidRPr="00C9533A">
        <w:rPr>
          <w:b/>
          <w:bCs/>
          <w:highlight w:val="yellow"/>
        </w:rPr>
        <w:t>Block temperature [°C]</w:t>
      </w:r>
      <w:r w:rsidRPr="003435B5">
        <w:rPr>
          <w:highlight w:val="yellow"/>
        </w:rPr>
        <w:t>, enter 12</w:t>
      </w:r>
      <w:r w:rsidR="00C9533A">
        <w:rPr>
          <w:highlight w:val="yellow"/>
        </w:rPr>
        <w:t xml:space="preserve"> </w:t>
      </w:r>
      <w:r w:rsidRPr="003435B5">
        <w:rPr>
          <w:highlight w:val="yellow"/>
        </w:rPr>
        <w:t>°C (or the preferred temperature in the range of 2-47</w:t>
      </w:r>
      <w:r w:rsidR="00C9533A">
        <w:rPr>
          <w:highlight w:val="yellow"/>
        </w:rPr>
        <w:t xml:space="preserve"> </w:t>
      </w:r>
      <w:r w:rsidRPr="003435B5">
        <w:rPr>
          <w:highlight w:val="yellow"/>
        </w:rPr>
        <w:t xml:space="preserve">°C) and press </w:t>
      </w:r>
      <w:r w:rsidRPr="00C9533A">
        <w:rPr>
          <w:b/>
          <w:bCs/>
          <w:highlight w:val="yellow"/>
        </w:rPr>
        <w:t>OK</w:t>
      </w:r>
      <w:r w:rsidRPr="003435B5">
        <w:rPr>
          <w:highlight w:val="yellow"/>
        </w:rPr>
        <w:t>.</w:t>
      </w:r>
    </w:p>
    <w:p w14:paraId="71B99B60" w14:textId="77777777" w:rsidR="00C9533A" w:rsidRPr="003435B5" w:rsidRDefault="00C9533A" w:rsidP="003435B5">
      <w:pPr>
        <w:pBdr>
          <w:top w:val="nil"/>
          <w:left w:val="nil"/>
          <w:bottom w:val="nil"/>
          <w:right w:val="nil"/>
          <w:between w:val="nil"/>
        </w:pBdr>
        <w:contextualSpacing/>
        <w:rPr>
          <w:highlight w:val="yellow"/>
        </w:rPr>
      </w:pPr>
    </w:p>
    <w:p w14:paraId="30A28AC5" w14:textId="3E93773A" w:rsidR="00195DB2" w:rsidRDefault="00195DB2" w:rsidP="003435B5">
      <w:pPr>
        <w:pBdr>
          <w:top w:val="nil"/>
          <w:left w:val="nil"/>
          <w:bottom w:val="nil"/>
          <w:right w:val="nil"/>
          <w:between w:val="nil"/>
        </w:pBdr>
        <w:contextualSpacing/>
        <w:rPr>
          <w:highlight w:val="yellow"/>
        </w:rPr>
      </w:pPr>
      <w:r w:rsidRPr="003435B5">
        <w:rPr>
          <w:highlight w:val="yellow"/>
        </w:rPr>
        <w:t xml:space="preserve">5.4. A second window, </w:t>
      </w:r>
      <w:r w:rsidRPr="00C9533A">
        <w:rPr>
          <w:b/>
          <w:bCs/>
          <w:highlight w:val="yellow"/>
        </w:rPr>
        <w:t>Edit Experiment</w:t>
      </w:r>
      <w:r w:rsidRPr="003435B5">
        <w:rPr>
          <w:highlight w:val="yellow"/>
        </w:rPr>
        <w:t xml:space="preserve">, will then open automatically. Enter sample names in the </w:t>
      </w:r>
      <w:r w:rsidRPr="00C9533A">
        <w:rPr>
          <w:b/>
          <w:bCs/>
          <w:highlight w:val="yellow"/>
        </w:rPr>
        <w:t>Sample</w:t>
      </w:r>
      <w:r w:rsidRPr="003435B5">
        <w:rPr>
          <w:highlight w:val="yellow"/>
        </w:rPr>
        <w:t xml:space="preserve"> fields, according to what will be added in chambers A and B, and press </w:t>
      </w:r>
      <w:r w:rsidRPr="00C9533A">
        <w:rPr>
          <w:b/>
          <w:bCs/>
          <w:highlight w:val="yellow"/>
        </w:rPr>
        <w:t>Save</w:t>
      </w:r>
      <w:r w:rsidRPr="003435B5">
        <w:rPr>
          <w:highlight w:val="yellow"/>
        </w:rPr>
        <w:t xml:space="preserve">. </w:t>
      </w:r>
    </w:p>
    <w:p w14:paraId="078DF4DA" w14:textId="77777777" w:rsidR="00C9533A" w:rsidRPr="003435B5" w:rsidRDefault="00C9533A" w:rsidP="003435B5">
      <w:pPr>
        <w:pBdr>
          <w:top w:val="nil"/>
          <w:left w:val="nil"/>
          <w:bottom w:val="nil"/>
          <w:right w:val="nil"/>
          <w:between w:val="nil"/>
        </w:pBdr>
        <w:contextualSpacing/>
        <w:rPr>
          <w:highlight w:val="yellow"/>
        </w:rPr>
      </w:pPr>
    </w:p>
    <w:p w14:paraId="66B27258" w14:textId="242C68AE" w:rsidR="00195DB2" w:rsidRDefault="00195DB2" w:rsidP="003435B5">
      <w:pPr>
        <w:pBdr>
          <w:top w:val="nil"/>
          <w:left w:val="nil"/>
          <w:bottom w:val="nil"/>
          <w:right w:val="nil"/>
          <w:between w:val="nil"/>
        </w:pBdr>
        <w:contextualSpacing/>
        <w:rPr>
          <w:highlight w:val="yellow"/>
        </w:rPr>
      </w:pPr>
      <w:r w:rsidRPr="003435B5">
        <w:rPr>
          <w:highlight w:val="yellow"/>
        </w:rPr>
        <w:t>5.5.</w:t>
      </w:r>
      <w:r w:rsidRPr="003435B5">
        <w:rPr>
          <w:highlight w:val="yellow"/>
        </w:rPr>
        <w:tab/>
        <w:t>Add 1800 µL of the assay buffer (120 mM KCl, 5 mM KH</w:t>
      </w:r>
      <w:r w:rsidRPr="003435B5">
        <w:rPr>
          <w:highlight w:val="yellow"/>
          <w:vertAlign w:val="subscript"/>
        </w:rPr>
        <w:t>2</w:t>
      </w:r>
      <w:r w:rsidRPr="003435B5">
        <w:rPr>
          <w:highlight w:val="yellow"/>
        </w:rPr>
        <w:t>PO</w:t>
      </w:r>
      <w:r w:rsidRPr="003435B5">
        <w:rPr>
          <w:highlight w:val="yellow"/>
          <w:vertAlign w:val="subscript"/>
        </w:rPr>
        <w:t>4</w:t>
      </w:r>
      <w:r w:rsidRPr="003435B5">
        <w:rPr>
          <w:highlight w:val="yellow"/>
        </w:rPr>
        <w:t xml:space="preserve">, 3 mM </w:t>
      </w:r>
      <w:proofErr w:type="spellStart"/>
      <w:r w:rsidRPr="003435B5">
        <w:rPr>
          <w:highlight w:val="yellow"/>
        </w:rPr>
        <w:t>Hepes</w:t>
      </w:r>
      <w:proofErr w:type="spellEnd"/>
      <w:r w:rsidRPr="003435B5">
        <w:rPr>
          <w:highlight w:val="yellow"/>
        </w:rPr>
        <w:t>, 1 mM EGTA, 1 mM MgCl</w:t>
      </w:r>
      <w:r w:rsidRPr="003435B5">
        <w:rPr>
          <w:highlight w:val="yellow"/>
          <w:vertAlign w:val="subscript"/>
        </w:rPr>
        <w:t>2</w:t>
      </w:r>
      <w:r w:rsidRPr="003435B5">
        <w:rPr>
          <w:highlight w:val="yellow"/>
        </w:rPr>
        <w:t>, 2% BSA, pH 7.4) in each chamber and close them partially, still allowing oxygen exchange with the outside a</w:t>
      </w:r>
      <w:r w:rsidR="009C70A3" w:rsidRPr="003435B5">
        <w:rPr>
          <w:highlight w:val="yellow"/>
        </w:rPr>
        <w:t>i</w:t>
      </w:r>
      <w:r w:rsidRPr="003435B5">
        <w:rPr>
          <w:highlight w:val="yellow"/>
        </w:rPr>
        <w:t>r. Allow the oxygen concentration and oxygen flux signals to stabilize</w:t>
      </w:r>
      <w:r w:rsidR="009C70A3" w:rsidRPr="003435B5">
        <w:rPr>
          <w:highlight w:val="yellow"/>
        </w:rPr>
        <w:t>, showing minimal fluctuations</w:t>
      </w:r>
      <w:r w:rsidRPr="003435B5">
        <w:rPr>
          <w:highlight w:val="yellow"/>
        </w:rPr>
        <w:t xml:space="preserve"> for at least 10 min. This step will provide the calibration of the equipment with the outside air on the day of the experiment (see steps 6.3 and 6.4</w:t>
      </w:r>
      <w:r w:rsidRPr="003435B5" w:rsidDel="004D6358">
        <w:rPr>
          <w:highlight w:val="yellow"/>
        </w:rPr>
        <w:t xml:space="preserve"> </w:t>
      </w:r>
      <w:r w:rsidRPr="003435B5">
        <w:rPr>
          <w:highlight w:val="yellow"/>
        </w:rPr>
        <w:t xml:space="preserve">below </w:t>
      </w:r>
      <w:r w:rsidRPr="003435B5">
        <w:rPr>
          <w:highlight w:val="yellow"/>
        </w:rPr>
        <w:lastRenderedPageBreak/>
        <w:t>for further details on experimental calibrations).</w:t>
      </w:r>
    </w:p>
    <w:p w14:paraId="56B8AE3B" w14:textId="77777777" w:rsidR="00C9533A" w:rsidRPr="003435B5" w:rsidRDefault="00C9533A" w:rsidP="003435B5">
      <w:pPr>
        <w:pBdr>
          <w:top w:val="nil"/>
          <w:left w:val="nil"/>
          <w:bottom w:val="nil"/>
          <w:right w:val="nil"/>
          <w:between w:val="nil"/>
        </w:pBdr>
        <w:contextualSpacing/>
        <w:rPr>
          <w:highlight w:val="yellow"/>
        </w:rPr>
      </w:pPr>
    </w:p>
    <w:p w14:paraId="66D97E72" w14:textId="71FE218D" w:rsidR="00195DB2" w:rsidRDefault="00195DB2" w:rsidP="003435B5">
      <w:pPr>
        <w:pBdr>
          <w:top w:val="nil"/>
          <w:left w:val="nil"/>
          <w:bottom w:val="nil"/>
          <w:right w:val="nil"/>
          <w:between w:val="nil"/>
        </w:pBdr>
        <w:contextualSpacing/>
        <w:rPr>
          <w:highlight w:val="yellow"/>
        </w:rPr>
      </w:pPr>
      <w:r w:rsidRPr="003435B5">
        <w:rPr>
          <w:highlight w:val="yellow"/>
        </w:rPr>
        <w:t>5.6. During the air calibration step, initiate sample preparations by carefully collecting from the culture tubes/flasks 20 wandering larvae of the appropriate genotype, using a pair of forceps or a small paintbrush.</w:t>
      </w:r>
    </w:p>
    <w:p w14:paraId="3D5A15A9" w14:textId="77777777" w:rsidR="00C9533A" w:rsidRPr="003435B5" w:rsidRDefault="00C9533A" w:rsidP="003435B5">
      <w:pPr>
        <w:pBdr>
          <w:top w:val="nil"/>
          <w:left w:val="nil"/>
          <w:bottom w:val="nil"/>
          <w:right w:val="nil"/>
          <w:between w:val="nil"/>
        </w:pBdr>
        <w:contextualSpacing/>
        <w:rPr>
          <w:highlight w:val="yellow"/>
        </w:rPr>
      </w:pPr>
    </w:p>
    <w:p w14:paraId="40D4CB82" w14:textId="6D8BC682" w:rsidR="00195DB2" w:rsidRDefault="00195DB2" w:rsidP="003435B5">
      <w:pPr>
        <w:pBdr>
          <w:top w:val="nil"/>
          <w:left w:val="nil"/>
          <w:bottom w:val="nil"/>
          <w:right w:val="nil"/>
          <w:between w:val="nil"/>
        </w:pBdr>
        <w:contextualSpacing/>
        <w:rPr>
          <w:highlight w:val="yellow"/>
        </w:rPr>
      </w:pPr>
      <w:r w:rsidRPr="003435B5">
        <w:rPr>
          <w:highlight w:val="yellow"/>
        </w:rPr>
        <w:t>5.7. Rinse each larva quickly but thoroughly with deionized water or 1</w:t>
      </w:r>
      <w:r w:rsidR="00C4536B" w:rsidRPr="003435B5">
        <w:rPr>
          <w:highlight w:val="yellow"/>
        </w:rPr>
        <w:t>x</w:t>
      </w:r>
      <w:r w:rsidRPr="003435B5">
        <w:rPr>
          <w:highlight w:val="yellow"/>
        </w:rPr>
        <w:t xml:space="preserve"> PBS (137 mM NaCl, 2.7 mM KCl, 8 mM Na</w:t>
      </w:r>
      <w:r w:rsidRPr="003435B5">
        <w:rPr>
          <w:highlight w:val="yellow"/>
          <w:vertAlign w:val="subscript"/>
        </w:rPr>
        <w:t>2</w:t>
      </w:r>
      <w:r w:rsidRPr="003435B5">
        <w:rPr>
          <w:highlight w:val="yellow"/>
        </w:rPr>
        <w:t>HPO</w:t>
      </w:r>
      <w:r w:rsidRPr="003435B5">
        <w:rPr>
          <w:highlight w:val="yellow"/>
          <w:vertAlign w:val="subscript"/>
        </w:rPr>
        <w:t>4</w:t>
      </w:r>
      <w:r w:rsidRPr="003435B5">
        <w:rPr>
          <w:highlight w:val="yellow"/>
        </w:rPr>
        <w:t xml:space="preserve"> and 2 mM KH</w:t>
      </w:r>
      <w:r w:rsidRPr="003435B5">
        <w:rPr>
          <w:highlight w:val="yellow"/>
          <w:vertAlign w:val="subscript"/>
        </w:rPr>
        <w:t>2</w:t>
      </w:r>
      <w:r w:rsidRPr="003435B5">
        <w:rPr>
          <w:highlight w:val="yellow"/>
        </w:rPr>
        <w:t>PO</w:t>
      </w:r>
      <w:r w:rsidRPr="003435B5">
        <w:rPr>
          <w:highlight w:val="yellow"/>
          <w:vertAlign w:val="subscript"/>
        </w:rPr>
        <w:t>4</w:t>
      </w:r>
      <w:r w:rsidRPr="003435B5">
        <w:rPr>
          <w:highlight w:val="yellow"/>
        </w:rPr>
        <w:t>) and transfer them to a 1 mL glass homogenizer on ice, containing 500 µL of ice-cold isolation buffer (250 mM sucrose, 5 mM Tris HCl, 2 mM EGTA, pH</w:t>
      </w:r>
      <w:r w:rsidR="00C9533A">
        <w:rPr>
          <w:highlight w:val="yellow"/>
        </w:rPr>
        <w:t xml:space="preserve"> </w:t>
      </w:r>
      <w:r w:rsidRPr="003435B5">
        <w:rPr>
          <w:highlight w:val="yellow"/>
        </w:rPr>
        <w:t>7.4)</w:t>
      </w:r>
    </w:p>
    <w:p w14:paraId="2058A3D5" w14:textId="77777777" w:rsidR="00C9533A" w:rsidRPr="003435B5" w:rsidRDefault="00C9533A" w:rsidP="003435B5">
      <w:pPr>
        <w:pBdr>
          <w:top w:val="nil"/>
          <w:left w:val="nil"/>
          <w:bottom w:val="nil"/>
          <w:right w:val="nil"/>
          <w:between w:val="nil"/>
        </w:pBdr>
        <w:contextualSpacing/>
        <w:rPr>
          <w:highlight w:val="yellow"/>
        </w:rPr>
      </w:pPr>
    </w:p>
    <w:p w14:paraId="3E9009E0" w14:textId="69EFBA71" w:rsidR="00195DB2" w:rsidRDefault="00195DB2" w:rsidP="003435B5">
      <w:pPr>
        <w:pBdr>
          <w:top w:val="nil"/>
          <w:left w:val="nil"/>
          <w:bottom w:val="nil"/>
          <w:right w:val="nil"/>
          <w:between w:val="nil"/>
        </w:pBdr>
        <w:contextualSpacing/>
        <w:rPr>
          <w:highlight w:val="yellow"/>
        </w:rPr>
      </w:pPr>
      <w:r w:rsidRPr="003435B5">
        <w:rPr>
          <w:highlight w:val="yellow"/>
        </w:rPr>
        <w:t xml:space="preserve">5.8. Homogenize the whole larvae with 5 strokes and pour the homogenate into a 1.5 mL microcentrifuge tube on ice. </w:t>
      </w:r>
    </w:p>
    <w:p w14:paraId="2CD08347" w14:textId="77777777" w:rsidR="00C9533A" w:rsidRPr="003435B5" w:rsidRDefault="00C9533A" w:rsidP="003435B5">
      <w:pPr>
        <w:pBdr>
          <w:top w:val="nil"/>
          <w:left w:val="nil"/>
          <w:bottom w:val="nil"/>
          <w:right w:val="nil"/>
          <w:between w:val="nil"/>
        </w:pBdr>
        <w:contextualSpacing/>
        <w:rPr>
          <w:highlight w:val="yellow"/>
        </w:rPr>
      </w:pPr>
    </w:p>
    <w:p w14:paraId="36D7B370" w14:textId="1637DBE2" w:rsidR="00195DB2" w:rsidRDefault="00195DB2" w:rsidP="003435B5">
      <w:pPr>
        <w:pBdr>
          <w:top w:val="nil"/>
          <w:left w:val="nil"/>
          <w:bottom w:val="nil"/>
          <w:right w:val="nil"/>
          <w:between w:val="nil"/>
        </w:pBdr>
        <w:contextualSpacing/>
        <w:rPr>
          <w:highlight w:val="yellow"/>
        </w:rPr>
      </w:pPr>
      <w:r w:rsidRPr="003435B5">
        <w:rPr>
          <w:highlight w:val="yellow"/>
        </w:rPr>
        <w:t>5.9. Add 300 µL of isolation buffer to the glass homogenizer, macerate the remaining larval tissues further with 3 strokes, and pour the homogenate again into the same microcentrifuge tube on ice.</w:t>
      </w:r>
    </w:p>
    <w:p w14:paraId="77FB19C2" w14:textId="77777777" w:rsidR="00C9533A" w:rsidRPr="003435B5" w:rsidRDefault="00C9533A" w:rsidP="003435B5">
      <w:pPr>
        <w:pBdr>
          <w:top w:val="nil"/>
          <w:left w:val="nil"/>
          <w:bottom w:val="nil"/>
          <w:right w:val="nil"/>
          <w:between w:val="nil"/>
        </w:pBdr>
        <w:contextualSpacing/>
        <w:rPr>
          <w:highlight w:val="yellow"/>
        </w:rPr>
      </w:pPr>
    </w:p>
    <w:p w14:paraId="0C0B9A18" w14:textId="327335C5" w:rsidR="00195DB2" w:rsidRDefault="00195DB2" w:rsidP="003435B5">
      <w:pPr>
        <w:pBdr>
          <w:top w:val="nil"/>
          <w:left w:val="nil"/>
          <w:bottom w:val="nil"/>
          <w:right w:val="nil"/>
          <w:between w:val="nil"/>
        </w:pBdr>
        <w:contextualSpacing/>
        <w:rPr>
          <w:highlight w:val="yellow"/>
        </w:rPr>
      </w:pPr>
      <w:r w:rsidRPr="003435B5">
        <w:rPr>
          <w:highlight w:val="yellow"/>
        </w:rPr>
        <w:t>5.10. Add 200 µL of isolation buffer to the glass homogenizer, macerate the residual larval tissues further with 2 strokes, and pour the homogenate again into the same microcentrifuge tube on ice.</w:t>
      </w:r>
    </w:p>
    <w:p w14:paraId="08E2A6C7" w14:textId="77777777" w:rsidR="00C9533A" w:rsidRPr="003435B5" w:rsidRDefault="00C9533A" w:rsidP="003435B5">
      <w:pPr>
        <w:pBdr>
          <w:top w:val="nil"/>
          <w:left w:val="nil"/>
          <w:bottom w:val="nil"/>
          <w:right w:val="nil"/>
          <w:between w:val="nil"/>
        </w:pBdr>
        <w:contextualSpacing/>
        <w:rPr>
          <w:highlight w:val="yellow"/>
        </w:rPr>
      </w:pPr>
    </w:p>
    <w:p w14:paraId="34234C5B" w14:textId="570A5214" w:rsidR="00195DB2" w:rsidRDefault="00195DB2" w:rsidP="003435B5">
      <w:pPr>
        <w:pBdr>
          <w:top w:val="nil"/>
          <w:left w:val="nil"/>
          <w:bottom w:val="nil"/>
          <w:right w:val="nil"/>
          <w:between w:val="nil"/>
        </w:pBdr>
        <w:contextualSpacing/>
        <w:rPr>
          <w:highlight w:val="yellow"/>
        </w:rPr>
      </w:pPr>
      <w:r w:rsidRPr="003435B5">
        <w:rPr>
          <w:highlight w:val="yellow"/>
        </w:rPr>
        <w:t>5.11. Mix the final homogenate (~1 mL) by inverting the tube twice gently and keep it on ice until the second sample is processed.</w:t>
      </w:r>
    </w:p>
    <w:p w14:paraId="41FBA221" w14:textId="77777777" w:rsidR="00C9533A" w:rsidRPr="003435B5" w:rsidRDefault="00C9533A" w:rsidP="003435B5">
      <w:pPr>
        <w:pBdr>
          <w:top w:val="nil"/>
          <w:left w:val="nil"/>
          <w:bottom w:val="nil"/>
          <w:right w:val="nil"/>
          <w:between w:val="nil"/>
        </w:pBdr>
        <w:contextualSpacing/>
        <w:rPr>
          <w:highlight w:val="yellow"/>
        </w:rPr>
      </w:pPr>
    </w:p>
    <w:p w14:paraId="49351D65" w14:textId="14D89D78" w:rsidR="00195DB2" w:rsidRDefault="00195DB2" w:rsidP="003435B5">
      <w:pPr>
        <w:pBdr>
          <w:top w:val="nil"/>
          <w:left w:val="nil"/>
          <w:bottom w:val="nil"/>
          <w:right w:val="nil"/>
          <w:between w:val="nil"/>
        </w:pBdr>
        <w:contextualSpacing/>
        <w:rPr>
          <w:highlight w:val="yellow"/>
        </w:rPr>
      </w:pPr>
      <w:r w:rsidRPr="003435B5">
        <w:rPr>
          <w:highlight w:val="yellow"/>
        </w:rPr>
        <w:t>5.12. Repeat steps 5.6-5.11 to obtain the larval homogenate of the other genotype.</w:t>
      </w:r>
    </w:p>
    <w:p w14:paraId="551DCED9" w14:textId="77777777" w:rsidR="00C9533A" w:rsidRPr="003435B5" w:rsidRDefault="00C9533A" w:rsidP="003435B5">
      <w:pPr>
        <w:pBdr>
          <w:top w:val="nil"/>
          <w:left w:val="nil"/>
          <w:bottom w:val="nil"/>
          <w:right w:val="nil"/>
          <w:between w:val="nil"/>
        </w:pBdr>
        <w:contextualSpacing/>
        <w:rPr>
          <w:highlight w:val="yellow"/>
        </w:rPr>
      </w:pPr>
    </w:p>
    <w:p w14:paraId="15B57978" w14:textId="52150BC3" w:rsidR="00195DB2" w:rsidRDefault="00195DB2" w:rsidP="003435B5">
      <w:pPr>
        <w:pBdr>
          <w:top w:val="nil"/>
          <w:left w:val="nil"/>
          <w:bottom w:val="nil"/>
          <w:right w:val="nil"/>
          <w:between w:val="nil"/>
        </w:pBdr>
        <w:contextualSpacing/>
        <w:rPr>
          <w:highlight w:val="yellow"/>
        </w:rPr>
      </w:pPr>
      <w:r w:rsidRPr="003435B5">
        <w:rPr>
          <w:highlight w:val="yellow"/>
        </w:rPr>
        <w:t xml:space="preserve">5.13. Open the </w:t>
      </w:r>
      <w:proofErr w:type="spellStart"/>
      <w:r w:rsidRPr="003435B5">
        <w:rPr>
          <w:highlight w:val="yellow"/>
        </w:rPr>
        <w:t>ox</w:t>
      </w:r>
      <w:r w:rsidR="009C70A3" w:rsidRPr="003435B5">
        <w:rPr>
          <w:highlight w:val="yellow"/>
        </w:rPr>
        <w:t>y</w:t>
      </w:r>
      <w:r w:rsidRPr="003435B5">
        <w:rPr>
          <w:highlight w:val="yellow"/>
        </w:rPr>
        <w:t>graph</w:t>
      </w:r>
      <w:proofErr w:type="spellEnd"/>
      <w:r w:rsidRPr="003435B5">
        <w:rPr>
          <w:highlight w:val="yellow"/>
        </w:rPr>
        <w:t xml:space="preserve"> chambers A and B, and transfer 200 µL of each homogenate to the assay buffer in each chamber, which must be exactly at 12</w:t>
      </w:r>
      <w:r w:rsidR="00C9533A">
        <w:rPr>
          <w:highlight w:val="yellow"/>
        </w:rPr>
        <w:t xml:space="preserve"> </w:t>
      </w:r>
      <w:r w:rsidRPr="003435B5">
        <w:rPr>
          <w:highlight w:val="yellow"/>
        </w:rPr>
        <w:t>°C at this point. Close the chambers completely and allow the oxygen concentration and oxygen flux signals to stabilize for approximately 10 min.</w:t>
      </w:r>
    </w:p>
    <w:p w14:paraId="65B87055" w14:textId="77777777" w:rsidR="00C9533A" w:rsidRPr="003435B5" w:rsidRDefault="00C9533A" w:rsidP="003435B5">
      <w:pPr>
        <w:pBdr>
          <w:top w:val="nil"/>
          <w:left w:val="nil"/>
          <w:bottom w:val="nil"/>
          <w:right w:val="nil"/>
          <w:between w:val="nil"/>
        </w:pBdr>
        <w:contextualSpacing/>
        <w:rPr>
          <w:highlight w:val="yellow"/>
        </w:rPr>
      </w:pPr>
    </w:p>
    <w:p w14:paraId="6E01B8E6" w14:textId="28079A96" w:rsidR="00195DB2" w:rsidRDefault="00195DB2" w:rsidP="003435B5">
      <w:pPr>
        <w:pBdr>
          <w:top w:val="nil"/>
          <w:left w:val="nil"/>
          <w:bottom w:val="nil"/>
          <w:right w:val="nil"/>
          <w:between w:val="nil"/>
        </w:pBdr>
        <w:contextualSpacing/>
        <w:rPr>
          <w:highlight w:val="yellow"/>
        </w:rPr>
      </w:pPr>
      <w:r w:rsidRPr="003435B5">
        <w:rPr>
          <w:highlight w:val="yellow"/>
        </w:rPr>
        <w:t xml:space="preserve">5.14. Initiate oxygen consumption measurements by adding to each chamber 5 μL of a solution of 2 M pyruvate, 2 M proline (final concentration in the chambers = 5 mM each) and 7.5 μL of a solution of 0.4 M malate (1.5 mM). Allow at least 5 minutes for signal stabilization. </w:t>
      </w:r>
      <w:r w:rsidR="00E97E0F" w:rsidRPr="003435B5">
        <w:rPr>
          <w:highlight w:val="yellow"/>
        </w:rPr>
        <w:t>Note that a</w:t>
      </w:r>
      <w:r w:rsidRPr="003435B5">
        <w:rPr>
          <w:highlight w:val="yellow"/>
        </w:rPr>
        <w:t>t this point, the mitochondria will be charged with oxidizable substrates to initiate the tricarboxylic acid (TCA) cycle reactions. Any increase in the oxygen consumption signal may be due to the functions of uncoupling proteins</w:t>
      </w:r>
      <w:r w:rsidR="00002AA2" w:rsidRPr="003435B5">
        <w:rPr>
          <w:highlight w:val="yellow"/>
        </w:rPr>
        <w:t xml:space="preserve"> (or due to other uncoupling phenomena</w:t>
      </w:r>
      <w:proofErr w:type="gramStart"/>
      <w:r w:rsidR="00002AA2" w:rsidRPr="003435B5">
        <w:rPr>
          <w:highlight w:val="yellow"/>
        </w:rPr>
        <w:t>)</w:t>
      </w:r>
      <w:r w:rsidRPr="003435B5">
        <w:rPr>
          <w:highlight w:val="yellow"/>
        </w:rPr>
        <w:t>, and</w:t>
      </w:r>
      <w:proofErr w:type="gramEnd"/>
      <w:r w:rsidRPr="003435B5">
        <w:rPr>
          <w:highlight w:val="yellow"/>
        </w:rPr>
        <w:t xml:space="preserve"> can be used to calculate general uncoupled respiration (also referred to as Leak respiration in the absence of adenylates, </w:t>
      </w:r>
      <w:r w:rsidRPr="003435B5">
        <w:rPr>
          <w:i/>
          <w:iCs/>
          <w:highlight w:val="yellow"/>
        </w:rPr>
        <w:t>L</w:t>
      </w:r>
      <w:r w:rsidRPr="003435B5">
        <w:rPr>
          <w:highlight w:val="yellow"/>
          <w:vertAlign w:val="subscript"/>
        </w:rPr>
        <w:t>N</w:t>
      </w:r>
      <w:r w:rsidRPr="003435B5">
        <w:rPr>
          <w:highlight w:val="yellow"/>
        </w:rPr>
        <w:t xml:space="preserve"> – see Representative Results for details).</w:t>
      </w:r>
    </w:p>
    <w:p w14:paraId="46C22690" w14:textId="77777777" w:rsidR="00C9533A" w:rsidRPr="003435B5" w:rsidRDefault="00C9533A" w:rsidP="003435B5">
      <w:pPr>
        <w:pBdr>
          <w:top w:val="nil"/>
          <w:left w:val="nil"/>
          <w:bottom w:val="nil"/>
          <w:right w:val="nil"/>
          <w:between w:val="nil"/>
        </w:pBdr>
        <w:contextualSpacing/>
        <w:rPr>
          <w:highlight w:val="yellow"/>
        </w:rPr>
      </w:pPr>
    </w:p>
    <w:p w14:paraId="531F3442" w14:textId="72119A27" w:rsidR="00195DB2" w:rsidRDefault="00195DB2" w:rsidP="003435B5">
      <w:pPr>
        <w:pBdr>
          <w:top w:val="nil"/>
          <w:left w:val="nil"/>
          <w:bottom w:val="nil"/>
          <w:right w:val="nil"/>
          <w:between w:val="nil"/>
        </w:pBdr>
        <w:contextualSpacing/>
        <w:rPr>
          <w:highlight w:val="yellow"/>
        </w:rPr>
      </w:pPr>
      <w:r w:rsidRPr="003435B5">
        <w:rPr>
          <w:highlight w:val="yellow"/>
        </w:rPr>
        <w:t xml:space="preserve">5.15. Add to each chamber 4 μL of a solution of 0.5 M ADP (1 mM) and allow at least 5 minutes for signal stabilization. A significant increase in the oxygen consumption signal is usually immediately observed, representing the oxidative </w:t>
      </w:r>
      <w:proofErr w:type="spellStart"/>
      <w:r w:rsidRPr="003435B5">
        <w:rPr>
          <w:highlight w:val="yellow"/>
        </w:rPr>
        <w:t>phosphorylative</w:t>
      </w:r>
      <w:proofErr w:type="spellEnd"/>
      <w:r w:rsidRPr="003435B5">
        <w:rPr>
          <w:highlight w:val="yellow"/>
        </w:rPr>
        <w:t xml:space="preserve"> (OXPHOS) respiration. The </w:t>
      </w:r>
      <w:r w:rsidRPr="003435B5">
        <w:rPr>
          <w:highlight w:val="yellow"/>
        </w:rPr>
        <w:lastRenderedPageBreak/>
        <w:t>great majority of this OXPHOS respiration is driven by complex I</w:t>
      </w:r>
      <w:r w:rsidR="00002AA2" w:rsidRPr="003435B5">
        <w:rPr>
          <w:highlight w:val="yellow"/>
        </w:rPr>
        <w:t xml:space="preserve"> (CI)</w:t>
      </w:r>
      <w:r w:rsidRPr="003435B5">
        <w:rPr>
          <w:highlight w:val="yellow"/>
        </w:rPr>
        <w:t>.</w:t>
      </w:r>
    </w:p>
    <w:p w14:paraId="2853AFB3" w14:textId="77777777" w:rsidR="00C9533A" w:rsidRPr="003435B5" w:rsidRDefault="00C9533A" w:rsidP="003435B5">
      <w:pPr>
        <w:pBdr>
          <w:top w:val="nil"/>
          <w:left w:val="nil"/>
          <w:bottom w:val="nil"/>
          <w:right w:val="nil"/>
          <w:between w:val="nil"/>
        </w:pBdr>
        <w:contextualSpacing/>
        <w:rPr>
          <w:highlight w:val="yellow"/>
        </w:rPr>
      </w:pPr>
    </w:p>
    <w:p w14:paraId="6F24A69C" w14:textId="6FFB4D04" w:rsidR="00195DB2" w:rsidRDefault="00195DB2" w:rsidP="003435B5">
      <w:pPr>
        <w:pBdr>
          <w:top w:val="nil"/>
          <w:left w:val="nil"/>
          <w:bottom w:val="nil"/>
          <w:right w:val="nil"/>
          <w:between w:val="nil"/>
        </w:pBdr>
        <w:contextualSpacing/>
        <w:rPr>
          <w:highlight w:val="yellow"/>
        </w:rPr>
      </w:pPr>
      <w:r w:rsidRPr="003435B5">
        <w:rPr>
          <w:highlight w:val="yellow"/>
        </w:rPr>
        <w:t>5.16. Add to each chamber 2 μL of a solution of 0.05 M antimycin</w:t>
      </w:r>
      <w:r w:rsidR="00DC72B6" w:rsidRPr="003435B5">
        <w:rPr>
          <w:highlight w:val="yellow"/>
        </w:rPr>
        <w:t xml:space="preserve"> </w:t>
      </w:r>
      <w:r w:rsidRPr="003435B5">
        <w:rPr>
          <w:highlight w:val="yellow"/>
        </w:rPr>
        <w:t xml:space="preserve">A (0.05 mM) to inhibit </w:t>
      </w:r>
      <w:proofErr w:type="gramStart"/>
      <w:r w:rsidR="00002AA2" w:rsidRPr="003435B5">
        <w:rPr>
          <w:highlight w:val="yellow"/>
        </w:rPr>
        <w:t>C</w:t>
      </w:r>
      <w:r w:rsidRPr="003435B5">
        <w:rPr>
          <w:highlight w:val="yellow"/>
        </w:rPr>
        <w:t>III, and</w:t>
      </w:r>
      <w:proofErr w:type="gramEnd"/>
      <w:r w:rsidRPr="003435B5">
        <w:rPr>
          <w:highlight w:val="yellow"/>
        </w:rPr>
        <w:t xml:space="preserve"> allow at least 5 minutes for signal stabilization. A decrease in the oxygen consumption signal down to the basal levels seen before the addition of pyruvate, proline and malate should be observed for the </w:t>
      </w:r>
      <w:r w:rsidRPr="003435B5">
        <w:rPr>
          <w:i/>
          <w:iCs/>
          <w:highlight w:val="yellow"/>
        </w:rPr>
        <w:t>w</w:t>
      </w:r>
      <w:r w:rsidRPr="003435B5">
        <w:rPr>
          <w:i/>
          <w:iCs/>
          <w:highlight w:val="yellow"/>
          <w:vertAlign w:val="superscript"/>
        </w:rPr>
        <w:t>1118</w:t>
      </w:r>
      <w:r w:rsidRPr="003435B5">
        <w:rPr>
          <w:highlight w:val="yellow"/>
        </w:rPr>
        <w:t xml:space="preserve"> control sample. Mitochondrial respiration from AOX-expressing larvae will be partially resistant to antimycin-A, as the electrons can now be directed to AOX. About 40% of the total OXPHOS respiration should remain after </w:t>
      </w:r>
      <w:r w:rsidR="00002AA2" w:rsidRPr="003435B5">
        <w:rPr>
          <w:highlight w:val="yellow"/>
        </w:rPr>
        <w:t>C</w:t>
      </w:r>
      <w:r w:rsidRPr="003435B5">
        <w:rPr>
          <w:highlight w:val="yellow"/>
        </w:rPr>
        <w:t xml:space="preserve">III inhibition, which should be all supported solely by AOX. </w:t>
      </w:r>
    </w:p>
    <w:p w14:paraId="16C6742A" w14:textId="77777777" w:rsidR="00C9533A" w:rsidRPr="003435B5" w:rsidRDefault="00C9533A" w:rsidP="003435B5">
      <w:pPr>
        <w:pBdr>
          <w:top w:val="nil"/>
          <w:left w:val="nil"/>
          <w:bottom w:val="nil"/>
          <w:right w:val="nil"/>
          <w:between w:val="nil"/>
        </w:pBdr>
        <w:contextualSpacing/>
        <w:rPr>
          <w:highlight w:val="yellow"/>
        </w:rPr>
      </w:pPr>
    </w:p>
    <w:p w14:paraId="6C189852" w14:textId="362B93B3" w:rsidR="00195DB2" w:rsidRDefault="00195DB2" w:rsidP="003435B5">
      <w:pPr>
        <w:pBdr>
          <w:top w:val="nil"/>
          <w:left w:val="nil"/>
          <w:bottom w:val="nil"/>
          <w:right w:val="nil"/>
          <w:between w:val="nil"/>
        </w:pBdr>
        <w:contextualSpacing/>
        <w:rPr>
          <w:highlight w:val="yellow"/>
        </w:rPr>
      </w:pPr>
      <w:r w:rsidRPr="003435B5">
        <w:rPr>
          <w:highlight w:val="yellow"/>
        </w:rPr>
        <w:t xml:space="preserve">5.17. Add to each chamber 4 μL of a solution of 0.1 M propyl-gallate (0.2 mM) to inhibit </w:t>
      </w:r>
      <w:proofErr w:type="gramStart"/>
      <w:r w:rsidRPr="003435B5">
        <w:rPr>
          <w:highlight w:val="yellow"/>
        </w:rPr>
        <w:t>AOX, and</w:t>
      </w:r>
      <w:proofErr w:type="gramEnd"/>
      <w:r w:rsidRPr="003435B5">
        <w:rPr>
          <w:highlight w:val="yellow"/>
        </w:rPr>
        <w:t xml:space="preserve"> allow at least </w:t>
      </w:r>
      <w:r w:rsidR="00E97E0F" w:rsidRPr="003435B5">
        <w:rPr>
          <w:highlight w:val="yellow"/>
        </w:rPr>
        <w:t>1</w:t>
      </w:r>
      <w:r w:rsidRPr="003435B5">
        <w:rPr>
          <w:highlight w:val="yellow"/>
        </w:rPr>
        <w:t xml:space="preserve">5 minutes for signal stabilization. The oxygen consumption levels in the AOX-expressing larval samples should now decrease to the basal levels seen before the addition of pyruvate, </w:t>
      </w:r>
      <w:proofErr w:type="gramStart"/>
      <w:r w:rsidRPr="003435B5">
        <w:rPr>
          <w:highlight w:val="yellow"/>
        </w:rPr>
        <w:t>proline</w:t>
      </w:r>
      <w:proofErr w:type="gramEnd"/>
      <w:r w:rsidRPr="003435B5">
        <w:rPr>
          <w:highlight w:val="yellow"/>
        </w:rPr>
        <w:t xml:space="preserve"> and malate. This decrease proves </w:t>
      </w:r>
      <w:r w:rsidR="00002AA2" w:rsidRPr="003435B5">
        <w:rPr>
          <w:highlight w:val="yellow"/>
        </w:rPr>
        <w:t xml:space="preserve">that </w:t>
      </w:r>
      <w:r w:rsidRPr="003435B5">
        <w:rPr>
          <w:highlight w:val="yellow"/>
        </w:rPr>
        <w:t>the antimycin-A resistant respiration observed is due to AOX function.</w:t>
      </w:r>
    </w:p>
    <w:p w14:paraId="40CDF91E" w14:textId="77777777" w:rsidR="00C9533A" w:rsidRPr="003435B5" w:rsidRDefault="00C9533A" w:rsidP="003435B5">
      <w:pPr>
        <w:pBdr>
          <w:top w:val="nil"/>
          <w:left w:val="nil"/>
          <w:bottom w:val="nil"/>
          <w:right w:val="nil"/>
          <w:between w:val="nil"/>
        </w:pBdr>
        <w:contextualSpacing/>
        <w:rPr>
          <w:highlight w:val="yellow"/>
        </w:rPr>
      </w:pPr>
    </w:p>
    <w:p w14:paraId="06986021" w14:textId="25794D94" w:rsidR="00195DB2" w:rsidRDefault="00195DB2" w:rsidP="003435B5">
      <w:pPr>
        <w:pBdr>
          <w:top w:val="nil"/>
          <w:left w:val="nil"/>
          <w:bottom w:val="nil"/>
          <w:right w:val="nil"/>
          <w:between w:val="nil"/>
        </w:pBdr>
        <w:contextualSpacing/>
        <w:rPr>
          <w:highlight w:val="yellow"/>
        </w:rPr>
      </w:pPr>
      <w:r w:rsidRPr="003435B5">
        <w:rPr>
          <w:highlight w:val="yellow"/>
        </w:rPr>
        <w:t xml:space="preserve">5.18. Add to each chamber 1 μL 0.01 M rotenone (0.005 mM) to inhibit </w:t>
      </w:r>
      <w:proofErr w:type="gramStart"/>
      <w:r w:rsidR="00002AA2" w:rsidRPr="003435B5">
        <w:rPr>
          <w:highlight w:val="yellow"/>
        </w:rPr>
        <w:t>C</w:t>
      </w:r>
      <w:r w:rsidRPr="003435B5">
        <w:rPr>
          <w:highlight w:val="yellow"/>
        </w:rPr>
        <w:t>I, and</w:t>
      </w:r>
      <w:proofErr w:type="gramEnd"/>
      <w:r w:rsidRPr="003435B5">
        <w:rPr>
          <w:highlight w:val="yellow"/>
        </w:rPr>
        <w:t xml:space="preserve"> allow at least 5 minutes for signal stabilization to obtain the oxygen consumption signal of the sample independent of mitochondrial respiration. This signal is usually as low as that observed before the addition of pyruvate, </w:t>
      </w:r>
      <w:proofErr w:type="gramStart"/>
      <w:r w:rsidRPr="003435B5">
        <w:rPr>
          <w:highlight w:val="yellow"/>
        </w:rPr>
        <w:t>proline</w:t>
      </w:r>
      <w:proofErr w:type="gramEnd"/>
      <w:r w:rsidRPr="003435B5">
        <w:rPr>
          <w:highlight w:val="yellow"/>
        </w:rPr>
        <w:t xml:space="preserve"> and malate.</w:t>
      </w:r>
    </w:p>
    <w:p w14:paraId="39A1DEBD" w14:textId="77777777" w:rsidR="00C9533A" w:rsidRPr="003435B5" w:rsidRDefault="00C9533A" w:rsidP="003435B5">
      <w:pPr>
        <w:pBdr>
          <w:top w:val="nil"/>
          <w:left w:val="nil"/>
          <w:bottom w:val="nil"/>
          <w:right w:val="nil"/>
          <w:between w:val="nil"/>
        </w:pBdr>
        <w:contextualSpacing/>
        <w:rPr>
          <w:highlight w:val="yellow"/>
        </w:rPr>
      </w:pPr>
    </w:p>
    <w:p w14:paraId="1EAC797A" w14:textId="77777777" w:rsidR="00195DB2" w:rsidRPr="003435B5" w:rsidRDefault="00195DB2" w:rsidP="003435B5">
      <w:pPr>
        <w:pBdr>
          <w:top w:val="nil"/>
          <w:left w:val="nil"/>
          <w:bottom w:val="nil"/>
          <w:right w:val="nil"/>
          <w:between w:val="nil"/>
        </w:pBdr>
        <w:contextualSpacing/>
      </w:pPr>
      <w:r w:rsidRPr="003435B5">
        <w:rPr>
          <w:highlight w:val="yellow"/>
        </w:rPr>
        <w:t xml:space="preserve">5.19. Save the experiment and close the </w:t>
      </w:r>
      <w:proofErr w:type="spellStart"/>
      <w:r w:rsidRPr="003435B5">
        <w:rPr>
          <w:highlight w:val="yellow"/>
        </w:rPr>
        <w:t>DatLab</w:t>
      </w:r>
      <w:proofErr w:type="spellEnd"/>
      <w:r w:rsidRPr="003435B5">
        <w:rPr>
          <w:highlight w:val="yellow"/>
        </w:rPr>
        <w:t xml:space="preserve"> software.</w:t>
      </w:r>
      <w:r w:rsidRPr="003435B5">
        <w:t xml:space="preserve"> </w:t>
      </w:r>
    </w:p>
    <w:p w14:paraId="449903CD" w14:textId="77777777" w:rsidR="00195DB2" w:rsidRPr="003435B5" w:rsidRDefault="00195DB2" w:rsidP="003435B5">
      <w:pPr>
        <w:pBdr>
          <w:top w:val="nil"/>
          <w:left w:val="nil"/>
          <w:bottom w:val="nil"/>
          <w:right w:val="nil"/>
          <w:between w:val="nil"/>
        </w:pBdr>
        <w:contextualSpacing/>
      </w:pPr>
    </w:p>
    <w:p w14:paraId="3D33AE7B" w14:textId="77777777" w:rsidR="00195DB2" w:rsidRPr="003435B5" w:rsidRDefault="00195DB2" w:rsidP="003435B5">
      <w:pPr>
        <w:pBdr>
          <w:top w:val="nil"/>
          <w:left w:val="nil"/>
          <w:bottom w:val="nil"/>
          <w:right w:val="nil"/>
          <w:between w:val="nil"/>
        </w:pBdr>
        <w:contextualSpacing/>
      </w:pPr>
      <w:r w:rsidRPr="00C9533A">
        <w:rPr>
          <w:b/>
          <w:bCs/>
        </w:rPr>
        <w:t>6</w:t>
      </w:r>
      <w:r w:rsidRPr="003435B5">
        <w:t xml:space="preserve">. </w:t>
      </w:r>
      <w:r w:rsidRPr="00C9533A">
        <w:rPr>
          <w:b/>
          <w:bCs/>
        </w:rPr>
        <w:t>Mitochondrial respirometry data processing</w:t>
      </w:r>
    </w:p>
    <w:p w14:paraId="02B98AD1" w14:textId="77777777" w:rsidR="00195DB2" w:rsidRPr="003435B5" w:rsidRDefault="00195DB2" w:rsidP="003435B5">
      <w:pPr>
        <w:pBdr>
          <w:top w:val="nil"/>
          <w:left w:val="nil"/>
          <w:bottom w:val="nil"/>
          <w:right w:val="nil"/>
          <w:between w:val="nil"/>
        </w:pBdr>
        <w:contextualSpacing/>
      </w:pPr>
    </w:p>
    <w:p w14:paraId="230F1725" w14:textId="40133AEF" w:rsidR="00195DB2" w:rsidRPr="003435B5" w:rsidRDefault="00C9533A" w:rsidP="003435B5">
      <w:pPr>
        <w:pBdr>
          <w:top w:val="nil"/>
          <w:left w:val="nil"/>
          <w:bottom w:val="nil"/>
          <w:right w:val="nil"/>
          <w:between w:val="nil"/>
        </w:pBdr>
        <w:contextualSpacing/>
      </w:pPr>
      <w:r>
        <w:t xml:space="preserve">NOTE: </w:t>
      </w:r>
      <w:r w:rsidR="00195DB2" w:rsidRPr="003435B5">
        <w:t xml:space="preserve">Oxygen consumption values are obtained as an average of the oxygen flux signals in a determined </w:t>
      </w:r>
      <w:proofErr w:type="gramStart"/>
      <w:r w:rsidR="00195DB2" w:rsidRPr="003435B5">
        <w:t>period of time</w:t>
      </w:r>
      <w:proofErr w:type="gramEnd"/>
      <w:r w:rsidR="00195DB2" w:rsidRPr="003435B5">
        <w:t xml:space="preserve"> and are expressed as pmol O</w:t>
      </w:r>
      <w:r w:rsidR="00195DB2" w:rsidRPr="003435B5">
        <w:rPr>
          <w:vertAlign w:val="subscript"/>
        </w:rPr>
        <w:t>2</w:t>
      </w:r>
      <w:r w:rsidR="00195DB2" w:rsidRPr="003435B5">
        <w:t xml:space="preserve"> consumed per second per mg total protein in the sample. The values are first referenced against the maximal oxygen concentration available in the assay buffer on the day of the experiment, based on the experimental temperature (referred to as air saturation), and the minimal </w:t>
      </w:r>
      <w:r w:rsidR="009C70A3" w:rsidRPr="003435B5">
        <w:t xml:space="preserve">oxygen </w:t>
      </w:r>
      <w:r w:rsidR="00002AA2" w:rsidRPr="003435B5">
        <w:t>concentration</w:t>
      </w:r>
      <w:r w:rsidR="00195DB2" w:rsidRPr="003435B5">
        <w:t>, which is determined previously in each chamber by the addition of Na</w:t>
      </w:r>
      <w:r w:rsidR="00195DB2" w:rsidRPr="003435B5">
        <w:rPr>
          <w:vertAlign w:val="subscript"/>
        </w:rPr>
        <w:t>2</w:t>
      </w:r>
      <w:r w:rsidR="00195DB2" w:rsidRPr="003435B5">
        <w:t>S</w:t>
      </w:r>
      <w:r w:rsidR="00195DB2" w:rsidRPr="003435B5">
        <w:rPr>
          <w:vertAlign w:val="subscript"/>
        </w:rPr>
        <w:t>2</w:t>
      </w:r>
      <w:r w:rsidR="00195DB2" w:rsidRPr="003435B5">
        <w:t>O</w:t>
      </w:r>
      <w:r w:rsidR="00195DB2" w:rsidRPr="003435B5">
        <w:rPr>
          <w:vertAlign w:val="subscript"/>
        </w:rPr>
        <w:t>4</w:t>
      </w:r>
      <w:r w:rsidR="00195DB2" w:rsidRPr="003435B5">
        <w:t xml:space="preserve"> to the assay buffer (see</w:t>
      </w:r>
      <w:r w:rsidR="00D9238E" w:rsidRPr="003435B5">
        <w:t xml:space="preserve"> </w:t>
      </w:r>
      <w:r w:rsidR="00242251" w:rsidRPr="003435B5">
        <w:fldChar w:fldCharType="begin" w:fldLock="1"/>
      </w:r>
      <w:r w:rsidR="00D158C9" w:rsidRPr="003435B5">
        <w:instrText>ADDIN CSL_CITATION {"citationItems":[{"id":"ITEM-1","itemData":{"URL":"https://www.oroboros.at/","accessed":{"date-parts":[["2021","7","6"]]},"id":"ITEM-1","issued":{"date-parts":[["0"]]},"title":"Home - Oroboros Instruments","type":"webpage"},"uris":["http://www.mendeley.com/documents/?uuid=f755f8ac-8c28-3c7c-8904-e8827f63a1f0"]}],"mendeley":{"formattedCitation":"&lt;sup&gt;43&lt;/sup&gt;","plainTextFormattedCitation":"43","previouslyFormattedCitation":"&lt;sup&gt;44&lt;/sup&gt;"},"properties":{"noteIndex":0},"schema":"https://github.com/citation-style-language/schema/raw/master/csl-citation.json"}</w:instrText>
      </w:r>
      <w:r w:rsidR="00242251" w:rsidRPr="003435B5">
        <w:fldChar w:fldCharType="separate"/>
      </w:r>
      <w:r w:rsidR="00D158C9" w:rsidRPr="003435B5">
        <w:rPr>
          <w:noProof/>
          <w:vertAlign w:val="superscript"/>
        </w:rPr>
        <w:t>43</w:t>
      </w:r>
      <w:r w:rsidR="00242251" w:rsidRPr="003435B5">
        <w:fldChar w:fldCharType="end"/>
      </w:r>
      <w:r w:rsidR="00195DB2" w:rsidRPr="003435B5">
        <w:t xml:space="preserve"> for the manufacturer’s guidelines to obtain zero oxygen calibration). The values are also normalized by the amount of total protein </w:t>
      </w:r>
      <w:r w:rsidR="009C70A3" w:rsidRPr="003435B5">
        <w:t>in</w:t>
      </w:r>
      <w:r w:rsidR="00195DB2" w:rsidRPr="003435B5">
        <w:t xml:space="preserve"> the larval homogenates added to the assay buffer of each chamber.</w:t>
      </w:r>
    </w:p>
    <w:p w14:paraId="14F7A829" w14:textId="56B52012" w:rsidR="00195DB2" w:rsidRPr="003435B5" w:rsidRDefault="00195DB2" w:rsidP="003435B5">
      <w:pPr>
        <w:pBdr>
          <w:top w:val="nil"/>
          <w:left w:val="nil"/>
          <w:bottom w:val="nil"/>
          <w:right w:val="nil"/>
          <w:between w:val="nil"/>
        </w:pBdr>
        <w:contextualSpacing/>
      </w:pPr>
    </w:p>
    <w:p w14:paraId="7BFADC78" w14:textId="11926C14" w:rsidR="00195DB2" w:rsidRDefault="00195DB2" w:rsidP="003435B5">
      <w:pPr>
        <w:pBdr>
          <w:top w:val="nil"/>
          <w:left w:val="nil"/>
          <w:bottom w:val="nil"/>
          <w:right w:val="nil"/>
          <w:between w:val="nil"/>
        </w:pBdr>
        <w:contextualSpacing/>
      </w:pPr>
      <w:r w:rsidRPr="003435B5">
        <w:t>6.1. Determine total protein concentration of each sample using the Bradford method</w:t>
      </w:r>
      <w:r w:rsidR="006B46A3" w:rsidRPr="003435B5">
        <w:fldChar w:fldCharType="begin" w:fldLock="1"/>
      </w:r>
      <w:r w:rsidR="00D158C9" w:rsidRPr="003435B5">
        <w:instrText>ADDIN CSL_CITATION {"citationItems":[{"id":"ITEM-1","itemData":{"DOI":"10.1016/0003-2697(76)90527-3","ISSN":"10960309","PMID":"942051","abstract":"A protein determination method which involves the binding of Coomassie Brilliant Blue G-250 to protein is described. The binding of the dye to protein causes a shift in the absorption maximum of the dye from 465 to 595 nm, and it is the increase in absorption at 595 nm which is monitored. This assay is very reproducible and rapid with the dye binding process virtually complete in approximately 2 min with good color stability for 1 hr. There is little or no interference from cations such as sodium or potassium nor from carbohydrates such as sucrose. A small amount of color is developed in the presence of strongly alkaline buffering agents, but the assay may be run accurately by the use of proper buffer controls. The only components found to give excessive interfering color in the assay are relatively large amounts of detergents such as sodium dodecyl sulfate, Triton X-100, and commercial glassware detergents. Interference by small amounts of detergent may be eliminated by the use of proper controls. © 1976.","author":[{"dropping-particle":"","family":"Bradford","given":"Marion M.","non-dropping-particle":"","parse-names":false,"suffix":""}],"container-title":"Analytical Biochemistry","id":"ITEM-1","issue":"1-2","issued":{"date-parts":[["1976","5","7"]]},"page":"248-254","publisher":"Academic Press","title":"A rapid and sensitive method for the quantitation of microgram quantities of protein utilizing the principle of protein-dye binding","type":"article-journal","volume":"72"},"uris":["http://www.mendeley.com/documents/?uuid=edcf54ef-06f1-3269-a533-6b5ee5434902"]}],"mendeley":{"formattedCitation":"&lt;sup&gt;44&lt;/sup&gt;","plainTextFormattedCitation":"44","previouslyFormattedCitation":"&lt;sup&gt;45&lt;/sup&gt;"},"properties":{"noteIndex":0},"schema":"https://github.com/citation-style-language/schema/raw/master/csl-citation.json"}</w:instrText>
      </w:r>
      <w:r w:rsidR="006B46A3" w:rsidRPr="003435B5">
        <w:fldChar w:fldCharType="separate"/>
      </w:r>
      <w:r w:rsidR="00D158C9" w:rsidRPr="003435B5">
        <w:rPr>
          <w:noProof/>
          <w:vertAlign w:val="superscript"/>
        </w:rPr>
        <w:t>44</w:t>
      </w:r>
      <w:r w:rsidR="006B46A3" w:rsidRPr="003435B5">
        <w:fldChar w:fldCharType="end"/>
      </w:r>
      <w:r w:rsidRPr="003435B5">
        <w:t xml:space="preserve">. Reopen the saved experiment on the </w:t>
      </w:r>
      <w:proofErr w:type="spellStart"/>
      <w:r w:rsidRPr="003435B5">
        <w:t>DatLab</w:t>
      </w:r>
      <w:proofErr w:type="spellEnd"/>
      <w:r w:rsidRPr="003435B5">
        <w:t xml:space="preserve"> software, press </w:t>
      </w:r>
      <w:r w:rsidRPr="00C9533A">
        <w:rPr>
          <w:b/>
          <w:bCs/>
        </w:rPr>
        <w:t>Experiment</w:t>
      </w:r>
      <w:r w:rsidRPr="003435B5">
        <w:t xml:space="preserve"> at the top menu, and then </w:t>
      </w:r>
      <w:r w:rsidRPr="00C9533A">
        <w:rPr>
          <w:b/>
          <w:bCs/>
        </w:rPr>
        <w:t>Edit</w:t>
      </w:r>
      <w:r w:rsidRPr="003435B5">
        <w:t xml:space="preserve">. In the opened window, select </w:t>
      </w:r>
      <w:r w:rsidRPr="00C9533A">
        <w:rPr>
          <w:b/>
          <w:bCs/>
        </w:rPr>
        <w:t>mg</w:t>
      </w:r>
      <w:r w:rsidRPr="003435B5">
        <w:t xml:space="preserve"> in the </w:t>
      </w:r>
      <w:r w:rsidRPr="00C9533A">
        <w:rPr>
          <w:b/>
          <w:bCs/>
        </w:rPr>
        <w:t>Unit</w:t>
      </w:r>
      <w:r w:rsidRPr="003435B5">
        <w:t xml:space="preserve"> section and in the </w:t>
      </w:r>
      <w:proofErr w:type="gramStart"/>
      <w:r w:rsidRPr="00C9533A">
        <w:rPr>
          <w:b/>
          <w:bCs/>
        </w:rPr>
        <w:t>Amount</w:t>
      </w:r>
      <w:proofErr w:type="gramEnd"/>
      <w:r w:rsidRPr="003435B5">
        <w:t xml:space="preserve"> section enter the protein amount contained in the 200 μL of the sample added in each chamber. The concentration will be automatically calculated by the software, considering the total chamber volume of 2 mL. Press the </w:t>
      </w:r>
      <w:r w:rsidRPr="00C9533A">
        <w:rPr>
          <w:b/>
          <w:bCs/>
        </w:rPr>
        <w:t>Save</w:t>
      </w:r>
      <w:r w:rsidRPr="003435B5">
        <w:t xml:space="preserve"> button.  </w:t>
      </w:r>
    </w:p>
    <w:p w14:paraId="31E5B39D" w14:textId="77777777" w:rsidR="00C9533A" w:rsidRPr="003435B5" w:rsidRDefault="00C9533A" w:rsidP="003435B5">
      <w:pPr>
        <w:pBdr>
          <w:top w:val="nil"/>
          <w:left w:val="nil"/>
          <w:bottom w:val="nil"/>
          <w:right w:val="nil"/>
          <w:between w:val="nil"/>
        </w:pBdr>
        <w:contextualSpacing/>
      </w:pPr>
    </w:p>
    <w:p w14:paraId="61E8F4E8" w14:textId="47F543DC" w:rsidR="00195DB2" w:rsidRDefault="00195DB2" w:rsidP="003435B5">
      <w:pPr>
        <w:pBdr>
          <w:top w:val="nil"/>
          <w:left w:val="nil"/>
          <w:bottom w:val="nil"/>
          <w:right w:val="nil"/>
          <w:between w:val="nil"/>
        </w:pBdr>
        <w:contextualSpacing/>
      </w:pPr>
      <w:r w:rsidRPr="003435B5">
        <w:t xml:space="preserve">6.2. Press </w:t>
      </w:r>
      <w:r w:rsidRPr="00C9533A">
        <w:rPr>
          <w:b/>
          <w:bCs/>
        </w:rPr>
        <w:t>Graph</w:t>
      </w:r>
      <w:r w:rsidRPr="003435B5">
        <w:t xml:space="preserve"> </w:t>
      </w:r>
      <w:r w:rsidR="00164E97" w:rsidRPr="003435B5">
        <w:t>in</w:t>
      </w:r>
      <w:r w:rsidRPr="003435B5">
        <w:t xml:space="preserve"> the top menu, and then </w:t>
      </w:r>
      <w:r w:rsidRPr="00C9533A">
        <w:rPr>
          <w:b/>
          <w:bCs/>
        </w:rPr>
        <w:t>Select plots</w:t>
      </w:r>
      <w:r w:rsidRPr="003435B5">
        <w:t xml:space="preserve">. In the opened window, select </w:t>
      </w:r>
      <w:r w:rsidRPr="00C9533A">
        <w:rPr>
          <w:b/>
          <w:bCs/>
        </w:rPr>
        <w:t>Flux</w:t>
      </w:r>
      <w:r w:rsidRPr="003435B5">
        <w:t xml:space="preserve"> </w:t>
      </w:r>
      <w:r w:rsidRPr="00C9533A">
        <w:rPr>
          <w:b/>
          <w:bCs/>
        </w:rPr>
        <w:t>per mass</w:t>
      </w:r>
      <w:r w:rsidRPr="003435B5">
        <w:t xml:space="preserve"> for both graphs (1 and 2, which refer to chambers A and B, respectively). Press </w:t>
      </w:r>
      <w:r w:rsidRPr="00C9533A">
        <w:rPr>
          <w:b/>
          <w:bCs/>
        </w:rPr>
        <w:t>Ok</w:t>
      </w:r>
      <w:r w:rsidRPr="003435B5">
        <w:t xml:space="preserve">. The </w:t>
      </w:r>
      <w:r w:rsidRPr="003435B5">
        <w:lastRenderedPageBreak/>
        <w:t>experimental outcome is no</w:t>
      </w:r>
      <w:r w:rsidR="00002AA2" w:rsidRPr="003435B5">
        <w:t>w</w:t>
      </w:r>
      <w:r w:rsidRPr="003435B5">
        <w:t xml:space="preserve"> normalized by the protein concentration of the samples (pmol O</w:t>
      </w:r>
      <w:r w:rsidRPr="003435B5">
        <w:rPr>
          <w:vertAlign w:val="subscript"/>
        </w:rPr>
        <w:t>2</w:t>
      </w:r>
      <w:r w:rsidRPr="003435B5">
        <w:t>/s/mg total protein).</w:t>
      </w:r>
    </w:p>
    <w:p w14:paraId="27391F2C" w14:textId="77777777" w:rsidR="00C9533A" w:rsidRPr="003435B5" w:rsidRDefault="00C9533A" w:rsidP="003435B5">
      <w:pPr>
        <w:pBdr>
          <w:top w:val="nil"/>
          <w:left w:val="nil"/>
          <w:bottom w:val="nil"/>
          <w:right w:val="nil"/>
          <w:between w:val="nil"/>
        </w:pBdr>
        <w:contextualSpacing/>
      </w:pPr>
    </w:p>
    <w:p w14:paraId="055C9AF8" w14:textId="77777777" w:rsidR="00C9533A" w:rsidRDefault="00195DB2" w:rsidP="003435B5">
      <w:pPr>
        <w:pBdr>
          <w:top w:val="nil"/>
          <w:left w:val="nil"/>
          <w:bottom w:val="nil"/>
          <w:right w:val="nil"/>
          <w:between w:val="nil"/>
        </w:pBdr>
        <w:contextualSpacing/>
      </w:pPr>
      <w:r w:rsidRPr="003435B5">
        <w:t xml:space="preserve">6.3. On the upper right corner of each graph (1 and 2) of the main experimental outcome page, click on </w:t>
      </w:r>
      <w:r w:rsidRPr="00C9533A">
        <w:rPr>
          <w:b/>
          <w:bCs/>
        </w:rPr>
        <w:t>O</w:t>
      </w:r>
      <w:r w:rsidRPr="00C9533A">
        <w:rPr>
          <w:b/>
          <w:bCs/>
          <w:vertAlign w:val="subscript"/>
        </w:rPr>
        <w:t>2</w:t>
      </w:r>
      <w:r w:rsidRPr="00C9533A">
        <w:rPr>
          <w:b/>
          <w:bCs/>
        </w:rPr>
        <w:t xml:space="preserve"> Concentration</w:t>
      </w:r>
      <w:r w:rsidRPr="003435B5">
        <w:t xml:space="preserve">. Along the x axis, identify a time range prior to addition of the samples in the chambers, in which the oxygen concentration and flux signals are very stable. </w:t>
      </w:r>
    </w:p>
    <w:p w14:paraId="5F682931" w14:textId="77777777" w:rsidR="00C9533A" w:rsidRDefault="00C9533A" w:rsidP="003435B5">
      <w:pPr>
        <w:pBdr>
          <w:top w:val="nil"/>
          <w:left w:val="nil"/>
          <w:bottom w:val="nil"/>
          <w:right w:val="nil"/>
          <w:between w:val="nil"/>
        </w:pBdr>
        <w:contextualSpacing/>
      </w:pPr>
    </w:p>
    <w:p w14:paraId="54EF4196" w14:textId="77777777" w:rsidR="00C9533A" w:rsidRDefault="00C9533A" w:rsidP="003435B5">
      <w:pPr>
        <w:pBdr>
          <w:top w:val="nil"/>
          <w:left w:val="nil"/>
          <w:bottom w:val="nil"/>
          <w:right w:val="nil"/>
          <w:between w:val="nil"/>
        </w:pBdr>
        <w:contextualSpacing/>
      </w:pPr>
      <w:r>
        <w:t xml:space="preserve">6.3.1. </w:t>
      </w:r>
      <w:r w:rsidR="00195DB2" w:rsidRPr="003435B5">
        <w:t xml:space="preserve">Press and hold the Shift key on the computer’s keyboard, click with the left mouse button on the initial time selected, drag the cursor along the time axis to select the desired region, and release the mouse button. Do this procedure for </w:t>
      </w:r>
      <w:r w:rsidR="00164E97" w:rsidRPr="003435B5">
        <w:t>each of the</w:t>
      </w:r>
      <w:r w:rsidR="00195DB2" w:rsidRPr="003435B5">
        <w:t xml:space="preserve"> graphs individually. </w:t>
      </w:r>
    </w:p>
    <w:p w14:paraId="3399BE63" w14:textId="77777777" w:rsidR="00C9533A" w:rsidRDefault="00C9533A" w:rsidP="003435B5">
      <w:pPr>
        <w:pBdr>
          <w:top w:val="nil"/>
          <w:left w:val="nil"/>
          <w:bottom w:val="nil"/>
          <w:right w:val="nil"/>
          <w:between w:val="nil"/>
        </w:pBdr>
        <w:contextualSpacing/>
      </w:pPr>
    </w:p>
    <w:p w14:paraId="4108584D" w14:textId="640793AE" w:rsidR="00195DB2" w:rsidRDefault="00C9533A" w:rsidP="003435B5">
      <w:pPr>
        <w:pBdr>
          <w:top w:val="nil"/>
          <w:left w:val="nil"/>
          <w:bottom w:val="nil"/>
          <w:right w:val="nil"/>
          <w:between w:val="nil"/>
        </w:pBdr>
        <w:contextualSpacing/>
      </w:pPr>
      <w:r>
        <w:t xml:space="preserve">6.3.2. </w:t>
      </w:r>
      <w:r w:rsidR="00195DB2" w:rsidRPr="003435B5">
        <w:t>Double-click on the blue bars of the selected areas at the bottom of the graphs, and type “air” to indicate that these are the selected regions used to calculate the oxygen air saturation.</w:t>
      </w:r>
    </w:p>
    <w:p w14:paraId="544DBE19" w14:textId="77777777" w:rsidR="00C9533A" w:rsidRPr="003435B5" w:rsidRDefault="00C9533A" w:rsidP="003435B5">
      <w:pPr>
        <w:pBdr>
          <w:top w:val="nil"/>
          <w:left w:val="nil"/>
          <w:bottom w:val="nil"/>
          <w:right w:val="nil"/>
          <w:between w:val="nil"/>
        </w:pBdr>
        <w:contextualSpacing/>
      </w:pPr>
    </w:p>
    <w:p w14:paraId="0916AB5E" w14:textId="77777777" w:rsidR="00C9533A" w:rsidRDefault="00195DB2" w:rsidP="003435B5">
      <w:pPr>
        <w:pBdr>
          <w:top w:val="nil"/>
          <w:left w:val="nil"/>
          <w:bottom w:val="nil"/>
          <w:right w:val="nil"/>
          <w:between w:val="nil"/>
        </w:pBdr>
        <w:contextualSpacing/>
      </w:pPr>
      <w:r w:rsidRPr="003435B5">
        <w:t xml:space="preserve">6.4. Click on </w:t>
      </w:r>
      <w:r w:rsidRPr="00C9533A">
        <w:rPr>
          <w:b/>
          <w:bCs/>
        </w:rPr>
        <w:t>Calibration</w:t>
      </w:r>
      <w:r w:rsidRPr="003435B5">
        <w:t xml:space="preserve"> on the top menu bar, and select </w:t>
      </w:r>
      <w:r w:rsidRPr="00C9533A">
        <w:rPr>
          <w:b/>
          <w:bCs/>
        </w:rPr>
        <w:t>A: Oxygen, O</w:t>
      </w:r>
      <w:r w:rsidRPr="00C9533A">
        <w:rPr>
          <w:b/>
          <w:bCs/>
          <w:vertAlign w:val="subscript"/>
        </w:rPr>
        <w:t>2</w:t>
      </w:r>
      <w:r w:rsidRPr="003435B5">
        <w:t xml:space="preserve"> to calibrate chamber A. In the opened window, verify that </w:t>
      </w:r>
      <w:r w:rsidRPr="00C9533A">
        <w:rPr>
          <w:b/>
          <w:bCs/>
        </w:rPr>
        <w:t>O</w:t>
      </w:r>
      <w:r w:rsidRPr="00C9533A">
        <w:rPr>
          <w:b/>
          <w:bCs/>
          <w:vertAlign w:val="subscript"/>
        </w:rPr>
        <w:t xml:space="preserve">2 </w:t>
      </w:r>
      <w:proofErr w:type="spellStart"/>
      <w:r w:rsidRPr="00C9533A">
        <w:rPr>
          <w:b/>
          <w:bCs/>
        </w:rPr>
        <w:t>Calib</w:t>
      </w:r>
      <w:proofErr w:type="spellEnd"/>
      <w:r w:rsidRPr="003435B5">
        <w:t xml:space="preserve"> is selected (yellow color). </w:t>
      </w:r>
    </w:p>
    <w:p w14:paraId="326C0664" w14:textId="77777777" w:rsidR="00C9533A" w:rsidRDefault="00C9533A" w:rsidP="003435B5">
      <w:pPr>
        <w:pBdr>
          <w:top w:val="nil"/>
          <w:left w:val="nil"/>
          <w:bottom w:val="nil"/>
          <w:right w:val="nil"/>
          <w:between w:val="nil"/>
        </w:pBdr>
        <w:contextualSpacing/>
      </w:pPr>
    </w:p>
    <w:p w14:paraId="4023AF1C" w14:textId="77777777" w:rsidR="00C9533A" w:rsidRDefault="00C9533A" w:rsidP="003435B5">
      <w:pPr>
        <w:pBdr>
          <w:top w:val="nil"/>
          <w:left w:val="nil"/>
          <w:bottom w:val="nil"/>
          <w:right w:val="nil"/>
          <w:between w:val="nil"/>
        </w:pBdr>
        <w:contextualSpacing/>
      </w:pPr>
      <w:r>
        <w:t xml:space="preserve">6.4.1. </w:t>
      </w:r>
      <w:r w:rsidR="00195DB2" w:rsidRPr="003435B5">
        <w:t xml:space="preserve">For the </w:t>
      </w:r>
      <w:r w:rsidR="00195DB2" w:rsidRPr="00C9533A">
        <w:rPr>
          <w:b/>
          <w:bCs/>
        </w:rPr>
        <w:t>Zero calibration</w:t>
      </w:r>
      <w:r w:rsidR="00195DB2" w:rsidRPr="003435B5">
        <w:t xml:space="preserve">, click on </w:t>
      </w:r>
      <w:r w:rsidR="00195DB2" w:rsidRPr="00C9533A">
        <w:rPr>
          <w:b/>
          <w:bCs/>
        </w:rPr>
        <w:t>Copy from file</w:t>
      </w:r>
      <w:r w:rsidR="00195DB2" w:rsidRPr="003435B5">
        <w:t xml:space="preserve"> and choose the file with the previously performed zero oxygen calibration (see https://www.oroboros.at for the manufacturer’s guidelines). </w:t>
      </w:r>
    </w:p>
    <w:p w14:paraId="6C35ADA8" w14:textId="77777777" w:rsidR="00C9533A" w:rsidRDefault="00C9533A" w:rsidP="003435B5">
      <w:pPr>
        <w:pBdr>
          <w:top w:val="nil"/>
          <w:left w:val="nil"/>
          <w:bottom w:val="nil"/>
          <w:right w:val="nil"/>
          <w:between w:val="nil"/>
        </w:pBdr>
        <w:contextualSpacing/>
      </w:pPr>
    </w:p>
    <w:p w14:paraId="78304AA6" w14:textId="403D8AA1" w:rsidR="00195DB2" w:rsidRDefault="00C9533A" w:rsidP="003435B5">
      <w:pPr>
        <w:pBdr>
          <w:top w:val="nil"/>
          <w:left w:val="nil"/>
          <w:bottom w:val="nil"/>
          <w:right w:val="nil"/>
          <w:between w:val="nil"/>
        </w:pBdr>
        <w:contextualSpacing/>
      </w:pPr>
      <w:r>
        <w:t xml:space="preserve">6.4.2. </w:t>
      </w:r>
      <w:r w:rsidR="00195DB2" w:rsidRPr="003435B5">
        <w:t xml:space="preserve">For </w:t>
      </w:r>
      <w:r w:rsidR="00195DB2" w:rsidRPr="00C9533A">
        <w:rPr>
          <w:b/>
          <w:bCs/>
        </w:rPr>
        <w:t>Air calibration</w:t>
      </w:r>
      <w:r w:rsidR="00195DB2" w:rsidRPr="003435B5">
        <w:t xml:space="preserve">, select </w:t>
      </w:r>
      <w:r w:rsidR="00195DB2" w:rsidRPr="00C9533A">
        <w:rPr>
          <w:b/>
          <w:bCs/>
        </w:rPr>
        <w:t>air</w:t>
      </w:r>
      <w:r w:rsidR="00195DB2" w:rsidRPr="003435B5">
        <w:t xml:space="preserve"> </w:t>
      </w:r>
      <w:r w:rsidR="008E010D" w:rsidRPr="003435B5">
        <w:t>in</w:t>
      </w:r>
      <w:r w:rsidR="00195DB2" w:rsidRPr="003435B5">
        <w:t xml:space="preserve"> the </w:t>
      </w:r>
      <w:r w:rsidR="00195DB2" w:rsidRPr="00C9533A">
        <w:rPr>
          <w:b/>
          <w:bCs/>
        </w:rPr>
        <w:t>Select Mark</w:t>
      </w:r>
      <w:r w:rsidR="00195DB2" w:rsidRPr="003435B5">
        <w:t xml:space="preserve"> column. Click on </w:t>
      </w:r>
      <w:r w:rsidR="00195DB2" w:rsidRPr="00C9533A">
        <w:rPr>
          <w:b/>
          <w:bCs/>
        </w:rPr>
        <w:t>Calibrate and copy to clipboard</w:t>
      </w:r>
      <w:r w:rsidR="00195DB2" w:rsidRPr="003435B5">
        <w:t>.</w:t>
      </w:r>
    </w:p>
    <w:p w14:paraId="6D95AD78" w14:textId="77777777" w:rsidR="00C9533A" w:rsidRPr="003435B5" w:rsidRDefault="00C9533A" w:rsidP="003435B5">
      <w:pPr>
        <w:pBdr>
          <w:top w:val="nil"/>
          <w:left w:val="nil"/>
          <w:bottom w:val="nil"/>
          <w:right w:val="nil"/>
          <w:between w:val="nil"/>
        </w:pBdr>
        <w:contextualSpacing/>
      </w:pPr>
    </w:p>
    <w:p w14:paraId="6FACC9D9" w14:textId="6D583129" w:rsidR="00195DB2" w:rsidRDefault="00195DB2" w:rsidP="003435B5">
      <w:pPr>
        <w:pBdr>
          <w:top w:val="nil"/>
          <w:left w:val="nil"/>
          <w:bottom w:val="nil"/>
          <w:right w:val="nil"/>
          <w:between w:val="nil"/>
        </w:pBdr>
        <w:contextualSpacing/>
      </w:pPr>
      <w:r w:rsidRPr="003435B5">
        <w:t xml:space="preserve">6.5. Click on </w:t>
      </w:r>
      <w:r w:rsidRPr="00C9533A">
        <w:rPr>
          <w:b/>
          <w:bCs/>
        </w:rPr>
        <w:t>Calibration</w:t>
      </w:r>
      <w:r w:rsidRPr="003435B5">
        <w:t xml:space="preserve"> on the top menu bar, select </w:t>
      </w:r>
      <w:r w:rsidRPr="00C9533A">
        <w:rPr>
          <w:b/>
          <w:bCs/>
        </w:rPr>
        <w:t>B: Oxygen, O</w:t>
      </w:r>
      <w:r w:rsidRPr="00C9533A">
        <w:rPr>
          <w:b/>
          <w:bCs/>
          <w:vertAlign w:val="subscript"/>
        </w:rPr>
        <w:t>2</w:t>
      </w:r>
      <w:r w:rsidRPr="003435B5">
        <w:t xml:space="preserve"> and repeat step 6.4 to calibrate chamber B. </w:t>
      </w:r>
    </w:p>
    <w:p w14:paraId="6B62DD57" w14:textId="77777777" w:rsidR="00C9533A" w:rsidRPr="003435B5" w:rsidRDefault="00C9533A" w:rsidP="003435B5">
      <w:pPr>
        <w:pBdr>
          <w:top w:val="nil"/>
          <w:left w:val="nil"/>
          <w:bottom w:val="nil"/>
          <w:right w:val="nil"/>
          <w:between w:val="nil"/>
        </w:pBdr>
        <w:contextualSpacing/>
      </w:pPr>
    </w:p>
    <w:p w14:paraId="52C87A4C" w14:textId="604E4E57" w:rsidR="00195DB2" w:rsidRDefault="00195DB2" w:rsidP="003435B5">
      <w:pPr>
        <w:pBdr>
          <w:top w:val="nil"/>
          <w:left w:val="nil"/>
          <w:bottom w:val="nil"/>
          <w:right w:val="nil"/>
          <w:between w:val="nil"/>
        </w:pBdr>
        <w:contextualSpacing/>
      </w:pPr>
      <w:r w:rsidRPr="003435B5">
        <w:t xml:space="preserve">6.6. On the upper right corner of each graph (1 and 2) of the main experimental outcome page, click on </w:t>
      </w:r>
      <w:r w:rsidRPr="00C9533A">
        <w:rPr>
          <w:b/>
          <w:bCs/>
        </w:rPr>
        <w:t>O</w:t>
      </w:r>
      <w:r w:rsidRPr="00C9533A">
        <w:rPr>
          <w:b/>
          <w:bCs/>
          <w:vertAlign w:val="subscript"/>
        </w:rPr>
        <w:t>2</w:t>
      </w:r>
      <w:r w:rsidRPr="00C9533A">
        <w:rPr>
          <w:b/>
          <w:bCs/>
        </w:rPr>
        <w:t xml:space="preserve"> flux per mass</w:t>
      </w:r>
      <w:r w:rsidRPr="003435B5">
        <w:t xml:space="preserve">. </w:t>
      </w:r>
      <w:r w:rsidR="00CC7310" w:rsidRPr="003435B5">
        <w:t>Select desired stable regions of the oxygen consumption signal</w:t>
      </w:r>
      <w:r w:rsidRPr="003435B5">
        <w:t xml:space="preserve"> by holding the Shift key</w:t>
      </w:r>
      <w:r w:rsidR="00CC7310" w:rsidRPr="003435B5">
        <w:t xml:space="preserve"> on </w:t>
      </w:r>
      <w:r w:rsidR="003435B5">
        <w:t>the keyboard</w:t>
      </w:r>
      <w:r w:rsidRPr="003435B5">
        <w:t xml:space="preserve">, clicking with the left mouse button, and dragging the cursor along the time axis. The stable regions selected between additions of pyruvate/proline/malate and ADP represents the </w:t>
      </w:r>
      <w:r w:rsidRPr="003435B5">
        <w:rPr>
          <w:i/>
          <w:iCs/>
        </w:rPr>
        <w:t>L</w:t>
      </w:r>
      <w:r w:rsidRPr="003435B5">
        <w:rPr>
          <w:vertAlign w:val="subscript"/>
        </w:rPr>
        <w:t>N</w:t>
      </w:r>
      <w:r w:rsidRPr="003435B5">
        <w:t>; between ADP and antimyci</w:t>
      </w:r>
      <w:r w:rsidR="00063239" w:rsidRPr="003435B5">
        <w:t>n</w:t>
      </w:r>
      <w:r w:rsidR="006F2271" w:rsidRPr="003435B5">
        <w:t xml:space="preserve"> </w:t>
      </w:r>
      <w:r w:rsidRPr="003435B5">
        <w:t>A, OXPHOS; between antimycin</w:t>
      </w:r>
      <w:r w:rsidR="006F2271" w:rsidRPr="003435B5">
        <w:t xml:space="preserve"> </w:t>
      </w:r>
      <w:r w:rsidRPr="003435B5">
        <w:t>A and propyl gallate (upon CIII inhibition), antimycin</w:t>
      </w:r>
      <w:r w:rsidR="006F2271" w:rsidRPr="003435B5">
        <w:t xml:space="preserve"> </w:t>
      </w:r>
      <w:r w:rsidRPr="003435B5">
        <w:t xml:space="preserve">A-resistant respiration; between propyl gallate and rotenone (upon CIII+AOX inhibition), residual respiration; after rotenone (upon CI+CIII+AOX inhibition), residual non-mitochondrial respiration. Double-click on the red bars of the selected areas at the bottom of the </w:t>
      </w:r>
      <w:proofErr w:type="gramStart"/>
      <w:r w:rsidRPr="003435B5">
        <w:t>graphs, and</w:t>
      </w:r>
      <w:proofErr w:type="gramEnd"/>
      <w:r w:rsidRPr="003435B5">
        <w:t xml:space="preserve"> enter appropriate labels.</w:t>
      </w:r>
    </w:p>
    <w:p w14:paraId="75570CD1" w14:textId="77777777" w:rsidR="00C9533A" w:rsidRPr="003435B5" w:rsidRDefault="00C9533A" w:rsidP="003435B5">
      <w:pPr>
        <w:pBdr>
          <w:top w:val="nil"/>
          <w:left w:val="nil"/>
          <w:bottom w:val="nil"/>
          <w:right w:val="nil"/>
          <w:between w:val="nil"/>
        </w:pBdr>
        <w:contextualSpacing/>
      </w:pPr>
    </w:p>
    <w:p w14:paraId="7008A82C" w14:textId="767BBD50" w:rsidR="00195DB2" w:rsidRDefault="00195DB2" w:rsidP="003435B5">
      <w:pPr>
        <w:pBdr>
          <w:top w:val="nil"/>
          <w:left w:val="nil"/>
          <w:bottom w:val="nil"/>
          <w:right w:val="nil"/>
          <w:between w:val="nil"/>
        </w:pBdr>
        <w:contextualSpacing/>
      </w:pPr>
      <w:r w:rsidRPr="003435B5">
        <w:t xml:space="preserve">6.7. Click on </w:t>
      </w:r>
      <w:r w:rsidRPr="00C9533A">
        <w:rPr>
          <w:b/>
          <w:bCs/>
        </w:rPr>
        <w:t>Marks</w:t>
      </w:r>
      <w:r w:rsidRPr="003435B5">
        <w:t xml:space="preserve"> on the top menu bar, and then </w:t>
      </w:r>
      <w:r w:rsidRPr="00C9533A">
        <w:rPr>
          <w:b/>
          <w:bCs/>
        </w:rPr>
        <w:t>Statistics</w:t>
      </w:r>
      <w:r w:rsidRPr="003435B5">
        <w:t xml:space="preserve">. In the </w:t>
      </w:r>
      <w:r w:rsidRPr="00C9533A">
        <w:rPr>
          <w:b/>
          <w:bCs/>
        </w:rPr>
        <w:t>Show</w:t>
      </w:r>
      <w:r w:rsidRPr="003435B5">
        <w:t xml:space="preserve"> tab of the opened window, uncheck all options except </w:t>
      </w:r>
      <w:r w:rsidRPr="00C9533A">
        <w:rPr>
          <w:b/>
          <w:bCs/>
        </w:rPr>
        <w:t>O</w:t>
      </w:r>
      <w:r w:rsidRPr="00C9533A">
        <w:rPr>
          <w:b/>
          <w:bCs/>
          <w:vertAlign w:val="subscript"/>
        </w:rPr>
        <w:t>2</w:t>
      </w:r>
      <w:r w:rsidRPr="00C9533A">
        <w:rPr>
          <w:b/>
          <w:bCs/>
        </w:rPr>
        <w:t xml:space="preserve"> flux per mass</w:t>
      </w:r>
      <w:r w:rsidRPr="003435B5">
        <w:t xml:space="preserve">. In the </w:t>
      </w:r>
      <w:r w:rsidRPr="00C9533A">
        <w:rPr>
          <w:b/>
          <w:bCs/>
        </w:rPr>
        <w:t>Select</w:t>
      </w:r>
      <w:r w:rsidRPr="003435B5">
        <w:t xml:space="preserve"> tab of the same window, select chamber A to obtain the respiration data for the first sample. Click on </w:t>
      </w:r>
      <w:r w:rsidRPr="00C9533A">
        <w:rPr>
          <w:b/>
          <w:bCs/>
        </w:rPr>
        <w:t>Copy to clipboard</w:t>
      </w:r>
      <w:r w:rsidRPr="003435B5">
        <w:t xml:space="preserve"> and paste the data into a</w:t>
      </w:r>
      <w:r w:rsidR="00C9533A">
        <w:t xml:space="preserve"> spread</w:t>
      </w:r>
      <w:r w:rsidRPr="003435B5">
        <w:t>sheet. Repeat the procedure to obtain the data for the second sample in chamber B.</w:t>
      </w:r>
    </w:p>
    <w:p w14:paraId="041AAE36" w14:textId="77777777" w:rsidR="00C9533A" w:rsidRPr="003435B5" w:rsidRDefault="00C9533A" w:rsidP="003435B5">
      <w:pPr>
        <w:pBdr>
          <w:top w:val="nil"/>
          <w:left w:val="nil"/>
          <w:bottom w:val="nil"/>
          <w:right w:val="nil"/>
          <w:between w:val="nil"/>
        </w:pBdr>
        <w:contextualSpacing/>
      </w:pPr>
    </w:p>
    <w:p w14:paraId="172895C6" w14:textId="4614A8CF" w:rsidR="00195DB2" w:rsidRPr="003435B5" w:rsidRDefault="00195DB2" w:rsidP="003435B5">
      <w:pPr>
        <w:pBdr>
          <w:top w:val="nil"/>
          <w:left w:val="nil"/>
          <w:bottom w:val="nil"/>
          <w:right w:val="nil"/>
          <w:between w:val="nil"/>
        </w:pBdr>
        <w:contextualSpacing/>
      </w:pPr>
      <w:r w:rsidRPr="003435B5">
        <w:t xml:space="preserve">6.8. In </w:t>
      </w:r>
      <w:r w:rsidR="00C9533A">
        <w:t xml:space="preserve">a </w:t>
      </w:r>
      <w:r w:rsidR="00C9533A">
        <w:t>spread</w:t>
      </w:r>
      <w:r w:rsidR="00C9533A" w:rsidRPr="003435B5">
        <w:t>sheet</w:t>
      </w:r>
      <w:r w:rsidRPr="003435B5">
        <w:t xml:space="preserve">, subtract all respiration values by the residual non-mitochondrial respiration </w:t>
      </w:r>
      <w:r w:rsidRPr="003435B5">
        <w:lastRenderedPageBreak/>
        <w:t xml:space="preserve">(the data after rotenone addition). Calculate averages from multiple experimental replicates and plot the data as preferred. </w:t>
      </w:r>
    </w:p>
    <w:p w14:paraId="235E345A" w14:textId="301DC91D" w:rsidR="00F36854" w:rsidRPr="003435B5" w:rsidRDefault="00F36854" w:rsidP="003435B5">
      <w:pPr>
        <w:contextualSpacing/>
      </w:pPr>
    </w:p>
    <w:p w14:paraId="5F7BED8E" w14:textId="1FF0C328" w:rsidR="0051094A" w:rsidRPr="003435B5" w:rsidRDefault="00FA387F" w:rsidP="003435B5">
      <w:pPr>
        <w:pBdr>
          <w:top w:val="nil"/>
          <w:left w:val="nil"/>
          <w:bottom w:val="nil"/>
          <w:right w:val="nil"/>
          <w:between w:val="nil"/>
        </w:pBdr>
        <w:contextualSpacing/>
      </w:pPr>
      <w:r w:rsidRPr="003435B5">
        <w:rPr>
          <w:b/>
        </w:rPr>
        <w:t>REPRESENTATIVE RESULTS:</w:t>
      </w:r>
    </w:p>
    <w:p w14:paraId="68AF94D8" w14:textId="60000777" w:rsidR="008A50F1" w:rsidRPr="003435B5" w:rsidRDefault="00AD3999" w:rsidP="003435B5">
      <w:pPr>
        <w:contextualSpacing/>
      </w:pPr>
      <w:r w:rsidRPr="003435B5">
        <w:t xml:space="preserve">By following the steps </w:t>
      </w:r>
      <w:r w:rsidR="00EC6997" w:rsidRPr="003435B5">
        <w:t>in</w:t>
      </w:r>
      <w:r w:rsidRPr="003435B5">
        <w:t xml:space="preserve"> </w:t>
      </w:r>
      <w:r w:rsidR="00C9533A">
        <w:t>steps</w:t>
      </w:r>
      <w:r w:rsidRPr="003435B5">
        <w:t xml:space="preserve"> 1 and 2, one should be able to design a simple fly vial </w:t>
      </w:r>
      <w:proofErr w:type="gramStart"/>
      <w:r w:rsidRPr="003435B5">
        <w:t>rack</w:t>
      </w:r>
      <w:r w:rsidR="00E80FD6" w:rsidRPr="003435B5">
        <w:t>, and</w:t>
      </w:r>
      <w:proofErr w:type="gramEnd"/>
      <w:r w:rsidR="00E80FD6" w:rsidRPr="003435B5">
        <w:t xml:space="preserve"> run the model </w:t>
      </w:r>
      <w:r w:rsidR="00EC6997" w:rsidRPr="003435B5">
        <w:t xml:space="preserve">STL </w:t>
      </w:r>
      <w:r w:rsidR="00E80FD6" w:rsidRPr="003435B5">
        <w:t xml:space="preserve">file </w:t>
      </w:r>
      <w:r w:rsidR="00EC6997" w:rsidRPr="003435B5">
        <w:t>through</w:t>
      </w:r>
      <w:r w:rsidR="00E80FD6" w:rsidRPr="003435B5">
        <w:t xml:space="preserve"> the slicing program to generate coordinates for the 3D printer. </w:t>
      </w:r>
      <w:r w:rsidR="00E80FD6" w:rsidRPr="00C9533A">
        <w:rPr>
          <w:b/>
          <w:bCs/>
        </w:rPr>
        <w:t xml:space="preserve">Figure </w:t>
      </w:r>
      <w:r w:rsidR="00025960" w:rsidRPr="00C9533A">
        <w:rPr>
          <w:b/>
          <w:bCs/>
        </w:rPr>
        <w:t>3A</w:t>
      </w:r>
      <w:r w:rsidR="00E80FD6" w:rsidRPr="003435B5">
        <w:t xml:space="preserve"> shows a printed unit of the model</w:t>
      </w:r>
      <w:r w:rsidR="00463478" w:rsidRPr="003435B5">
        <w:t xml:space="preserve"> next to its design</w:t>
      </w:r>
      <w:r w:rsidR="00E80FD6" w:rsidRPr="003435B5">
        <w:t xml:space="preserve">. </w:t>
      </w:r>
      <w:r w:rsidR="0008694C" w:rsidRPr="003435B5">
        <w:t xml:space="preserve">We also hope </w:t>
      </w:r>
      <w:r w:rsidR="00C9533A">
        <w:t>step</w:t>
      </w:r>
      <w:r w:rsidR="00E80FD6" w:rsidRPr="003435B5">
        <w:t xml:space="preserve"> 1 </w:t>
      </w:r>
      <w:r w:rsidR="0008694C" w:rsidRPr="003435B5">
        <w:t>can</w:t>
      </w:r>
      <w:r w:rsidR="00E80FD6" w:rsidRPr="003435B5">
        <w:t xml:space="preserve"> provide the basic skills for one to use the basic shapes available in the </w:t>
      </w:r>
      <w:proofErr w:type="spellStart"/>
      <w:r w:rsidR="00E80FD6" w:rsidRPr="003435B5">
        <w:t>Tinkercad</w:t>
      </w:r>
      <w:proofErr w:type="spellEnd"/>
      <w:r w:rsidR="00E80FD6" w:rsidRPr="003435B5">
        <w:t xml:space="preserve"> platform to create useful apparatuses for the lab.</w:t>
      </w:r>
      <w:r w:rsidR="0008694C" w:rsidRPr="003435B5">
        <w:t xml:space="preserve"> Developing these skills, however, may require constant practice and frequent consultations of the </w:t>
      </w:r>
      <w:proofErr w:type="spellStart"/>
      <w:r w:rsidR="0008694C" w:rsidRPr="003435B5">
        <w:t>Tinkercad</w:t>
      </w:r>
      <w:proofErr w:type="spellEnd"/>
      <w:r w:rsidR="0008694C" w:rsidRPr="003435B5">
        <w:t xml:space="preserve"> help center</w:t>
      </w:r>
      <w:r w:rsidR="00D63E3C" w:rsidRPr="003435B5">
        <w:fldChar w:fldCharType="begin" w:fldLock="1"/>
      </w:r>
      <w:r w:rsidR="00D158C9" w:rsidRPr="003435B5">
        <w:instrText>ADDIN CSL_CITATION {"citationItems":[{"id":"ITEM-1","itemData":{"URL":"https://tinkercad.zendesk.com/hc/en-us/categories/200357447-FAQ","accessed":{"date-parts":[["2021","7","6"]]},"id":"ITEM-1","issued":{"date-parts":[["0"]]},"title":"FAQ – Tinkercad","type":"webpage"},"uris":["http://www.mendeley.com/documents/?uuid=75dab1a3-3089-30bf-81e1-92a3fc027d43"]}],"mendeley":{"formattedCitation":"&lt;sup&gt;45&lt;/sup&gt;","plainTextFormattedCitation":"45","previouslyFormattedCitation":"&lt;sup&gt;46&lt;/sup&gt;"},"properties":{"noteIndex":0},"schema":"https://github.com/citation-style-language/schema/raw/master/csl-citation.json"}</w:instrText>
      </w:r>
      <w:r w:rsidR="00D63E3C" w:rsidRPr="003435B5">
        <w:fldChar w:fldCharType="separate"/>
      </w:r>
      <w:r w:rsidR="00D158C9" w:rsidRPr="003435B5">
        <w:rPr>
          <w:noProof/>
          <w:vertAlign w:val="superscript"/>
        </w:rPr>
        <w:t>45</w:t>
      </w:r>
      <w:r w:rsidR="00D63E3C" w:rsidRPr="003435B5">
        <w:fldChar w:fldCharType="end"/>
      </w:r>
      <w:r w:rsidR="0008694C" w:rsidRPr="003435B5">
        <w:t>.</w:t>
      </w:r>
      <w:r w:rsidR="00E80FD6" w:rsidRPr="003435B5">
        <w:t xml:space="preserve"> </w:t>
      </w:r>
      <w:r w:rsidR="00B60D2D" w:rsidRPr="003435B5">
        <w:t xml:space="preserve">In </w:t>
      </w:r>
      <w:r w:rsidR="00C9533A">
        <w:t>step</w:t>
      </w:r>
      <w:r w:rsidR="00B60D2D" w:rsidRPr="003435B5">
        <w:t xml:space="preserve"> 3, w</w:t>
      </w:r>
      <w:r w:rsidR="00E80FD6" w:rsidRPr="003435B5">
        <w:t xml:space="preserve">e provide our own designs for apparatuses that we routinely use for general fly maintenance and behavioral studies </w:t>
      </w:r>
      <w:r w:rsidR="00333574" w:rsidRPr="003435B5">
        <w:t>with</w:t>
      </w:r>
      <w:r w:rsidR="00E80FD6" w:rsidRPr="003435B5">
        <w:t xml:space="preserve"> adults </w:t>
      </w:r>
      <w:r w:rsidR="00B60D2D" w:rsidRPr="003435B5">
        <w:t>or</w:t>
      </w:r>
      <w:r w:rsidR="00E80FD6" w:rsidRPr="003435B5">
        <w:t xml:space="preserve"> larvae</w:t>
      </w:r>
      <w:r w:rsidR="00B60D2D" w:rsidRPr="003435B5">
        <w:t>. By following step</w:t>
      </w:r>
      <w:r w:rsidR="00C9533A">
        <w:t xml:space="preserve"> </w:t>
      </w:r>
      <w:r w:rsidR="00B60D2D" w:rsidRPr="003435B5">
        <w:t xml:space="preserve">2, a researcher should be able to use </w:t>
      </w:r>
      <w:r w:rsidR="00C9533A">
        <w:t>the</w:t>
      </w:r>
      <w:r w:rsidR="00B60D2D" w:rsidRPr="003435B5">
        <w:t xml:space="preserve"> STL files provided as </w:t>
      </w:r>
      <w:r w:rsidR="00B60D2D" w:rsidRPr="00C9533A">
        <w:rPr>
          <w:b/>
          <w:bCs/>
        </w:rPr>
        <w:t xml:space="preserve">Supplemental Files </w:t>
      </w:r>
      <w:r w:rsidR="00FA12D0" w:rsidRPr="00C9533A">
        <w:rPr>
          <w:b/>
          <w:bCs/>
        </w:rPr>
        <w:t>2-</w:t>
      </w:r>
      <w:r w:rsidR="00463478" w:rsidRPr="00C9533A">
        <w:rPr>
          <w:b/>
          <w:bCs/>
        </w:rPr>
        <w:t>6</w:t>
      </w:r>
      <w:r w:rsidR="00463478" w:rsidRPr="003435B5">
        <w:t xml:space="preserve"> and </w:t>
      </w:r>
      <w:r w:rsidR="00463478" w:rsidRPr="00C9533A">
        <w:rPr>
          <w:b/>
          <w:bCs/>
        </w:rPr>
        <w:t>8-10</w:t>
      </w:r>
      <w:r w:rsidR="00B60D2D" w:rsidRPr="003435B5">
        <w:t xml:space="preserve"> </w:t>
      </w:r>
      <w:r w:rsidR="00EC6997" w:rsidRPr="003435B5">
        <w:t xml:space="preserve">in </w:t>
      </w:r>
      <w:r w:rsidR="00C9533A">
        <w:t>step</w:t>
      </w:r>
      <w:r w:rsidR="00EC6997" w:rsidRPr="003435B5">
        <w:t xml:space="preserve"> 3 </w:t>
      </w:r>
      <w:r w:rsidR="00B60D2D" w:rsidRPr="003435B5">
        <w:t xml:space="preserve">to print </w:t>
      </w:r>
      <w:r w:rsidR="00FA12D0" w:rsidRPr="003435B5">
        <w:t>tapping mat supports, funnels, Stalkers, Fly Motels, T-Mazes and RING apparatuses</w:t>
      </w:r>
      <w:r w:rsidR="00B60D2D" w:rsidRPr="003435B5">
        <w:t xml:space="preserve">. </w:t>
      </w:r>
      <w:r w:rsidR="00B60D2D" w:rsidRPr="00C9533A">
        <w:rPr>
          <w:b/>
          <w:bCs/>
        </w:rPr>
        <w:t>Figure 3</w:t>
      </w:r>
      <w:r w:rsidR="00463478" w:rsidRPr="00C9533A">
        <w:rPr>
          <w:b/>
          <w:bCs/>
        </w:rPr>
        <w:t>B-G</w:t>
      </w:r>
      <w:r w:rsidR="00B60D2D" w:rsidRPr="003435B5">
        <w:t xml:space="preserve"> shows side-by-side images of </w:t>
      </w:r>
      <w:r w:rsidR="00C9533A">
        <w:t>the</w:t>
      </w:r>
      <w:r w:rsidR="00B60D2D" w:rsidRPr="003435B5">
        <w:t xml:space="preserve"> model designs and of the actual printed </w:t>
      </w:r>
      <w:r w:rsidR="00463478" w:rsidRPr="003435B5">
        <w:t xml:space="preserve">and assembled </w:t>
      </w:r>
      <w:r w:rsidR="00B60D2D" w:rsidRPr="003435B5">
        <w:t>apparatuses.</w:t>
      </w:r>
      <w:r w:rsidR="004C57A6" w:rsidRPr="003435B5">
        <w:t xml:space="preserve"> It is important to mention that each printer may require minimal adjustments to the printing settings for optimal function; our </w:t>
      </w:r>
      <w:r w:rsidR="004C57A6" w:rsidRPr="00C9533A">
        <w:rPr>
          <w:b/>
          <w:bCs/>
        </w:rPr>
        <w:t>Supplemental File 1</w:t>
      </w:r>
      <w:r w:rsidR="004C57A6" w:rsidRPr="003435B5">
        <w:t>, however, appears to provide a robust initial set of instructions for RepRap 3D printers</w:t>
      </w:r>
      <w:r w:rsidR="00FA12D0" w:rsidRPr="003435B5">
        <w:t xml:space="preserve"> to print the abovementioned devices</w:t>
      </w:r>
      <w:r w:rsidR="004C57A6" w:rsidRPr="003435B5">
        <w:t>.</w:t>
      </w:r>
    </w:p>
    <w:p w14:paraId="5197FAF9" w14:textId="77777777" w:rsidR="002F39AA" w:rsidRPr="003435B5" w:rsidRDefault="002F39AA" w:rsidP="003435B5">
      <w:pPr>
        <w:contextualSpacing/>
      </w:pPr>
    </w:p>
    <w:p w14:paraId="2C184C37" w14:textId="6BA7B87B" w:rsidR="00F50630" w:rsidRPr="003435B5" w:rsidRDefault="0051094A" w:rsidP="003435B5">
      <w:pPr>
        <w:contextualSpacing/>
      </w:pPr>
      <w:r w:rsidRPr="003435B5">
        <w:t xml:space="preserve">In addition to providing instructions on how to create and 3D-print apparatuses that can be used for behavioral analyses in </w:t>
      </w:r>
      <w:r w:rsidRPr="003435B5">
        <w:rPr>
          <w:i/>
          <w:iCs/>
        </w:rPr>
        <w:t>Drosophila</w:t>
      </w:r>
      <w:r w:rsidRPr="003435B5">
        <w:t xml:space="preserve">, we also provide a protocol to </w:t>
      </w:r>
      <w:r w:rsidR="00D25C64" w:rsidRPr="003435B5">
        <w:t xml:space="preserve">perform assays and </w:t>
      </w:r>
      <w:r w:rsidRPr="003435B5">
        <w:t>obtain behavioral measurements using larvae (</w:t>
      </w:r>
      <w:r w:rsidR="00C9533A">
        <w:t>step</w:t>
      </w:r>
      <w:r w:rsidRPr="003435B5">
        <w:t xml:space="preserve"> 4) and a protocol for high resolution respirometry using larval homogenates (</w:t>
      </w:r>
      <w:r w:rsidR="00C9533A">
        <w:t>steps</w:t>
      </w:r>
      <w:r w:rsidRPr="003435B5">
        <w:t xml:space="preserve"> 5 and 6)</w:t>
      </w:r>
      <w:r w:rsidR="00B60D2D" w:rsidRPr="003435B5">
        <w:t xml:space="preserve"> to investigate mitochondrial metabolism</w:t>
      </w:r>
      <w:r w:rsidRPr="003435B5">
        <w:t xml:space="preserve">. </w:t>
      </w:r>
      <w:r w:rsidR="00424D98" w:rsidRPr="003435B5">
        <w:t>The mobility assays provided can easily reveal t</w:t>
      </w:r>
      <w:r w:rsidRPr="003435B5">
        <w:t xml:space="preserve">he impact </w:t>
      </w:r>
      <w:r w:rsidR="00424D98" w:rsidRPr="003435B5">
        <w:t>on larval behavior at cold temperatures, when</w:t>
      </w:r>
      <w:r w:rsidR="00FA3A6E" w:rsidRPr="003435B5">
        <w:t xml:space="preserve"> </w:t>
      </w:r>
      <w:r w:rsidR="00424D98" w:rsidRPr="003435B5">
        <w:t xml:space="preserve">the fly OXPHOS is </w:t>
      </w:r>
      <w:r w:rsidR="00FA3A6E" w:rsidRPr="003435B5">
        <w:t>directly alter</w:t>
      </w:r>
      <w:r w:rsidR="00424D98" w:rsidRPr="003435B5">
        <w:t>ed</w:t>
      </w:r>
      <w:r w:rsidR="00FA3A6E" w:rsidRPr="003435B5">
        <w:t xml:space="preserve"> by ubiquitous expressi</w:t>
      </w:r>
      <w:r w:rsidR="00424D98" w:rsidRPr="003435B5">
        <w:t>on of</w:t>
      </w:r>
      <w:r w:rsidR="00FA3A6E" w:rsidRPr="003435B5">
        <w:t xml:space="preserve"> AOX. </w:t>
      </w:r>
      <w:r w:rsidR="00333574" w:rsidRPr="003435B5">
        <w:t>AOX-expressing larvae can cover distances ~70% longer than control larvae at the stressful temperature of 12</w:t>
      </w:r>
      <w:r w:rsidR="00C9533A">
        <w:t xml:space="preserve"> </w:t>
      </w:r>
      <w:r w:rsidR="00333574" w:rsidRPr="003435B5">
        <w:t>°C (</w:t>
      </w:r>
      <w:r w:rsidR="00333574" w:rsidRPr="00C9533A">
        <w:rPr>
          <w:b/>
          <w:bCs/>
        </w:rPr>
        <w:t>Figure 4A</w:t>
      </w:r>
      <w:r w:rsidR="00333574" w:rsidRPr="003435B5">
        <w:t xml:space="preserve">), apparently due to the ~40% </w:t>
      </w:r>
      <w:r w:rsidR="00597E85" w:rsidRPr="003435B5">
        <w:t>higher number of</w:t>
      </w:r>
      <w:r w:rsidR="00333574" w:rsidRPr="003435B5">
        <w:t xml:space="preserve"> peristaltic movements of the body wall (</w:t>
      </w:r>
      <w:r w:rsidR="00333574" w:rsidRPr="00C9533A">
        <w:rPr>
          <w:b/>
          <w:bCs/>
        </w:rPr>
        <w:t>Figure 4B</w:t>
      </w:r>
      <w:r w:rsidR="00333574" w:rsidRPr="003435B5">
        <w:t xml:space="preserve">). </w:t>
      </w:r>
      <w:r w:rsidR="00D25C64" w:rsidRPr="003435B5">
        <w:t xml:space="preserve">We can also easily </w:t>
      </w:r>
      <w:r w:rsidR="001D08FD" w:rsidRPr="003435B5">
        <w:t>associate</w:t>
      </w:r>
      <w:r w:rsidR="00D25C64" w:rsidRPr="003435B5">
        <w:t xml:space="preserve"> this change in behavior with changes in mitochondrial function. </w:t>
      </w:r>
      <w:r w:rsidR="00D25C64" w:rsidRPr="00C9533A">
        <w:rPr>
          <w:b/>
          <w:bCs/>
        </w:rPr>
        <w:t>Figure 5A</w:t>
      </w:r>
      <w:r w:rsidR="00D25C64" w:rsidRPr="003435B5">
        <w:t xml:space="preserve"> shows </w:t>
      </w:r>
      <w:r w:rsidR="00BD3F72" w:rsidRPr="003435B5">
        <w:t xml:space="preserve">the </w:t>
      </w:r>
      <w:r w:rsidR="00D25C64" w:rsidRPr="003435B5">
        <w:t>traces of oxygen consumption as a representative outcome of an experiment using larval homogenates. It is evident that the mitochondria of AOX-expressing larvae ha</w:t>
      </w:r>
      <w:r w:rsidR="000701D8" w:rsidRPr="003435B5">
        <w:t>ve</w:t>
      </w:r>
      <w:r w:rsidR="00D25C64" w:rsidRPr="003435B5">
        <w:t xml:space="preserve"> antimycin A-resistant respiration, which is sensitive to </w:t>
      </w:r>
      <w:r w:rsidR="00362DF5" w:rsidRPr="003435B5">
        <w:t xml:space="preserve">the AOX inhibitor </w:t>
      </w:r>
      <w:r w:rsidR="00D25C64" w:rsidRPr="003435B5">
        <w:t>propyl-gallate</w:t>
      </w:r>
      <w:r w:rsidR="00362DF5" w:rsidRPr="003435B5">
        <w:t xml:space="preserve"> (green arrow in </w:t>
      </w:r>
      <w:r w:rsidR="00362DF5" w:rsidRPr="00C9533A">
        <w:rPr>
          <w:b/>
          <w:bCs/>
        </w:rPr>
        <w:t>Figure 5A</w:t>
      </w:r>
      <w:r w:rsidR="00362DF5" w:rsidRPr="003435B5">
        <w:t xml:space="preserve">, and </w:t>
      </w:r>
      <w:r w:rsidR="00362DF5" w:rsidRPr="00C9533A">
        <w:rPr>
          <w:b/>
          <w:bCs/>
        </w:rPr>
        <w:t>Figure 5B</w:t>
      </w:r>
      <w:r w:rsidR="00362DF5" w:rsidRPr="003435B5">
        <w:t>)</w:t>
      </w:r>
      <w:r w:rsidR="00FC0C97" w:rsidRPr="003435B5">
        <w:t xml:space="preserve">, </w:t>
      </w:r>
      <w:r w:rsidR="000701D8" w:rsidRPr="003435B5">
        <w:t>and</w:t>
      </w:r>
      <w:r w:rsidR="00FC0C97" w:rsidRPr="003435B5">
        <w:t xml:space="preserve"> consistent with previously published data using adult flies</w:t>
      </w:r>
      <w:r w:rsidR="000701D8" w:rsidRPr="003435B5">
        <w:t xml:space="preserve"> </w:t>
      </w:r>
      <w:r w:rsidR="00FC0C97" w:rsidRPr="003435B5">
        <w:t>and the expected</w:t>
      </w:r>
      <w:r w:rsidR="00362DF5" w:rsidRPr="003435B5">
        <w:t xml:space="preserve"> </w:t>
      </w:r>
      <w:r w:rsidR="00FC0C97" w:rsidRPr="003435B5">
        <w:t xml:space="preserve">function </w:t>
      </w:r>
      <w:r w:rsidR="00362DF5" w:rsidRPr="003435B5">
        <w:t>of AOX</w:t>
      </w:r>
      <w:r w:rsidR="001D08FD" w:rsidRPr="003435B5">
        <w:fldChar w:fldCharType="begin" w:fldLock="1"/>
      </w:r>
      <w:r w:rsidR="00D158C9" w:rsidRPr="003435B5">
        <w:instrText>ADDIN CSL_CITATION {"citationItems":[{"id":"ITEM-1","itemData":{"DOI":"10.1016/j.cmet.2009.03.004","ISSN":"15504131","abstract":"Defects in mitochondrial OXPHOS are associated with diverse and mostly intractable human disorders. The single-subunit alternative oxidase (AOX) found in many eukaryotes, but not in arthropods or vertebrates, offers a potential bypass of the OXPHOS cytochrome chain under conditions of pathological OXPHOS inhibition. We have engineered Ciona intestinalis AOX for conditional expression in Drosophila melanogaster. Ubiquitous AOX expression produced no detrimental phenotype in wild-type flies. However, mitochondrial suspensions from AOX-expressing flies exhibited a significant cyanide-resistant substrate oxidation, and the flies were partially resistant to both cyanide and antimycin. AOX expression was able to complement the semilethality of partial knockdown of both cyclope (COXVIc) and the complex IV assembly factor Surf1. It also rescued the locomotor defect and excess mitochondrial ROS production of flies mutated in dj-1β, a Drosophila homolog of the human Parkinson's disease gene DJ1. AOX appears to offer promise as a wide-spectrum therapeutic tool in OXPHOS disorders. © 2009 Elsevier Inc. All rights reserved.","author":[{"dropping-particle":"","family":"Fernandez-Ayala","given":"Daniel J.M.","non-dropping-particle":"","parse-names":false,"suffix":""},{"dropping-particle":"","family":"Sanz","given":"Alberto","non-dropping-particle":"","parse-names":false,"suffix":""},{"dropping-particle":"","family":"Vartiainen","given":"Suvi","non-dropping-particle":"","parse-names":false,"suffix":""},{"dropping-particle":"","family":"Kemppainen","given":"Kia K.","non-dropping-particle":"","parse-names":false,"suffix":""},{"dropping-particle":"","family":"Babusiak","given":"Marek","non-dropping-particle":"","parse-names":false,"suffix":""},{"dropping-particle":"","family":"Mustalahti","given":"Eero","non-dropping-particle":"","parse-names":false,"suffix":""},{"dropping-particle":"","family":"Costa","given":"Rodolfo","non-dropping-particle":"","parse-names":false,"suffix":""},{"dropping-particle":"","family":"Tuomela","given":"Tea","non-dropping-particle":"","parse-names":false,"suffix":""},{"dropping-particle":"","family":"Zeviani","given":"Massimo","non-dropping-particle":"","parse-names":false,"suffix":""},{"dropping-particle":"","family":"Chung","given":"Jongkyeong","non-dropping-particle":"","parse-names":false,"suffix":""},{"dropping-particle":"","family":"O'Dell","given":"Kevin M.C.","non-dropping-particle":"","parse-names":false,"suffix":""},{"dropping-particle":"","family":"Rustin","given":"Pierre","non-dropping-particle":"","parse-names":false,"suffix":""},{"dropping-particle":"","family":"Jacobs","given":"Howard T.","non-dropping-particle":"","parse-names":false,"suffix":""}],"container-title":"Cell Metabolism","id":"ITEM-1","issue":"5","issued":{"date-parts":[["2009"]]},"page":"449-460","title":"Expression of the Ciona intestinalis Alternative Oxidase (AOX) in Drosophila Complements Defects in Mitochondrial Oxidative Phosphorylation","type":"article-journal","volume":"9"},"uris":["http://www.mendeley.com/documents/?uuid=64a355cb-0482-4d7f-98b6-126fee6e5c09"]}],"mendeley":{"formattedCitation":"&lt;sup&gt;24&lt;/sup&gt;","plainTextFormattedCitation":"24","previouslyFormattedCitation":"&lt;sup&gt;26&lt;/sup&gt;"},"properties":{"noteIndex":0},"schema":"https://github.com/citation-style-language/schema/raw/master/csl-citation.json"}</w:instrText>
      </w:r>
      <w:r w:rsidR="001D08FD" w:rsidRPr="003435B5">
        <w:fldChar w:fldCharType="separate"/>
      </w:r>
      <w:r w:rsidR="00D158C9" w:rsidRPr="003435B5">
        <w:rPr>
          <w:noProof/>
          <w:vertAlign w:val="superscript"/>
        </w:rPr>
        <w:t>24</w:t>
      </w:r>
      <w:r w:rsidR="001D08FD" w:rsidRPr="003435B5">
        <w:fldChar w:fldCharType="end"/>
      </w:r>
      <w:r w:rsidR="00362DF5" w:rsidRPr="003435B5">
        <w:t xml:space="preserve">. Quantification of the different oxygen consumption states also indicates that </w:t>
      </w:r>
      <w:r w:rsidR="00362DF5" w:rsidRPr="003435B5">
        <w:rPr>
          <w:i/>
          <w:iCs/>
        </w:rPr>
        <w:t>L</w:t>
      </w:r>
      <w:r w:rsidR="00362DF5" w:rsidRPr="003435B5">
        <w:rPr>
          <w:vertAlign w:val="subscript"/>
        </w:rPr>
        <w:t>N</w:t>
      </w:r>
      <w:r w:rsidR="00362DF5" w:rsidRPr="003435B5">
        <w:t xml:space="preserve"> respiration is elevated in AOX-expressing larvae (</w:t>
      </w:r>
      <w:r w:rsidR="00362DF5" w:rsidRPr="00C9533A">
        <w:rPr>
          <w:b/>
          <w:bCs/>
        </w:rPr>
        <w:t>Figure 5B</w:t>
      </w:r>
      <w:r w:rsidR="00362DF5" w:rsidRPr="003435B5">
        <w:t>)</w:t>
      </w:r>
      <w:r w:rsidR="004D070D" w:rsidRPr="003435B5">
        <w:t>. This</w:t>
      </w:r>
      <w:r w:rsidR="00FC0C97" w:rsidRPr="003435B5">
        <w:t xml:space="preserve"> in turn</w:t>
      </w:r>
      <w:r w:rsidR="004D070D" w:rsidRPr="003435B5">
        <w:t xml:space="preserve"> is reflected in the calculations for respiratory control ratio (RCR), which is a parameter that indicates how coupled mitochondria are by dividing the values for OXPHOS respiration by those of</w:t>
      </w:r>
      <w:r w:rsidR="00501AFE" w:rsidRPr="003435B5">
        <w:t xml:space="preserve"> Leak respiration</w:t>
      </w:r>
      <w:r w:rsidR="003D10BB" w:rsidRPr="003435B5">
        <w:fldChar w:fldCharType="begin" w:fldLock="1"/>
      </w:r>
      <w:r w:rsidR="00D158C9" w:rsidRPr="003435B5">
        <w:instrText>ADDIN CSL_CITATION {"citationItems":[{"id":"ITEM-1","itemData":{"DOI":"10.1016/0307-4412(95)00156-5","ISSN":"03074412","author":[{"dropping-particle":"","family":"Morton","given":"J.D.","non-dropping-particle":"","parse-names":false,"suffix":""},{"dropping-particle":"","family":"Barnes","given":"M.F.","non-dropping-particle":"","parse-names":false,"suffix":""},{"dropping-particle":"","family":"Zyskowski","given":"R.F.","non-dropping-particle":"","parse-names":false,"suffix":""}],"container-title":"Biochemical Education","id":"ITEM-1","issue":"2","issued":{"date-parts":[["1996","4","1"]]},"page":"110-111","publisher":"Elsevier Ltd","title":"Respiratory control ratio: A computer simulation of oxidative phosphorylation","type":"article-journal","volume":"24"},"uris":["http://www.mendeley.com/documents/?uuid=a281aaef-f57a-30d1-97f4-cfc999a46597"]},{"id":"ITEM-2","itemData":{"ISSN":"00219258","PMID":"13271402","author":[{"dropping-particle":"","family":"Chance","given":"B.","non-dropping-particle":"","parse-names":false,"suffix":""},{"dropping-particle":"","family":"Williams","given":"G. R.","non-dropping-particle":"","parse-names":false,"suffix":""}],"container-title":"The Journal of Biological Chemistry","id":"ITEM-2","issue":"1","issued":{"date-parts":[["1955","11"]]},"page":"383-393","publisher":"J Biol Chem","title":"Respiratory enzymes in oxidative phosphorylation. I. Kinetics of oxygen utilization.","type":"article-journal","volume":"217"},"uris":["http://www.mendeley.com/documents/?uuid=bfff611c-2ff7-3c61-b48a-dec0610ba263"]}],"mendeley":{"formattedCitation":"&lt;sup&gt;46, 47&lt;/sup&gt;","plainTextFormattedCitation":"46, 47","previouslyFormattedCitation":"&lt;sup&gt;47, 48&lt;/sup&gt;"},"properties":{"noteIndex":0},"schema":"https://github.com/citation-style-language/schema/raw/master/csl-citation.json"}</w:instrText>
      </w:r>
      <w:r w:rsidR="003D10BB" w:rsidRPr="003435B5">
        <w:fldChar w:fldCharType="separate"/>
      </w:r>
      <w:r w:rsidR="00D158C9" w:rsidRPr="003435B5">
        <w:rPr>
          <w:noProof/>
          <w:vertAlign w:val="superscript"/>
        </w:rPr>
        <w:t>46, 47</w:t>
      </w:r>
      <w:r w:rsidR="003D10BB" w:rsidRPr="003435B5">
        <w:fldChar w:fldCharType="end"/>
      </w:r>
      <w:r w:rsidR="00501AFE" w:rsidRPr="003435B5">
        <w:t>. The lower RCR</w:t>
      </w:r>
      <w:r w:rsidR="004D070D" w:rsidRPr="003435B5">
        <w:t xml:space="preserve"> </w:t>
      </w:r>
      <w:r w:rsidR="00501AFE" w:rsidRPr="003435B5">
        <w:t>in AOX-expressing larvae suggests mitochondria are less coupled in these flies (</w:t>
      </w:r>
      <w:r w:rsidR="00501AFE" w:rsidRPr="00C9533A">
        <w:rPr>
          <w:b/>
          <w:bCs/>
        </w:rPr>
        <w:t>Figure 5C</w:t>
      </w:r>
      <w:r w:rsidR="00501AFE" w:rsidRPr="003435B5">
        <w:t>). We speculate that the energy that is not being used for ATP synthesis is in fact being dissipated as heat, which gives AOX-expressing larvae more mobility</w:t>
      </w:r>
      <w:r w:rsidR="00855FEB" w:rsidRPr="003435B5">
        <w:t xml:space="preserve"> at such </w:t>
      </w:r>
      <w:r w:rsidR="00333574" w:rsidRPr="003435B5">
        <w:t xml:space="preserve">an </w:t>
      </w:r>
      <w:r w:rsidR="00855FEB" w:rsidRPr="003435B5">
        <w:t>extremely stressful temperature.</w:t>
      </w:r>
    </w:p>
    <w:p w14:paraId="3C86A232" w14:textId="373ABAC5" w:rsidR="00EC6997" w:rsidRPr="003435B5" w:rsidRDefault="00EC6997" w:rsidP="003435B5">
      <w:pPr>
        <w:contextualSpacing/>
        <w:rPr>
          <w:b/>
        </w:rPr>
      </w:pPr>
    </w:p>
    <w:p w14:paraId="4D7A23FE" w14:textId="323474EB" w:rsidR="00FA387F" w:rsidRPr="003435B5" w:rsidRDefault="00FA387F" w:rsidP="003435B5">
      <w:pPr>
        <w:contextualSpacing/>
      </w:pPr>
      <w:r w:rsidRPr="003435B5">
        <w:rPr>
          <w:b/>
        </w:rPr>
        <w:t>FIGURE AND TABLE LEGENDS:</w:t>
      </w:r>
    </w:p>
    <w:p w14:paraId="48EA90EB" w14:textId="2673B29E" w:rsidR="00EA4F29" w:rsidRPr="003435B5" w:rsidRDefault="00D93A8C" w:rsidP="003435B5">
      <w:pPr>
        <w:contextualSpacing/>
        <w:rPr>
          <w:rFonts w:asciiTheme="majorHAnsi" w:hAnsiTheme="majorHAnsi" w:cstheme="majorHAnsi"/>
        </w:rPr>
      </w:pPr>
      <w:r w:rsidRPr="00C9533A">
        <w:rPr>
          <w:b/>
          <w:bCs/>
        </w:rPr>
        <w:t xml:space="preserve">Figure 1. Modeling of a small fly vial rack using </w:t>
      </w:r>
      <w:proofErr w:type="spellStart"/>
      <w:r w:rsidRPr="00C9533A">
        <w:rPr>
          <w:b/>
          <w:bCs/>
        </w:rPr>
        <w:t>Tinkercad</w:t>
      </w:r>
      <w:proofErr w:type="spellEnd"/>
      <w:r w:rsidRPr="00C9533A">
        <w:rPr>
          <w:b/>
          <w:bCs/>
        </w:rPr>
        <w:t>.</w:t>
      </w:r>
      <w:r w:rsidRPr="003435B5">
        <w:t xml:space="preserve"> </w:t>
      </w:r>
      <w:r w:rsidR="00C9533A">
        <w:t>(</w:t>
      </w:r>
      <w:r w:rsidRPr="00C9533A">
        <w:rPr>
          <w:b/>
          <w:bCs/>
        </w:rPr>
        <w:t>A</w:t>
      </w:r>
      <w:r w:rsidR="00C9533A">
        <w:t>)</w:t>
      </w:r>
      <w:r w:rsidRPr="003435B5">
        <w:t xml:space="preserve"> Access to the modeling platform is given online</w:t>
      </w:r>
      <w:r w:rsidR="00242251" w:rsidRPr="003435B5">
        <w:fldChar w:fldCharType="begin" w:fldLock="1"/>
      </w:r>
      <w:r w:rsidR="00D158C9" w:rsidRPr="003435B5">
        <w:instrText>ADDIN CSL_CITATION {"citationItems":[{"id":"ITEM-1","itemData":{"URL":"https://www.tinkercad.com/login","accessed":{"date-parts":[["2021","7","6"]]},"id":"ITEM-1","issued":{"date-parts":[["0"]]},"title":"Login | Tinkercad","type":"webpage"},"uris":["http://www.mendeley.com/documents/?uuid=2aebb1e7-f372-3a80-b7bf-03e5093d78f7"]}],"mendeley":{"formattedCitation":"&lt;sup&gt;38&lt;/sup&gt;","plainTextFormattedCitation":"38","previouslyFormattedCitation":"&lt;sup&gt;40&lt;/sup&gt;"},"properties":{"noteIndex":0},"schema":"https://github.com/citation-style-language/schema/raw/master/csl-citation.json"}</w:instrText>
      </w:r>
      <w:r w:rsidR="00242251" w:rsidRPr="003435B5">
        <w:fldChar w:fldCharType="separate"/>
      </w:r>
      <w:r w:rsidR="00D158C9" w:rsidRPr="003435B5">
        <w:rPr>
          <w:noProof/>
          <w:vertAlign w:val="superscript"/>
        </w:rPr>
        <w:t>38</w:t>
      </w:r>
      <w:r w:rsidR="00242251" w:rsidRPr="003435B5">
        <w:fldChar w:fldCharType="end"/>
      </w:r>
      <w:r w:rsidR="00D9238E" w:rsidRPr="003435B5">
        <w:t xml:space="preserve"> </w:t>
      </w:r>
      <w:r w:rsidRPr="003435B5">
        <w:rPr>
          <w:rStyle w:val="Hyperlink"/>
          <w:color w:val="auto"/>
          <w:u w:val="none"/>
        </w:rPr>
        <w:t xml:space="preserve">using the user´s preferred password-protected credentials. </w:t>
      </w:r>
      <w:r w:rsidR="00C9533A">
        <w:t>(</w:t>
      </w:r>
      <w:r w:rsidR="00C9533A">
        <w:rPr>
          <w:b/>
          <w:bCs/>
        </w:rPr>
        <w:t>B</w:t>
      </w:r>
      <w:r w:rsidR="00C9533A">
        <w:t>)</w:t>
      </w:r>
      <w:r w:rsidR="00C9533A" w:rsidRPr="003435B5">
        <w:t xml:space="preserve"> </w:t>
      </w:r>
      <w:r w:rsidRPr="003435B5">
        <w:rPr>
          <w:rStyle w:val="Hyperlink"/>
          <w:color w:val="auto"/>
          <w:u w:val="none"/>
        </w:rPr>
        <w:t xml:space="preserve">General view of </w:t>
      </w:r>
      <w:r w:rsidRPr="003435B5">
        <w:rPr>
          <w:rStyle w:val="Hyperlink"/>
          <w:color w:val="auto"/>
          <w:u w:val="none"/>
        </w:rPr>
        <w:lastRenderedPageBreak/>
        <w:t xml:space="preserve">the platform. Blue </w:t>
      </w:r>
      <w:r w:rsidR="002723CB" w:rsidRPr="003435B5">
        <w:rPr>
          <w:rStyle w:val="Hyperlink"/>
          <w:color w:val="auto"/>
          <w:u w:val="none"/>
        </w:rPr>
        <w:t>square</w:t>
      </w:r>
      <w:r w:rsidRPr="003435B5">
        <w:rPr>
          <w:rStyle w:val="Hyperlink"/>
          <w:color w:val="auto"/>
          <w:u w:val="none"/>
        </w:rPr>
        <w:t xml:space="preserve"> 1 indicates the </w:t>
      </w:r>
      <w:proofErr w:type="spellStart"/>
      <w:r w:rsidRPr="003435B5">
        <w:rPr>
          <w:rStyle w:val="Hyperlink"/>
          <w:color w:val="auto"/>
          <w:u w:val="none"/>
        </w:rPr>
        <w:t>workplane</w:t>
      </w:r>
      <w:proofErr w:type="spellEnd"/>
      <w:r w:rsidRPr="003435B5">
        <w:rPr>
          <w:rStyle w:val="Hyperlink"/>
          <w:color w:val="auto"/>
          <w:u w:val="none"/>
        </w:rPr>
        <w:t xml:space="preserve">, which </w:t>
      </w:r>
      <w:r w:rsidRPr="003435B5">
        <w:rPr>
          <w:rFonts w:asciiTheme="majorHAnsi" w:hAnsiTheme="majorHAnsi" w:cstheme="majorHAnsi"/>
        </w:rPr>
        <w:t>represents the printer table,</w:t>
      </w:r>
      <w:r w:rsidRPr="003435B5">
        <w:rPr>
          <w:rStyle w:val="Hyperlink"/>
          <w:color w:val="auto"/>
          <w:u w:val="none"/>
        </w:rPr>
        <w:t xml:space="preserve"> where objects are designed. Blue </w:t>
      </w:r>
      <w:r w:rsidR="002723CB" w:rsidRPr="003435B5">
        <w:rPr>
          <w:rStyle w:val="Hyperlink"/>
          <w:color w:val="auto"/>
          <w:u w:val="none"/>
        </w:rPr>
        <w:t>square</w:t>
      </w:r>
      <w:r w:rsidRPr="003435B5">
        <w:rPr>
          <w:rStyle w:val="Hyperlink"/>
          <w:color w:val="auto"/>
          <w:u w:val="none"/>
        </w:rPr>
        <w:t xml:space="preserve"> 2, Basic Shapes menu, where several pre-made shapes are found. Blue </w:t>
      </w:r>
      <w:r w:rsidR="002723CB" w:rsidRPr="003435B5">
        <w:rPr>
          <w:rStyle w:val="Hyperlink"/>
          <w:color w:val="auto"/>
          <w:u w:val="none"/>
        </w:rPr>
        <w:t>square</w:t>
      </w:r>
      <w:r w:rsidRPr="003435B5">
        <w:rPr>
          <w:rStyle w:val="Hyperlink"/>
          <w:color w:val="auto"/>
          <w:u w:val="none"/>
        </w:rPr>
        <w:t xml:space="preserve"> 3, a menu with useful </w:t>
      </w:r>
      <w:r w:rsidRPr="003435B5">
        <w:rPr>
          <w:rFonts w:asciiTheme="majorHAnsi" w:hAnsiTheme="majorHAnsi" w:cstheme="majorHAnsi"/>
        </w:rPr>
        <w:t xml:space="preserve">functions, such as mirror, copy, duplicate and combine. Blue </w:t>
      </w:r>
      <w:r w:rsidR="002723CB" w:rsidRPr="003435B5">
        <w:rPr>
          <w:rFonts w:asciiTheme="majorHAnsi" w:hAnsiTheme="majorHAnsi" w:cstheme="majorHAnsi"/>
        </w:rPr>
        <w:t>square</w:t>
      </w:r>
      <w:r w:rsidRPr="003435B5">
        <w:rPr>
          <w:rFonts w:asciiTheme="majorHAnsi" w:hAnsiTheme="majorHAnsi" w:cstheme="majorHAnsi"/>
        </w:rPr>
        <w:t xml:space="preserve"> 4, </w:t>
      </w:r>
      <w:proofErr w:type="spellStart"/>
      <w:r w:rsidRPr="003435B5">
        <w:rPr>
          <w:rFonts w:asciiTheme="majorHAnsi" w:hAnsiTheme="majorHAnsi" w:cstheme="majorHAnsi"/>
        </w:rPr>
        <w:t>workplane</w:t>
      </w:r>
      <w:proofErr w:type="spellEnd"/>
      <w:r w:rsidRPr="003435B5">
        <w:rPr>
          <w:rFonts w:asciiTheme="majorHAnsi" w:hAnsiTheme="majorHAnsi" w:cstheme="majorHAnsi"/>
        </w:rPr>
        <w:t xml:space="preserve"> movement menu, which controls rotations of the </w:t>
      </w:r>
      <w:proofErr w:type="spellStart"/>
      <w:r w:rsidRPr="003435B5">
        <w:rPr>
          <w:rFonts w:asciiTheme="majorHAnsi" w:hAnsiTheme="majorHAnsi" w:cstheme="majorHAnsi"/>
        </w:rPr>
        <w:t>workplane</w:t>
      </w:r>
      <w:proofErr w:type="spellEnd"/>
      <w:r w:rsidRPr="003435B5">
        <w:rPr>
          <w:rFonts w:asciiTheme="majorHAnsi" w:hAnsiTheme="majorHAnsi" w:cstheme="majorHAnsi"/>
        </w:rPr>
        <w:t xml:space="preserve"> to better view the object being modeled. Positioning the side of the cube using the mouse´s left button to “Top”, “Bottom”, “Front”, “Back”, “Right” and “Left” shows views of the object from different angles. Blue </w:t>
      </w:r>
      <w:r w:rsidR="002723CB" w:rsidRPr="003435B5">
        <w:rPr>
          <w:rFonts w:asciiTheme="majorHAnsi" w:hAnsiTheme="majorHAnsi" w:cstheme="majorHAnsi"/>
        </w:rPr>
        <w:t>square</w:t>
      </w:r>
      <w:r w:rsidRPr="003435B5">
        <w:rPr>
          <w:rFonts w:asciiTheme="majorHAnsi" w:hAnsiTheme="majorHAnsi" w:cstheme="majorHAnsi"/>
        </w:rPr>
        <w:t xml:space="preserve"> 5, left menu containing other useful functions, such as zoom in and zoom out, among others.</w:t>
      </w:r>
      <w:r w:rsidR="002723CB" w:rsidRPr="003435B5">
        <w:rPr>
          <w:rFonts w:asciiTheme="majorHAnsi" w:hAnsiTheme="majorHAnsi" w:cstheme="majorHAnsi"/>
        </w:rPr>
        <w:t xml:space="preserve"> Red square, “Edit Grid” and “Snap Grip” options. </w:t>
      </w:r>
      <w:r w:rsidR="00C9533A">
        <w:t>(</w:t>
      </w:r>
      <w:r w:rsidR="00C9533A">
        <w:rPr>
          <w:b/>
          <w:bCs/>
        </w:rPr>
        <w:t>C</w:t>
      </w:r>
      <w:r w:rsidR="00C9533A">
        <w:t>)</w:t>
      </w:r>
      <w:r w:rsidR="00C9533A" w:rsidRPr="003435B5">
        <w:t xml:space="preserve"> </w:t>
      </w:r>
      <w:r w:rsidR="00C9533A">
        <w:rPr>
          <w:rFonts w:asciiTheme="majorHAnsi" w:hAnsiTheme="majorHAnsi" w:cstheme="majorHAnsi"/>
        </w:rPr>
        <w:t>T</w:t>
      </w:r>
      <w:r w:rsidR="002723CB" w:rsidRPr="003435B5">
        <w:rPr>
          <w:rFonts w:asciiTheme="majorHAnsi" w:hAnsiTheme="majorHAnsi" w:cstheme="majorHAnsi"/>
        </w:rPr>
        <w:t xml:space="preserve">he Edit Grid window, where the </w:t>
      </w:r>
      <w:proofErr w:type="spellStart"/>
      <w:r w:rsidR="002723CB" w:rsidRPr="003435B5">
        <w:rPr>
          <w:rFonts w:asciiTheme="majorHAnsi" w:hAnsiTheme="majorHAnsi" w:cstheme="majorHAnsi"/>
        </w:rPr>
        <w:t>workplane</w:t>
      </w:r>
      <w:proofErr w:type="spellEnd"/>
      <w:r w:rsidR="002723CB" w:rsidRPr="003435B5">
        <w:rPr>
          <w:rFonts w:asciiTheme="majorHAnsi" w:hAnsiTheme="majorHAnsi" w:cstheme="majorHAnsi"/>
        </w:rPr>
        <w:t xml:space="preserve"> can be edited. </w:t>
      </w:r>
      <w:r w:rsidR="00C9533A">
        <w:t>(</w:t>
      </w:r>
      <w:r w:rsidR="00C9533A">
        <w:rPr>
          <w:b/>
          <w:bCs/>
        </w:rPr>
        <w:t>D</w:t>
      </w:r>
      <w:r w:rsidR="00C9533A">
        <w:t>)</w:t>
      </w:r>
      <w:r w:rsidR="00C9533A" w:rsidRPr="003435B5">
        <w:t xml:space="preserve"> </w:t>
      </w:r>
      <w:r w:rsidR="002723CB" w:rsidRPr="003435B5">
        <w:rPr>
          <w:rFonts w:asciiTheme="majorHAnsi" w:hAnsiTheme="majorHAnsi" w:cstheme="majorHAnsi"/>
        </w:rPr>
        <w:t xml:space="preserve">The design of a solid box (future vial rack). Red squares indicate the textboxes in which the dimensions of </w:t>
      </w:r>
      <w:r w:rsidR="00AD54FA" w:rsidRPr="003435B5">
        <w:rPr>
          <w:rFonts w:asciiTheme="majorHAnsi" w:hAnsiTheme="majorHAnsi" w:cstheme="majorHAnsi"/>
        </w:rPr>
        <w:t xml:space="preserve">the </w:t>
      </w:r>
      <w:r w:rsidR="002723CB" w:rsidRPr="003435B5">
        <w:rPr>
          <w:rFonts w:asciiTheme="majorHAnsi" w:hAnsiTheme="majorHAnsi" w:cstheme="majorHAnsi"/>
        </w:rPr>
        <w:t>box</w:t>
      </w:r>
      <w:r w:rsidR="00AD54FA" w:rsidRPr="003435B5">
        <w:rPr>
          <w:rFonts w:asciiTheme="majorHAnsi" w:hAnsiTheme="majorHAnsi" w:cstheme="majorHAnsi"/>
        </w:rPr>
        <w:t xml:space="preserve"> can be</w:t>
      </w:r>
      <w:r w:rsidR="002723CB" w:rsidRPr="003435B5">
        <w:rPr>
          <w:rFonts w:asciiTheme="majorHAnsi" w:hAnsiTheme="majorHAnsi" w:cstheme="majorHAnsi"/>
        </w:rPr>
        <w:t xml:space="preserve"> typed. </w:t>
      </w:r>
      <w:r w:rsidR="00C9533A">
        <w:t>(</w:t>
      </w:r>
      <w:r w:rsidR="00C9533A">
        <w:rPr>
          <w:b/>
          <w:bCs/>
        </w:rPr>
        <w:t>E</w:t>
      </w:r>
      <w:r w:rsidR="00C9533A">
        <w:t>)</w:t>
      </w:r>
      <w:r w:rsidR="00C9533A" w:rsidRPr="003435B5">
        <w:t xml:space="preserve"> </w:t>
      </w:r>
      <w:r w:rsidR="002723CB" w:rsidRPr="003435B5">
        <w:rPr>
          <w:rFonts w:asciiTheme="majorHAnsi" w:hAnsiTheme="majorHAnsi" w:cstheme="majorHAnsi"/>
        </w:rPr>
        <w:t xml:space="preserve">The design of a solid box (future vial rack) of 130 (length) x 130 (width) x 40 (height) mm. </w:t>
      </w:r>
      <w:proofErr w:type="gramStart"/>
      <w:r w:rsidR="002723CB" w:rsidRPr="003435B5">
        <w:rPr>
          <w:rFonts w:asciiTheme="majorHAnsi" w:hAnsiTheme="majorHAnsi" w:cstheme="majorHAnsi"/>
        </w:rPr>
        <w:t>Red</w:t>
      </w:r>
      <w:proofErr w:type="gramEnd"/>
      <w:r w:rsidR="002723CB" w:rsidRPr="003435B5">
        <w:rPr>
          <w:rFonts w:asciiTheme="majorHAnsi" w:hAnsiTheme="majorHAnsi" w:cstheme="majorHAnsi"/>
        </w:rPr>
        <w:t xml:space="preserve"> square 1 indicates the tool “Ruler”; red square 2, the lower left vertex of the box, which will become the initial point (x = 0, y = 0, z = 0) of a tridimensional Cartesian coordinate system. </w:t>
      </w:r>
      <w:r w:rsidR="00C9533A">
        <w:t>(</w:t>
      </w:r>
      <w:r w:rsidR="00C9533A">
        <w:rPr>
          <w:b/>
          <w:bCs/>
        </w:rPr>
        <w:t>F</w:t>
      </w:r>
      <w:r w:rsidR="00C9533A">
        <w:t>)</w:t>
      </w:r>
      <w:r w:rsidR="00C9533A" w:rsidRPr="003435B5">
        <w:t xml:space="preserve"> </w:t>
      </w:r>
      <w:r w:rsidR="002723CB" w:rsidRPr="003435B5">
        <w:rPr>
          <w:rFonts w:asciiTheme="majorHAnsi" w:hAnsiTheme="majorHAnsi" w:cstheme="majorHAnsi"/>
        </w:rPr>
        <w:t xml:space="preserve">The same solid box as in E, with red squares A-C illustrating that the lower left vertex of the box is now 0.00 mm away in all axes from the initial point of a tridimensional Cartesian coordinate system. </w:t>
      </w:r>
      <w:r w:rsidR="00C9533A">
        <w:t>(</w:t>
      </w:r>
      <w:r w:rsidR="00C9533A">
        <w:rPr>
          <w:b/>
          <w:bCs/>
        </w:rPr>
        <w:t>G</w:t>
      </w:r>
      <w:r w:rsidR="00C9533A">
        <w:t>)</w:t>
      </w:r>
      <w:r w:rsidR="00C9533A" w:rsidRPr="003435B5">
        <w:t xml:space="preserve"> </w:t>
      </w:r>
      <w:r w:rsidR="002723CB" w:rsidRPr="003435B5">
        <w:rPr>
          <w:rFonts w:asciiTheme="majorHAnsi" w:hAnsiTheme="majorHAnsi" w:cstheme="majorHAnsi"/>
        </w:rPr>
        <w:t>A</w:t>
      </w:r>
      <w:r w:rsidRPr="003435B5">
        <w:rPr>
          <w:rFonts w:asciiTheme="majorHAnsi" w:hAnsiTheme="majorHAnsi" w:cstheme="majorHAnsi"/>
        </w:rPr>
        <w:t>n empty (hole) box (future space for a fly vial)</w:t>
      </w:r>
      <w:r w:rsidR="002723CB" w:rsidRPr="003435B5">
        <w:rPr>
          <w:rFonts w:asciiTheme="majorHAnsi" w:hAnsiTheme="majorHAnsi" w:cstheme="majorHAnsi"/>
        </w:rPr>
        <w:t xml:space="preserve"> of 30 x 30 x 40 mm is inserted in the </w:t>
      </w:r>
      <w:proofErr w:type="spellStart"/>
      <w:r w:rsidR="002723CB" w:rsidRPr="003435B5">
        <w:rPr>
          <w:rFonts w:asciiTheme="majorHAnsi" w:hAnsiTheme="majorHAnsi" w:cstheme="majorHAnsi"/>
        </w:rPr>
        <w:t>workplane</w:t>
      </w:r>
      <w:proofErr w:type="spellEnd"/>
      <w:r w:rsidRPr="003435B5">
        <w:rPr>
          <w:rFonts w:asciiTheme="majorHAnsi" w:hAnsiTheme="majorHAnsi" w:cstheme="majorHAnsi"/>
        </w:rPr>
        <w:t>.</w:t>
      </w:r>
      <w:r w:rsidR="00AD54FA" w:rsidRPr="003435B5">
        <w:rPr>
          <w:rFonts w:asciiTheme="majorHAnsi" w:hAnsiTheme="majorHAnsi" w:cstheme="majorHAnsi"/>
        </w:rPr>
        <w:t xml:space="preserve"> The r</w:t>
      </w:r>
      <w:r w:rsidR="002723CB" w:rsidRPr="003435B5">
        <w:rPr>
          <w:rFonts w:asciiTheme="majorHAnsi" w:hAnsiTheme="majorHAnsi" w:cstheme="majorHAnsi"/>
        </w:rPr>
        <w:t xml:space="preserve">ed square indicates the textbox in which 2.00 should be typed to elevate the empty box 2 mm from the </w:t>
      </w:r>
      <w:proofErr w:type="spellStart"/>
      <w:r w:rsidR="002723CB" w:rsidRPr="003435B5">
        <w:rPr>
          <w:rFonts w:asciiTheme="majorHAnsi" w:hAnsiTheme="majorHAnsi" w:cstheme="majorHAnsi"/>
        </w:rPr>
        <w:t>workplane</w:t>
      </w:r>
      <w:proofErr w:type="spellEnd"/>
      <w:r w:rsidR="002723CB" w:rsidRPr="003435B5">
        <w:rPr>
          <w:rFonts w:asciiTheme="majorHAnsi" w:hAnsiTheme="majorHAnsi" w:cstheme="majorHAnsi"/>
        </w:rPr>
        <w:t xml:space="preserve">. </w:t>
      </w:r>
      <w:r w:rsidR="00C9533A">
        <w:t>(</w:t>
      </w:r>
      <w:r w:rsidR="00C9533A">
        <w:rPr>
          <w:b/>
          <w:bCs/>
        </w:rPr>
        <w:t>H</w:t>
      </w:r>
      <w:r w:rsidR="00C9533A">
        <w:t>)</w:t>
      </w:r>
      <w:r w:rsidR="00C9533A" w:rsidRPr="003435B5">
        <w:t xml:space="preserve"> </w:t>
      </w:r>
      <w:r w:rsidR="002723CB" w:rsidRPr="003435B5">
        <w:rPr>
          <w:rFonts w:asciiTheme="majorHAnsi" w:hAnsiTheme="majorHAnsi" w:cstheme="majorHAnsi"/>
        </w:rPr>
        <w:t xml:space="preserve">The same empty box as in G is positioned inside the </w:t>
      </w:r>
      <w:r w:rsidR="00AD54FA" w:rsidRPr="003435B5">
        <w:rPr>
          <w:rFonts w:asciiTheme="majorHAnsi" w:hAnsiTheme="majorHAnsi" w:cstheme="majorHAnsi"/>
        </w:rPr>
        <w:t xml:space="preserve">initial </w:t>
      </w:r>
      <w:r w:rsidR="002723CB" w:rsidRPr="003435B5">
        <w:rPr>
          <w:rFonts w:asciiTheme="majorHAnsi" w:hAnsiTheme="majorHAnsi" w:cstheme="majorHAnsi"/>
        </w:rPr>
        <w:t>solid box of 130 x 130 x 40 mm by typing 2.00 in the textboxes indicated with red squares.</w:t>
      </w:r>
      <w:r w:rsidRPr="003435B5">
        <w:rPr>
          <w:rFonts w:asciiTheme="majorHAnsi" w:hAnsiTheme="majorHAnsi" w:cstheme="majorHAnsi"/>
        </w:rPr>
        <w:t xml:space="preserve"> </w:t>
      </w:r>
      <w:r w:rsidR="00C9533A">
        <w:t>(</w:t>
      </w:r>
      <w:r w:rsidR="00C9533A">
        <w:rPr>
          <w:b/>
          <w:bCs/>
        </w:rPr>
        <w:t>I</w:t>
      </w:r>
      <w:r w:rsidR="00C9533A">
        <w:t>)</w:t>
      </w:r>
      <w:r w:rsidR="00C9533A" w:rsidRPr="003435B5">
        <w:t xml:space="preserve"> </w:t>
      </w:r>
      <w:r w:rsidRPr="003435B5">
        <w:rPr>
          <w:rFonts w:asciiTheme="majorHAnsi" w:hAnsiTheme="majorHAnsi" w:cstheme="majorHAnsi"/>
        </w:rPr>
        <w:t>A second empty box inserted into the design illustrates how the spaces for fly vials are created one by one, based on the first empty box.</w:t>
      </w:r>
      <w:r w:rsidR="002723CB" w:rsidRPr="003435B5">
        <w:rPr>
          <w:rFonts w:asciiTheme="majorHAnsi" w:hAnsiTheme="majorHAnsi" w:cstheme="majorHAnsi"/>
        </w:rPr>
        <w:t xml:space="preserve"> </w:t>
      </w:r>
      <w:r w:rsidR="00AD54FA" w:rsidRPr="003435B5">
        <w:rPr>
          <w:rFonts w:asciiTheme="majorHAnsi" w:hAnsiTheme="majorHAnsi" w:cstheme="majorHAnsi"/>
        </w:rPr>
        <w:t>The r</w:t>
      </w:r>
      <w:r w:rsidR="002723CB" w:rsidRPr="003435B5">
        <w:rPr>
          <w:rFonts w:asciiTheme="majorHAnsi" w:hAnsiTheme="majorHAnsi" w:cstheme="majorHAnsi"/>
        </w:rPr>
        <w:t>ed squares indicate the textboxes that must be filled for the proper positioning of the empty boxes.</w:t>
      </w:r>
      <w:r w:rsidRPr="003435B5">
        <w:rPr>
          <w:rFonts w:asciiTheme="majorHAnsi" w:hAnsiTheme="majorHAnsi" w:cstheme="majorHAnsi"/>
        </w:rPr>
        <w:t xml:space="preserve"> </w:t>
      </w:r>
      <w:r w:rsidR="00C9533A">
        <w:t>(</w:t>
      </w:r>
      <w:r w:rsidR="00C9533A">
        <w:rPr>
          <w:b/>
          <w:bCs/>
        </w:rPr>
        <w:t>J</w:t>
      </w:r>
      <w:r w:rsidR="00C9533A">
        <w:t>)</w:t>
      </w:r>
      <w:r w:rsidR="00C9533A" w:rsidRPr="003435B5">
        <w:t xml:space="preserve"> </w:t>
      </w:r>
      <w:r w:rsidRPr="003435B5">
        <w:rPr>
          <w:rFonts w:asciiTheme="majorHAnsi" w:hAnsiTheme="majorHAnsi" w:cstheme="majorHAnsi"/>
        </w:rPr>
        <w:t xml:space="preserve">The design is now filled with 16 empty boxes, evenly spaced inside the initial solid box. </w:t>
      </w:r>
      <w:r w:rsidR="00C9533A">
        <w:t>(</w:t>
      </w:r>
      <w:r w:rsidR="00C9533A">
        <w:rPr>
          <w:b/>
          <w:bCs/>
        </w:rPr>
        <w:t>K</w:t>
      </w:r>
      <w:r w:rsidR="00C9533A">
        <w:t>)</w:t>
      </w:r>
      <w:r w:rsidR="00C9533A" w:rsidRPr="003435B5">
        <w:t xml:space="preserve"> </w:t>
      </w:r>
      <w:r w:rsidRPr="003435B5">
        <w:rPr>
          <w:rFonts w:asciiTheme="majorHAnsi" w:hAnsiTheme="majorHAnsi" w:cstheme="majorHAnsi"/>
        </w:rPr>
        <w:t xml:space="preserve">Final 3D model of the vial rack, which is now a single piece, created by grouping the initial solid box with the 16 empty boxes evenly spaced inside the solid box. See </w:t>
      </w:r>
      <w:r w:rsidR="00C9533A">
        <w:rPr>
          <w:rFonts w:asciiTheme="majorHAnsi" w:hAnsiTheme="majorHAnsi" w:cstheme="majorHAnsi"/>
        </w:rPr>
        <w:t>Step</w:t>
      </w:r>
      <w:r w:rsidRPr="003435B5">
        <w:rPr>
          <w:rFonts w:asciiTheme="majorHAnsi" w:hAnsiTheme="majorHAnsi" w:cstheme="majorHAnsi"/>
        </w:rPr>
        <w:t xml:space="preserve"> 1 for details on the whole procedure, including how to save the final model as an STL file</w:t>
      </w:r>
      <w:r w:rsidR="002723CB" w:rsidRPr="003435B5">
        <w:rPr>
          <w:rFonts w:asciiTheme="majorHAnsi" w:hAnsiTheme="majorHAnsi" w:cstheme="majorHAnsi"/>
        </w:rPr>
        <w:t xml:space="preserve"> (</w:t>
      </w:r>
      <w:r w:rsidR="002723CB" w:rsidRPr="00C9533A">
        <w:rPr>
          <w:rFonts w:asciiTheme="majorHAnsi" w:hAnsiTheme="majorHAnsi" w:cstheme="majorHAnsi"/>
          <w:b/>
          <w:bCs/>
        </w:rPr>
        <w:t>L</w:t>
      </w:r>
      <w:r w:rsidR="002723CB" w:rsidRPr="003435B5">
        <w:rPr>
          <w:rFonts w:asciiTheme="majorHAnsi" w:hAnsiTheme="majorHAnsi" w:cstheme="majorHAnsi"/>
        </w:rPr>
        <w:t>)</w:t>
      </w:r>
      <w:r w:rsidRPr="003435B5">
        <w:rPr>
          <w:rFonts w:asciiTheme="majorHAnsi" w:hAnsiTheme="majorHAnsi" w:cstheme="majorHAnsi"/>
        </w:rPr>
        <w:t>.</w:t>
      </w:r>
    </w:p>
    <w:p w14:paraId="05E35EBA" w14:textId="4E1F9973" w:rsidR="00000DA5" w:rsidRPr="003435B5" w:rsidRDefault="00000DA5" w:rsidP="003435B5">
      <w:pPr>
        <w:contextualSpacing/>
      </w:pPr>
    </w:p>
    <w:p w14:paraId="1E1E20CC" w14:textId="228A679C" w:rsidR="00000DA5" w:rsidRPr="003435B5" w:rsidRDefault="00000DA5" w:rsidP="003435B5">
      <w:pPr>
        <w:contextualSpacing/>
      </w:pPr>
      <w:r w:rsidRPr="00C9533A">
        <w:rPr>
          <w:b/>
          <w:bCs/>
        </w:rPr>
        <w:t>Figure 2.</w:t>
      </w:r>
      <w:r w:rsidR="00EF5E1F" w:rsidRPr="00C9533A">
        <w:rPr>
          <w:b/>
          <w:bCs/>
        </w:rPr>
        <w:t xml:space="preserve"> </w:t>
      </w:r>
      <w:r w:rsidR="00511CC6" w:rsidRPr="00C9533A">
        <w:rPr>
          <w:b/>
          <w:bCs/>
        </w:rPr>
        <w:t xml:space="preserve">Slicing of the 3D vial rack model and configuring the printer using </w:t>
      </w:r>
      <w:proofErr w:type="spellStart"/>
      <w:r w:rsidR="00511CC6" w:rsidRPr="00C9533A">
        <w:rPr>
          <w:b/>
          <w:bCs/>
        </w:rPr>
        <w:t>Repetier</w:t>
      </w:r>
      <w:proofErr w:type="spellEnd"/>
      <w:r w:rsidR="00511CC6" w:rsidRPr="00C9533A">
        <w:rPr>
          <w:b/>
          <w:bCs/>
        </w:rPr>
        <w:t>-Host.</w:t>
      </w:r>
      <w:r w:rsidR="00511CC6" w:rsidRPr="003435B5">
        <w:t xml:space="preserve"> </w:t>
      </w:r>
      <w:r w:rsidR="00C9533A">
        <w:t>(</w:t>
      </w:r>
      <w:r w:rsidR="00C9533A">
        <w:rPr>
          <w:b/>
          <w:bCs/>
        </w:rPr>
        <w:t>A</w:t>
      </w:r>
      <w:r w:rsidR="00C9533A">
        <w:t xml:space="preserve">) </w:t>
      </w:r>
      <w:r w:rsidR="00511CC6" w:rsidRPr="003435B5">
        <w:t>The STL file containing the model of the vial rack</w:t>
      </w:r>
      <w:r w:rsidR="00424892" w:rsidRPr="003435B5">
        <w:t xml:space="preserve"> (see </w:t>
      </w:r>
      <w:r w:rsidR="00C9533A">
        <w:t>Step</w:t>
      </w:r>
      <w:r w:rsidR="00424892" w:rsidRPr="003435B5">
        <w:t xml:space="preserve"> 1 and </w:t>
      </w:r>
      <w:r w:rsidR="00424892" w:rsidRPr="00C9533A">
        <w:rPr>
          <w:b/>
          <w:bCs/>
        </w:rPr>
        <w:t>Figure 1</w:t>
      </w:r>
      <w:r w:rsidR="00424892" w:rsidRPr="003435B5">
        <w:t xml:space="preserve"> for details)</w:t>
      </w:r>
      <w:r w:rsidR="00511CC6" w:rsidRPr="003435B5">
        <w:t xml:space="preserve"> is opened with the </w:t>
      </w:r>
      <w:proofErr w:type="spellStart"/>
      <w:r w:rsidR="00511CC6" w:rsidRPr="003435B5">
        <w:t>Repetier</w:t>
      </w:r>
      <w:proofErr w:type="spellEnd"/>
      <w:r w:rsidR="00511CC6" w:rsidRPr="003435B5">
        <w:t xml:space="preserve">-Host software installed </w:t>
      </w:r>
      <w:r w:rsidR="000970F9" w:rsidRPr="003435B5">
        <w:t>o</w:t>
      </w:r>
      <w:r w:rsidR="00511CC6" w:rsidRPr="003435B5">
        <w:t xml:space="preserve">n the computer. </w:t>
      </w:r>
      <w:r w:rsidR="00424892" w:rsidRPr="003435B5">
        <w:t xml:space="preserve">The editing menu on the right is indicated </w:t>
      </w:r>
      <w:r w:rsidR="00107A60" w:rsidRPr="003435B5">
        <w:t>by</w:t>
      </w:r>
      <w:r w:rsidR="00424892" w:rsidRPr="003435B5">
        <w:t xml:space="preserve"> </w:t>
      </w:r>
      <w:r w:rsidR="00107A60" w:rsidRPr="003435B5">
        <w:t xml:space="preserve">red </w:t>
      </w:r>
      <w:r w:rsidR="0080699F" w:rsidRPr="003435B5">
        <w:t>square 1, and the Center Object button by red square 2</w:t>
      </w:r>
      <w:r w:rsidR="00107A60" w:rsidRPr="003435B5">
        <w:t xml:space="preserve">. </w:t>
      </w:r>
      <w:r w:rsidR="00C9533A" w:rsidRPr="00C9533A">
        <w:t>(</w:t>
      </w:r>
      <w:r w:rsidR="00C9533A" w:rsidRPr="00C9533A">
        <w:rPr>
          <w:b/>
          <w:bCs/>
        </w:rPr>
        <w:t>B</w:t>
      </w:r>
      <w:r w:rsidR="00C9533A" w:rsidRPr="00C9533A">
        <w:t>)</w:t>
      </w:r>
      <w:r w:rsidR="00107A60" w:rsidRPr="003435B5">
        <w:t xml:space="preserve"> </w:t>
      </w:r>
      <w:r w:rsidR="0080699F" w:rsidRPr="003435B5">
        <w:t>Initial</w:t>
      </w:r>
      <w:r w:rsidR="00C44880" w:rsidRPr="003435B5">
        <w:t xml:space="preserve"> s</w:t>
      </w:r>
      <w:r w:rsidR="00107A60" w:rsidRPr="003435B5">
        <w:t>teps to run the slicing software</w:t>
      </w:r>
      <w:r w:rsidR="00C44880" w:rsidRPr="003435B5">
        <w:t xml:space="preserve"> (see </w:t>
      </w:r>
      <w:r w:rsidR="00C9533A">
        <w:t>Step</w:t>
      </w:r>
      <w:r w:rsidR="00C44880" w:rsidRPr="003435B5">
        <w:t xml:space="preserve"> 2 for details). Red </w:t>
      </w:r>
      <w:r w:rsidR="0080699F" w:rsidRPr="003435B5">
        <w:t>square</w:t>
      </w:r>
      <w:r w:rsidR="00C44880" w:rsidRPr="003435B5">
        <w:t xml:space="preserve"> 1 indicates the Slicer tab on the editing menu; red </w:t>
      </w:r>
      <w:r w:rsidR="0080699F" w:rsidRPr="003435B5">
        <w:t>square</w:t>
      </w:r>
      <w:r w:rsidR="00C44880" w:rsidRPr="003435B5">
        <w:t xml:space="preserve"> 2, the Configuration button;</w:t>
      </w:r>
      <w:r w:rsidR="0080699F" w:rsidRPr="003435B5">
        <w:t xml:space="preserve"> red square 3, the Speed and Quality window, </w:t>
      </w:r>
      <w:r w:rsidR="0080699F" w:rsidRPr="003435B5">
        <w:rPr>
          <w:rFonts w:asciiTheme="majorHAnsi" w:hAnsiTheme="majorHAnsi" w:cstheme="majorHAnsi"/>
        </w:rPr>
        <w:t xml:space="preserve">where important printer parameters such as velocity, layer thickness and holders can be defined (see the Discussion for details). </w:t>
      </w:r>
      <w:r w:rsidR="00C9533A">
        <w:t>(</w:t>
      </w:r>
      <w:r w:rsidR="00C9533A">
        <w:rPr>
          <w:b/>
          <w:bCs/>
        </w:rPr>
        <w:t>C</w:t>
      </w:r>
      <w:r w:rsidR="00C9533A">
        <w:t xml:space="preserve">) </w:t>
      </w:r>
      <w:r w:rsidR="00AD54FA" w:rsidRPr="003435B5">
        <w:rPr>
          <w:rFonts w:asciiTheme="majorHAnsi" w:hAnsiTheme="majorHAnsi" w:cstheme="majorHAnsi"/>
        </w:rPr>
        <w:t>D</w:t>
      </w:r>
      <w:r w:rsidR="0080699F" w:rsidRPr="003435B5">
        <w:rPr>
          <w:rFonts w:asciiTheme="majorHAnsi" w:hAnsiTheme="majorHAnsi" w:cstheme="majorHAnsi"/>
        </w:rPr>
        <w:t>etail of the Speed and Quality window. The red square indicate</w:t>
      </w:r>
      <w:r w:rsidR="00397BF8" w:rsidRPr="003435B5">
        <w:rPr>
          <w:rFonts w:asciiTheme="majorHAnsi" w:hAnsiTheme="majorHAnsi" w:cstheme="majorHAnsi"/>
        </w:rPr>
        <w:t>s</w:t>
      </w:r>
      <w:r w:rsidR="0080699F" w:rsidRPr="003435B5">
        <w:rPr>
          <w:rFonts w:asciiTheme="majorHAnsi" w:hAnsiTheme="majorHAnsi" w:cstheme="majorHAnsi"/>
        </w:rPr>
        <w:t xml:space="preserve"> where the thickness of the printing layers (</w:t>
      </w:r>
      <w:r w:rsidR="0080699F" w:rsidRPr="003435B5">
        <w:t>Layer Height and First Layer Height)</w:t>
      </w:r>
      <w:r w:rsidR="0080699F" w:rsidRPr="003435B5">
        <w:rPr>
          <w:rFonts w:asciiTheme="majorHAnsi" w:hAnsiTheme="majorHAnsi" w:cstheme="majorHAnsi"/>
        </w:rPr>
        <w:t xml:space="preserve"> can be adjusted. </w:t>
      </w:r>
      <w:r w:rsidR="00C9533A">
        <w:t>(</w:t>
      </w:r>
      <w:r w:rsidR="00C9533A">
        <w:rPr>
          <w:b/>
          <w:bCs/>
        </w:rPr>
        <w:t>D</w:t>
      </w:r>
      <w:r w:rsidR="00C9533A">
        <w:t xml:space="preserve">) </w:t>
      </w:r>
      <w:r w:rsidR="0080699F" w:rsidRPr="003435B5">
        <w:rPr>
          <w:rFonts w:asciiTheme="majorHAnsi" w:hAnsiTheme="majorHAnsi" w:cstheme="majorHAnsi"/>
        </w:rPr>
        <w:t xml:space="preserve">In the Filament tab (red square), one is able to check parameters related to the filament to be used, such as the Diameter (which for most filaments is set to 1.75 mm), the Print and Bed Temperatures (respectively, the temperature to melt the filament at the printer extruder, and the temperature of the printer table </w:t>
      </w:r>
      <w:r w:rsidR="00AD54FA" w:rsidRPr="003435B5">
        <w:rPr>
          <w:rFonts w:asciiTheme="majorHAnsi" w:hAnsiTheme="majorHAnsi" w:cstheme="majorHAnsi"/>
        </w:rPr>
        <w:t>which helps with</w:t>
      </w:r>
      <w:r w:rsidR="0080699F" w:rsidRPr="003435B5">
        <w:rPr>
          <w:rFonts w:asciiTheme="majorHAnsi" w:hAnsiTheme="majorHAnsi" w:cstheme="majorHAnsi"/>
        </w:rPr>
        <w:t xml:space="preserve"> adherence), and the Cooling Speed (which in general guarantees </w:t>
      </w:r>
      <w:r w:rsidR="00AD54FA" w:rsidRPr="003435B5">
        <w:rPr>
          <w:rFonts w:asciiTheme="majorHAnsi" w:hAnsiTheme="majorHAnsi" w:cstheme="majorHAnsi"/>
        </w:rPr>
        <w:t xml:space="preserve">that </w:t>
      </w:r>
      <w:r w:rsidR="0080699F" w:rsidRPr="003435B5">
        <w:rPr>
          <w:rFonts w:asciiTheme="majorHAnsi" w:hAnsiTheme="majorHAnsi" w:cstheme="majorHAnsi"/>
        </w:rPr>
        <w:t>the extruder does not overheat).</w:t>
      </w:r>
      <w:r w:rsidR="00756B52" w:rsidRPr="003435B5">
        <w:rPr>
          <w:rFonts w:asciiTheme="majorHAnsi" w:hAnsiTheme="majorHAnsi" w:cstheme="majorHAnsi"/>
        </w:rPr>
        <w:t xml:space="preserve"> </w:t>
      </w:r>
      <w:r w:rsidR="00C42F1D">
        <w:t>(</w:t>
      </w:r>
      <w:r w:rsidR="00C42F1D">
        <w:rPr>
          <w:b/>
          <w:bCs/>
        </w:rPr>
        <w:t>E</w:t>
      </w:r>
      <w:r w:rsidR="00C42F1D">
        <w:t xml:space="preserve">) </w:t>
      </w:r>
      <w:r w:rsidR="00756B52" w:rsidRPr="003435B5">
        <w:t xml:space="preserve">Final steps to run the slicing software (see </w:t>
      </w:r>
      <w:r w:rsidR="00C42F1D">
        <w:t>step</w:t>
      </w:r>
      <w:r w:rsidR="00756B52" w:rsidRPr="003435B5">
        <w:t xml:space="preserve"> 2 for details). Red squares 1 and 2 same as in </w:t>
      </w:r>
      <w:r w:rsidR="00C42F1D">
        <w:t>(</w:t>
      </w:r>
      <w:r w:rsidR="00C42F1D">
        <w:rPr>
          <w:b/>
          <w:bCs/>
        </w:rPr>
        <w:t>B</w:t>
      </w:r>
      <w:r w:rsidR="00C42F1D">
        <w:t>)</w:t>
      </w:r>
      <w:r w:rsidR="00756B52" w:rsidRPr="003435B5">
        <w:t xml:space="preserve">; </w:t>
      </w:r>
      <w:r w:rsidR="00C44880" w:rsidRPr="003435B5">
        <w:t xml:space="preserve">red </w:t>
      </w:r>
      <w:r w:rsidR="00756B52" w:rsidRPr="003435B5">
        <w:t>square</w:t>
      </w:r>
      <w:r w:rsidR="00C44880" w:rsidRPr="003435B5">
        <w:t xml:space="preserve"> 3, the Import button, where most of printer´s adjusting parameters can be upload</w:t>
      </w:r>
      <w:r w:rsidR="00CC7310" w:rsidRPr="003435B5">
        <w:t>ed</w:t>
      </w:r>
      <w:r w:rsidR="00C44880" w:rsidRPr="003435B5">
        <w:t xml:space="preserve"> from </w:t>
      </w:r>
      <w:r w:rsidR="00C44880" w:rsidRPr="00C42F1D">
        <w:rPr>
          <w:b/>
          <w:bCs/>
        </w:rPr>
        <w:t>Supplementa</w:t>
      </w:r>
      <w:r w:rsidR="00756B52" w:rsidRPr="00C42F1D">
        <w:rPr>
          <w:b/>
          <w:bCs/>
        </w:rPr>
        <w:t>l</w:t>
      </w:r>
      <w:r w:rsidR="00C44880" w:rsidRPr="00C42F1D">
        <w:rPr>
          <w:b/>
          <w:bCs/>
        </w:rPr>
        <w:t xml:space="preserve"> </w:t>
      </w:r>
      <w:r w:rsidR="00756B52" w:rsidRPr="00C42F1D">
        <w:rPr>
          <w:b/>
          <w:bCs/>
        </w:rPr>
        <w:t>F</w:t>
      </w:r>
      <w:r w:rsidR="00C44880" w:rsidRPr="00C42F1D">
        <w:rPr>
          <w:b/>
          <w:bCs/>
        </w:rPr>
        <w:t>ile 1</w:t>
      </w:r>
      <w:r w:rsidR="00C44880" w:rsidRPr="003435B5">
        <w:t xml:space="preserve">; red </w:t>
      </w:r>
      <w:r w:rsidR="00756B52" w:rsidRPr="003435B5">
        <w:t>square</w:t>
      </w:r>
      <w:r w:rsidR="00C44880" w:rsidRPr="003435B5">
        <w:t xml:space="preserve"> 4, Support Type option, which in this </w:t>
      </w:r>
      <w:proofErr w:type="gramStart"/>
      <w:r w:rsidR="00C44880" w:rsidRPr="003435B5">
        <w:t>particular case</w:t>
      </w:r>
      <w:proofErr w:type="gramEnd"/>
      <w:r w:rsidR="00C44880" w:rsidRPr="003435B5">
        <w:t xml:space="preserve"> of the fly rack should be “None”; and red </w:t>
      </w:r>
      <w:r w:rsidR="00756B52" w:rsidRPr="003435B5">
        <w:t>square</w:t>
      </w:r>
      <w:r w:rsidR="00C44880" w:rsidRPr="003435B5">
        <w:t xml:space="preserve"> 5, Infill Density option, which should be </w:t>
      </w:r>
      <w:r w:rsidR="00756B52" w:rsidRPr="003435B5">
        <w:t>2</w:t>
      </w:r>
      <w:r w:rsidR="00C44880" w:rsidRPr="003435B5">
        <w:t xml:space="preserve">0% for printing </w:t>
      </w:r>
      <w:r w:rsidR="00C44880" w:rsidRPr="003435B5">
        <w:lastRenderedPageBreak/>
        <w:t xml:space="preserve">of </w:t>
      </w:r>
      <w:r w:rsidR="00756B52" w:rsidRPr="003435B5">
        <w:t>most</w:t>
      </w:r>
      <w:r w:rsidR="00C44880" w:rsidRPr="003435B5">
        <w:t xml:space="preserve"> objects.</w:t>
      </w:r>
      <w:r w:rsidR="00756B52" w:rsidRPr="003435B5">
        <w:t xml:space="preserve"> </w:t>
      </w:r>
      <w:r w:rsidR="00AD54FA" w:rsidRPr="003435B5">
        <w:t xml:space="preserve">The use of a support, such as for the printing of the T-Maze (see </w:t>
      </w:r>
      <w:r w:rsidR="00C42F1D">
        <w:t>step</w:t>
      </w:r>
      <w:r w:rsidR="00AD54FA" w:rsidRPr="003435B5">
        <w:t xml:space="preserve"> 3 for details), is necessary when the layers are not </w:t>
      </w:r>
      <w:r w:rsidR="004D0ABB" w:rsidRPr="003435B5">
        <w:t xml:space="preserve">to be </w:t>
      </w:r>
      <w:r w:rsidR="00AD54FA" w:rsidRPr="003435B5">
        <w:t xml:space="preserve">printed directly onto the printer table or </w:t>
      </w:r>
      <w:r w:rsidR="004D0ABB" w:rsidRPr="003435B5">
        <w:t>on top of</w:t>
      </w:r>
      <w:r w:rsidR="00AD54FA" w:rsidRPr="003435B5">
        <w:t xml:space="preserve"> another layer</w:t>
      </w:r>
      <w:r w:rsidR="004D0ABB" w:rsidRPr="003435B5">
        <w:t>.</w:t>
      </w:r>
      <w:r w:rsidR="00AD54FA" w:rsidRPr="003435B5">
        <w:t xml:space="preserve"> </w:t>
      </w:r>
      <w:r w:rsidR="004D0ABB" w:rsidRPr="003435B5">
        <w:t>Th</w:t>
      </w:r>
      <w:r w:rsidR="005E4D2E" w:rsidRPr="003435B5">
        <w:t>e support</w:t>
      </w:r>
      <w:r w:rsidR="004D0ABB" w:rsidRPr="003435B5">
        <w:t xml:space="preserve"> is particularly important </w:t>
      </w:r>
      <w:r w:rsidR="00AD54FA" w:rsidRPr="003435B5">
        <w:t xml:space="preserve">to prevent collapse of </w:t>
      </w:r>
      <w:r w:rsidR="004D0ABB" w:rsidRPr="003435B5">
        <w:t>structural parts that are in an arc format or of closed structures that are hollow inside, for example</w:t>
      </w:r>
      <w:r w:rsidR="00756B52" w:rsidRPr="003435B5">
        <w:t>.</w:t>
      </w:r>
      <w:r w:rsidR="00C44880" w:rsidRPr="003435B5">
        <w:t xml:space="preserve"> </w:t>
      </w:r>
      <w:r w:rsidR="00C42F1D">
        <w:t>(</w:t>
      </w:r>
      <w:r w:rsidR="00C42F1D">
        <w:rPr>
          <w:b/>
          <w:bCs/>
        </w:rPr>
        <w:t>F</w:t>
      </w:r>
      <w:r w:rsidR="00C42F1D">
        <w:t xml:space="preserve">) </w:t>
      </w:r>
      <w:r w:rsidR="00C44880" w:rsidRPr="003435B5">
        <w:t xml:space="preserve">Visualization of the printing statistics (red </w:t>
      </w:r>
      <w:r w:rsidR="00756B52" w:rsidRPr="003435B5">
        <w:t>square 1</w:t>
      </w:r>
      <w:r w:rsidR="00C44880" w:rsidRPr="003435B5">
        <w:t xml:space="preserve">) under the Print Preview tab, which is calculated after the </w:t>
      </w:r>
      <w:r w:rsidR="00C44880" w:rsidRPr="00C42F1D">
        <w:rPr>
          <w:b/>
          <w:bCs/>
        </w:rPr>
        <w:t xml:space="preserve">Slice with </w:t>
      </w:r>
      <w:proofErr w:type="spellStart"/>
      <w:r w:rsidR="00C44880" w:rsidRPr="00C42F1D">
        <w:rPr>
          <w:b/>
          <w:bCs/>
        </w:rPr>
        <w:t>CuraEngine</w:t>
      </w:r>
      <w:proofErr w:type="spellEnd"/>
      <w:r w:rsidR="00C44880" w:rsidRPr="003435B5">
        <w:t xml:space="preserve"> button (</w:t>
      </w:r>
      <w:r w:rsidR="00756B52" w:rsidRPr="003435B5">
        <w:t xml:space="preserve">shown in </w:t>
      </w:r>
      <w:r w:rsidR="00C42F1D">
        <w:rPr>
          <w:b/>
          <w:bCs/>
        </w:rPr>
        <w:t>E</w:t>
      </w:r>
      <w:r w:rsidR="00C44880" w:rsidRPr="003435B5">
        <w:t xml:space="preserve">) is pressed. </w:t>
      </w:r>
      <w:r w:rsidR="00616374" w:rsidRPr="003435B5">
        <w:t xml:space="preserve">After pressing the </w:t>
      </w:r>
      <w:r w:rsidR="00616374" w:rsidRPr="00C42F1D">
        <w:rPr>
          <w:b/>
          <w:bCs/>
        </w:rPr>
        <w:t>Save for SD Print</w:t>
      </w:r>
      <w:r w:rsidR="00616374" w:rsidRPr="003435B5">
        <w:t xml:space="preserve"> button</w:t>
      </w:r>
      <w:r w:rsidR="00756B52" w:rsidRPr="003435B5">
        <w:t xml:space="preserve"> (red square 2)</w:t>
      </w:r>
      <w:r w:rsidR="00616374" w:rsidRPr="003435B5">
        <w:t>, the G-Code file should be saved in an SD card to be transported to the printer.</w:t>
      </w:r>
    </w:p>
    <w:p w14:paraId="3AE10A2A" w14:textId="09E5AEE0" w:rsidR="00000DA5" w:rsidRPr="003435B5" w:rsidRDefault="00000DA5" w:rsidP="003435B5">
      <w:pPr>
        <w:contextualSpacing/>
      </w:pPr>
    </w:p>
    <w:p w14:paraId="1C0C0D79" w14:textId="43FED89E" w:rsidR="00000DA5" w:rsidRPr="003435B5" w:rsidRDefault="00000DA5" w:rsidP="003435B5">
      <w:pPr>
        <w:contextualSpacing/>
      </w:pPr>
      <w:r w:rsidRPr="00C42F1D">
        <w:rPr>
          <w:b/>
          <w:bCs/>
        </w:rPr>
        <w:t>Figure 3.</w:t>
      </w:r>
      <w:r w:rsidR="00C5796E" w:rsidRPr="00C42F1D">
        <w:rPr>
          <w:b/>
          <w:bCs/>
        </w:rPr>
        <w:t xml:space="preserve"> </w:t>
      </w:r>
      <w:r w:rsidR="00C17A23" w:rsidRPr="00C42F1D">
        <w:rPr>
          <w:b/>
          <w:bCs/>
        </w:rPr>
        <w:t>“Homemade” apparatuses for general fly maintenance and behavioral analyses.</w:t>
      </w:r>
      <w:r w:rsidR="00C17A23" w:rsidRPr="003435B5">
        <w:t xml:space="preserve"> </w:t>
      </w:r>
      <w:r w:rsidR="00C5796E" w:rsidRPr="003435B5">
        <w:t>Side-by-side images of our model designs</w:t>
      </w:r>
      <w:r w:rsidR="00C17A23" w:rsidRPr="003435B5">
        <w:t xml:space="preserve"> (left)</w:t>
      </w:r>
      <w:r w:rsidR="00C5796E" w:rsidRPr="003435B5">
        <w:t xml:space="preserve"> and of the actual printed apparatuses</w:t>
      </w:r>
      <w:r w:rsidR="00C17A23" w:rsidRPr="003435B5">
        <w:t xml:space="preserve"> (right) are </w:t>
      </w:r>
      <w:proofErr w:type="gramStart"/>
      <w:r w:rsidR="00C17A23" w:rsidRPr="003435B5">
        <w:t>shown:</w:t>
      </w:r>
      <w:proofErr w:type="gramEnd"/>
      <w:r w:rsidR="00C5796E" w:rsidRPr="003435B5">
        <w:t xml:space="preserve"> </w:t>
      </w:r>
      <w:r w:rsidR="00C17A23" w:rsidRPr="003435B5">
        <w:t>small fly r</w:t>
      </w:r>
      <w:r w:rsidR="00C5796E" w:rsidRPr="003435B5">
        <w:t>ack</w:t>
      </w:r>
      <w:r w:rsidR="00C17A23" w:rsidRPr="003435B5">
        <w:t xml:space="preserve"> </w:t>
      </w:r>
      <w:r w:rsidR="00C42F1D">
        <w:t>(</w:t>
      </w:r>
      <w:r w:rsidR="00C42F1D">
        <w:rPr>
          <w:b/>
          <w:bCs/>
        </w:rPr>
        <w:t>A</w:t>
      </w:r>
      <w:r w:rsidR="00C42F1D">
        <w:t>)</w:t>
      </w:r>
      <w:r w:rsidR="00C5796E" w:rsidRPr="003435B5">
        <w:t>,</w:t>
      </w:r>
      <w:r w:rsidR="00C17A23" w:rsidRPr="003435B5">
        <w:t xml:space="preserve"> funnel </w:t>
      </w:r>
      <w:r w:rsidR="00C42F1D">
        <w:t>(</w:t>
      </w:r>
      <w:r w:rsidR="00C42F1D">
        <w:rPr>
          <w:b/>
          <w:bCs/>
        </w:rPr>
        <w:t>B</w:t>
      </w:r>
      <w:r w:rsidR="00C42F1D">
        <w:t>)</w:t>
      </w:r>
      <w:r w:rsidR="00C17A23" w:rsidRPr="003435B5">
        <w:t>, tapping mat</w:t>
      </w:r>
      <w:r w:rsidR="00C5796E" w:rsidRPr="003435B5">
        <w:t xml:space="preserve"> support </w:t>
      </w:r>
      <w:r w:rsidR="00C17A23" w:rsidRPr="003435B5">
        <w:t>(</w:t>
      </w:r>
      <w:r w:rsidR="00C17A23" w:rsidRPr="00C42F1D">
        <w:rPr>
          <w:b/>
          <w:bCs/>
        </w:rPr>
        <w:t>C</w:t>
      </w:r>
      <w:r w:rsidR="00C17A23" w:rsidRPr="003435B5">
        <w:t>)</w:t>
      </w:r>
      <w:r w:rsidR="00C5796E" w:rsidRPr="003435B5">
        <w:t xml:space="preserve">, </w:t>
      </w:r>
      <w:r w:rsidR="00C17A23" w:rsidRPr="003435B5">
        <w:t>S</w:t>
      </w:r>
      <w:r w:rsidR="00C5796E" w:rsidRPr="003435B5">
        <w:t>talker</w:t>
      </w:r>
      <w:r w:rsidR="00C17A23" w:rsidRPr="003435B5">
        <w:t xml:space="preserve"> (</w:t>
      </w:r>
      <w:r w:rsidR="00C17A23" w:rsidRPr="00C42F1D">
        <w:rPr>
          <w:b/>
          <w:bCs/>
        </w:rPr>
        <w:t>D</w:t>
      </w:r>
      <w:r w:rsidR="00C17A23" w:rsidRPr="003435B5">
        <w:t>)</w:t>
      </w:r>
      <w:r w:rsidR="00C5796E" w:rsidRPr="003435B5">
        <w:t xml:space="preserve">, Fly </w:t>
      </w:r>
      <w:r w:rsidR="00C17A23" w:rsidRPr="003435B5">
        <w:t>M</w:t>
      </w:r>
      <w:r w:rsidR="00C5796E" w:rsidRPr="003435B5">
        <w:t>otel</w:t>
      </w:r>
      <w:r w:rsidR="00C17A23" w:rsidRPr="003435B5">
        <w:t xml:space="preserve"> (</w:t>
      </w:r>
      <w:r w:rsidR="00C17A23" w:rsidRPr="00C42F1D">
        <w:rPr>
          <w:b/>
          <w:bCs/>
        </w:rPr>
        <w:t>E</w:t>
      </w:r>
      <w:r w:rsidR="00C17A23" w:rsidRPr="003435B5">
        <w:t>),</w:t>
      </w:r>
      <w:r w:rsidR="00C5796E" w:rsidRPr="003435B5">
        <w:t xml:space="preserve"> T-</w:t>
      </w:r>
      <w:r w:rsidR="00C17A23" w:rsidRPr="003435B5">
        <w:t>M</w:t>
      </w:r>
      <w:r w:rsidR="00C5796E" w:rsidRPr="003435B5">
        <w:t>aze</w:t>
      </w:r>
      <w:r w:rsidR="00C17A23" w:rsidRPr="003435B5">
        <w:t xml:space="preserve"> (</w:t>
      </w:r>
      <w:r w:rsidR="00C17A23" w:rsidRPr="00C42F1D">
        <w:rPr>
          <w:b/>
          <w:bCs/>
        </w:rPr>
        <w:t>F</w:t>
      </w:r>
      <w:r w:rsidR="00C17A23" w:rsidRPr="003435B5">
        <w:t>),</w:t>
      </w:r>
      <w:r w:rsidR="00C5796E" w:rsidRPr="003435B5">
        <w:t xml:space="preserve"> and R</w:t>
      </w:r>
      <w:r w:rsidR="00C17A23" w:rsidRPr="003435B5">
        <w:t>ING apparatus (</w:t>
      </w:r>
      <w:r w:rsidR="00C17A23" w:rsidRPr="00C42F1D">
        <w:rPr>
          <w:b/>
          <w:bCs/>
        </w:rPr>
        <w:t>G</w:t>
      </w:r>
      <w:r w:rsidR="00C17A23" w:rsidRPr="003435B5">
        <w:t>)</w:t>
      </w:r>
      <w:r w:rsidR="00C5796E" w:rsidRPr="003435B5">
        <w:t>.</w:t>
      </w:r>
      <w:r w:rsidR="00C17A23" w:rsidRPr="003435B5">
        <w:t xml:space="preserve"> Details on how to print and assemble these apparatuses are shown in </w:t>
      </w:r>
      <w:r w:rsidR="00C42F1D">
        <w:t>steps</w:t>
      </w:r>
      <w:r w:rsidR="00C17A23" w:rsidRPr="003435B5">
        <w:t xml:space="preserve"> 1-3.</w:t>
      </w:r>
      <w:r w:rsidR="002C06F4" w:rsidRPr="003435B5">
        <w:t xml:space="preserve"> Note that in F, the picture of the T-Maze does not contain the two 15 mL conical tubes which would give it its “T” shape</w:t>
      </w:r>
      <w:r w:rsidR="00DD0F2F" w:rsidRPr="003435B5">
        <w:fldChar w:fldCharType="begin" w:fldLock="1"/>
      </w:r>
      <w:r w:rsidR="00D158C9" w:rsidRPr="003435B5">
        <w:instrText>ADDIN CSL_CITATION {"citationItems":[{"id":"ITEM-1","itemData":{"DOI":"10.3791/2504","ISSN":"1940087X","PMID":"21445036","abstract":"Advances in genetic methods have enabled the study of genes involved in human neurodegenerative diseases using Drosophila as a model system1. Most of these diseases, including Alzheimer's, Parkinson's and Huntington's disease are characterized by age-dependent deterioration in learning and memory functions and movement coordination2. Here we use behavioral assays, including the negative geotaxis assay3 and the aversive phototaxic suppression assay (APS assay)4,5, to show that some of the behavior characteristics associated with human neurodegeneration can be recapitulated in flies. In the negative geotaxis assay, the natural tendency of flies to move against gravity when agitated is utilized to study genes or conditions that may hinder locomotor capacities. In the APS assay, the learning and memory functions are tested in positively-phototactic flies trained to associate light with aversive bitter taste and hence avoid this otherwise natural tendency to move toward light. Testing these trained flies 6 hours post-training is used to assess memory functions. Using these assays, the contribution of any genetic or environmental factors toward developing neurodegeneration can be easily studied in flies. © 2011 Journal of Visualized Experiments.","author":[{"dropping-particle":"","family":"Ali","given":"Yousuf O.","non-dropping-particle":"","parse-names":false,"suffix":""},{"dropping-particle":"","family":"Escala","given":"Wilfredo","non-dropping-particle":"","parse-names":false,"suffix":""},{"dropping-particle":"","family":"Ruan","given":"Kai","non-dropping-particle":"","parse-names":false,"suffix":""},{"dropping-particle":"","family":"Zhai","given":"R. Grace","non-dropping-particle":"","parse-names":false,"suffix":""}],"container-title":"Journal of Visualized Experiments","id":"ITEM-1","issue":"49","issued":{"date-parts":[["2011"]]},"publisher":"Journal of Visualized Experiments","title":"Assaying locomotor, learning, and memory deficits in Drosophila models of neurodegeneration","type":"article-journal"},"uris":["http://www.mendeley.com/documents/?uuid=879e95a4-35d2-39ec-91bd-d046d63f4ab8"]}],"mendeley":{"formattedCitation":"&lt;sup&gt;41&lt;/sup&gt;","plainTextFormattedCitation":"41","previouslyFormattedCitation":"&lt;sup&gt;42&lt;/sup&gt;"},"properties":{"noteIndex":0},"schema":"https://github.com/citation-style-language/schema/raw/master/csl-citation.json"}</w:instrText>
      </w:r>
      <w:r w:rsidR="00DD0F2F" w:rsidRPr="003435B5">
        <w:fldChar w:fldCharType="separate"/>
      </w:r>
      <w:r w:rsidR="00D158C9" w:rsidRPr="003435B5">
        <w:rPr>
          <w:noProof/>
          <w:vertAlign w:val="superscript"/>
        </w:rPr>
        <w:t>41</w:t>
      </w:r>
      <w:r w:rsidR="00DD0F2F" w:rsidRPr="003435B5">
        <w:fldChar w:fldCharType="end"/>
      </w:r>
      <w:r w:rsidR="00E71936" w:rsidRPr="003435B5">
        <w:t>.</w:t>
      </w:r>
    </w:p>
    <w:p w14:paraId="039CE99A" w14:textId="77777777" w:rsidR="00C5796E" w:rsidRPr="003435B5" w:rsidRDefault="00C5796E" w:rsidP="003435B5">
      <w:pPr>
        <w:contextualSpacing/>
      </w:pPr>
    </w:p>
    <w:p w14:paraId="6F447AF6" w14:textId="4AC6A156" w:rsidR="00BA3F4E" w:rsidRPr="003435B5" w:rsidRDefault="00195DB2" w:rsidP="003435B5">
      <w:pPr>
        <w:contextualSpacing/>
      </w:pPr>
      <w:r w:rsidRPr="00C42F1D">
        <w:rPr>
          <w:b/>
          <w:bCs/>
        </w:rPr>
        <w:t>Figure 4</w:t>
      </w:r>
      <w:r w:rsidR="00691DB3" w:rsidRPr="00C42F1D">
        <w:rPr>
          <w:b/>
          <w:bCs/>
        </w:rPr>
        <w:t>.</w:t>
      </w:r>
      <w:r w:rsidRPr="00C42F1D">
        <w:rPr>
          <w:b/>
          <w:bCs/>
        </w:rPr>
        <w:t xml:space="preserve"> Higher mobility of AOX-expressing larvae cultured at 12</w:t>
      </w:r>
      <w:r w:rsidR="00C42F1D">
        <w:rPr>
          <w:b/>
          <w:bCs/>
        </w:rPr>
        <w:t xml:space="preserve"> </w:t>
      </w:r>
      <w:r w:rsidRPr="00C42F1D">
        <w:rPr>
          <w:b/>
          <w:bCs/>
        </w:rPr>
        <w:t>°C.</w:t>
      </w:r>
      <w:r w:rsidRPr="003435B5">
        <w:t xml:space="preserve"> Measurements of distance crawled (</w:t>
      </w:r>
      <w:r w:rsidRPr="00C42F1D">
        <w:rPr>
          <w:b/>
          <w:bCs/>
        </w:rPr>
        <w:t>A</w:t>
      </w:r>
      <w:r w:rsidRPr="003435B5">
        <w:t>) and number of body wall contractions (</w:t>
      </w:r>
      <w:r w:rsidRPr="00C42F1D">
        <w:rPr>
          <w:b/>
          <w:bCs/>
        </w:rPr>
        <w:t>B</w:t>
      </w:r>
      <w:r w:rsidRPr="003435B5">
        <w:t xml:space="preserve">) per minute by individual larva were obtained as described in </w:t>
      </w:r>
      <w:r w:rsidR="00C42F1D">
        <w:t>step</w:t>
      </w:r>
      <w:r w:rsidR="0051094A" w:rsidRPr="003435B5">
        <w:t xml:space="preserve"> 4</w:t>
      </w:r>
      <w:r w:rsidRPr="003435B5">
        <w:t xml:space="preserve">. The fly lines used were </w:t>
      </w:r>
      <w:r w:rsidRPr="003435B5">
        <w:rPr>
          <w:i/>
          <w:iCs/>
        </w:rPr>
        <w:t>w</w:t>
      </w:r>
      <w:r w:rsidRPr="003435B5">
        <w:rPr>
          <w:i/>
          <w:iCs/>
          <w:vertAlign w:val="superscript"/>
        </w:rPr>
        <w:t>1118</w:t>
      </w:r>
      <w:r w:rsidRPr="003435B5">
        <w:t xml:space="preserve"> (control, AOX-</w:t>
      </w:r>
      <w:proofErr w:type="spellStart"/>
      <w:r w:rsidRPr="003435B5">
        <w:t>nonexpressor</w:t>
      </w:r>
      <w:proofErr w:type="spellEnd"/>
      <w:r w:rsidRPr="003435B5">
        <w:t>) and 3x</w:t>
      </w:r>
      <w:r w:rsidRPr="003435B5">
        <w:rPr>
          <w:i/>
          <w:iCs/>
        </w:rPr>
        <w:t>tubAOX</w:t>
      </w:r>
      <w:r w:rsidRPr="003435B5">
        <w:t xml:space="preserve"> (AOX-expressor)</w:t>
      </w:r>
      <w:r w:rsidR="003D10BB" w:rsidRPr="003435B5">
        <w:fldChar w:fldCharType="begin" w:fldLock="1"/>
      </w:r>
      <w:r w:rsidR="00D158C9" w:rsidRPr="003435B5">
        <w:instrText>ADDIN CSL_CITATION {"citationItems":[{"id":"ITEM-1","itemData":{"DOI":"10.1093/hmg/ddt601","ISSN":"09646906","abstract":"Mitochondrial dysfunction is a significant factor in human disease, ranging fromsystemic disorders of childhood to cardiomyopathy, ischaemia and neurodegeneration. Cytochrome oxidase, the terminal enzyme of the mitochondrial respiratory chain, is a frequent target. Lower eukaryotes possess alternative respiratory-chain enzymes that provide non-proton-translocating by passes for respiratory complexes I (single-subunit reduced nicotinamide adenine dinucleotide dehydrogenases, e.g. Ndi1 fromyeast) or III + IV [alternative oxidase (AOX)], under conditions of respiratory stress or overload. In previous studies, itwas shown that transfer of yeast Ndi1 or Ciona intestinalis AOX to Drosophila was able toovercome the lethality produced by toxins or partial knockdown of complex I or IV. Here, we show that AOX can provide a complete or substantial rescue of a range of phenotypes induced by global or tissue-specific knockdown of different cIV subunits, including integral subunits required for catalysis, as well as peripheral subunits required for multimerization and assembly. AOX was also able to overcome the pupal lethality produced by muscle-specific knockdown of subunit CoVb, although the rescued flies were short lived and had a motility defect. cIV knockdown in neurons was not lethal during development but produced a rapidly progressing locomotor and seizure-sensitivity phenotype, which was substantially alleviated by AOX. Expression of Ndi1 exacerbated the neuronal phenotype produced by cIV knockdown. Ndi1 expressed in place of essential cI subunits produced a distinct residual phenotype of delayed development, bang sensitivity and male sterility. These findings confirm the potential utility of alternative respiratory chain enzymes as tools to combat mitochondrial disease, while indicating important limitations thereof. © The Author 2013. Published by Oxford University Press.","author":[{"dropping-particle":"","family":"Kemppainen","given":"Kia K.","non-dropping-particle":"","parse-names":false,"suffix":""},{"dropping-particle":"","family":"Rinne","given":"Juho","non-dropping-particle":"","parse-names":false,"suffix":""},{"dropping-particle":"","family":"Sriram","given":"Ashwin","non-dropping-particle":"","parse-names":false,"suffix":""},{"dropping-particle":"","family":"Lakanmaa","given":"Matti","non-dropping-particle":"","parse-names":false,"suffix":""},{"dropping-particle":"","family":"Zeb","given":"Akbar","non-dropping-particle":"","parse-names":false,"suffix":""},{"dropping-particle":"","family":"Tuomela","given":"Tea","non-dropping-particle":"","parse-names":false,"suffix":""},{"dropping-particle":"","family":"Popplestone","given":"Anna","non-dropping-particle":"","parse-names":false,"suffix":""},{"dropping-particle":"","family":"Singh","given":"Satpal","non-dropping-particle":"","parse-names":false,"suffix":""},{"dropping-particle":"","family":"Sanz","given":"Alberto","non-dropping-particle":"","parse-names":false,"suffix":""},{"dropping-particle":"","family":"Rustin","given":"Pierre","non-dropping-particle":"","parse-names":false,"suffix":""},{"dropping-particle":"","family":"Jacobs","given":"Howard T.","non-dropping-particle":"","parse-names":false,"suffix":""}],"container-title":"Human Molecular Genetics","id":"ITEM-1","issue":"8","issued":{"date-parts":[["2014"]]},"page":"2078-2093","title":"Expression of alternative oxidase in Drosophila ameliorates diverse phenotypes due to cytochrome oxidase deficiency","type":"article-journal","volume":"23"},"uris":["http://www.mendeley.com/documents/?uuid=3c6e269d-97cb-4fdb-a3ee-a5e0a3e7d581"]}],"mendeley":{"formattedCitation":"&lt;sup&gt;25&lt;/sup&gt;","plainTextFormattedCitation":"25","previouslyFormattedCitation":"&lt;sup&gt;27&lt;/sup&gt;"},"properties":{"noteIndex":0},"schema":"https://github.com/citation-style-language/schema/raw/master/csl-citation.json"}</w:instrText>
      </w:r>
      <w:r w:rsidR="003D10BB" w:rsidRPr="003435B5">
        <w:fldChar w:fldCharType="separate"/>
      </w:r>
      <w:r w:rsidR="00D158C9" w:rsidRPr="003435B5">
        <w:rPr>
          <w:noProof/>
          <w:vertAlign w:val="superscript"/>
        </w:rPr>
        <w:t>25</w:t>
      </w:r>
      <w:r w:rsidR="003D10BB" w:rsidRPr="003435B5">
        <w:fldChar w:fldCharType="end"/>
      </w:r>
      <w:r w:rsidRPr="003435B5">
        <w:t xml:space="preserve">. Datapoints indicate means </w:t>
      </w:r>
      <w:r w:rsidR="00C42F1D">
        <w:t>±</w:t>
      </w:r>
      <w:r w:rsidRPr="003435B5">
        <w:t xml:space="preserve"> standard deviation of 8 biological replicates with 15 technical repetitions each. * </w:t>
      </w:r>
      <w:proofErr w:type="gramStart"/>
      <w:r w:rsidRPr="003435B5">
        <w:t>indicate</w:t>
      </w:r>
      <w:r w:rsidR="00691DB3" w:rsidRPr="003435B5">
        <w:t>s</w:t>
      </w:r>
      <w:proofErr w:type="gramEnd"/>
      <w:r w:rsidRPr="003435B5">
        <w:t xml:space="preserve"> significant differences (p&lt;0.01), according to a Student's t-test.</w:t>
      </w:r>
      <w:r w:rsidR="00BA3F4E" w:rsidRPr="003435B5">
        <w:t xml:space="preserve"> </w:t>
      </w:r>
    </w:p>
    <w:p w14:paraId="312E1A97" w14:textId="77777777" w:rsidR="00BA3F4E" w:rsidRPr="003435B5" w:rsidRDefault="00BA3F4E" w:rsidP="003435B5">
      <w:pPr>
        <w:contextualSpacing/>
      </w:pPr>
    </w:p>
    <w:p w14:paraId="546AF007" w14:textId="3135D7B4" w:rsidR="001E476D" w:rsidRPr="003435B5" w:rsidRDefault="00BA3F4E" w:rsidP="003435B5">
      <w:pPr>
        <w:contextualSpacing/>
        <w:rPr>
          <w:rFonts w:ascii="Times New Roman" w:eastAsia="Times New Roman" w:hAnsi="Times New Roman" w:cs="Times New Roman"/>
        </w:rPr>
      </w:pPr>
      <w:r w:rsidRPr="00C42F1D">
        <w:rPr>
          <w:b/>
          <w:bCs/>
        </w:rPr>
        <w:t xml:space="preserve">Figure </w:t>
      </w:r>
      <w:r w:rsidR="00195DB2" w:rsidRPr="00C42F1D">
        <w:rPr>
          <w:b/>
          <w:bCs/>
        </w:rPr>
        <w:t>5</w:t>
      </w:r>
      <w:r w:rsidR="00691DB3" w:rsidRPr="00C42F1D">
        <w:rPr>
          <w:b/>
          <w:bCs/>
        </w:rPr>
        <w:t>.</w:t>
      </w:r>
      <w:r w:rsidRPr="00C42F1D">
        <w:rPr>
          <w:b/>
          <w:bCs/>
        </w:rPr>
        <w:t xml:space="preserve"> </w:t>
      </w:r>
      <w:r w:rsidR="00F36854" w:rsidRPr="00C42F1D">
        <w:rPr>
          <w:rFonts w:eastAsia="Times New Roman"/>
          <w:b/>
          <w:bCs/>
        </w:rPr>
        <w:t>Higher levels of mitochondrial oxygen consumption in AOX-expressing larvae cultured at 12°C.</w:t>
      </w:r>
      <w:r w:rsidR="00F36854" w:rsidRPr="003435B5">
        <w:rPr>
          <w:rFonts w:eastAsia="Times New Roman"/>
        </w:rPr>
        <w:t xml:space="preserve"> </w:t>
      </w:r>
      <w:r w:rsidR="00C42F1D">
        <w:t>(</w:t>
      </w:r>
      <w:r w:rsidR="00C42F1D">
        <w:rPr>
          <w:b/>
          <w:bCs/>
        </w:rPr>
        <w:t>A</w:t>
      </w:r>
      <w:r w:rsidR="00C42F1D">
        <w:t xml:space="preserve">) </w:t>
      </w:r>
      <w:r w:rsidR="00F36854" w:rsidRPr="003435B5">
        <w:rPr>
          <w:rFonts w:eastAsia="Times New Roman"/>
        </w:rPr>
        <w:t>Traces of a representative experiment showing changes in real time oxygen consumption (red line) and oxygen concentration (blue line) in the chambers as the indicated substrates and inhibitors were added (black arrows) to the assay medium containing whole larva homogenates</w:t>
      </w:r>
      <w:r w:rsidR="00394ECA" w:rsidRPr="003435B5">
        <w:rPr>
          <w:rFonts w:eastAsia="Times New Roman"/>
        </w:rPr>
        <w:t xml:space="preserve"> </w:t>
      </w:r>
      <w:r w:rsidR="00F36854" w:rsidRPr="003435B5">
        <w:rPr>
          <w:rFonts w:eastAsia="Times New Roman"/>
        </w:rPr>
        <w:t>of</w:t>
      </w:r>
      <w:r w:rsidR="00394ECA" w:rsidRPr="003435B5">
        <w:rPr>
          <w:rFonts w:eastAsia="Times New Roman"/>
        </w:rPr>
        <w:t xml:space="preserve"> </w:t>
      </w:r>
      <w:r w:rsidR="00F36854" w:rsidRPr="003435B5">
        <w:rPr>
          <w:rFonts w:eastAsia="Times New Roman"/>
        </w:rPr>
        <w:t>the</w:t>
      </w:r>
      <w:r w:rsidR="00394ECA" w:rsidRPr="003435B5">
        <w:rPr>
          <w:rFonts w:eastAsia="Times New Roman"/>
        </w:rPr>
        <w:t xml:space="preserve"> </w:t>
      </w:r>
      <w:r w:rsidR="00F36854" w:rsidRPr="003435B5">
        <w:rPr>
          <w:rFonts w:eastAsia="Times New Roman"/>
          <w:i/>
          <w:iCs/>
        </w:rPr>
        <w:t>w</w:t>
      </w:r>
      <w:r w:rsidR="00F36854" w:rsidRPr="003435B5">
        <w:rPr>
          <w:rFonts w:eastAsia="Times New Roman"/>
          <w:i/>
          <w:iCs/>
          <w:vertAlign w:val="superscript"/>
        </w:rPr>
        <w:t>1118</w:t>
      </w:r>
      <w:r w:rsidR="00394ECA" w:rsidRPr="003435B5">
        <w:rPr>
          <w:rFonts w:eastAsia="Times New Roman"/>
        </w:rPr>
        <w:t xml:space="preserve"> </w:t>
      </w:r>
      <w:r w:rsidR="00F36854" w:rsidRPr="003435B5">
        <w:rPr>
          <w:rFonts w:eastAsia="Times New Roman"/>
        </w:rPr>
        <w:t>(control, AOX-</w:t>
      </w:r>
      <w:proofErr w:type="spellStart"/>
      <w:r w:rsidR="00F36854" w:rsidRPr="003435B5">
        <w:rPr>
          <w:rFonts w:eastAsia="Times New Roman"/>
        </w:rPr>
        <w:t>nonexpressor</w:t>
      </w:r>
      <w:proofErr w:type="spellEnd"/>
      <w:r w:rsidR="00F36854" w:rsidRPr="003435B5">
        <w:rPr>
          <w:rFonts w:eastAsia="Times New Roman"/>
        </w:rPr>
        <w:t>) and</w:t>
      </w:r>
      <w:r w:rsidR="00394ECA" w:rsidRPr="003435B5">
        <w:rPr>
          <w:rFonts w:eastAsia="Times New Roman"/>
        </w:rPr>
        <w:t xml:space="preserve"> </w:t>
      </w:r>
      <w:r w:rsidR="00F36854" w:rsidRPr="003435B5">
        <w:rPr>
          <w:rFonts w:eastAsia="Times New Roman"/>
        </w:rPr>
        <w:t>3x</w:t>
      </w:r>
      <w:r w:rsidR="00F36854" w:rsidRPr="003435B5">
        <w:rPr>
          <w:rFonts w:eastAsia="Times New Roman"/>
          <w:i/>
          <w:iCs/>
        </w:rPr>
        <w:t>tubAOX</w:t>
      </w:r>
      <w:r w:rsidR="00394ECA" w:rsidRPr="003435B5">
        <w:rPr>
          <w:rFonts w:eastAsia="Times New Roman"/>
        </w:rPr>
        <w:t xml:space="preserve"> </w:t>
      </w:r>
      <w:r w:rsidR="00F36854" w:rsidRPr="003435B5">
        <w:rPr>
          <w:rFonts w:eastAsia="Times New Roman"/>
        </w:rPr>
        <w:t>(AOX-expressor).</w:t>
      </w:r>
      <w:r w:rsidR="002E29DE" w:rsidRPr="003435B5">
        <w:rPr>
          <w:rFonts w:eastAsia="Times New Roman"/>
        </w:rPr>
        <w:t xml:space="preserve"> </w:t>
      </w:r>
      <w:proofErr w:type="spellStart"/>
      <w:r w:rsidR="00F36854" w:rsidRPr="003435B5">
        <w:rPr>
          <w:rFonts w:eastAsia="Times New Roman"/>
        </w:rPr>
        <w:t>Pyr+Pro+Mal</w:t>
      </w:r>
      <w:proofErr w:type="spellEnd"/>
      <w:r w:rsidR="00F36854" w:rsidRPr="003435B5">
        <w:rPr>
          <w:rFonts w:eastAsia="Times New Roman"/>
        </w:rPr>
        <w:t xml:space="preserve"> indicates addition of pyruvate, </w:t>
      </w:r>
      <w:proofErr w:type="gramStart"/>
      <w:r w:rsidR="00F36854" w:rsidRPr="003435B5">
        <w:rPr>
          <w:rFonts w:eastAsia="Times New Roman"/>
        </w:rPr>
        <w:t>proline</w:t>
      </w:r>
      <w:proofErr w:type="gramEnd"/>
      <w:r w:rsidR="00F36854" w:rsidRPr="003435B5">
        <w:rPr>
          <w:rFonts w:eastAsia="Times New Roman"/>
        </w:rPr>
        <w:t xml:space="preserve"> and malate, which are oxidized inside mitochondria providing NADH, substrate for complex I. The following increase in oxygen consumption is due to Leak respiration without adenylates (</w:t>
      </w:r>
      <w:r w:rsidR="00F36854" w:rsidRPr="003435B5">
        <w:rPr>
          <w:rFonts w:eastAsia="Times New Roman"/>
          <w:i/>
          <w:iCs/>
        </w:rPr>
        <w:t>L</w:t>
      </w:r>
      <w:r w:rsidR="00F36854" w:rsidRPr="003435B5">
        <w:rPr>
          <w:rFonts w:eastAsia="Times New Roman"/>
          <w:vertAlign w:val="subscript"/>
        </w:rPr>
        <w:t>N</w:t>
      </w:r>
      <w:r w:rsidR="00F36854" w:rsidRPr="003435B5">
        <w:rPr>
          <w:rFonts w:eastAsia="Times New Roman"/>
        </w:rPr>
        <w:t>). Addition of ADP allows the ATP-synthase to release the proton gradient so that the Oxidative </w:t>
      </w:r>
      <w:proofErr w:type="spellStart"/>
      <w:r w:rsidR="00F36854" w:rsidRPr="003435B5">
        <w:rPr>
          <w:rFonts w:eastAsia="Times New Roman"/>
        </w:rPr>
        <w:t>Phosphorylative</w:t>
      </w:r>
      <w:proofErr w:type="spellEnd"/>
      <w:r w:rsidR="00F36854" w:rsidRPr="003435B5">
        <w:rPr>
          <w:rFonts w:eastAsia="Times New Roman"/>
        </w:rPr>
        <w:t> respirat</w:t>
      </w:r>
      <w:r w:rsidR="00CC7310" w:rsidRPr="003435B5">
        <w:rPr>
          <w:rFonts w:eastAsia="Times New Roman"/>
        </w:rPr>
        <w:t>ory state</w:t>
      </w:r>
      <w:r w:rsidR="00F36854" w:rsidRPr="003435B5">
        <w:rPr>
          <w:rFonts w:eastAsia="Times New Roman"/>
        </w:rPr>
        <w:t xml:space="preserve"> (OXPHOS) is achieved. Addition of antimycin</w:t>
      </w:r>
      <w:r w:rsidR="000333E5" w:rsidRPr="003435B5">
        <w:rPr>
          <w:rFonts w:eastAsia="Times New Roman"/>
        </w:rPr>
        <w:t xml:space="preserve"> </w:t>
      </w:r>
      <w:r w:rsidR="00F36854" w:rsidRPr="003435B5">
        <w:rPr>
          <w:rFonts w:eastAsia="Times New Roman"/>
        </w:rPr>
        <w:t>A inhibits complex III</w:t>
      </w:r>
      <w:r w:rsidR="00394ECA" w:rsidRPr="003435B5">
        <w:rPr>
          <w:rFonts w:eastAsia="Times New Roman"/>
        </w:rPr>
        <w:t xml:space="preserve"> (CIII)</w:t>
      </w:r>
      <w:r w:rsidR="00F36854" w:rsidRPr="003435B5">
        <w:rPr>
          <w:rFonts w:eastAsia="Times New Roman"/>
        </w:rPr>
        <w:t xml:space="preserve">, </w:t>
      </w:r>
      <w:r w:rsidR="002E29DE" w:rsidRPr="003435B5">
        <w:rPr>
          <w:rFonts w:eastAsia="Times New Roman"/>
        </w:rPr>
        <w:t>completely </w:t>
      </w:r>
      <w:r w:rsidR="00F36854" w:rsidRPr="003435B5">
        <w:rPr>
          <w:rFonts w:eastAsia="Times New Roman"/>
        </w:rPr>
        <w:t>abolishing oxygen consumption in the AOX-</w:t>
      </w:r>
      <w:proofErr w:type="spellStart"/>
      <w:r w:rsidR="00F36854" w:rsidRPr="003435B5">
        <w:rPr>
          <w:rFonts w:eastAsia="Times New Roman"/>
        </w:rPr>
        <w:t>nonexpressing</w:t>
      </w:r>
      <w:proofErr w:type="spellEnd"/>
      <w:r w:rsidR="00F36854" w:rsidRPr="003435B5">
        <w:rPr>
          <w:rFonts w:eastAsia="Times New Roman"/>
        </w:rPr>
        <w:t xml:space="preserve"> control sample (top graph), and allowing the </w:t>
      </w:r>
      <w:proofErr w:type="gramStart"/>
      <w:r w:rsidR="00F36854" w:rsidRPr="003435B5">
        <w:rPr>
          <w:rFonts w:eastAsia="Times New Roman"/>
        </w:rPr>
        <w:t>antimycin</w:t>
      </w:r>
      <w:r w:rsidR="00394ECA" w:rsidRPr="003435B5">
        <w:rPr>
          <w:rFonts w:eastAsia="Times New Roman"/>
        </w:rPr>
        <w:t xml:space="preserve"> </w:t>
      </w:r>
      <w:r w:rsidR="00F36854" w:rsidRPr="003435B5">
        <w:rPr>
          <w:rFonts w:eastAsia="Times New Roman"/>
        </w:rPr>
        <w:t xml:space="preserve"> A</w:t>
      </w:r>
      <w:proofErr w:type="gramEnd"/>
      <w:r w:rsidR="00F36854" w:rsidRPr="003435B5">
        <w:rPr>
          <w:rFonts w:eastAsia="Times New Roman"/>
        </w:rPr>
        <w:t>-resistant respiration</w:t>
      </w:r>
      <w:r w:rsidR="006436F1" w:rsidRPr="003435B5">
        <w:rPr>
          <w:rFonts w:eastAsia="Times New Roman"/>
        </w:rPr>
        <w:t xml:space="preserve"> </w:t>
      </w:r>
      <w:r w:rsidR="00F36854" w:rsidRPr="003435B5">
        <w:rPr>
          <w:rFonts w:eastAsia="Times New Roman"/>
        </w:rPr>
        <w:t xml:space="preserve">activity of AOX (green arrow) to be measured in the AOX-expressing sample (bottom graph). Addition of propyl-gallate, an AOX inhibitor, followed by the complex I inhibitor rotenone, certifies that mitochondrial respiration is totally abolished in both lines, allowing baseline oxygen consumption to be established. </w:t>
      </w:r>
      <w:r w:rsidR="002E29DE" w:rsidRPr="003435B5">
        <w:rPr>
          <w:rFonts w:eastAsia="Times New Roman"/>
        </w:rPr>
        <w:t xml:space="preserve">The first 50-60 min of the experiments, prior to the addition of </w:t>
      </w:r>
      <w:proofErr w:type="spellStart"/>
      <w:r w:rsidR="002E29DE" w:rsidRPr="003435B5">
        <w:rPr>
          <w:rFonts w:eastAsia="Times New Roman"/>
        </w:rPr>
        <w:t>Pyr+Pro+Mal</w:t>
      </w:r>
      <w:proofErr w:type="spellEnd"/>
      <w:r w:rsidR="002E29DE" w:rsidRPr="003435B5">
        <w:rPr>
          <w:rFonts w:eastAsia="Times New Roman"/>
        </w:rPr>
        <w:t xml:space="preserve">, show the traces during stabilization of the </w:t>
      </w:r>
      <w:proofErr w:type="spellStart"/>
      <w:r w:rsidR="002E29DE" w:rsidRPr="003435B5">
        <w:rPr>
          <w:rFonts w:eastAsia="Times New Roman"/>
        </w:rPr>
        <w:t>oxygraph</w:t>
      </w:r>
      <w:proofErr w:type="spellEnd"/>
      <w:r w:rsidR="002E29DE" w:rsidRPr="003435B5">
        <w:rPr>
          <w:rFonts w:eastAsia="Times New Roman"/>
        </w:rPr>
        <w:t xml:space="preserve"> system, and w</w:t>
      </w:r>
      <w:r w:rsidR="00CC7310" w:rsidRPr="003435B5">
        <w:rPr>
          <w:rFonts w:eastAsia="Times New Roman"/>
        </w:rPr>
        <w:t>ere</w:t>
      </w:r>
      <w:r w:rsidR="002E29DE" w:rsidRPr="003435B5">
        <w:rPr>
          <w:rFonts w:eastAsia="Times New Roman"/>
        </w:rPr>
        <w:t xml:space="preserve"> deliberately omitted here. </w:t>
      </w:r>
      <w:r w:rsidR="00414DE7" w:rsidRPr="003435B5">
        <w:rPr>
          <w:rFonts w:eastAsia="Times New Roman"/>
        </w:rPr>
        <w:t>The traces before addition of the sample homogenates are used for calculation of air oxygen saturation</w:t>
      </w:r>
      <w:r w:rsidR="002E29DE" w:rsidRPr="003435B5">
        <w:rPr>
          <w:rFonts w:eastAsia="Times New Roman"/>
        </w:rPr>
        <w:t xml:space="preserve"> (see </w:t>
      </w:r>
      <w:r w:rsidR="00C42F1D">
        <w:rPr>
          <w:rFonts w:eastAsia="Times New Roman"/>
        </w:rPr>
        <w:t>steps</w:t>
      </w:r>
      <w:r w:rsidR="002E29DE" w:rsidRPr="003435B5">
        <w:rPr>
          <w:rFonts w:eastAsia="Times New Roman"/>
        </w:rPr>
        <w:t xml:space="preserve"> </w:t>
      </w:r>
      <w:r w:rsidR="00394ECA" w:rsidRPr="003435B5">
        <w:rPr>
          <w:rFonts w:eastAsia="Times New Roman"/>
        </w:rPr>
        <w:t>5 and 6</w:t>
      </w:r>
      <w:r w:rsidR="002E29DE" w:rsidRPr="003435B5">
        <w:rPr>
          <w:rFonts w:eastAsia="Times New Roman"/>
        </w:rPr>
        <w:t xml:space="preserve"> for details). </w:t>
      </w:r>
      <w:r w:rsidR="00C42F1D">
        <w:t>(</w:t>
      </w:r>
      <w:r w:rsidR="00C42F1D">
        <w:rPr>
          <w:b/>
          <w:bCs/>
        </w:rPr>
        <w:t>B</w:t>
      </w:r>
      <w:r w:rsidR="00C42F1D">
        <w:t xml:space="preserve">) </w:t>
      </w:r>
      <w:r w:rsidR="00F36854" w:rsidRPr="003435B5">
        <w:rPr>
          <w:rFonts w:eastAsia="Times New Roman"/>
        </w:rPr>
        <w:t xml:space="preserve">Quantification of the oxygen consumption data shown in A averaged with that of 3-5 </w:t>
      </w:r>
      <w:r w:rsidR="00CC7310" w:rsidRPr="003435B5">
        <w:rPr>
          <w:rFonts w:eastAsia="Times New Roman"/>
        </w:rPr>
        <w:t xml:space="preserve">other </w:t>
      </w:r>
      <w:r w:rsidR="00F36854" w:rsidRPr="003435B5">
        <w:rPr>
          <w:rFonts w:eastAsia="Times New Roman"/>
        </w:rPr>
        <w:t>biological replicates (</w:t>
      </w:r>
      <w:r w:rsidR="00C42F1D">
        <w:rPr>
          <w:rFonts w:eastAsia="Times New Roman"/>
        </w:rPr>
        <w:t>±</w:t>
      </w:r>
      <w:r w:rsidR="00F36854" w:rsidRPr="003435B5">
        <w:rPr>
          <w:rFonts w:eastAsia="Times New Roman"/>
        </w:rPr>
        <w:t xml:space="preserve"> standard deviation).</w:t>
      </w:r>
      <w:r w:rsidR="00394ECA" w:rsidRPr="003435B5">
        <w:rPr>
          <w:rFonts w:eastAsia="Times New Roman"/>
        </w:rPr>
        <w:t xml:space="preserve"> AA-resistant, antimycin A-resistant respiration; CIII + AOX inhibition, residual respiration.</w:t>
      </w:r>
      <w:r w:rsidR="00F36854" w:rsidRPr="003435B5">
        <w:rPr>
          <w:rFonts w:eastAsia="Times New Roman"/>
        </w:rPr>
        <w:t xml:space="preserve"> </w:t>
      </w:r>
      <w:r w:rsidR="00C42F1D">
        <w:t>(</w:t>
      </w:r>
      <w:r w:rsidR="00C42F1D">
        <w:rPr>
          <w:b/>
          <w:bCs/>
        </w:rPr>
        <w:t>C</w:t>
      </w:r>
      <w:r w:rsidR="00C42F1D">
        <w:t xml:space="preserve">) </w:t>
      </w:r>
      <w:r w:rsidR="00F36854" w:rsidRPr="003435B5">
        <w:rPr>
          <w:rFonts w:eastAsia="Times New Roman"/>
        </w:rPr>
        <w:t xml:space="preserve">Respiratory control ratio (RCR) was calculated as the </w:t>
      </w:r>
      <w:r w:rsidR="00F36854" w:rsidRPr="003435B5">
        <w:rPr>
          <w:rFonts w:eastAsia="Times New Roman"/>
        </w:rPr>
        <w:lastRenderedPageBreak/>
        <w:t xml:space="preserve">average ratio between </w:t>
      </w:r>
      <w:proofErr w:type="gramStart"/>
      <w:r w:rsidR="00F36854" w:rsidRPr="003435B5">
        <w:rPr>
          <w:rFonts w:eastAsia="Times New Roman"/>
        </w:rPr>
        <w:t>OXPHOS</w:t>
      </w:r>
      <w:proofErr w:type="gramEnd"/>
      <w:r w:rsidR="00F36854" w:rsidRPr="003435B5">
        <w:rPr>
          <w:rFonts w:eastAsia="Times New Roman"/>
        </w:rPr>
        <w:t xml:space="preserve"> and </w:t>
      </w:r>
      <w:r w:rsidR="00F36854" w:rsidRPr="003435B5">
        <w:rPr>
          <w:rFonts w:eastAsia="Times New Roman"/>
          <w:i/>
          <w:iCs/>
        </w:rPr>
        <w:t>L</w:t>
      </w:r>
      <w:r w:rsidR="00F36854" w:rsidRPr="003435B5">
        <w:rPr>
          <w:rFonts w:eastAsia="Times New Roman"/>
          <w:vertAlign w:val="subscript"/>
        </w:rPr>
        <w:t>N</w:t>
      </w:r>
      <w:r w:rsidR="00F36854" w:rsidRPr="003435B5">
        <w:rPr>
          <w:rFonts w:eastAsia="Times New Roman"/>
        </w:rPr>
        <w:t xml:space="preserve"> respirations of the data shown in B and that of 3-5 </w:t>
      </w:r>
      <w:r w:rsidR="00CC7310" w:rsidRPr="003435B5">
        <w:rPr>
          <w:rFonts w:eastAsia="Times New Roman"/>
        </w:rPr>
        <w:t xml:space="preserve">other </w:t>
      </w:r>
      <w:r w:rsidR="00F36854" w:rsidRPr="003435B5">
        <w:rPr>
          <w:rFonts w:eastAsia="Times New Roman"/>
        </w:rPr>
        <w:t>biological replicates (+/- standard deviation), to estimate mitochondrial OXPHOS-coupling efficiency.</w:t>
      </w:r>
      <w:r w:rsidR="002E29DE" w:rsidRPr="003435B5">
        <w:rPr>
          <w:rFonts w:eastAsia="Times New Roman"/>
        </w:rPr>
        <w:t xml:space="preserve"> We have previously measured Leak respiration in the presence of oligomycin (</w:t>
      </w:r>
      <w:proofErr w:type="spellStart"/>
      <w:r w:rsidR="002E29DE" w:rsidRPr="003435B5">
        <w:rPr>
          <w:rFonts w:eastAsia="Times New Roman"/>
          <w:i/>
          <w:iCs/>
        </w:rPr>
        <w:t>L</w:t>
      </w:r>
      <w:r w:rsidR="002E29DE" w:rsidRPr="003435B5">
        <w:rPr>
          <w:rFonts w:eastAsia="Times New Roman"/>
          <w:vertAlign w:val="subscript"/>
        </w:rPr>
        <w:t>Omy</w:t>
      </w:r>
      <w:proofErr w:type="spellEnd"/>
      <w:r w:rsidR="002E29DE" w:rsidRPr="003435B5">
        <w:rPr>
          <w:rFonts w:eastAsia="Times New Roman"/>
        </w:rPr>
        <w:t>) and determined no differences between</w:t>
      </w:r>
      <w:r w:rsidR="002E29DE" w:rsidRPr="003435B5">
        <w:rPr>
          <w:rFonts w:eastAsia="Times New Roman"/>
          <w:i/>
          <w:iCs/>
        </w:rPr>
        <w:t> </w:t>
      </w:r>
      <w:proofErr w:type="spellStart"/>
      <w:r w:rsidR="002E29DE" w:rsidRPr="003435B5">
        <w:rPr>
          <w:rFonts w:eastAsia="Times New Roman"/>
          <w:i/>
          <w:iCs/>
        </w:rPr>
        <w:t>L</w:t>
      </w:r>
      <w:r w:rsidR="002E29DE" w:rsidRPr="003435B5">
        <w:rPr>
          <w:rFonts w:eastAsia="Times New Roman"/>
          <w:vertAlign w:val="subscript"/>
        </w:rPr>
        <w:t>Omy</w:t>
      </w:r>
      <w:proofErr w:type="spellEnd"/>
      <w:r w:rsidR="002E29DE" w:rsidRPr="003435B5">
        <w:rPr>
          <w:rFonts w:eastAsia="Times New Roman"/>
        </w:rPr>
        <w:t> and </w:t>
      </w:r>
      <w:r w:rsidR="002E29DE" w:rsidRPr="003435B5">
        <w:rPr>
          <w:rFonts w:eastAsia="Times New Roman"/>
          <w:i/>
          <w:iCs/>
        </w:rPr>
        <w:t>L</w:t>
      </w:r>
      <w:r w:rsidR="002E29DE" w:rsidRPr="003435B5">
        <w:rPr>
          <w:rFonts w:eastAsia="Times New Roman"/>
          <w:vertAlign w:val="subscript"/>
        </w:rPr>
        <w:t>N</w:t>
      </w:r>
      <w:r w:rsidR="002E29DE" w:rsidRPr="003435B5">
        <w:rPr>
          <w:rFonts w:eastAsia="Times New Roman"/>
        </w:rPr>
        <w:t> (data not shown). Using </w:t>
      </w:r>
      <w:r w:rsidR="002E29DE" w:rsidRPr="003435B5">
        <w:rPr>
          <w:rFonts w:eastAsia="Times New Roman"/>
          <w:i/>
          <w:iCs/>
        </w:rPr>
        <w:t>L</w:t>
      </w:r>
      <w:r w:rsidR="002E29DE" w:rsidRPr="003435B5">
        <w:rPr>
          <w:rFonts w:eastAsia="Times New Roman"/>
          <w:vertAlign w:val="subscript"/>
        </w:rPr>
        <w:t>N</w:t>
      </w:r>
      <w:r w:rsidR="002E29DE" w:rsidRPr="003435B5">
        <w:rPr>
          <w:rFonts w:eastAsia="Times New Roman"/>
        </w:rPr>
        <w:t> to compute RCR allows us to measure the antimycin A-resistant respiration by AOX in the same experiment</w:t>
      </w:r>
      <w:r w:rsidR="002E29DE" w:rsidRPr="003435B5">
        <w:t>.</w:t>
      </w:r>
      <w:r w:rsidR="00F36854" w:rsidRPr="003435B5">
        <w:rPr>
          <w:rFonts w:eastAsia="Times New Roman"/>
        </w:rPr>
        <w:t xml:space="preserve"> * </w:t>
      </w:r>
      <w:proofErr w:type="gramStart"/>
      <w:r w:rsidR="00F36854" w:rsidRPr="003435B5">
        <w:rPr>
          <w:rFonts w:eastAsia="Times New Roman"/>
        </w:rPr>
        <w:t>indicates</w:t>
      </w:r>
      <w:proofErr w:type="gramEnd"/>
      <w:r w:rsidR="00F36854" w:rsidRPr="003435B5">
        <w:rPr>
          <w:rFonts w:eastAsia="Times New Roman"/>
        </w:rPr>
        <w:t xml:space="preserve"> statistical differences (p&lt;0.05), according to Student's t-tests.</w:t>
      </w:r>
    </w:p>
    <w:p w14:paraId="6CB917C9" w14:textId="20F84702" w:rsidR="00883F30" w:rsidRPr="003435B5" w:rsidRDefault="00883F30" w:rsidP="003435B5">
      <w:pPr>
        <w:contextualSpacing/>
        <w:rPr>
          <w:b/>
        </w:rPr>
      </w:pPr>
    </w:p>
    <w:p w14:paraId="61C39CEA" w14:textId="0E577549" w:rsidR="00FA387F" w:rsidRPr="003435B5" w:rsidRDefault="00FA387F" w:rsidP="003435B5">
      <w:pPr>
        <w:contextualSpacing/>
        <w:rPr>
          <w:b/>
        </w:rPr>
      </w:pPr>
      <w:r w:rsidRPr="003435B5">
        <w:rPr>
          <w:b/>
        </w:rPr>
        <w:t>DISCUSSION:</w:t>
      </w:r>
    </w:p>
    <w:p w14:paraId="27914768" w14:textId="75E9CA06" w:rsidR="009B7B6C" w:rsidRPr="003435B5" w:rsidRDefault="00883F30" w:rsidP="003435B5">
      <w:pPr>
        <w:contextualSpacing/>
      </w:pPr>
      <w:r w:rsidRPr="003435B5">
        <w:t xml:space="preserve">The 3D-printing protocols and STL files provided here are intended to facilitate the setup of a new </w:t>
      </w:r>
      <w:proofErr w:type="spellStart"/>
      <w:r w:rsidRPr="003435B5">
        <w:t>flylab</w:t>
      </w:r>
      <w:proofErr w:type="spellEnd"/>
      <w:r w:rsidRPr="003435B5">
        <w:t xml:space="preserve"> or to increase the repertoire of apparatuses in an existing </w:t>
      </w:r>
      <w:r w:rsidRPr="003435B5">
        <w:rPr>
          <w:i/>
          <w:iCs/>
        </w:rPr>
        <w:t>Drosophila</w:t>
      </w:r>
      <w:r w:rsidRPr="003435B5">
        <w:t xml:space="preserve"> </w:t>
      </w:r>
      <w:r w:rsidR="00D210C1" w:rsidRPr="003435B5">
        <w:t>behavioral</w:t>
      </w:r>
      <w:r w:rsidRPr="003435B5">
        <w:t xml:space="preserve"> facility, using “homemade” equipment. The 3D-printing strategy may be particularly useful in developing countries such as Brazil, where research using </w:t>
      </w:r>
      <w:r w:rsidRPr="003435B5">
        <w:rPr>
          <w:i/>
          <w:iCs/>
        </w:rPr>
        <w:t>Drosophila</w:t>
      </w:r>
      <w:r w:rsidRPr="003435B5">
        <w:t xml:space="preserve"> as a model organism for studying human biology appears to be underrepresented, and specialized equipment is costly. Our protocols provide instructions on how to create the plastic framework </w:t>
      </w:r>
      <w:r w:rsidR="0006669E" w:rsidRPr="003435B5">
        <w:t xml:space="preserve">and to assemble </w:t>
      </w:r>
      <w:r w:rsidR="00CB682D" w:rsidRPr="003435B5">
        <w:t xml:space="preserve">relatively </w:t>
      </w:r>
      <w:r w:rsidR="0006669E" w:rsidRPr="003435B5">
        <w:t>simple devices</w:t>
      </w:r>
      <w:r w:rsidRPr="003435B5">
        <w:t xml:space="preserve">, </w:t>
      </w:r>
      <w:r w:rsidR="00EC6997" w:rsidRPr="003435B5">
        <w:t>such as</w:t>
      </w:r>
      <w:r w:rsidRPr="003435B5">
        <w:t xml:space="preserve"> vial racks and apparatuses for memory, courtship and climbing assays</w:t>
      </w:r>
      <w:r w:rsidR="00150571" w:rsidRPr="003435B5">
        <w:t xml:space="preserve">, which may </w:t>
      </w:r>
      <w:r w:rsidR="00CB682D" w:rsidRPr="003435B5">
        <w:t xml:space="preserve">only </w:t>
      </w:r>
      <w:r w:rsidR="00150571" w:rsidRPr="003435B5">
        <w:t>need</w:t>
      </w:r>
      <w:r w:rsidR="00D7638C" w:rsidRPr="003435B5">
        <w:t xml:space="preserve"> </w:t>
      </w:r>
      <w:r w:rsidR="00150571" w:rsidRPr="003435B5">
        <w:t xml:space="preserve">extra simple </w:t>
      </w:r>
      <w:r w:rsidR="00D83C2F" w:rsidRPr="003435B5">
        <w:t>non-print</w:t>
      </w:r>
      <w:r w:rsidR="00734BE3" w:rsidRPr="003435B5">
        <w:t>able</w:t>
      </w:r>
      <w:r w:rsidR="00D83C2F" w:rsidRPr="003435B5">
        <w:t xml:space="preserve"> </w:t>
      </w:r>
      <w:r w:rsidR="00D7638C" w:rsidRPr="003435B5">
        <w:t>pieces for complete function</w:t>
      </w:r>
      <w:r w:rsidR="00CB682D" w:rsidRPr="003435B5">
        <w:t>ality</w:t>
      </w:r>
      <w:r w:rsidRPr="003435B5">
        <w:t>.</w:t>
      </w:r>
      <w:r w:rsidR="009B7B6C" w:rsidRPr="003435B5">
        <w:t xml:space="preserve"> </w:t>
      </w:r>
      <w:r w:rsidR="00307DCC" w:rsidRPr="003435B5">
        <w:t>For proper printing results, t</w:t>
      </w:r>
      <w:r w:rsidR="009B7B6C" w:rsidRPr="003435B5">
        <w:t>he user may need to adjust</w:t>
      </w:r>
      <w:r w:rsidR="00307DCC" w:rsidRPr="003435B5">
        <w:t xml:space="preserve"> a few printing parameters based on his/her own printer. In </w:t>
      </w:r>
      <w:r w:rsidR="00307DCC" w:rsidRPr="00C42F1D">
        <w:rPr>
          <w:b/>
          <w:bCs/>
        </w:rPr>
        <w:t>Figure 2B</w:t>
      </w:r>
      <w:r w:rsidR="00307DCC" w:rsidRPr="003435B5">
        <w:t xml:space="preserve">, under “Speed and </w:t>
      </w:r>
      <w:r w:rsidR="00D74A52" w:rsidRPr="003435B5">
        <w:t>Q</w:t>
      </w:r>
      <w:r w:rsidR="00307DCC" w:rsidRPr="003435B5">
        <w:t xml:space="preserve">uality” (red square 3), one can find important </w:t>
      </w:r>
      <w:r w:rsidR="00D74A52" w:rsidRPr="003435B5">
        <w:t>setting</w:t>
      </w:r>
      <w:r w:rsidR="00307DCC" w:rsidRPr="003435B5">
        <w:t xml:space="preserve">s that may determine the quality of the final printed piece. “Print” controls the range of speed </w:t>
      </w:r>
      <w:r w:rsidR="00E672C0" w:rsidRPr="003435B5">
        <w:t xml:space="preserve">at which </w:t>
      </w:r>
      <w:r w:rsidR="00307DCC" w:rsidRPr="003435B5">
        <w:t>the printer extruder works to form the 3D piece; the lower the speed, the higher the final quality and the total time needed to complete the job. In “First Layer”, one should consider the printing speed of the layer that will be placed directly onto the printer table. It is important that this is slow (30</w:t>
      </w:r>
      <w:r w:rsidR="00D74A52" w:rsidRPr="003435B5">
        <w:t xml:space="preserve"> </w:t>
      </w:r>
      <w:r w:rsidR="00307DCC" w:rsidRPr="003435B5">
        <w:t xml:space="preserve">mm/s), as any imperfections in the first layer may alter </w:t>
      </w:r>
      <w:proofErr w:type="gramStart"/>
      <w:r w:rsidR="00307DCC" w:rsidRPr="003435B5">
        <w:t xml:space="preserve">all </w:t>
      </w:r>
      <w:r w:rsidR="00E672C0" w:rsidRPr="003435B5">
        <w:t>of</w:t>
      </w:r>
      <w:proofErr w:type="gramEnd"/>
      <w:r w:rsidR="00E672C0" w:rsidRPr="003435B5">
        <w:t xml:space="preserve"> </w:t>
      </w:r>
      <w:r w:rsidR="00307DCC" w:rsidRPr="003435B5">
        <w:t xml:space="preserve">the layers above, causing </w:t>
      </w:r>
      <w:r w:rsidR="00E672C0" w:rsidRPr="003435B5">
        <w:t>deformities</w:t>
      </w:r>
      <w:r w:rsidR="00307DCC" w:rsidRPr="003435B5">
        <w:t xml:space="preserve"> </w:t>
      </w:r>
      <w:r w:rsidR="00E672C0" w:rsidRPr="003435B5">
        <w:t>in</w:t>
      </w:r>
      <w:r w:rsidR="00307DCC" w:rsidRPr="003435B5">
        <w:t xml:space="preserve"> the final piece. </w:t>
      </w:r>
      <w:r w:rsidR="00D74A52" w:rsidRPr="003435B5">
        <w:t>For the same reasons, we choose higher thickness for the first layer (“First Layer Height: 0.3 mm”), whereas the remaining layers can be thinner</w:t>
      </w:r>
      <w:r w:rsidR="00307DCC" w:rsidRPr="003435B5">
        <w:t xml:space="preserve"> (</w:t>
      </w:r>
      <w:r w:rsidR="00D74A52" w:rsidRPr="003435B5">
        <w:t xml:space="preserve">“Layer </w:t>
      </w:r>
      <w:r w:rsidR="00DB0B2E" w:rsidRPr="003435B5">
        <w:t>Height</w:t>
      </w:r>
      <w:r w:rsidR="00D74A52" w:rsidRPr="003435B5">
        <w:t>”, red square</w:t>
      </w:r>
      <w:r w:rsidR="00307DCC" w:rsidRPr="003435B5">
        <w:t xml:space="preserve"> in </w:t>
      </w:r>
      <w:r w:rsidR="00307DCC" w:rsidRPr="00C42F1D">
        <w:rPr>
          <w:b/>
          <w:bCs/>
        </w:rPr>
        <w:t>Figure 2C</w:t>
      </w:r>
      <w:r w:rsidR="00307DCC" w:rsidRPr="003435B5">
        <w:t>)</w:t>
      </w:r>
      <w:r w:rsidR="00D74A52" w:rsidRPr="003435B5">
        <w:t xml:space="preserve"> without detriments to the final piece</w:t>
      </w:r>
      <w:r w:rsidR="00307DCC" w:rsidRPr="003435B5">
        <w:t>.</w:t>
      </w:r>
    </w:p>
    <w:p w14:paraId="475D349E" w14:textId="141FC514" w:rsidR="002F39AA" w:rsidRPr="003435B5" w:rsidRDefault="002F39AA" w:rsidP="003435B5">
      <w:pPr>
        <w:contextualSpacing/>
      </w:pPr>
    </w:p>
    <w:p w14:paraId="226E02FD" w14:textId="190DF42D" w:rsidR="00883F30" w:rsidRPr="003435B5" w:rsidRDefault="0006669E" w:rsidP="003435B5">
      <w:pPr>
        <w:contextualSpacing/>
      </w:pPr>
      <w:r w:rsidRPr="003435B5">
        <w:t>As the</w:t>
      </w:r>
      <w:r w:rsidR="00D7638C" w:rsidRPr="003435B5">
        <w:t xml:space="preserve"> interested</w:t>
      </w:r>
      <w:r w:rsidRPr="003435B5">
        <w:t xml:space="preserve"> </w:t>
      </w:r>
      <w:proofErr w:type="spellStart"/>
      <w:r w:rsidRPr="003435B5">
        <w:t>Drosophilist</w:t>
      </w:r>
      <w:proofErr w:type="spellEnd"/>
      <w:r w:rsidRPr="003435B5">
        <w:t xml:space="preserve"> becomes more familiar</w:t>
      </w:r>
      <w:r w:rsidR="00D7638C" w:rsidRPr="003435B5">
        <w:t>ized</w:t>
      </w:r>
      <w:r w:rsidRPr="003435B5">
        <w:t xml:space="preserve"> with the 3D-priting </w:t>
      </w:r>
      <w:r w:rsidR="00443CAA" w:rsidRPr="003435B5">
        <w:t>methods</w:t>
      </w:r>
      <w:r w:rsidR="00D7638C" w:rsidRPr="003435B5">
        <w:t xml:space="preserve"> by creating the devices</w:t>
      </w:r>
      <w:r w:rsidR="00907A99" w:rsidRPr="003435B5">
        <w:t xml:space="preserve"> presented here</w:t>
      </w:r>
      <w:r w:rsidRPr="003435B5">
        <w:t xml:space="preserve">, we recommend him/her </w:t>
      </w:r>
      <w:r w:rsidR="00D7638C" w:rsidRPr="003435B5">
        <w:t>to invest in more complex</w:t>
      </w:r>
      <w:r w:rsidR="00883F30" w:rsidRPr="003435B5">
        <w:t xml:space="preserve"> equipment</w:t>
      </w:r>
      <w:r w:rsidR="00D7638C" w:rsidRPr="003435B5">
        <w:t xml:space="preserve"> that can provide </w:t>
      </w:r>
      <w:r w:rsidR="00D83C2F" w:rsidRPr="003435B5">
        <w:t xml:space="preserve">more streamlined </w:t>
      </w:r>
      <w:r w:rsidR="00D7638C" w:rsidRPr="003435B5">
        <w:t>quantitative data for different behavioral parameters.</w:t>
      </w:r>
      <w:r w:rsidR="00883F30" w:rsidRPr="003435B5">
        <w:t xml:space="preserve"> </w:t>
      </w:r>
      <w:r w:rsidR="00443CAA" w:rsidRPr="003435B5">
        <w:t>One s</w:t>
      </w:r>
      <w:r w:rsidR="00883F30" w:rsidRPr="003435B5">
        <w:t>uch</w:t>
      </w:r>
      <w:r w:rsidR="00443CAA" w:rsidRPr="003435B5">
        <w:t xml:space="preserve"> equipment includes</w:t>
      </w:r>
      <w:r w:rsidR="00883F30" w:rsidRPr="003435B5">
        <w:t xml:space="preserve"> the FlyPi</w:t>
      </w:r>
      <w:r w:rsidR="00DD0F2F" w:rsidRPr="003435B5">
        <w:fldChar w:fldCharType="begin" w:fldLock="1"/>
      </w:r>
      <w:r w:rsidR="00307B18" w:rsidRPr="003435B5">
        <w:instrText>ADDIN CSL_CITATION {"citationItems":[{"id":"ITEM-1","itemData":{"DOI":"10.1371/journal.pbio.2002702","ISSN":"15457885","PMID":"28719603","abstract":"Small, genetically tractable species such as larval zebrafish, Drosophila, or Caenorhabditis elegans have become key model organisms in modern neuroscience. In addition to their low maintenance costs and easy sharing of strains across labs, one key appeal is the possibility to monitor single or groups of animals in a behavioural arena while controlling the activity of select neurons using optogenetic or thermogenetic tools. However, the purchase of a commercial solution for these types of experiments, including an appropriate camera system as well as a controlled behavioural arena, can be costly. Here, we present a low-cost and modular open-source alternative called ‘FlyPi’. Our design is based on a 3D-printed mainframe, a Raspberry Pi computer, and high-definition camera system as well as Arduino-based optical and thermal control circuits. Depending on the configuration, FlyPi can be assembled for well under €100 and features optional modules for light-emitting diode (LED)-based fluorescence microscopy and optogenetic stimulation as well as a Peltier-based temperature stimulator for thermogenetics. The complete version with all modules costs approximately €200 or substantially less if the user is prepared to ‘shop around’. All functions of FlyPi can be controlled through a custom-written graphical user interface. To demonstrate FlyPi’s capabilities, we present its use in a series of state-of-the-art neurogenetics experiments. In addition, we demonstrate FlyPi’s utility as a medical diagnostic tool as well as a teaching aid at Neurogenetics courses held at several African universities. Taken together, the low cost and modular nature as well as fully open design of FlyPi make it a highly versatile tool in a range of applications, including the classroom, diagnostic centres, and research labs.","author":[{"dropping-particle":"","family":"Maia Chagas","given":"Andre","non-dropping-particle":"","parse-names":false,"suffix":""},{"dropping-particle":"","family":"Prieto-Godino","given":"Lucia L.","non-dropping-particle":"","parse-names":false,"suffix":""},{"dropping-particle":"","family":"Arrenberg","given":"Aristides B.","non-dropping-particle":"","parse-names":false,"suffix":""},{"dropping-particle":"","family":"Baden","given":"Tom","non-dropping-particle":"","parse-names":false,"suffix":""}],"container-title":"PLoS Biology","id":"ITEM-1","issue":"7","issued":{"date-parts":[["2017","7","18"]]},"publisher":"Public Library of Science","title":"The €100 lab: A 3D-printable open-source platform for fluorescence microscopy, optogenetics, and accurate temperature control during behaviour of zebrafish, Drosophila, and Caenorhabditis elegans","type":"article-journal","volume":"15"},"uris":["http://www.mendeley.com/documents/?uuid=f02a7bdd-2570-362e-bd32-3cf225ed579b"]}],"mendeley":{"formattedCitation":"&lt;sup&gt;15&lt;/sup&gt;","plainTextFormattedCitation":"15","previouslyFormattedCitation":"&lt;sup&gt;15&lt;/sup&gt;"},"properties":{"noteIndex":0},"schema":"https://github.com/citation-style-language/schema/raw/master/csl-citation.json"}</w:instrText>
      </w:r>
      <w:r w:rsidR="00DD0F2F" w:rsidRPr="003435B5">
        <w:fldChar w:fldCharType="separate"/>
      </w:r>
      <w:r w:rsidR="00307B18" w:rsidRPr="003435B5">
        <w:rPr>
          <w:noProof/>
          <w:vertAlign w:val="superscript"/>
        </w:rPr>
        <w:t>15</w:t>
      </w:r>
      <w:r w:rsidR="00DD0F2F" w:rsidRPr="003435B5">
        <w:fldChar w:fldCharType="end"/>
      </w:r>
      <w:r w:rsidR="00451716" w:rsidRPr="003435B5">
        <w:t>, which is a</w:t>
      </w:r>
      <w:r w:rsidR="005A1D43" w:rsidRPr="003435B5">
        <w:t xml:space="preserve"> relatively</w:t>
      </w:r>
      <w:r w:rsidR="00451716" w:rsidRPr="003435B5">
        <w:t xml:space="preserve"> affordable, open-source platform for </w:t>
      </w:r>
      <w:r w:rsidR="008A615D" w:rsidRPr="003435B5">
        <w:t>measuring</w:t>
      </w:r>
      <w:r w:rsidR="00451716" w:rsidRPr="003435B5">
        <w:t xml:space="preserve"> behavior</w:t>
      </w:r>
      <w:r w:rsidR="008A615D" w:rsidRPr="003435B5">
        <w:t xml:space="preserve">s </w:t>
      </w:r>
      <w:r w:rsidR="0018149A" w:rsidRPr="003435B5">
        <w:t xml:space="preserve">of small model animals, including </w:t>
      </w:r>
      <w:r w:rsidR="0018149A" w:rsidRPr="003435B5">
        <w:rPr>
          <w:i/>
          <w:iCs/>
        </w:rPr>
        <w:t>Drosophila</w:t>
      </w:r>
      <w:r w:rsidR="0018149A" w:rsidRPr="003435B5">
        <w:t xml:space="preserve">, </w:t>
      </w:r>
      <w:r w:rsidR="008A615D" w:rsidRPr="003435B5">
        <w:t>that can be controlled by</w:t>
      </w:r>
      <w:r w:rsidR="00451716" w:rsidRPr="003435B5">
        <w:t xml:space="preserve"> </w:t>
      </w:r>
      <w:r w:rsidR="008A615D" w:rsidRPr="003435B5">
        <w:t xml:space="preserve">optogenetic and/or thermogenetic tools, due to the attached LED-based fluorescence </w:t>
      </w:r>
      <w:r w:rsidR="00D83C2F" w:rsidRPr="003435B5">
        <w:t xml:space="preserve">microscope </w:t>
      </w:r>
      <w:r w:rsidR="008A615D" w:rsidRPr="003435B5">
        <w:t xml:space="preserve">and the Peltier-based temperature stimulator modules. </w:t>
      </w:r>
      <w:r w:rsidR="0018149A" w:rsidRPr="003435B5">
        <w:t xml:space="preserve">Another example of a more sophisticated </w:t>
      </w:r>
      <w:r w:rsidR="0000500B" w:rsidRPr="003435B5">
        <w:t>equipment that can be home-made is</w:t>
      </w:r>
      <w:r w:rsidR="00883F30" w:rsidRPr="003435B5">
        <w:t xml:space="preserve"> the </w:t>
      </w:r>
      <w:r w:rsidR="0000500B" w:rsidRPr="003435B5">
        <w:t>e</w:t>
      </w:r>
      <w:r w:rsidR="00883F30" w:rsidRPr="003435B5">
        <w:t>thoscope</w:t>
      </w:r>
      <w:r w:rsidR="003D10BB" w:rsidRPr="003435B5">
        <w:fldChar w:fldCharType="begin" w:fldLock="1"/>
      </w:r>
      <w:r w:rsidR="00D158C9" w:rsidRPr="003435B5">
        <w:instrText>ADDIN CSL_CITATION {"citationItems":[{"id":"ITEM-1","itemData":{"DOI":"10.1371/journal.pbio.2003026","ISSN":"1545-7885","abstract":"Here, we present the use of ethoscopes, which are machines for high-throughput analysis of behavior in Drosophila and other animals. Ethoscopes provide a software and hardware solution that is reproducible and easily scalable. They perform, in real-time, tracking and profiling of behavior by using a supervised machine learning algorithm, are able to deliver behaviorally triggered stimuli to flies in a feedback-loop mode, and are highly customizable and open source. Ethoscopes can be built easily by using 3D printing technology and rely on Raspberry Pi microcomputers and Arduino boards to provide affordable and flexible hardware. All software and construction specifications are available at http://lab.gilest.ro/ethoscope.","author":[{"dropping-particle":"","family":"Geissmann","given":"Quentin","non-dropping-particle":"","parse-names":false,"suffix":""},{"dropping-particle":"","family":"Garcia Rodriguez","given":"Luis","non-dropping-particle":"","parse-names":false,"suffix":""},{"dropping-particle":"","family":"Beckwith","given":"Esteban J.","non-dropping-particle":"","parse-names":false,"suffix":""},{"dropping-particle":"","family":"French","given":"Alice S.","non-dropping-particle":"","parse-names":false,"suffix":""},{"dropping-particle":"","family":"Jamasb","given":"Arian R.","non-dropping-particle":"","parse-names":false,"suffix":""},{"dropping-particle":"","family":"Gilestro","given":"Giorgio F.","non-dropping-particle":"","parse-names":false,"suffix":""}],"container-title":"PLOS Biology","id":"ITEM-1","issue":"10","issued":{"date-parts":[["2017","10","19"]]},"page":"e2003026","publisher":"Public Library of Science","title":"Ethoscopes: An open platform for high-throughput ethomics","type":"article-journal","volume":"15"},"uris":["http://www.mendeley.com/documents/?uuid=07bd31d1-2dc4-31f9-9889-cf0736440053"]}],"mendeley":{"formattedCitation":"&lt;sup&gt;48&lt;/sup&gt;","plainTextFormattedCitation":"48","previouslyFormattedCitation":"&lt;sup&gt;49&lt;/sup&gt;"},"properties":{"noteIndex":0},"schema":"https://github.com/citation-style-language/schema/raw/master/csl-citation.json"}</w:instrText>
      </w:r>
      <w:r w:rsidR="003D10BB" w:rsidRPr="003435B5">
        <w:fldChar w:fldCharType="separate"/>
      </w:r>
      <w:r w:rsidR="00D158C9" w:rsidRPr="003435B5">
        <w:rPr>
          <w:noProof/>
          <w:vertAlign w:val="superscript"/>
        </w:rPr>
        <w:t>48</w:t>
      </w:r>
      <w:r w:rsidR="003D10BB" w:rsidRPr="003435B5">
        <w:fldChar w:fldCharType="end"/>
      </w:r>
      <w:r w:rsidR="00883F30" w:rsidRPr="003435B5">
        <w:t>,</w:t>
      </w:r>
      <w:r w:rsidR="00D83C2F" w:rsidRPr="003435B5">
        <w:t xml:space="preserve"> </w:t>
      </w:r>
      <w:r w:rsidR="00736A2C" w:rsidRPr="003435B5">
        <w:t xml:space="preserve">a platform for </w:t>
      </w:r>
      <w:r w:rsidR="00D83C2F" w:rsidRPr="003435B5">
        <w:t>high-throughput</w:t>
      </w:r>
      <w:r w:rsidR="00736A2C" w:rsidRPr="003435B5">
        <w:t>,</w:t>
      </w:r>
      <w:r w:rsidR="00D83C2F" w:rsidRPr="003435B5">
        <w:t xml:space="preserve"> real-time tracking and profiling of </w:t>
      </w:r>
      <w:r w:rsidR="00736A2C" w:rsidRPr="003435B5">
        <w:t xml:space="preserve">small animal </w:t>
      </w:r>
      <w:r w:rsidR="00D83C2F" w:rsidRPr="003435B5">
        <w:t>behavior</w:t>
      </w:r>
      <w:r w:rsidR="00736A2C" w:rsidRPr="003435B5">
        <w:t>. For these,</w:t>
      </w:r>
      <w:r w:rsidR="00734BE3" w:rsidRPr="003435B5">
        <w:t xml:space="preserve"> nevertheless,</w:t>
      </w:r>
      <w:r w:rsidR="00736A2C" w:rsidRPr="003435B5">
        <w:t xml:space="preserve"> </w:t>
      </w:r>
      <w:r w:rsidR="00883F30" w:rsidRPr="003435B5">
        <w:t xml:space="preserve">one must also invest </w:t>
      </w:r>
      <w:r w:rsidR="00D13B45" w:rsidRPr="003435B5">
        <w:t>i</w:t>
      </w:r>
      <w:r w:rsidR="00883F30" w:rsidRPr="003435B5">
        <w:t>n electronic components,</w:t>
      </w:r>
      <w:r w:rsidR="00734BE3" w:rsidRPr="003435B5">
        <w:t xml:space="preserve"> such as cables, circuits,</w:t>
      </w:r>
      <w:r w:rsidR="00883F30" w:rsidRPr="003435B5">
        <w:t xml:space="preserve"> cameras, lens, among other parts, and follow the instructions provided by the original designers to assemble the parts into the </w:t>
      </w:r>
      <w:r w:rsidR="00736A2C" w:rsidRPr="003435B5">
        <w:t>3D-</w:t>
      </w:r>
      <w:r w:rsidR="00883F30" w:rsidRPr="003435B5">
        <w:t>printed framework</w:t>
      </w:r>
      <w:r w:rsidR="00736A2C" w:rsidRPr="003435B5">
        <w:t xml:space="preserve"> </w:t>
      </w:r>
      <w:r w:rsidR="005A1D43" w:rsidRPr="003435B5">
        <w:t>and connect with the software</w:t>
      </w:r>
      <w:r w:rsidR="00D63E3C" w:rsidRPr="003435B5">
        <w:fldChar w:fldCharType="begin" w:fldLock="1"/>
      </w:r>
      <w:r w:rsidR="00D158C9" w:rsidRPr="003435B5">
        <w:instrText>ADDIN CSL_CITATION {"citationItems":[{"id":"ITEM-1","itemData":{"URL":"https://github.com/amchagas/Flypi","accessed":{"date-parts":[["2021","7","6"]]},"id":"ITEM-1","issued":{"date-parts":[["0"]]},"title":"GitHub - amchagas/Flypi: This is the repository for the flypi project","type":"webpage"},"uris":["http://www.mendeley.com/documents/?uuid=345ae140-8f16-32d2-a120-9988383b9cfc"]},{"id":"ITEM-2","itemData":{"URL":"https://gilestrolab.github.io/ethoscope/","accessed":{"date-parts":[["2021","7","6"]]},"id":"ITEM-2","issued":{"date-parts":[["0"]]},"title":"Ethoscope Home","type":"webpage"},"uris":["http://www.mendeley.com/documents/?uuid=937717cd-d948-31a4-9794-43c78297cb66"]}],"mendeley":{"formattedCitation":"&lt;sup&gt;49, 50&lt;/sup&gt;","plainTextFormattedCitation":"49, 50","previouslyFormattedCitation":"&lt;sup&gt;50, 51&lt;/sup&gt;"},"properties":{"noteIndex":0},"schema":"https://github.com/citation-style-language/schema/raw/master/csl-citation.json"}</w:instrText>
      </w:r>
      <w:r w:rsidR="00D63E3C" w:rsidRPr="003435B5">
        <w:fldChar w:fldCharType="separate"/>
      </w:r>
      <w:r w:rsidR="00D158C9" w:rsidRPr="003435B5">
        <w:rPr>
          <w:noProof/>
          <w:vertAlign w:val="superscript"/>
        </w:rPr>
        <w:t>49, 50</w:t>
      </w:r>
      <w:r w:rsidR="00D63E3C" w:rsidRPr="003435B5">
        <w:fldChar w:fldCharType="end"/>
      </w:r>
      <w:r w:rsidR="00883F30" w:rsidRPr="003435B5">
        <w:t>.</w:t>
      </w:r>
    </w:p>
    <w:p w14:paraId="0E2029E2" w14:textId="77777777" w:rsidR="002F39AA" w:rsidRPr="003435B5" w:rsidRDefault="002F39AA" w:rsidP="003435B5">
      <w:pPr>
        <w:contextualSpacing/>
      </w:pPr>
    </w:p>
    <w:p w14:paraId="3D0F061F" w14:textId="072AC04E" w:rsidR="00F61F8B" w:rsidRPr="003435B5" w:rsidRDefault="00C55283" w:rsidP="003435B5">
      <w:pPr>
        <w:contextualSpacing/>
      </w:pPr>
      <w:r w:rsidRPr="003435B5">
        <w:t xml:space="preserve">Among all model designs we present here, those for the tapping mat support and the funnel appear to be basically dispensable for a </w:t>
      </w:r>
      <w:proofErr w:type="spellStart"/>
      <w:r w:rsidRPr="003435B5">
        <w:t>Drosophilist</w:t>
      </w:r>
      <w:proofErr w:type="spellEnd"/>
      <w:r w:rsidRPr="003435B5">
        <w:t xml:space="preserve"> in </w:t>
      </w:r>
      <w:r w:rsidR="00E672C0" w:rsidRPr="003435B5">
        <w:t xml:space="preserve">a </w:t>
      </w:r>
      <w:r w:rsidRPr="003435B5">
        <w:t>developed countr</w:t>
      </w:r>
      <w:r w:rsidR="00E672C0" w:rsidRPr="003435B5">
        <w:t>y</w:t>
      </w:r>
      <w:r w:rsidRPr="003435B5">
        <w:t xml:space="preserve">. However, it is important to emphasize that basic supplies for a </w:t>
      </w:r>
      <w:proofErr w:type="spellStart"/>
      <w:r w:rsidRPr="003435B5">
        <w:t>flylab</w:t>
      </w:r>
      <w:proofErr w:type="spellEnd"/>
      <w:r w:rsidRPr="003435B5">
        <w:t xml:space="preserve"> in Brazil are not eas</w:t>
      </w:r>
      <w:r w:rsidR="001A3CD7" w:rsidRPr="003435B5">
        <w:t>ily</w:t>
      </w:r>
      <w:r w:rsidRPr="003435B5">
        <w:t xml:space="preserve"> </w:t>
      </w:r>
      <w:r w:rsidR="001A3CD7" w:rsidRPr="003435B5">
        <w:t>purchasable</w:t>
      </w:r>
      <w:r w:rsidRPr="003435B5">
        <w:t xml:space="preserve">. </w:t>
      </w:r>
      <w:r w:rsidR="001A3CD7" w:rsidRPr="003435B5">
        <w:t>For example, w</w:t>
      </w:r>
      <w:r w:rsidRPr="003435B5">
        <w:t xml:space="preserve">e are not aware of any company that </w:t>
      </w:r>
      <w:r w:rsidR="001A3CD7" w:rsidRPr="003435B5">
        <w:t>produce</w:t>
      </w:r>
      <w:r w:rsidR="00E672C0" w:rsidRPr="003435B5">
        <w:t>s</w:t>
      </w:r>
      <w:r w:rsidRPr="003435B5">
        <w:t xml:space="preserve"> polypropylene fly vials and bottles</w:t>
      </w:r>
      <w:r w:rsidR="009B4D01" w:rsidRPr="003435B5">
        <w:t xml:space="preserve"> in </w:t>
      </w:r>
      <w:r w:rsidR="009B4D01" w:rsidRPr="003435B5">
        <w:lastRenderedPageBreak/>
        <w:t>the country; these</w:t>
      </w:r>
      <w:r w:rsidRPr="003435B5">
        <w:t xml:space="preserve"> usually serve a single-use purpose in </w:t>
      </w:r>
      <w:proofErr w:type="spellStart"/>
      <w:r w:rsidRPr="003435B5">
        <w:t>flylabs</w:t>
      </w:r>
      <w:proofErr w:type="spellEnd"/>
      <w:r w:rsidR="001A3CD7" w:rsidRPr="003435B5">
        <w:t>. The</w:t>
      </w:r>
      <w:r w:rsidR="009B4D01" w:rsidRPr="003435B5">
        <w:t>y</w:t>
      </w:r>
      <w:r w:rsidRPr="003435B5">
        <w:t xml:space="preserve"> must</w:t>
      </w:r>
      <w:r w:rsidR="001A3CD7" w:rsidRPr="003435B5">
        <w:t xml:space="preserve"> then</w:t>
      </w:r>
      <w:r w:rsidRPr="003435B5">
        <w:t xml:space="preserve"> be imported and</w:t>
      </w:r>
      <w:r w:rsidR="001A3CD7" w:rsidRPr="003435B5">
        <w:t>, as a result,</w:t>
      </w:r>
      <w:r w:rsidRPr="003435B5">
        <w:t xml:space="preserve"> </w:t>
      </w:r>
      <w:r w:rsidR="001A3CD7" w:rsidRPr="003435B5">
        <w:t xml:space="preserve">they </w:t>
      </w:r>
      <w:r w:rsidRPr="003435B5">
        <w:t>are relatively expensive</w:t>
      </w:r>
      <w:r w:rsidR="000B2299" w:rsidRPr="003435B5">
        <w:t xml:space="preserve"> and rarely ready for delivery when available in the national market</w:t>
      </w:r>
      <w:r w:rsidR="001A3CD7" w:rsidRPr="003435B5">
        <w:t xml:space="preserve">. The large number of local companies that do glasswork, however, can easily provide us with customized reusable glass vials and bottles (such as those used by Thomas Hunt Morgan in the original Fly Room), which must be carefully cushioned when tapped to avoid breaking. Tapping mats and their supports are therefore extremely useful. </w:t>
      </w:r>
      <w:r w:rsidR="00B30CC9" w:rsidRPr="003435B5">
        <w:t>We have not been able to 3D-print fly vials and bottles efficiently, as the printed pieces are not transparent enough for proper observation of the fl</w:t>
      </w:r>
      <w:r w:rsidR="000B2299" w:rsidRPr="003435B5">
        <w:t>ies inside</w:t>
      </w:r>
      <w:r w:rsidR="00B30CC9" w:rsidRPr="003435B5">
        <w:t>, even when using transparent filament (data not shown).</w:t>
      </w:r>
    </w:p>
    <w:p w14:paraId="719A59F6" w14:textId="6F721CFF" w:rsidR="001A3CD7" w:rsidRPr="003435B5" w:rsidRDefault="00CA54A4" w:rsidP="003435B5">
      <w:pPr>
        <w:contextualSpacing/>
      </w:pPr>
      <w:r w:rsidRPr="003435B5">
        <w:t xml:space="preserve">Recently, the </w:t>
      </w:r>
      <w:r w:rsidR="00CA65BA" w:rsidRPr="003435B5">
        <w:t xml:space="preserve">company </w:t>
      </w:r>
      <w:proofErr w:type="spellStart"/>
      <w:r w:rsidRPr="003435B5">
        <w:t>Polymaker</w:t>
      </w:r>
      <w:proofErr w:type="spellEnd"/>
      <w:r w:rsidRPr="003435B5">
        <w:t xml:space="preserve"> developed the </w:t>
      </w:r>
      <w:proofErr w:type="spellStart"/>
      <w:r w:rsidRPr="003435B5">
        <w:t>Polysmooth</w:t>
      </w:r>
      <w:proofErr w:type="spellEnd"/>
      <w:r w:rsidRPr="003435B5">
        <w:t xml:space="preserve">, a filament designed specifically for post-processing and removal of </w:t>
      </w:r>
      <w:r w:rsidR="009B4D01" w:rsidRPr="003435B5">
        <w:t xml:space="preserve">the </w:t>
      </w:r>
      <w:r w:rsidR="00CA65BA" w:rsidRPr="003435B5">
        <w:t xml:space="preserve">printing </w:t>
      </w:r>
      <w:r w:rsidRPr="003435B5">
        <w:t>layer line</w:t>
      </w:r>
      <w:r w:rsidR="00CA65BA" w:rsidRPr="003435B5">
        <w:t>s</w:t>
      </w:r>
      <w:r w:rsidRPr="003435B5">
        <w:t>, allow</w:t>
      </w:r>
      <w:r w:rsidR="00CA65BA" w:rsidRPr="003435B5">
        <w:t xml:space="preserve">ing </w:t>
      </w:r>
      <w:r w:rsidR="009B4D01" w:rsidRPr="003435B5">
        <w:t xml:space="preserve">the </w:t>
      </w:r>
      <w:r w:rsidR="00CA65BA" w:rsidRPr="003435B5">
        <w:t>printed</w:t>
      </w:r>
      <w:r w:rsidRPr="003435B5">
        <w:t xml:space="preserve"> </w:t>
      </w:r>
      <w:r w:rsidR="00CA65BA" w:rsidRPr="003435B5">
        <w:t>device</w:t>
      </w:r>
      <w:r w:rsidRPr="003435B5">
        <w:t>s</w:t>
      </w:r>
      <w:r w:rsidR="00CA65BA" w:rsidRPr="003435B5">
        <w:t xml:space="preserve"> to have</w:t>
      </w:r>
      <w:r w:rsidRPr="003435B5">
        <w:t xml:space="preserve"> a high degree of transparency.</w:t>
      </w:r>
      <w:r w:rsidR="00CA65BA" w:rsidRPr="003435B5">
        <w:t xml:space="preserve"> This may be extremely useful for printing fly vials in the future. Regarding funnels,</w:t>
      </w:r>
      <w:r w:rsidRPr="003435B5">
        <w:t xml:space="preserve"> </w:t>
      </w:r>
      <w:r w:rsidR="00CA65BA" w:rsidRPr="003435B5">
        <w:t>a</w:t>
      </w:r>
      <w:r w:rsidR="00B30CC9" w:rsidRPr="003435B5">
        <w:t xml:space="preserve">lthough inexpensive and easily found in any supermarket or hardware store, they often have long tips and round </w:t>
      </w:r>
      <w:r w:rsidR="001A7656" w:rsidRPr="003435B5">
        <w:t xml:space="preserve">cups, which are </w:t>
      </w:r>
      <w:r w:rsidR="00D93A8C" w:rsidRPr="003435B5">
        <w:t>im</w:t>
      </w:r>
      <w:r w:rsidR="001A7656" w:rsidRPr="003435B5">
        <w:t>practical for use</w:t>
      </w:r>
      <w:r w:rsidR="005A1D43" w:rsidRPr="003435B5">
        <w:t xml:space="preserve"> in the lab</w:t>
      </w:r>
      <w:r w:rsidR="001A7656" w:rsidRPr="003435B5">
        <w:t xml:space="preserve">. </w:t>
      </w:r>
      <w:r w:rsidR="00E45A9C" w:rsidRPr="003435B5">
        <w:t>In this case, 3D-printing provided us with</w:t>
      </w:r>
      <w:r w:rsidR="000B2299" w:rsidRPr="003435B5">
        <w:t xml:space="preserve"> </w:t>
      </w:r>
      <w:r w:rsidR="00E45A9C" w:rsidRPr="003435B5">
        <w:t>funnels</w:t>
      </w:r>
      <w:r w:rsidR="000B2299" w:rsidRPr="003435B5">
        <w:t xml:space="preserve"> customized for our needs</w:t>
      </w:r>
      <w:r w:rsidR="00E45A9C" w:rsidRPr="003435B5">
        <w:t>.</w:t>
      </w:r>
    </w:p>
    <w:p w14:paraId="4C914D05" w14:textId="77777777" w:rsidR="002F39AA" w:rsidRPr="003435B5" w:rsidRDefault="002F39AA" w:rsidP="003435B5">
      <w:pPr>
        <w:contextualSpacing/>
      </w:pPr>
    </w:p>
    <w:p w14:paraId="730BDA28" w14:textId="2ECD936B" w:rsidR="00C55283" w:rsidRPr="003435B5" w:rsidRDefault="00F02851" w:rsidP="003435B5">
      <w:pPr>
        <w:contextualSpacing/>
      </w:pPr>
      <w:r w:rsidRPr="003435B5">
        <w:t>Device customization is p</w:t>
      </w:r>
      <w:r w:rsidR="00883F30" w:rsidRPr="003435B5">
        <w:t>erhaps the most important aspect of th</w:t>
      </w:r>
      <w:r w:rsidR="00335C61" w:rsidRPr="003435B5">
        <w:t>e</w:t>
      </w:r>
      <w:r w:rsidR="00883F30" w:rsidRPr="003435B5">
        <w:t xml:space="preserve"> 3D-printing strategy</w:t>
      </w:r>
      <w:r w:rsidRPr="003435B5">
        <w:t xml:space="preserve">, which can be employed by </w:t>
      </w:r>
      <w:proofErr w:type="spellStart"/>
      <w:r w:rsidRPr="003435B5">
        <w:t>flylab</w:t>
      </w:r>
      <w:proofErr w:type="spellEnd"/>
      <w:r w:rsidR="00CA65BA" w:rsidRPr="003435B5">
        <w:t xml:space="preserve"> member</w:t>
      </w:r>
      <w:r w:rsidRPr="003435B5">
        <w:t>s in developed and developing countries alike.</w:t>
      </w:r>
      <w:r w:rsidR="00883F30" w:rsidRPr="003435B5">
        <w:t xml:space="preserve"> We in fact have </w:t>
      </w:r>
      <w:r w:rsidRPr="003435B5">
        <w:t xml:space="preserve">also </w:t>
      </w:r>
      <w:r w:rsidR="005A1D43" w:rsidRPr="003435B5">
        <w:t>customized</w:t>
      </w:r>
      <w:r w:rsidR="00734BE3" w:rsidRPr="003435B5">
        <w:t xml:space="preserve"> the Fly Motel, the T-Maze</w:t>
      </w:r>
      <w:r w:rsidR="0062173D" w:rsidRPr="003435B5">
        <w:t xml:space="preserve"> and the RING apparatus, whose original designs were published elsewhere</w:t>
      </w:r>
      <w:r w:rsidR="006B46A3" w:rsidRPr="003435B5">
        <w:fldChar w:fldCharType="begin" w:fldLock="1"/>
      </w:r>
      <w:r w:rsidR="00D158C9" w:rsidRPr="003435B5">
        <w:instrText>ADDIN CSL_CITATION {"citationItems":[{"id":"ITEM-1","itemData":{"DOI":"10.3791/55808","ISSN":"1940087X","PMID":"28605393","abstract":"Many insights into the molecular mechanisms underlying learning and memory have been elucidated through the use of simple behavioral assays in model organisms such as the fruit fly, Drosophila melanogaster. Drosophila is useful for understanding the basic neurobiology underlying cognitive deficits resulting from mutations in genes associated with human cognitive disorders, such as intellectual disability (ID) and autism. This work describes a methodology for testing learning and memory using a classic paradigm in Drosophila known as courtship conditioning. Male flies court females using a distinct pattern of easily recognizable behaviors. Premated females are not receptive to mating and will reject the male’s copulation attempts. In response to this rejection, male flies reduce their courtship behavior. This learned reduction in courtship behavior is measured over time, serving as an indicator of learning and memory. The basic numerical output of this assay is the courtship index (CI), which is defined as the percentage of time that a male spends courting during a 10 min interval. The learning index (LI) is the relative reduction of CI in flies that have been exposed to a premated female compared to naïve flies with no previous social encounters. For the statistical comparison of LIs between genotypes, a randomization test with bootstrapping is used. To illustrate how the assay can be used to address the role of a gene relating to learning and memory, the pan-neuronal knockdown of Dihydroxyacetone phosphate acyltransferase (Dhap-at) was characterized here. The human ortholog of Dhap-at, glyceronephosphate O-acyltransferase (GNPT), is involved in rhizomelic chondrodysplasia punctata type 2, an autosomal-recessive syndrome characterized by severe ID. Using the courtship conditioning assay, it was determined that Dhap-at is required for long-term memory, but not for short-term memory. This result serves as a basis for further investigation of the underlying molecular mechanisms.","author":[{"dropping-particle":"","family":"Koemans","given":"Tom S.","non-dropping-particle":"","parse-names":false,"suffix":""},{"dropping-particle":"","family":"Oppitz","given":"Cornelia","non-dropping-particle":"","parse-names":false,"suffix":""},{"dropping-particle":"","family":"Donders","given":"Rogier A.T.","non-dropping-particle":"","parse-names":false,"suffix":""},{"dropping-particle":"","family":"Bokhoven","given":"Hans","non-dropping-particle":"Van","parse-names":false,"suffix":""},{"dropping-particle":"","family":"Schenck","given":"Annette","non-dropping-particle":"","parse-names":false,"suffix":""},{"dropping-particle":"","family":"Keleman","given":"Krystyna","non-dropping-particle":"","parse-names":false,"suffix":""},{"dropping-particle":"","family":"Kramer","given":"Jamie M.","non-dropping-particle":"","parse-names":false,"suffix":""}],"container-title":"Journal of Visualized Experiments","id":"ITEM-1","issue":"124","issued":{"date-parts":[["2017","6","5"]]},"page":"55808","publisher":"Journal of Visualized Experiments","title":"Drosophila courtship conditioning as a measure of learning and memory","type":"article-journal","volume":"2017"},"uris":["http://www.mendeley.com/documents/?uuid=aed8f1dd-bdcf-3d90-bd8a-aa9914c55325"]},{"id":"ITEM-2","itemData":{"DOI":"10.3791/2504","ISSN":"1940087X","PMID":"21445036","abstract":"Advances in genetic methods have enabled the study of genes involved in human neurodegenerative diseases using Drosophila as a model system1. Most of these diseases, including Alzheimer's, Parkinson's and Huntington's disease are characterized by age-dependent deterioration in learning and memory functions and movement coordination2. Here we use behavioral assays, including the negative geotaxis assay3 and the aversive phototaxic suppression assay (APS assay)4,5, to show that some of the behavior characteristics associated with human neurodegeneration can be recapitulated in flies. In the negative geotaxis assay, the natural tendency of flies to move against gravity when agitated is utilized to study genes or conditions that may hinder locomotor capacities. In the APS assay, the learning and memory functions are tested in positively-phototactic flies trained to associate light with aversive bitter taste and hence avoid this otherwise natural tendency to move toward light. Testing these trained flies 6 hours post-training is used to assess memory functions. Using these assays, the contribution of any genetic or environmental factors toward developing neurodegeneration can be easily studied in flies. © 2011 Journal of Visualized Experiments.","author":[{"dropping-particle":"","family":"Ali","given":"Yousuf O.","non-dropping-particle":"","parse-names":false,"suffix":""},{"dropping-particle":"","family":"Escala","given":"Wilfredo","non-dropping-particle":"","parse-names":false,"suffix":""},{"dropping-particle":"","family":"Ruan","given":"Kai","non-dropping-particle":"","parse-names":false,"suffix":""},{"dropping-particle":"","family":"Zhai","given":"R. Grace","non-dropping-particle":"","parse-names":false,"suffix":""}],"container-title":"Journal of Visualized Experiments","id":"ITEM-2","issue":"49","issued":{"date-parts":[["2011"]]},"publisher":"Journal of Visualized Experiments","title":"Assaying locomotor, learning, and memory deficits in Drosophila models of neurodegeneration","type":"article-journal"},"uris":["http://www.mendeley.com/documents/?uuid=879e95a4-35d2-39ec-91bd-d046d63f4ab8"]},{"id":"ITEM-3","itemData":{"DOI":"10.3791/3795","ISSN":"1940087X","abstract":"Drosophila melanogaster, the fruit fly, has been used to study molecular mechanisms of a wide range of human diseases such as cancer, cardiovascular disease and various neurological diseases(1). We have optimized simple and robust behavioral assays for determining larval locomotion, adult climbing ability (RING assay), and courtship behaviors of Drosophila. These behavioral assays are widely applicable for studying the role of genetic and environmental factors on fly behavior. Larval crawling ability can be reliably used for determining early stage changes in the crawling abilities of Drosophila larvae and also for examining effect of drugs or human disease genes (in transgenic flies) on their locomotion. The larval crawling assay becomes more applicable if expression or abolition of a gene causes lethality in pupal or adult stages, as these flies do not survive to adulthood where they otherwise could be assessed. This basic assay can also be used in conjunction with bright light or stress to examine additional behavioral responses in Drosophila larvae. Courtship behavior has been widely used to investigate genetic basis of sexual behavior, and can also be used to examine activity and coordination, as well as learning and memory. Drosophila courtship behavior involves the exchange of various sensory stimuli including visual, auditory, and chemosensory signals between males and females that lead to a complex series of well characterized motor behaviors culminating in successful copulation. Traditional adult climbing assays (negative geotaxis) are tedious, labor intensive, and time consuming, with significant variation between different trials(2-4). The rapid iterative negative geotaxis (RING) assay(5) has many advantages over more widely employed protocols, providing a reproducible, sensitive, and high throughput approach to quantify adult locomotor and negative geotaxis behaviors. In the RING assay, several genotypes or drug treatments can be tested simultaneously using large number of animals, with the high-throughput approach making it more amenable for screening experiments.","author":[{"dropping-particle":"","family":"Nichols","given":"Charles D.","non-dropping-particle":"","parse-names":false,"suffix":""},{"dropping-particle":"","family":"Becnel","given":"Jaime","non-dropping-particle":"","parse-names":false,"suffix":""},{"dropping-particle":"","family":"Pandey","given":"Udai B.","non-dropping-particle":"","parse-names":false,"suffix":""}],"container-title":"Journal of visualized experiments : JoVE","id":"ITEM-3","issue":"e3795","issued":{"date-parts":[["2012"]]},"title":"Methods to assay Drosophila behavior.","type":"article-journal","volume":"61"},"uris":["http://www.mendeley.com/documents/?uuid=fe2edab5-e521-4f81-a315-0b827977be64"]}],"mendeley":{"formattedCitation":"&lt;sup&gt;40–42&lt;/sup&gt;","plainTextFormattedCitation":"40–42","previouslyFormattedCitation":"&lt;sup&gt;41–43&lt;/sup&gt;"},"properties":{"noteIndex":0},"schema":"https://github.com/citation-style-language/schema/raw/master/csl-citation.json"}</w:instrText>
      </w:r>
      <w:r w:rsidR="006B46A3" w:rsidRPr="003435B5">
        <w:fldChar w:fldCharType="separate"/>
      </w:r>
      <w:r w:rsidR="00D158C9" w:rsidRPr="003435B5">
        <w:rPr>
          <w:noProof/>
          <w:vertAlign w:val="superscript"/>
        </w:rPr>
        <w:t>40–42</w:t>
      </w:r>
      <w:r w:rsidR="006B46A3" w:rsidRPr="003435B5">
        <w:fldChar w:fldCharType="end"/>
      </w:r>
      <w:r w:rsidR="0062173D" w:rsidRPr="003435B5">
        <w:t>. The original Fly Motel design, for example, has more arenas</w:t>
      </w:r>
      <w:r w:rsidR="00E63CD9" w:rsidRPr="003435B5">
        <w:t xml:space="preserve"> and is therefore significantly larger in size</w:t>
      </w:r>
      <w:r w:rsidR="006B46A3" w:rsidRPr="003435B5">
        <w:fldChar w:fldCharType="begin" w:fldLock="1"/>
      </w:r>
      <w:r w:rsidR="00D158C9" w:rsidRPr="003435B5">
        <w:instrText>ADDIN CSL_CITATION {"citationItems":[{"id":"ITEM-1","itemData":{"DOI":"10.3791/55808","ISSN":"1940087X","PMID":"28605393","abstract":"Many insights into the molecular mechanisms underlying learning and memory have been elucidated through the use of simple behavioral assays in model organisms such as the fruit fly, Drosophila melanogaster. Drosophila is useful for understanding the basic neurobiology underlying cognitive deficits resulting from mutations in genes associated with human cognitive disorders, such as intellectual disability (ID) and autism. This work describes a methodology for testing learning and memory using a classic paradigm in Drosophila known as courtship conditioning. Male flies court females using a distinct pattern of easily recognizable behaviors. Premated females are not receptive to mating and will reject the male’s copulation attempts. In response to this rejection, male flies reduce their courtship behavior. This learned reduction in courtship behavior is measured over time, serving as an indicator of learning and memory. The basic numerical output of this assay is the courtship index (CI), which is defined as the percentage of time that a male spends courting during a 10 min interval. The learning index (LI) is the relative reduction of CI in flies that have been exposed to a premated female compared to naïve flies with no previous social encounters. For the statistical comparison of LIs between genotypes, a randomization test with bootstrapping is used. To illustrate how the assay can be used to address the role of a gene relating to learning and memory, the pan-neuronal knockdown of Dihydroxyacetone phosphate acyltransferase (Dhap-at) was characterized here. The human ortholog of Dhap-at, glyceronephosphate O-acyltransferase (GNPT), is involved in rhizomelic chondrodysplasia punctata type 2, an autosomal-recessive syndrome characterized by severe ID. Using the courtship conditioning assay, it was determined that Dhap-at is required for long-term memory, but not for short-term memory. This result serves as a basis for further investigation of the underlying molecular mechanisms.","author":[{"dropping-particle":"","family":"Koemans","given":"Tom S.","non-dropping-particle":"","parse-names":false,"suffix":""},{"dropping-particle":"","family":"Oppitz","given":"Cornelia","non-dropping-particle":"","parse-names":false,"suffix":""},{"dropping-particle":"","family":"Donders","given":"Rogier A.T.","non-dropping-particle":"","parse-names":false,"suffix":""},{"dropping-particle":"","family":"Bokhoven","given":"Hans","non-dropping-particle":"Van","parse-names":false,"suffix":""},{"dropping-particle":"","family":"Schenck","given":"Annette","non-dropping-particle":"","parse-names":false,"suffix":""},{"dropping-particle":"","family":"Keleman","given":"Krystyna","non-dropping-particle":"","parse-names":false,"suffix":""},{"dropping-particle":"","family":"Kramer","given":"Jamie M.","non-dropping-particle":"","parse-names":false,"suffix":""}],"container-title":"Journal of Visualized Experiments","id":"ITEM-1","issue":"124","issued":{"date-parts":[["2017","6","5"]]},"page":"55808","publisher":"Journal of Visualized Experiments","title":"Drosophila courtship conditioning as a measure of learning and memory","type":"article-journal","volume":"2017"},"uris":["http://www.mendeley.com/documents/?uuid=aed8f1dd-bdcf-3d90-bd8a-aa9914c55325"]}],"mendeley":{"formattedCitation":"&lt;sup&gt;40&lt;/sup&gt;","plainTextFormattedCitation":"40","previouslyFormattedCitation":"&lt;sup&gt;41&lt;/sup&gt;"},"properties":{"noteIndex":0},"schema":"https://github.com/citation-style-language/schema/raw/master/csl-citation.json"}</w:instrText>
      </w:r>
      <w:r w:rsidR="006B46A3" w:rsidRPr="003435B5">
        <w:fldChar w:fldCharType="separate"/>
      </w:r>
      <w:r w:rsidR="00D158C9" w:rsidRPr="003435B5">
        <w:rPr>
          <w:noProof/>
          <w:vertAlign w:val="superscript"/>
        </w:rPr>
        <w:t>40</w:t>
      </w:r>
      <w:r w:rsidR="006B46A3" w:rsidRPr="003435B5">
        <w:fldChar w:fldCharType="end"/>
      </w:r>
      <w:r w:rsidR="00E63CD9" w:rsidRPr="003435B5">
        <w:t xml:space="preserve">. Printing such large apparatus would not have been feasible using our RepRap printer because of the limited space of its printing table (20 </w:t>
      </w:r>
      <w:r w:rsidR="00C42F1D">
        <w:t xml:space="preserve">cm </w:t>
      </w:r>
      <w:r w:rsidR="00E63CD9" w:rsidRPr="003435B5">
        <w:t xml:space="preserve">x 20 cm). In addition, recordings encompassing all individual arenas of the original Fly Motel design simultaneously would have generated poorer quality videos using our cameras, which could compromise </w:t>
      </w:r>
      <w:r w:rsidR="00092A5D" w:rsidRPr="003435B5">
        <w:t xml:space="preserve">software tracking of the individual animals and, ultimately, </w:t>
      </w:r>
      <w:r w:rsidR="00E63CD9" w:rsidRPr="003435B5">
        <w:t>the behavioral analysis of the pair of flies</w:t>
      </w:r>
      <w:r w:rsidR="00C55283" w:rsidRPr="003435B5">
        <w:t xml:space="preserve"> in </w:t>
      </w:r>
      <w:r w:rsidR="00E63CD9" w:rsidRPr="003435B5">
        <w:t>each individual arena</w:t>
      </w:r>
      <w:r w:rsidR="00C55283" w:rsidRPr="003435B5">
        <w:t>.</w:t>
      </w:r>
      <w:r w:rsidR="00092A5D" w:rsidRPr="003435B5">
        <w:t xml:space="preserve"> </w:t>
      </w:r>
      <w:r w:rsidR="00325FC9" w:rsidRPr="003435B5">
        <w:t>Moreover</w:t>
      </w:r>
      <w:r w:rsidR="00092A5D" w:rsidRPr="003435B5">
        <w:t xml:space="preserve">, the </w:t>
      </w:r>
      <w:r w:rsidR="000B7FE1" w:rsidRPr="003435B5">
        <w:t>Fly Motel and the framework of the T-Maze were originally designed to be made of acrylic</w:t>
      </w:r>
      <w:r w:rsidR="001439C7" w:rsidRPr="003435B5">
        <w:t xml:space="preserve">, which is significantly more expensive and allows less flexibility when assembling a modular apparatus; in other words, </w:t>
      </w:r>
      <w:r w:rsidR="00325FC9" w:rsidRPr="003435B5">
        <w:t xml:space="preserve">the actual </w:t>
      </w:r>
      <w:r w:rsidR="00CA65BA" w:rsidRPr="003435B5">
        <w:t xml:space="preserve">acrylic </w:t>
      </w:r>
      <w:r w:rsidR="00325FC9" w:rsidRPr="003435B5">
        <w:t>pieces must have the exact size shown in the design, so that they can fit, assemble and form a single device</w:t>
      </w:r>
      <w:r w:rsidR="003D10BB" w:rsidRPr="003435B5">
        <w:fldChar w:fldCharType="begin" w:fldLock="1"/>
      </w:r>
      <w:r w:rsidR="00D158C9" w:rsidRPr="003435B5">
        <w:instrText>ADDIN CSL_CITATION {"citationItems":[{"id":"ITEM-1","itemData":{"DOI":"10.3791/55808","ISSN":"1940087X","PMID":"28605393","abstract":"Many insights into the molecular mechanisms underlying learning and memory have been elucidated through the use of simple behavioral assays in model organisms such as the fruit fly, Drosophila melanogaster. Drosophila is useful for understanding the basic neurobiology underlying cognitive deficits resulting from mutations in genes associated with human cognitive disorders, such as intellectual disability (ID) and autism. This work describes a methodology for testing learning and memory using a classic paradigm in Drosophila known as courtship conditioning. Male flies court females using a distinct pattern of easily recognizable behaviors. Premated females are not receptive to mating and will reject the male’s copulation attempts. In response to this rejection, male flies reduce their courtship behavior. This learned reduction in courtship behavior is measured over time, serving as an indicator of learning and memory. The basic numerical output of this assay is the courtship index (CI), which is defined as the percentage of time that a male spends courting during a 10 min interval. The learning index (LI) is the relative reduction of CI in flies that have been exposed to a premated female compared to naïve flies with no previous social encounters. For the statistical comparison of LIs between genotypes, a randomization test with bootstrapping is used. To illustrate how the assay can be used to address the role of a gene relating to learning and memory, the pan-neuronal knockdown of Dihydroxyacetone phosphate acyltransferase (Dhap-at) was characterized here. The human ortholog of Dhap-at, glyceronephosphate O-acyltransferase (GNPT), is involved in rhizomelic chondrodysplasia punctata type 2, an autosomal-recessive syndrome characterized by severe ID. Using the courtship conditioning assay, it was determined that Dhap-at is required for long-term memory, but not for short-term memory. This result serves as a basis for further investigation of the underlying molecular mechanisms.","author":[{"dropping-particle":"","family":"Koemans","given":"Tom S.","non-dropping-particle":"","parse-names":false,"suffix":""},{"dropping-particle":"","family":"Oppitz","given":"Cornelia","non-dropping-particle":"","parse-names":false,"suffix":""},{"dropping-particle":"","family":"Donders","given":"Rogier A.T.","non-dropping-particle":"","parse-names":false,"suffix":""},{"dropping-particle":"","family":"Bokhoven","given":"Hans","non-dropping-particle":"Van","parse-names":false,"suffix":""},{"dropping-particle":"","family":"Schenck","given":"Annette","non-dropping-particle":"","parse-names":false,"suffix":""},{"dropping-particle":"","family":"Keleman","given":"Krystyna","non-dropping-particle":"","parse-names":false,"suffix":""},{"dropping-particle":"","family":"Kramer","given":"Jamie M.","non-dropping-particle":"","parse-names":false,"suffix":""}],"container-title":"Journal of Visualized Experiments","id":"ITEM-1","issue":"124","issued":{"date-parts":[["2017","6","5"]]},"page":"55808","publisher":"Journal of Visualized Experiments","title":"Drosophila courtship conditioning as a measure of learning and memory","type":"article-journal","volume":"2017"},"uris":["http://www.mendeley.com/documents/?uuid=aed8f1dd-bdcf-3d90-bd8a-aa9914c55325"]}],"mendeley":{"formattedCitation":"&lt;sup&gt;40&lt;/sup&gt;","plainTextFormattedCitation":"40","previouslyFormattedCitation":"&lt;sup&gt;41&lt;/sup&gt;"},"properties":{"noteIndex":0},"schema":"https://github.com/citation-style-language/schema/raw/master/csl-citation.json"}</w:instrText>
      </w:r>
      <w:r w:rsidR="003D10BB" w:rsidRPr="003435B5">
        <w:fldChar w:fldCharType="separate"/>
      </w:r>
      <w:r w:rsidR="00D158C9" w:rsidRPr="003435B5">
        <w:rPr>
          <w:noProof/>
          <w:vertAlign w:val="superscript"/>
        </w:rPr>
        <w:t>40</w:t>
      </w:r>
      <w:r w:rsidR="003D10BB" w:rsidRPr="003435B5">
        <w:fldChar w:fldCharType="end"/>
      </w:r>
      <w:r w:rsidR="00325FC9" w:rsidRPr="003435B5">
        <w:t xml:space="preserve">. Instead, the PLA-printed pieces of the Fly Motel and the T-Maze are rigid, yet show some flexibility during assembly, in addition to having no known toxicity. 3D-printing the T-Maze using PLA </w:t>
      </w:r>
      <w:r w:rsidR="008E4B3B" w:rsidRPr="003435B5">
        <w:t xml:space="preserve">also </w:t>
      </w:r>
      <w:r w:rsidR="00325FC9" w:rsidRPr="003435B5">
        <w:t>has another advantage over acrylic</w:t>
      </w:r>
      <w:r w:rsidR="00483180" w:rsidRPr="003435B5">
        <w:t>, as the former does not allow ambient light to penetrate the chamber inside the apparatus, allowing the flies to proper</w:t>
      </w:r>
      <w:r w:rsidR="008E4B3B" w:rsidRPr="003435B5">
        <w:t>ly</w:t>
      </w:r>
      <w:r w:rsidR="00483180" w:rsidRPr="003435B5">
        <w:t xml:space="preserve"> choose either of the two lateral conical tubes where the light should in fact play its essential role in these behavioral assays</w:t>
      </w:r>
      <w:r w:rsidR="003D10BB" w:rsidRPr="003435B5">
        <w:fldChar w:fldCharType="begin" w:fldLock="1"/>
      </w:r>
      <w:r w:rsidR="00D158C9" w:rsidRPr="003435B5">
        <w:instrText>ADDIN CSL_CITATION {"citationItems":[{"id":"ITEM-1","itemData":{"DOI":"10.3791/2504","ISSN":"1940087X","PMID":"21445036","abstract":"Advances in genetic methods have enabled the study of genes involved in human neurodegenerative diseases using Drosophila as a model system1. Most of these diseases, including Alzheimer's, Parkinson's and Huntington's disease are characterized by age-dependent deterioration in learning and memory functions and movement coordination2. Here we use behavioral assays, including the negative geotaxis assay3 and the aversive phototaxic suppression assay (APS assay)4,5, to show that some of the behavior characteristics associated with human neurodegeneration can be recapitulated in flies. In the negative geotaxis assay, the natural tendency of flies to move against gravity when agitated is utilized to study genes or conditions that may hinder locomotor capacities. In the APS assay, the learning and memory functions are tested in positively-phototactic flies trained to associate light with aversive bitter taste and hence avoid this otherwise natural tendency to move toward light. Testing these trained flies 6 hours post-training is used to assess memory functions. Using these assays, the contribution of any genetic or environmental factors toward developing neurodegeneration can be easily studied in flies. © 2011 Journal of Visualized Experiments.","author":[{"dropping-particle":"","family":"Ali","given":"Yousuf O.","non-dropping-particle":"","parse-names":false,"suffix":""},{"dropping-particle":"","family":"Escala","given":"Wilfredo","non-dropping-particle":"","parse-names":false,"suffix":""},{"dropping-particle":"","family":"Ruan","given":"Kai","non-dropping-particle":"","parse-names":false,"suffix":""},{"dropping-particle":"","family":"Zhai","given":"R. Grace","non-dropping-particle":"","parse-names":false,"suffix":""}],"container-title":"Journal of Visualized Experiments","id":"ITEM-1","issue":"49","issued":{"date-parts":[["2011"]]},"publisher":"Journal of Visualized Experiments","title":"Assaying locomotor, learning, and memory deficits in Drosophila models of neurodegeneration","type":"article-journal"},"uris":["http://www.mendeley.com/documents/?uuid=879e95a4-35d2-39ec-91bd-d046d63f4ab8"]}],"mendeley":{"formattedCitation":"&lt;sup&gt;41&lt;/sup&gt;","plainTextFormattedCitation":"41","previouslyFormattedCitation":"&lt;sup&gt;42&lt;/sup&gt;"},"properties":{"noteIndex":0},"schema":"https://github.com/citation-style-language/schema/raw/master/csl-citation.json"}</w:instrText>
      </w:r>
      <w:r w:rsidR="003D10BB" w:rsidRPr="003435B5">
        <w:fldChar w:fldCharType="separate"/>
      </w:r>
      <w:r w:rsidR="00D158C9" w:rsidRPr="003435B5">
        <w:rPr>
          <w:noProof/>
          <w:vertAlign w:val="superscript"/>
        </w:rPr>
        <w:t>41</w:t>
      </w:r>
      <w:r w:rsidR="003D10BB" w:rsidRPr="003435B5">
        <w:fldChar w:fldCharType="end"/>
      </w:r>
      <w:r w:rsidR="00483180" w:rsidRPr="003435B5">
        <w:t>.</w:t>
      </w:r>
    </w:p>
    <w:p w14:paraId="5DA0B3B1" w14:textId="77777777" w:rsidR="002F39AA" w:rsidRPr="003435B5" w:rsidRDefault="002F39AA" w:rsidP="003435B5">
      <w:pPr>
        <w:contextualSpacing/>
      </w:pPr>
    </w:p>
    <w:p w14:paraId="7175707C" w14:textId="0228430B" w:rsidR="00883F30" w:rsidRPr="003435B5" w:rsidRDefault="0013701B" w:rsidP="003435B5">
      <w:pPr>
        <w:contextualSpacing/>
      </w:pPr>
      <w:r w:rsidRPr="003435B5">
        <w:t>Although simple, the Stalker is our own creation, designed to be very versatile. In addition to using it with any camera available as a stand-alone device</w:t>
      </w:r>
      <w:r w:rsidR="00B62E42" w:rsidRPr="003435B5">
        <w:t xml:space="preserve"> so videos and pictures of flies can be made and analyzed on independent software, such as ImageJ</w:t>
      </w:r>
      <w:r w:rsidR="00242251" w:rsidRPr="003435B5">
        <w:fldChar w:fldCharType="begin" w:fldLock="1"/>
      </w:r>
      <w:r w:rsidR="00D158C9" w:rsidRPr="003435B5">
        <w:instrText>ADDIN CSL_CITATION {"citationItems":[{"id":"ITEM-1","itemData":{"URL":"https://imagej.nih.gov/ij/","accessed":{"date-parts":[["2021","7","6"]]},"id":"ITEM-1","issued":{"date-parts":[["0"]]},"title":"ImageJ","type":"webpage"},"uris":["http://www.mendeley.com/documents/?uuid=eabd6e29-4485-3fdf-8045-d9754da8e0f1"]}],"mendeley":{"formattedCitation":"&lt;sup&gt;51&lt;/sup&gt;","plainTextFormattedCitation":"51","previouslyFormattedCitation":"&lt;sup&gt;52&lt;/sup&gt;"},"properties":{"noteIndex":0},"schema":"https://github.com/citation-style-language/schema/raw/master/csl-citation.json"}</w:instrText>
      </w:r>
      <w:r w:rsidR="00242251" w:rsidRPr="003435B5">
        <w:fldChar w:fldCharType="separate"/>
      </w:r>
      <w:r w:rsidR="00D158C9" w:rsidRPr="003435B5">
        <w:rPr>
          <w:noProof/>
          <w:vertAlign w:val="superscript"/>
        </w:rPr>
        <w:t>51</w:t>
      </w:r>
      <w:r w:rsidR="00242251" w:rsidRPr="003435B5">
        <w:fldChar w:fldCharType="end"/>
      </w:r>
      <w:r w:rsidRPr="003435B5">
        <w:t xml:space="preserve">, it may </w:t>
      </w:r>
      <w:r w:rsidR="00B62E42" w:rsidRPr="003435B5">
        <w:t xml:space="preserve">also </w:t>
      </w:r>
      <w:r w:rsidRPr="003435B5">
        <w:t>serve the purpose of</w:t>
      </w:r>
      <w:r w:rsidR="00883F30" w:rsidRPr="003435B5">
        <w:t xml:space="preserve"> a removable appendment to </w:t>
      </w:r>
      <w:r w:rsidR="00335C61" w:rsidRPr="003435B5">
        <w:t>our</w:t>
      </w:r>
      <w:r w:rsidR="00883F30" w:rsidRPr="003435B5">
        <w:t xml:space="preserve"> </w:t>
      </w:r>
      <w:r w:rsidR="00335C61" w:rsidRPr="003435B5">
        <w:t xml:space="preserve">own version of the </w:t>
      </w:r>
      <w:proofErr w:type="spellStart"/>
      <w:r w:rsidR="00335C61" w:rsidRPr="003435B5">
        <w:t>e</w:t>
      </w:r>
      <w:r w:rsidR="00883F30" w:rsidRPr="003435B5">
        <w:t>thoscope</w:t>
      </w:r>
      <w:proofErr w:type="spellEnd"/>
      <w:r w:rsidR="00CC749E" w:rsidRPr="003435B5">
        <w:t>, by inserting it into the latter</w:t>
      </w:r>
      <w:r w:rsidR="00B62E42" w:rsidRPr="003435B5">
        <w:t>´s internal recordable space</w:t>
      </w:r>
      <w:r w:rsidR="0091513D" w:rsidRPr="003435B5">
        <w:t>.</w:t>
      </w:r>
      <w:r w:rsidR="00B62E42" w:rsidRPr="003435B5">
        <w:t xml:space="preserve"> </w:t>
      </w:r>
      <w:r w:rsidR="008E4B3B" w:rsidRPr="003435B5">
        <w:t xml:space="preserve">The STL files we make available with this article can be opened with </w:t>
      </w:r>
      <w:proofErr w:type="spellStart"/>
      <w:r w:rsidR="008E4B3B" w:rsidRPr="003435B5">
        <w:t>Tinkercad</w:t>
      </w:r>
      <w:proofErr w:type="spellEnd"/>
      <w:r w:rsidR="008E4B3B" w:rsidRPr="003435B5">
        <w:t xml:space="preserve"> to be even further altered with relative ease, </w:t>
      </w:r>
      <w:r w:rsidR="00883F30" w:rsidRPr="003435B5">
        <w:t>before the interested researcher decide</w:t>
      </w:r>
      <w:r w:rsidR="008E4B3B" w:rsidRPr="003435B5">
        <w:t>s</w:t>
      </w:r>
      <w:r w:rsidR="00883F30" w:rsidRPr="003435B5">
        <w:t xml:space="preserve"> to 3D-print any of the devices</w:t>
      </w:r>
      <w:r w:rsidR="00B62E42" w:rsidRPr="003435B5">
        <w:t>, including our original Stalker</w:t>
      </w:r>
      <w:r w:rsidR="00883F30" w:rsidRPr="003435B5">
        <w:t xml:space="preserve">. We make ourselves available by email to clarify any </w:t>
      </w:r>
      <w:proofErr w:type="gramStart"/>
      <w:r w:rsidR="00883F30" w:rsidRPr="003435B5">
        <w:t>particular steps</w:t>
      </w:r>
      <w:proofErr w:type="gramEnd"/>
      <w:r w:rsidR="00883F30" w:rsidRPr="003435B5">
        <w:t xml:space="preserve"> of our protocols, and to help with new designs of interest. We also encourage the reader to find important information on website</w:t>
      </w:r>
      <w:r w:rsidR="005D5CBE" w:rsidRPr="003435B5">
        <w:t>s</w:t>
      </w:r>
      <w:r w:rsidR="00883F30" w:rsidRPr="003435B5">
        <w:t xml:space="preserve"> of “makers culture” </w:t>
      </w:r>
      <w:r w:rsidR="00883F30" w:rsidRPr="003435B5">
        <w:lastRenderedPageBreak/>
        <w:t>communit</w:t>
      </w:r>
      <w:r w:rsidR="005D5CBE" w:rsidRPr="003435B5">
        <w:t>ies</w:t>
      </w:r>
      <w:r w:rsidR="00883F30" w:rsidRPr="003435B5">
        <w:t xml:space="preserve"> dedicated to design and produce lab equipment that is affordable for biologists in general</w:t>
      </w:r>
      <w:r w:rsidR="00BE4F15" w:rsidRPr="003435B5">
        <w:t>:</w:t>
      </w:r>
      <w:r w:rsidR="00883F30" w:rsidRPr="003435B5">
        <w:t xml:space="preserve"> </w:t>
      </w:r>
      <w:r w:rsidR="005D5CBE" w:rsidRPr="003435B5">
        <w:t>the O</w:t>
      </w:r>
      <w:r w:rsidR="00751A13" w:rsidRPr="003435B5">
        <w:t>pen</w:t>
      </w:r>
      <w:r w:rsidR="005D5CBE" w:rsidRPr="003435B5">
        <w:t xml:space="preserve"> N</w:t>
      </w:r>
      <w:r w:rsidR="00751A13" w:rsidRPr="003435B5">
        <w:t>euroscience</w:t>
      </w:r>
      <w:r w:rsidR="00242251" w:rsidRPr="003435B5">
        <w:fldChar w:fldCharType="begin" w:fldLock="1"/>
      </w:r>
      <w:r w:rsidR="00D158C9" w:rsidRPr="003435B5">
        <w:instrText>ADDIN CSL_CITATION {"citationItems":[{"id":"ITEM-1","itemData":{"URL":"https://open-neuroscience.com/","accessed":{"date-parts":[["2021","7","6"]]},"id":"ITEM-1","issued":{"date-parts":[["0"]]},"title":"Open Neuroscience","type":"webpage"},"uris":["http://www.mendeley.com/documents/?uuid=68a5d01e-8f6b-3191-b035-02df6b88410b"]}],"mendeley":{"formattedCitation":"&lt;sup&gt;52&lt;/sup&gt;","plainTextFormattedCitation":"52","previouslyFormattedCitation":"&lt;sup&gt;53&lt;/sup&gt;"},"properties":{"noteIndex":0},"schema":"https://github.com/citation-style-language/schema/raw/master/csl-citation.json"}</w:instrText>
      </w:r>
      <w:r w:rsidR="00242251" w:rsidRPr="003435B5">
        <w:fldChar w:fldCharType="separate"/>
      </w:r>
      <w:r w:rsidR="00D158C9" w:rsidRPr="003435B5">
        <w:rPr>
          <w:noProof/>
          <w:vertAlign w:val="superscript"/>
        </w:rPr>
        <w:t>52</w:t>
      </w:r>
      <w:r w:rsidR="00242251" w:rsidRPr="003435B5">
        <w:fldChar w:fldCharType="end"/>
      </w:r>
      <w:r w:rsidR="00BE4F15" w:rsidRPr="003435B5">
        <w:t xml:space="preserve"> </w:t>
      </w:r>
      <w:r w:rsidR="00751A13" w:rsidRPr="003435B5">
        <w:t>and</w:t>
      </w:r>
      <w:r w:rsidR="00BE4F15" w:rsidRPr="003435B5">
        <w:t xml:space="preserve"> the</w:t>
      </w:r>
      <w:r w:rsidR="00751A13" w:rsidRPr="003435B5">
        <w:t xml:space="preserve"> 3D </w:t>
      </w:r>
      <w:r w:rsidR="00BE4F15" w:rsidRPr="003435B5">
        <w:t>P</w:t>
      </w:r>
      <w:r w:rsidR="00751A13" w:rsidRPr="003435B5">
        <w:t xml:space="preserve">rintable </w:t>
      </w:r>
      <w:r w:rsidR="00BE4F15" w:rsidRPr="003435B5">
        <w:t>S</w:t>
      </w:r>
      <w:r w:rsidR="00751A13" w:rsidRPr="003435B5">
        <w:t>cience</w:t>
      </w:r>
      <w:r w:rsidR="00242251" w:rsidRPr="003435B5">
        <w:fldChar w:fldCharType="begin" w:fldLock="1"/>
      </w:r>
      <w:r w:rsidR="00D158C9" w:rsidRPr="003435B5">
        <w:instrText>ADDIN CSL_CITATION {"citationItems":[{"id":"ITEM-1","itemData":{"URL":"https://www.appropedia.org/3D_printable_science_equipment","accessed":{"date-parts":[["2021","7","6"]]},"id":"ITEM-1","issued":{"date-parts":[["0"]]},"title":"3D printable science equipment - Appropedia","type":"webpage"},"uris":["http://www.mendeley.com/documents/?uuid=76031532-3a6d-328d-a8a3-3f8090946465"]}],"mendeley":{"formattedCitation":"&lt;sup&gt;53&lt;/sup&gt;","plainTextFormattedCitation":"53","previouslyFormattedCitation":"&lt;sup&gt;54&lt;/sup&gt;"},"properties":{"noteIndex":0},"schema":"https://github.com/citation-style-language/schema/raw/master/csl-citation.json"}</w:instrText>
      </w:r>
      <w:r w:rsidR="00242251" w:rsidRPr="003435B5">
        <w:fldChar w:fldCharType="separate"/>
      </w:r>
      <w:r w:rsidR="00D158C9" w:rsidRPr="003435B5">
        <w:rPr>
          <w:noProof/>
          <w:vertAlign w:val="superscript"/>
        </w:rPr>
        <w:t>53</w:t>
      </w:r>
      <w:r w:rsidR="00242251" w:rsidRPr="003435B5">
        <w:fldChar w:fldCharType="end"/>
      </w:r>
      <w:r w:rsidR="00D9238E" w:rsidRPr="003435B5">
        <w:t>.</w:t>
      </w:r>
    </w:p>
    <w:p w14:paraId="3B9587D8" w14:textId="77777777" w:rsidR="002F39AA" w:rsidRPr="003435B5" w:rsidRDefault="002F39AA" w:rsidP="003435B5">
      <w:pPr>
        <w:contextualSpacing/>
      </w:pPr>
    </w:p>
    <w:p w14:paraId="7C7BD20C" w14:textId="224491AE" w:rsidR="00883F30" w:rsidRPr="003435B5" w:rsidRDefault="001E1F50" w:rsidP="003435B5">
      <w:pPr>
        <w:contextualSpacing/>
      </w:pPr>
      <w:r w:rsidRPr="003435B5">
        <w:t>We recognize</w:t>
      </w:r>
      <w:r w:rsidR="002F4C50" w:rsidRPr="003435B5">
        <w:t xml:space="preserve"> that even with all the designed apparatuses presented here, some behavioral assays still need to be performed “manually”. Although this may introduce artifacts and subjectivity, it allow</w:t>
      </w:r>
      <w:r w:rsidR="000225CA" w:rsidRPr="003435B5">
        <w:t>ed</w:t>
      </w:r>
      <w:r w:rsidR="002F4C50" w:rsidRPr="003435B5">
        <w:t xml:space="preserve"> us to analyze parameters that cannot be easily quantified using open-source software</w:t>
      </w:r>
      <w:r w:rsidR="000225CA" w:rsidRPr="003435B5">
        <w:t xml:space="preserve"> we have in our lab</w:t>
      </w:r>
      <w:r w:rsidR="002F4C50" w:rsidRPr="003435B5">
        <w:t>, such as the peristaltic movements of the larva body wall.</w:t>
      </w:r>
      <w:r w:rsidR="000225CA" w:rsidRPr="003435B5">
        <w:t xml:space="preserve"> </w:t>
      </w:r>
      <w:r w:rsidR="008E4B3B" w:rsidRPr="003435B5">
        <w:t>Automated measurements of these movements can, however, be made using</w:t>
      </w:r>
      <w:r w:rsidR="000225CA" w:rsidRPr="003435B5">
        <w:t xml:space="preserve"> the </w:t>
      </w:r>
      <w:proofErr w:type="spellStart"/>
      <w:r w:rsidR="000225CA" w:rsidRPr="003435B5">
        <w:t>FlyPi</w:t>
      </w:r>
      <w:proofErr w:type="spellEnd"/>
      <w:r w:rsidR="000225CA" w:rsidRPr="003435B5">
        <w:t xml:space="preserve"> platform</w:t>
      </w:r>
      <w:r w:rsidR="003D10BB" w:rsidRPr="003435B5">
        <w:fldChar w:fldCharType="begin" w:fldLock="1"/>
      </w:r>
      <w:r w:rsidR="00307B18" w:rsidRPr="003435B5">
        <w:instrText>ADDIN CSL_CITATION {"citationItems":[{"id":"ITEM-1","itemData":{"DOI":"10.1371/journal.pbio.2002702","ISSN":"15457885","PMID":"28719603","abstract":"Small, genetically tractable species such as larval zebrafish, Drosophila, or Caenorhabditis elegans have become key model organisms in modern neuroscience. In addition to their low maintenance costs and easy sharing of strains across labs, one key appeal is the possibility to monitor single or groups of animals in a behavioural arena while controlling the activity of select neurons using optogenetic or thermogenetic tools. However, the purchase of a commercial solution for these types of experiments, including an appropriate camera system as well as a controlled behavioural arena, can be costly. Here, we present a low-cost and modular open-source alternative called ‘FlyPi’. Our design is based on a 3D-printed mainframe, a Raspberry Pi computer, and high-definition camera system as well as Arduino-based optical and thermal control circuits. Depending on the configuration, FlyPi can be assembled for well under €100 and features optional modules for light-emitting diode (LED)-based fluorescence microscopy and optogenetic stimulation as well as a Peltier-based temperature stimulator for thermogenetics. The complete version with all modules costs approximately €200 or substantially less if the user is prepared to ‘shop around’. All functions of FlyPi can be controlled through a custom-written graphical user interface. To demonstrate FlyPi’s capabilities, we present its use in a series of state-of-the-art neurogenetics experiments. In addition, we demonstrate FlyPi’s utility as a medical diagnostic tool as well as a teaching aid at Neurogenetics courses held at several African universities. Taken together, the low cost and modular nature as well as fully open design of FlyPi make it a highly versatile tool in a range of applications, including the classroom, diagnostic centres, and research labs.","author":[{"dropping-particle":"","family":"Maia Chagas","given":"Andre","non-dropping-particle":"","parse-names":false,"suffix":""},{"dropping-particle":"","family":"Prieto-Godino","given":"Lucia L.","non-dropping-particle":"","parse-names":false,"suffix":""},{"dropping-particle":"","family":"Arrenberg","given":"Aristides B.","non-dropping-particle":"","parse-names":false,"suffix":""},{"dropping-particle":"","family":"Baden","given":"Tom","non-dropping-particle":"","parse-names":false,"suffix":""}],"container-title":"PLoS Biology","id":"ITEM-1","issue":"7","issued":{"date-parts":[["2017","7","18"]]},"publisher":"Public Library of Science","title":"The €100 lab: A 3D-printable open-source platform for fluorescence microscopy, optogenetics, and accurate temperature control during behaviour of zebrafish, Drosophila, and Caenorhabditis elegans","type":"article-journal","volume":"15"},"uris":["http://www.mendeley.com/documents/?uuid=f02a7bdd-2570-362e-bd32-3cf225ed579b"]}],"mendeley":{"formattedCitation":"&lt;sup&gt;15&lt;/sup&gt;","plainTextFormattedCitation":"15","previouslyFormattedCitation":"&lt;sup&gt;15&lt;/sup&gt;"},"properties":{"noteIndex":0},"schema":"https://github.com/citation-style-language/schema/raw/master/csl-citation.json"}</w:instrText>
      </w:r>
      <w:r w:rsidR="003D10BB" w:rsidRPr="003435B5">
        <w:fldChar w:fldCharType="separate"/>
      </w:r>
      <w:r w:rsidR="00307B18" w:rsidRPr="003435B5">
        <w:rPr>
          <w:noProof/>
          <w:vertAlign w:val="superscript"/>
        </w:rPr>
        <w:t>15</w:t>
      </w:r>
      <w:r w:rsidR="003D10BB" w:rsidRPr="003435B5">
        <w:fldChar w:fldCharType="end"/>
      </w:r>
      <w:r w:rsidR="000225CA" w:rsidRPr="003435B5">
        <w:t>.</w:t>
      </w:r>
      <w:r w:rsidR="002F4C50" w:rsidRPr="003435B5">
        <w:t xml:space="preserve"> To test how the introduction of </w:t>
      </w:r>
      <w:r w:rsidR="005F57A4" w:rsidRPr="003435B5">
        <w:t>the</w:t>
      </w:r>
      <w:r w:rsidR="002F4C50" w:rsidRPr="003435B5">
        <w:t xml:space="preserve"> </w:t>
      </w:r>
      <w:r w:rsidR="005F57A4" w:rsidRPr="003435B5">
        <w:t xml:space="preserve">non-proton pumping terminal oxidase AOX into the fly´s OXPHOS system may influence behavior, we made use of manually counting larval peristaltic movements under the microscope. Because we used the extreme temperature of 12 °C and </w:t>
      </w:r>
      <w:r w:rsidR="00DB03A7" w:rsidRPr="003435B5">
        <w:t>larval</w:t>
      </w:r>
      <w:r w:rsidR="005F57A4" w:rsidRPr="003435B5">
        <w:t xml:space="preserve"> mobility is </w:t>
      </w:r>
      <w:r w:rsidR="00DB03A7" w:rsidRPr="003435B5">
        <w:t>usually</w:t>
      </w:r>
      <w:r w:rsidR="005F57A4" w:rsidRPr="003435B5">
        <w:t xml:space="preserve"> </w:t>
      </w:r>
      <w:r w:rsidR="00DB03A7" w:rsidRPr="003435B5">
        <w:t>very limited</w:t>
      </w:r>
      <w:r w:rsidR="005F57A4" w:rsidRPr="003435B5">
        <w:t xml:space="preserve"> </w:t>
      </w:r>
      <w:r w:rsidR="00DB03A7" w:rsidRPr="003435B5">
        <w:t>under these conditions</w:t>
      </w:r>
      <w:r w:rsidR="00FC03C9" w:rsidRPr="003435B5">
        <w:fldChar w:fldCharType="begin" w:fldLock="1"/>
      </w:r>
      <w:r w:rsidR="00D158C9" w:rsidRPr="003435B5">
        <w:instrText>ADDIN CSL_CITATION {"citationItems":[{"id":"ITEM-1","itemData":{"DOI":"10.3791/52684","ISSN":"1940087X","abstract":"Drosophila larvae are used in many behavioral studies, yet a simple device for measuring basic parameters of larval activity has not been available. This protocol repurposes an instrument often used to measure adult activity, the TriKinetics Drosophila activity monitor (MB5 Multi-Beam Activity Monitor) to study larval activity. The instrument can monitor the movements of animals in 16 individual 8 cm glass assay tubes, using 17 infrared detection beams per tube. Logging software automatically saves data to a computer, recording parameters such as number of moves, times sensors were triggered, and animals’ positions within the tubes. The data can then be analyzed to represent overall locomotion and/or position preference as well as other measurements. All data are easily accessible and compatible with basic graphing and data manipulation software. This protocol will discuss how to use the apparatus, how to operate the software and how to run a larval activity assay from start to finish.","author":[{"dropping-particle":"","family":"McParland","given":"Aidan L.","non-dropping-particle":"","parse-names":false,"suffix":""},{"dropping-particle":"","family":"Follansbee","given":"Taylor L.","non-dropping-particle":"","parse-names":false,"suffix":""},{"dropping-particle":"","family":"Ganter","given":"Geoffrey K.","non-dropping-particle":"","parse-names":false,"suffix":""}],"container-title":"Journal of Visualized Experiments","id":"ITEM-1","issued":{"date-parts":[["2015"]]},"title":"Measurement of larval activity in the Drosophila activity monitor","type":"article-journal"},"uris":["http://www.mendeley.com/documents/?uuid=3b601259-7192-4806-9524-88c173a50116"]},{"id":"ITEM-2","itemData":{"DOI":"10.1152/ajpregu.00268.2016","ISSN":"15221490","PMID":"27927623","abstract":"The ability of ectotherms to respond to changes in their thermal environment through plastic mechanisms is central to their adaptive capability. However, we still lack knowledge on the physiological and functional responses by which ectotherms acclimate to temperatures during development, and in particular, how physiological stress at extreme temperatures may counteract beneficial acclimation responses at benign temperatures. We exposed Drosophila melanogaster to 10 developmental temperatures covering their entire permissible temperature range. We obtained metabolic profiles and reaction norms for several functional traits: egg-to-adult viability, developmental time, and heat and cold tolerance. Females were more heat tolerant than males, whereas no sexual dimorphism was found in cold tolerance. A group of metabolites, mainly free amino acids, had linear reaction norms. Several energy-carrying molecules, as well as some sugars, showed distinct inverted U-shaped norms of reaction across the thermal range, resulting in a positive correlation between metabolite intensities and egg-to-adult viability. At extreme temperatures, low levels of these metabolites were interpreted as a response characteristic of costs of homeostatic perturbations. Our results provide novel insights into a range of metabolites reported to be central for the acclimation response and suggest several new candidate metabolites. Low and high temperatures result in different adaptive physiological responses, but they also have commonalities likely to be a result of the failure to compensate for the physiological stress. We suggest that the regulation of metabolites that are tightly connected to the performance curve is important for the ability of ectotherms to cope with variation in temperature.","author":[{"dropping-particle":"","family":"Schou","given":"Mads F.","non-dropping-particle":"","parse-names":false,"suffix":""},{"dropping-particle":"","family":"Kristensen","given":"Torsten N.","non-dropping-particle":"","parse-names":false,"suffix":""},{"dropping-particle":"","family":"Pedersen","given":"Anders","non-dropping-particle":"","parse-names":false,"suffix":""},{"dropping-particle":"","family":"Göran Karlsson","given":"B.","non-dropping-particle":"","parse-names":false,"suffix":""},{"dropping-particle":"","family":"Loeschcke","given":"Volker","non-dropping-particle":"","parse-names":false,"suffix":""},{"dropping-particle":"","family":"Malmendal","given":"Anders","non-dropping-particle":"","parse-names":false,"suffix":""}],"container-title":"American Journal of Physiology - Regulatory Integrative and Comparative Physiology","id":"ITEM-2","issue":"2","issued":{"date-parts":[["2017"]]},"page":"R211-R222","publisher":"American Physiological Society","title":"Metabolic and functional characterization of effects of developmental temperature in Drosophila melanogaster","type":"article-journal","volume":"312"},"uris":["http://www.mendeley.com/documents/?uuid=813f5010-2c2e-3807-a0f3-49fc338441b6"]}],"mendeley":{"formattedCitation":"&lt;sup&gt;54, 55&lt;/sup&gt;","plainTextFormattedCitation":"54, 55","previouslyFormattedCitation":"&lt;sup&gt;55, 56&lt;/sup&gt;"},"properties":{"noteIndex":0},"schema":"https://github.com/citation-style-language/schema/raw/master/csl-citation.json"}</w:instrText>
      </w:r>
      <w:r w:rsidR="00FC03C9" w:rsidRPr="003435B5">
        <w:fldChar w:fldCharType="separate"/>
      </w:r>
      <w:r w:rsidR="00D158C9" w:rsidRPr="003435B5">
        <w:rPr>
          <w:noProof/>
          <w:vertAlign w:val="superscript"/>
        </w:rPr>
        <w:t>54, 55</w:t>
      </w:r>
      <w:r w:rsidR="00FC03C9" w:rsidRPr="003435B5">
        <w:fldChar w:fldCharType="end"/>
      </w:r>
      <w:r w:rsidR="005F57A4" w:rsidRPr="003435B5">
        <w:t xml:space="preserve">, </w:t>
      </w:r>
      <w:r w:rsidR="00DB03A7" w:rsidRPr="003435B5">
        <w:t xml:space="preserve">manually </w:t>
      </w:r>
      <w:r w:rsidR="005F57A4" w:rsidRPr="003435B5">
        <w:t>measur</w:t>
      </w:r>
      <w:r w:rsidR="00DB03A7" w:rsidRPr="003435B5">
        <w:t>ing</w:t>
      </w:r>
      <w:r w:rsidR="005F57A4" w:rsidRPr="003435B5">
        <w:t xml:space="preserve"> </w:t>
      </w:r>
      <w:r w:rsidR="00DB03A7" w:rsidRPr="003435B5">
        <w:t xml:space="preserve">the </w:t>
      </w:r>
      <w:r w:rsidR="005F57A4" w:rsidRPr="003435B5">
        <w:t>distance</w:t>
      </w:r>
      <w:r w:rsidR="00DB03A7" w:rsidRPr="003435B5">
        <w:t xml:space="preserve"> travelled by the larvae along with counting body wall contractions turned out to be </w:t>
      </w:r>
      <w:r w:rsidR="000225CA" w:rsidRPr="003435B5">
        <w:t>entirely</w:t>
      </w:r>
      <w:r w:rsidR="00DB03A7" w:rsidRPr="003435B5">
        <w:t xml:space="preserve"> feasible</w:t>
      </w:r>
      <w:r w:rsidR="00883F30" w:rsidRPr="003435B5">
        <w:t xml:space="preserve">. </w:t>
      </w:r>
      <w:r w:rsidR="00353909" w:rsidRPr="003435B5">
        <w:t>We have shown previously that larval development is faster and larval viability is higher when AOX is expressed in flies cultured under stressful low temperatures, with more pronounced results at 12 °C</w:t>
      </w:r>
      <w:r w:rsidR="00FC03C9" w:rsidRPr="003435B5">
        <w:fldChar w:fldCharType="begin" w:fldLock="1"/>
      </w:r>
      <w:r w:rsidR="00D158C9" w:rsidRPr="003435B5">
        <w:instrText>ADDIN CSL_CITATION {"citationItems":[{"id":"ITEM-1","itemData":{"DOI":"10.1016/j.bbadis.2018.10.012","ISSN":"1879260X","abstract":"The alternative respiratory chain (aRC), comprising the alternative NADH dehydrogenases (NDX) and quinone oxidases (AOX), is found in microbes, fungi and plants, where it buffers stresses arising from restrictions on electron flow in the oxidative phosphorylation system. The aRC enzymes are also found in species belonging to most metazoan phyla, including some chordates and arthropods species, although not in vertebrates or in Drosophila. We postulated that the aRC enzymes might be deployed to alleviate pathological stresses arising from mitochondrial dysfunction in a wide variety of disease states. However, before such therapies can be contemplated, it is essential to understand the effects of aRC enzymes on cell metabolism and organismal physiology. Here we report and discuss new findings that shed light on the functions of the aRC enzymes in animals, and the unexpected benefits and detriments that they confer on model organisms. In Ciona intestinalis, the aRC is induced by hypoxia and by sulfide, but is unresponsive to other environmental stressors. When expressed in Drosophila, AOX results in impaired survival under restricted nutrition, in addition to the previously reported male reproductive anomalies. In contrast, it confers cold resistance to developing and adult flies, and counteracts cell signaling defects that underlie developmental dysmorphologies. The aRC enzymes may also influence lifespan and stress resistance more generally, by eliciting or interfering with hormetic mechanisms. In sum, their judicious use may lead to major benefits in medicine, but this will require a thorough characterization of their properties and physiological effects.","author":[{"dropping-particle":"","family":"Saari","given":"Sina","non-dropping-particle":"","parse-names":false,"suffix":""},{"dropping-particle":"","family":"Garcia","given":"Geovana S.","non-dropping-particle":"","parse-names":false,"suffix":""},{"dropping-particle":"","family":"Bremer","given":"Katharina","non-dropping-particle":"","parse-names":false,"suffix":""},{"dropping-particle":"","family":"Chioda","given":"Marina M.","non-dropping-particle":"","parse-names":false,"suffix":""},{"dropping-particle":"","family":"Andjelković","given":"Ana","non-dropping-particle":"","parse-names":false,"suffix":""},{"dropping-particle":"V.","family":"Debes","given":"Paul","non-dropping-particle":"","parse-names":false,"suffix":""},{"dropping-particle":"","family":"Nikinmaa","given":"Mikko","non-dropping-particle":"","parse-names":false,"suffix":""},{"dropping-particle":"","family":"Szibor","given":"Marten","non-dropping-particle":"","parse-names":false,"suffix":""},{"dropping-particle":"","family":"Dufour","given":"Eric","non-dropping-particle":"","parse-names":false,"suffix":""},{"dropping-particle":"","family":"Rustin","given":"Pierre","non-dropping-particle":"","parse-names":false,"suffix":""},{"dropping-particle":"","family":"Oliveira","given":"Marcos T.","non-dropping-particle":"","parse-names":false,"suffix":""},{"dropping-particle":"","family":"Jacobs","given":"Howard T.","non-dropping-particle":"","parse-names":false,"suffix":""}],"container-title":"Biochimica et Biophysica Acta - Molecular Basis of Disease","id":"ITEM-1","issue":"4","issued":{"date-parts":[["2019"]]},"page":"854-866","title":"Alternative respiratory chain enzymes: Therapeutic potential and possible pitfalls","type":"article-journal","volume":"1865"},"uris":["http://www.mendeley.com/documents/?uuid=51dfdcc6-b76f-4871-b3be-3b0903aa441d"]}],"mendeley":{"formattedCitation":"&lt;sup&gt;34&lt;/sup&gt;","plainTextFormattedCitation":"34","previouslyFormattedCitation":"&lt;sup&gt;36&lt;/sup&gt;"},"properties":{"noteIndex":0},"schema":"https://github.com/citation-style-language/schema/raw/master/csl-citation.json"}</w:instrText>
      </w:r>
      <w:r w:rsidR="00FC03C9" w:rsidRPr="003435B5">
        <w:fldChar w:fldCharType="separate"/>
      </w:r>
      <w:r w:rsidR="00D158C9" w:rsidRPr="003435B5">
        <w:rPr>
          <w:noProof/>
          <w:vertAlign w:val="superscript"/>
        </w:rPr>
        <w:t>34</w:t>
      </w:r>
      <w:r w:rsidR="00FC03C9" w:rsidRPr="003435B5">
        <w:fldChar w:fldCharType="end"/>
      </w:r>
      <w:r w:rsidR="00FC03C9" w:rsidRPr="003435B5">
        <w:t>.</w:t>
      </w:r>
      <w:r w:rsidR="00353909" w:rsidRPr="003435B5">
        <w:t xml:space="preserve"> The hypothesis to explain these was</w:t>
      </w:r>
      <w:r w:rsidR="006831C2" w:rsidRPr="003435B5">
        <w:t xml:space="preserve"> based on the known thermogenic properties of plant AOX</w:t>
      </w:r>
      <w:r w:rsidR="00FC03C9" w:rsidRPr="003435B5">
        <w:fldChar w:fldCharType="begin" w:fldLock="1"/>
      </w:r>
      <w:r w:rsidR="00D158C9" w:rsidRPr="003435B5">
        <w:instrText>ADDIN CSL_CITATION {"citationItems":[{"id":"ITEM-1","itemData":{"DOI":"10.1146/annurev.pp.26.060175.001001","ISSN":"0066-4294","author":[{"dropping-particle":"","family":"Meeuse","given":"B J D","non-dropping-particle":"","parse-names":false,"suffix":""}],"container-title":"Annual Review of Plant Physiology","id":"ITEM-1","issued":{"date-parts":[["1975"]]},"title":"Thermogenic Respiration in Aroids","type":"article-journal"},"uris":["http://www.mendeley.com/documents/?uuid=b11795f6-573b-4a75-8cdb-66c336e45376"]},{"id":"ITEM-2","itemData":{"DOI":"10.1104/pp.105.075523","ISSN":"00320889","PMID":"16461386","abstract":"We report results from in vivo measurements, using oxygen isotope discrimination techniques, of fluxes through the alternative and cytochrome respiratory pathways in thermogenic plant tissue, the floral receptacle of the sacred lotus (Nelumbo nucifera). Fluxes through both pathways were measured in thermoregulating flowers undergoing varying degrees of thermogenesis in response to ambient temperature. Significant increases in alternative pathway flux were found in lotus receptacles with temperatures 16°C to 20°C above ambient, but not in those with lesser amounts of heating. Alternative pathway flux in the hottest receptacles was 75% of the total respiratory flux. In contrast, fluxes through the cytochrome pathway did not change significantly during thermogenesis. These data support the hypothesis that increased flux through the alternative pathway is responsible for heating in the lotus and that it is unlikely that uncoupling proteins, which would have produced increased fluxes through the cytochrome pathway, contribute significantly to heating in this tissue. Comparisons of actual flux, with capacity determined using inhibitors, suggested that the alternative pathway was operating at close to maximum capacity in heating tissues of lotus. However, in nonheating tissues the inhibitor data significantly overestimated the alternative pathway flux. This confirms that isotopic measurements are necessary for accurate determination of fluxes through the two pathways. © 2006 American Society of Plant Biologists.","author":[{"dropping-particle":"","family":"Watling","given":"Jennifer R.","non-dropping-particle":"","parse-names":false,"suffix":""},{"dropping-particle":"","family":"Robinson","given":"Sharon A.","non-dropping-particle":"","parse-names":false,"suffix":""},{"dropping-particle":"","family":"Seymour","given":"Roger S.","non-dropping-particle":"","parse-names":false,"suffix":""}],"container-title":"Plant Physiology","id":"ITEM-2","issued":{"date-parts":[["2006"]]},"title":"Contribution of the alternative pathway to respiration during thermogenesis in flowers of the sacred lotus","type":"article-journal"},"uris":["http://www.mendeley.com/documents/?uuid=a5308e48-7300-40f3-bf6a-888a77277baf"]},{"id":"ITEM-3","itemData":{"DOI":"10.1104/pp.19.00150","ISSN":"15322548","PMID":"30918084","abstract":"Cone thermogenesis is a widespread phenomenon in cycads and may function to promote volatile emissions that affect pollinator behavior. Given their large population size and intense and durable heat-producing effects, cycads are important organisms for comprehensive studies of plant thermogenesis. However, knowledge of mitochondrial morphology and function in cone thermogenesis is limited. Therefore, we investigated these mitochondrial properties in the thermogenic cycad species Cycas revoluta. Male cones generated heat even in cool weather conditions. Female cones produced heat, but to a lesser extent than male cones. Ultrastructural analyses of the two major tissues of male cones, microsporophylls and microsporangia, revealed the existence of a population of mitochondria with a distinct morphology in the microsporophylls. In these cells, we observed large mitochondria (cross-sectional area of 2 mm2 or more) with a uniform matrix density that occupied .10% of the total mitochondrial volume. Despite the size difference, many nonlarge mitochondria (cross-sectional area ,2 mm2) also exhibited a shape and a matrix density similar to those of large mitochondria. Alternative oxidase (AOX) capacity and expression levels in microsporophylls were much higher than those in microsporangia. The AOX genes expressed in male cones revealed two different AOX complementary DNA sequences: CrAOX1 and CrAOX2. The expression level of CrAOX1 mRNA in the microsporophylls was 100 times greater than that of CrAOX2 mRNA. Collectively, these results suggest that distinctive mitochondrial morphology and CrAOX1-mediated respiration in microsporophylls might play a role in cycad cone thermogenesis.","author":[{"dropping-particle":"","family":"Inaba","given":"Yasuko Ito","non-dropping-particle":"","parse-names":false,"suffix":""},{"dropping-particle":"","family":"Sato","given":"Mayuko","non-dropping-particle":"","parse-names":false,"suffix":""},{"dropping-particle":"","family":"Sato","given":"Mitsuhiko P.","non-dropping-particle":"","parse-names":false,"suffix":""},{"dropping-particle":"","family":"Kurayama","given":"Yuya","non-dropping-particle":"","parse-names":false,"suffix":""},{"dropping-particle":"","family":"Yamamoto","given":"Haruna","non-dropping-particle":"","parse-names":false,"suffix":""},{"dropping-particle":"","family":"Ohata","given":"Mizuki","non-dropping-particle":"","parse-names":false,"suffix":""},{"dropping-particle":"","family":"Ogura","given":"Yoshitoshi","non-dropping-particle":"","parse-names":false,"suffix":""},{"dropping-particle":"","family":"Hayashi","given":"Tetsuya","non-dropping-particle":"","parse-names":false,"suffix":""},{"dropping-particle":"","family":"Toyooka","given":"Kiminori","non-dropping-particle":"","parse-names":false,"suffix":""},{"dropping-particle":"","family":"Inaba","given":"Takehito","non-dropping-particle":"","parse-names":false,"suffix":""}],"container-title":"Plant Physiology","id":"ITEM-3","issue":"2","issued":{"date-parts":[["2019","6","1"]]},"page":"743-756","publisher":"American Society of Plant Biologists","title":"Alternative oxidase capacity of mitochondria in microsporophylls may function in cycad thermogenesis","type":"article-journal","volume":"180"},"uris":["http://www.mendeley.com/documents/?uuid=97e0971d-8c96-34b5-920b-2f6513b9453a"]}],"mendeley":{"formattedCitation":"&lt;sup&gt;56–58&lt;/sup&gt;","plainTextFormattedCitation":"56–58","previouslyFormattedCitation":"&lt;sup&gt;57–59&lt;/sup&gt;"},"properties":{"noteIndex":0},"schema":"https://github.com/citation-style-language/schema/raw/master/csl-citation.json"}</w:instrText>
      </w:r>
      <w:r w:rsidR="00FC03C9" w:rsidRPr="003435B5">
        <w:fldChar w:fldCharType="separate"/>
      </w:r>
      <w:r w:rsidR="00D158C9" w:rsidRPr="003435B5">
        <w:rPr>
          <w:noProof/>
          <w:vertAlign w:val="superscript"/>
        </w:rPr>
        <w:t>56–58</w:t>
      </w:r>
      <w:r w:rsidR="00FC03C9" w:rsidRPr="003435B5">
        <w:fldChar w:fldCharType="end"/>
      </w:r>
      <w:r w:rsidR="006831C2" w:rsidRPr="003435B5">
        <w:t>:</w:t>
      </w:r>
      <w:r w:rsidR="00883F30" w:rsidRPr="003435B5">
        <w:t xml:space="preserve"> </w:t>
      </w:r>
      <w:r w:rsidR="006831C2" w:rsidRPr="003435B5">
        <w:t>the enzyme</w:t>
      </w:r>
      <w:r w:rsidR="00353909" w:rsidRPr="003435B5">
        <w:t xml:space="preserve"> </w:t>
      </w:r>
      <w:r w:rsidR="000225CA" w:rsidRPr="003435B5">
        <w:t>activity</w:t>
      </w:r>
      <w:r w:rsidR="00883F30" w:rsidRPr="003435B5">
        <w:t xml:space="preserve"> </w:t>
      </w:r>
      <w:r w:rsidR="00353909" w:rsidRPr="003435B5">
        <w:t>uncouples mitochondria</w:t>
      </w:r>
      <w:r w:rsidR="008E4B3B" w:rsidRPr="003435B5">
        <w:t>,</w:t>
      </w:r>
      <w:r w:rsidR="00353909" w:rsidRPr="003435B5">
        <w:t xml:space="preserve"> </w:t>
      </w:r>
      <w:r w:rsidR="00883F30" w:rsidRPr="003435B5">
        <w:t>generat</w:t>
      </w:r>
      <w:r w:rsidR="00353909" w:rsidRPr="003435B5">
        <w:t>ing</w:t>
      </w:r>
      <w:r w:rsidR="00883F30" w:rsidRPr="003435B5">
        <w:t xml:space="preserve"> heat and </w:t>
      </w:r>
      <w:r w:rsidR="00A20409" w:rsidRPr="003435B5">
        <w:t xml:space="preserve">consequently </w:t>
      </w:r>
      <w:r w:rsidR="00883F30" w:rsidRPr="003435B5">
        <w:t xml:space="preserve">accelerating larval metabolism. </w:t>
      </w:r>
      <w:r w:rsidR="00A20409" w:rsidRPr="003435B5">
        <w:t>Showing here that</w:t>
      </w:r>
      <w:r w:rsidR="00883F30" w:rsidRPr="003435B5">
        <w:t xml:space="preserve"> AOX-express</w:t>
      </w:r>
      <w:r w:rsidR="00A20409" w:rsidRPr="003435B5">
        <w:t>ing</w:t>
      </w:r>
      <w:r w:rsidR="00883F30" w:rsidRPr="003435B5">
        <w:t xml:space="preserve"> larvae</w:t>
      </w:r>
      <w:r w:rsidR="00A20409" w:rsidRPr="003435B5">
        <w:t xml:space="preserve"> are significantly more mobile</w:t>
      </w:r>
      <w:r w:rsidR="00883F30" w:rsidRPr="003435B5">
        <w:t xml:space="preserve"> at 12</w:t>
      </w:r>
      <w:r w:rsidR="00A20409" w:rsidRPr="003435B5">
        <w:t xml:space="preserve"> °C (</w:t>
      </w:r>
      <w:r w:rsidR="00A20409" w:rsidRPr="00C42F1D">
        <w:rPr>
          <w:b/>
          <w:bCs/>
        </w:rPr>
        <w:t>Figure 4</w:t>
      </w:r>
      <w:r w:rsidR="00A20409" w:rsidRPr="003435B5">
        <w:t xml:space="preserve">) is consistent with such </w:t>
      </w:r>
      <w:r w:rsidR="008E4B3B" w:rsidRPr="003435B5">
        <w:t xml:space="preserve">a </w:t>
      </w:r>
      <w:r w:rsidR="008A38A0" w:rsidRPr="003435B5">
        <w:t>hypothesis</w:t>
      </w:r>
      <w:r w:rsidR="00883F30" w:rsidRPr="003435B5">
        <w:t>.</w:t>
      </w:r>
    </w:p>
    <w:p w14:paraId="6E77387B" w14:textId="77777777" w:rsidR="002F39AA" w:rsidRPr="003435B5" w:rsidRDefault="002F39AA" w:rsidP="003435B5">
      <w:pPr>
        <w:contextualSpacing/>
      </w:pPr>
    </w:p>
    <w:p w14:paraId="433D0D28" w14:textId="71276B74" w:rsidR="00F05CF7" w:rsidRPr="003435B5" w:rsidRDefault="00DE2192" w:rsidP="003435B5">
      <w:pPr>
        <w:contextualSpacing/>
      </w:pPr>
      <w:r w:rsidRPr="003435B5">
        <w:t>Also consistent with the thermogenesis hypothesis is our mitochondrial respirometry data (</w:t>
      </w:r>
      <w:r w:rsidRPr="00C42F1D">
        <w:rPr>
          <w:b/>
          <w:bCs/>
        </w:rPr>
        <w:t>Figure 5</w:t>
      </w:r>
      <w:r w:rsidRPr="003435B5">
        <w:t>).</w:t>
      </w:r>
      <w:r w:rsidR="0096521D" w:rsidRPr="003435B5">
        <w:t xml:space="preserve"> </w:t>
      </w:r>
      <w:r w:rsidR="00330401" w:rsidRPr="003435B5">
        <w:t>We first develop</w:t>
      </w:r>
      <w:r w:rsidR="00297A40" w:rsidRPr="003435B5">
        <w:t>ed</w:t>
      </w:r>
      <w:r w:rsidR="00330401" w:rsidRPr="003435B5">
        <w:t xml:space="preserve"> the </w:t>
      </w:r>
      <w:r w:rsidR="00297A40" w:rsidRPr="003435B5">
        <w:t xml:space="preserve">mitochondrial oxygen consumption </w:t>
      </w:r>
      <w:r w:rsidR="00330401" w:rsidRPr="003435B5">
        <w:t xml:space="preserve">protocol described here </w:t>
      </w:r>
      <w:r w:rsidR="0096521D" w:rsidRPr="003435B5">
        <w:t>t</w:t>
      </w:r>
      <w:r w:rsidR="00883F30" w:rsidRPr="003435B5">
        <w:t xml:space="preserve">o </w:t>
      </w:r>
      <w:r w:rsidR="00297A40" w:rsidRPr="003435B5">
        <w:t xml:space="preserve">be used with larval homogenates in an </w:t>
      </w:r>
      <w:proofErr w:type="spellStart"/>
      <w:r w:rsidR="00297A40" w:rsidRPr="003435B5">
        <w:t>Oroboros</w:t>
      </w:r>
      <w:proofErr w:type="spellEnd"/>
      <w:r w:rsidR="00297A40" w:rsidRPr="003435B5">
        <w:t xml:space="preserve"> O2k </w:t>
      </w:r>
      <w:proofErr w:type="spellStart"/>
      <w:r w:rsidR="00297A40" w:rsidRPr="003435B5">
        <w:t>oxygraph</w:t>
      </w:r>
      <w:proofErr w:type="spellEnd"/>
      <w:r w:rsidR="00297A40" w:rsidRPr="003435B5">
        <w:t xml:space="preserve"> at 12</w:t>
      </w:r>
      <w:r w:rsidR="00C42F1D">
        <w:t xml:space="preserve"> </w:t>
      </w:r>
      <w:r w:rsidR="00297A40" w:rsidRPr="003435B5">
        <w:t>°C. Condensation on the outside of the chambers due to the colder temperature inside was an initial concern for the long-term function of the equipment, but this</w:t>
      </w:r>
      <w:r w:rsidR="00493FC2" w:rsidRPr="003435B5">
        <w:t xml:space="preserve"> does not</w:t>
      </w:r>
      <w:r w:rsidR="00297A40" w:rsidRPr="003435B5">
        <w:t xml:space="preserve"> appear to</w:t>
      </w:r>
      <w:r w:rsidR="00493FC2" w:rsidRPr="003435B5">
        <w:t xml:space="preserve"> have caused any significant change</w:t>
      </w:r>
      <w:r w:rsidR="00311C2D" w:rsidRPr="003435B5">
        <w:t>s</w:t>
      </w:r>
      <w:r w:rsidR="00493FC2" w:rsidRPr="003435B5">
        <w:t xml:space="preserve"> in the </w:t>
      </w:r>
      <w:proofErr w:type="spellStart"/>
      <w:r w:rsidR="00493FC2" w:rsidRPr="003435B5">
        <w:t>oxygraph</w:t>
      </w:r>
      <w:proofErr w:type="spellEnd"/>
      <w:r w:rsidR="00297A40" w:rsidRPr="003435B5">
        <w:t xml:space="preserve"> perform</w:t>
      </w:r>
      <w:r w:rsidR="008E4B3B" w:rsidRPr="003435B5">
        <w:t>ance</w:t>
      </w:r>
      <w:r w:rsidR="00311C2D" w:rsidRPr="003435B5">
        <w:t xml:space="preserve"> throughout </w:t>
      </w:r>
      <w:r w:rsidR="008E4B3B" w:rsidRPr="003435B5">
        <w:t>several</w:t>
      </w:r>
      <w:r w:rsidR="00311C2D" w:rsidRPr="003435B5">
        <w:t xml:space="preserve"> years of use</w:t>
      </w:r>
      <w:r w:rsidR="00493FC2" w:rsidRPr="003435B5">
        <w:t xml:space="preserve"> (data not shown).</w:t>
      </w:r>
      <w:r w:rsidR="00297A40" w:rsidRPr="003435B5">
        <w:t xml:space="preserve"> </w:t>
      </w:r>
      <w:r w:rsidR="00311C2D" w:rsidRPr="003435B5">
        <w:t>The use of</w:t>
      </w:r>
      <w:r w:rsidR="00A95CAC" w:rsidRPr="003435B5">
        <w:t xml:space="preserve"> total larval homogenate</w:t>
      </w:r>
      <w:r w:rsidR="00311C2D" w:rsidRPr="003435B5">
        <w:t>s provides us with an estimate of mitochondrial performance in</w:t>
      </w:r>
      <w:r w:rsidR="00A95CAC" w:rsidRPr="003435B5">
        <w:t xml:space="preserve"> </w:t>
      </w:r>
      <w:r w:rsidR="00311C2D" w:rsidRPr="003435B5">
        <w:t>general, which is an important step when ubiquitously expressing AOX. Unlike respirometry experiments using whole adult homogenates, in which the flight muscle mitochondria are the most abundant mitochondria in the samples</w:t>
      </w:r>
      <w:r w:rsidR="00FC03C9" w:rsidRPr="003435B5">
        <w:fldChar w:fldCharType="begin" w:fldLock="1"/>
      </w:r>
      <w:r w:rsidR="00D158C9" w:rsidRPr="003435B5">
        <w:instrText>ADDIN CSL_CITATION {"citationItems":[{"id":"ITEM-1","itemData":{"DOI":"10.1007/s10863-010-9281-z","ISSN":"0145479X","PMID":"20300811","abstract":"Mitochondrial free radicals and in particular mitochondrial Reactive Oxygen Species (mtROS) are considered to be totally or partially responsible for several different diseases including Parkinson, diabetes or cancer. Even more importantly, mtROS have also been proposed as the main driving force behind the aging process. Thus, in the last decade, there has been a growing interest in the role of free radicals as signalling molecules. Collectively this makes understanding mechanisms controlling free radical production extremely important. There is extensive published literature on mammalian models (essentially rat, mouse and guinea pig) however; this is not the case in Drosophila melanogaster. Drosophila is an excellent model to study different physiological and pathological processes. Additionally a robust method to study mtROS is extremely useful. In the present article, we describe a simple-but extremely sensitive-method to study mtROS production in Drosophila. We have performed various experiments to determine which specific respiratory complexes produce free radicals in the electron transport chain of Drosophila melanogaster. Complex I is the main generator of ROS in Drosophila mitochondria, leaking electrons either in the forward or reverse direction. The production of ROS during reverse electron transport can be prevented either by rotenone or by the oxidation of NADH by complex I. These results clearly show that Drosophila mitochondria function in a very similar way to mammalian mitochondria, and therefore are a very relevant experimental model for biochemical studies related to ageing. © Springer Science+Business Media, LLC 2010.","author":[{"dropping-particle":"","family":"Sanz","given":"Alberto","non-dropping-particle":"","parse-names":false,"suffix":""},{"dropping-particle":"","family":"Stefanatos","given":"Rhoda","non-dropping-particle":"","parse-names":false,"suffix":""},{"dropping-particle":"","family":"McIlroy","given":"George","non-dropping-particle":"","parse-names":false,"suffix":""}],"container-title":"Journal of Bioenergetics and Biomembranes","id":"ITEM-1","issue":"2","issued":{"date-parts":[["2010","4"]]},"page":"135-142","publisher":"J Bioenerg Biomembr","title":"Production of reactive oxygen species by the mitochondrial electron transport chain in Drosophila melanogaster","type":"article-journal","volume":"42"},"uris":["http://www.mendeley.com/documents/?uuid=4a553bff-46a0-3610-bcb1-a4b273f7a583"]},{"id":"ITEM-2","itemData":{"DOI":"10.1016/S0891-5849(03)00464-7","ISSN":"08915849","PMID":"14556858","abstract":"Drosophila melanogaster is a key model organism for genetic investigation of the role of free radicals in aging, but biochemical understanding is lacking. Superoxide production by Drosophila mitochondria was measured fluorometrically as hydrogen peroxide, using its dependence on substrates, inhibitors, and added superoxide dismutase to determine sites of production and their topology. Glycerol 3-phosphate dehydrogenase and center o of complex III in the presence of antimycin had the greatest maximum capacities to generate superoxide on the cytosolic side of the inner membrane. Complex I had significant capacity on the matrix side. Center i of complex III, cytochrome c, and complex IV produced no superoxide. Native superoxide generation by isolated mitochondria was also measured without added inhibitors. There was a high rate of superoxide production with sn-glycerol 3-phosphate as substrate; two-thirds mostly from glycerol 3-phosphate dehydrogenase on the cytosolic side and one-third on the matrix side from complex I following reverse electron transport. There was little superoxide production from any site with NADH-linked substrate. Superoxide production by complex I following reverse electron flow from glycerol 3-phosphate was particularly sensitive to membrane potential, decreasing 70% when potential decreased 10 mV, showing that mild uncoupling lowers superoxide production in the matrix very effectively. © 2003 Elsevier Inc.","author":[{"dropping-particle":"","family":"Miwa","given":"Satomi","non-dropping-particle":"","parse-names":false,"suffix":""},{"dropping-particle":"","family":"St-Pierre","given":"Julie","non-dropping-particle":"","parse-names":false,"suffix":""},{"dropping-particle":"","family":"Partridge","given":"Linda","non-dropping-particle":"","parse-names":false,"suffix":""},{"dropping-particle":"","family":"Brand","given":"Martin D.","non-dropping-particle":"","parse-names":false,"suffix":""}],"container-title":"Free Radical Biology and Medicine","id":"ITEM-2","issue":"8","issued":{"date-parts":[["2003","10","15"]]},"page":"938-948","publisher":"Elsevier Inc.","title":"Superoxide and hydrogen peroxide production by Drosophila mitochondria","type":"article-journal","volume":"35"},"uris":["http://www.mendeley.com/documents/?uuid=e063153d-8f19-3f9a-bad3-fc9e1fc605ca"]}],"mendeley":{"formattedCitation":"&lt;sup&gt;59, 60&lt;/sup&gt;","plainTextFormattedCitation":"59, 60","previouslyFormattedCitation":"&lt;sup&gt;60, 61&lt;/sup&gt;"},"properties":{"noteIndex":0},"schema":"https://github.com/citation-style-language/schema/raw/master/csl-citation.json"}</w:instrText>
      </w:r>
      <w:r w:rsidR="00FC03C9" w:rsidRPr="003435B5">
        <w:fldChar w:fldCharType="separate"/>
      </w:r>
      <w:r w:rsidR="00D158C9" w:rsidRPr="003435B5">
        <w:rPr>
          <w:noProof/>
          <w:vertAlign w:val="superscript"/>
        </w:rPr>
        <w:t>59, 60</w:t>
      </w:r>
      <w:r w:rsidR="00FC03C9" w:rsidRPr="003435B5">
        <w:fldChar w:fldCharType="end"/>
      </w:r>
      <w:r w:rsidR="00311C2D" w:rsidRPr="003435B5">
        <w:t xml:space="preserve"> the tissue(s) that most contribute(s) to mitochondrial respiration in larval homogenates ha</w:t>
      </w:r>
      <w:r w:rsidR="009A13BA" w:rsidRPr="003435B5">
        <w:t>s(</w:t>
      </w:r>
      <w:proofErr w:type="spellStart"/>
      <w:r w:rsidR="00311C2D" w:rsidRPr="003435B5">
        <w:t>ve</w:t>
      </w:r>
      <w:proofErr w:type="spellEnd"/>
      <w:r w:rsidR="009A13BA" w:rsidRPr="003435B5">
        <w:t>)</w:t>
      </w:r>
      <w:r w:rsidR="00311C2D" w:rsidRPr="003435B5">
        <w:t xml:space="preserve"> not yet been determined</w:t>
      </w:r>
      <w:r w:rsidR="00A95CAC" w:rsidRPr="003435B5">
        <w:t xml:space="preserve"> </w:t>
      </w:r>
      <w:r w:rsidR="009A13BA" w:rsidRPr="003435B5">
        <w:t>experimentally. Our protocol may certainly be advantageous in the pursuit of this goal, and in the investigation of the possible AOX-driven thermogenesis in a tissue-specific fashion</w:t>
      </w:r>
      <w:r w:rsidR="00A95CAC" w:rsidRPr="003435B5">
        <w:t>.</w:t>
      </w:r>
      <w:r w:rsidR="00FC0639" w:rsidRPr="003435B5">
        <w:t xml:space="preserve"> Using whole larva homogenates, however, requires significantly more cleaning and maintenance of the O2k chambers and oxygen sensors for proper continuing function of the equipment. We recognize that the high abundance of </w:t>
      </w:r>
      <w:r w:rsidR="00AC4213" w:rsidRPr="003435B5">
        <w:t>lipids and proteins</w:t>
      </w:r>
      <w:r w:rsidR="00FC0639" w:rsidRPr="003435B5">
        <w:t xml:space="preserve"> </w:t>
      </w:r>
      <w:r w:rsidR="004537F3" w:rsidRPr="003435B5">
        <w:t xml:space="preserve">stored </w:t>
      </w:r>
      <w:r w:rsidR="00FC0639" w:rsidRPr="003435B5">
        <w:t>in larvae is an important issue</w:t>
      </w:r>
      <w:r w:rsidR="005711CA" w:rsidRPr="003435B5">
        <w:t>,</w:t>
      </w:r>
      <w:r w:rsidR="00AC4213" w:rsidRPr="003435B5">
        <w:t xml:space="preserve"> as these with time may deposit </w:t>
      </w:r>
      <w:r w:rsidR="008E4B3B" w:rsidRPr="003435B5">
        <w:t>o</w:t>
      </w:r>
      <w:r w:rsidR="00AC4213" w:rsidRPr="003435B5">
        <w:t>n the interior walls of the assay chambers. Frequently, we have to clean the chambers with concentrated hydrochloric acid for completely removal of these deposits, following instructions from the manufacturer´s website</w:t>
      </w:r>
      <w:r w:rsidR="00242251" w:rsidRPr="003435B5">
        <w:fldChar w:fldCharType="begin" w:fldLock="1"/>
      </w:r>
      <w:r w:rsidR="00D158C9" w:rsidRPr="003435B5">
        <w:instrText>ADDIN CSL_CITATION {"citationItems":[{"id":"ITEM-1","itemData":{"URL":"https://www.oroboros.at/","accessed":{"date-parts":[["2021","7","6"]]},"id":"ITEM-1","issued":{"date-parts":[["0"]]},"title":"Home - Oroboros Instruments","type":"webpage"},"uris":["http://www.mendeley.com/documents/?uuid=f755f8ac-8c28-3c7c-8904-e8827f63a1f0"]}],"mendeley":{"formattedCitation":"&lt;sup&gt;43&lt;/sup&gt;","plainTextFormattedCitation":"43","previouslyFormattedCitation":"&lt;sup&gt;44&lt;/sup&gt;"},"properties":{"noteIndex":0},"schema":"https://github.com/citation-style-language/schema/raw/master/csl-citation.json"}</w:instrText>
      </w:r>
      <w:r w:rsidR="00242251" w:rsidRPr="003435B5">
        <w:fldChar w:fldCharType="separate"/>
      </w:r>
      <w:r w:rsidR="00D158C9" w:rsidRPr="003435B5">
        <w:rPr>
          <w:noProof/>
          <w:vertAlign w:val="superscript"/>
        </w:rPr>
        <w:t>43</w:t>
      </w:r>
      <w:r w:rsidR="00242251" w:rsidRPr="003435B5">
        <w:fldChar w:fldCharType="end"/>
      </w:r>
      <w:r w:rsidR="00AC4213" w:rsidRPr="003435B5">
        <w:t>. This process is time-consuming as the chambers must be removed from the equipment for a whole day of cleaning,</w:t>
      </w:r>
      <w:r w:rsidR="00881849" w:rsidRPr="003435B5">
        <w:t xml:space="preserve"> and the equipment must be </w:t>
      </w:r>
      <w:r w:rsidR="005711CA" w:rsidRPr="003435B5">
        <w:t>re</w:t>
      </w:r>
      <w:r w:rsidR="00881849" w:rsidRPr="003435B5">
        <w:t>calibrated when reassembled.</w:t>
      </w:r>
      <w:r w:rsidR="00AC4213" w:rsidRPr="003435B5">
        <w:t xml:space="preserve"> </w:t>
      </w:r>
      <w:r w:rsidR="00881849" w:rsidRPr="003435B5">
        <w:t>T</w:t>
      </w:r>
      <w:r w:rsidR="00AC4213" w:rsidRPr="003435B5">
        <w:t>his is</w:t>
      </w:r>
      <w:r w:rsidR="00881849" w:rsidRPr="003435B5">
        <w:t>,</w:t>
      </w:r>
      <w:r w:rsidR="00AC4213" w:rsidRPr="003435B5">
        <w:t xml:space="preserve"> nevertheless</w:t>
      </w:r>
      <w:r w:rsidR="00881849" w:rsidRPr="003435B5">
        <w:t>,</w:t>
      </w:r>
      <w:r w:rsidR="00AC4213" w:rsidRPr="003435B5">
        <w:t xml:space="preserve"> extremely important to prevent accumulation of lipid-soluble mitochondrial in</w:t>
      </w:r>
      <w:r w:rsidR="009166B9" w:rsidRPr="003435B5">
        <w:t>hibitors that may interfere with the oxygen consumption assays.</w:t>
      </w:r>
    </w:p>
    <w:p w14:paraId="3997A76A" w14:textId="77777777" w:rsidR="002F39AA" w:rsidRPr="003435B5" w:rsidRDefault="002F39AA" w:rsidP="003435B5">
      <w:pPr>
        <w:contextualSpacing/>
      </w:pPr>
    </w:p>
    <w:p w14:paraId="77E9BA06" w14:textId="36D0373D" w:rsidR="00883F30" w:rsidRPr="003435B5" w:rsidRDefault="00F05CF7" w:rsidP="003435B5">
      <w:pPr>
        <w:contextualSpacing/>
      </w:pPr>
      <w:r w:rsidRPr="003435B5">
        <w:lastRenderedPageBreak/>
        <w:t>Here, we measured three mitochondrial</w:t>
      </w:r>
      <w:r w:rsidR="00883F30" w:rsidRPr="003435B5">
        <w:t xml:space="preserve"> respiratory </w:t>
      </w:r>
      <w:r w:rsidR="005711CA" w:rsidRPr="003435B5">
        <w:t>condition</w:t>
      </w:r>
      <w:r w:rsidR="00883F30" w:rsidRPr="003435B5">
        <w:t>s</w:t>
      </w:r>
      <w:r w:rsidR="00B72158" w:rsidRPr="003435B5">
        <w:t xml:space="preserve"> </w:t>
      </w:r>
      <w:r w:rsidR="002C4430" w:rsidRPr="003435B5">
        <w:t>in the presence of substrates</w:t>
      </w:r>
      <w:r w:rsidR="00B01964" w:rsidRPr="003435B5">
        <w:t xml:space="preserve"> whose</w:t>
      </w:r>
      <w:r w:rsidR="002C4430" w:rsidRPr="003435B5">
        <w:t xml:space="preserve"> </w:t>
      </w:r>
      <w:r w:rsidR="00B01964" w:rsidRPr="003435B5">
        <w:t>oxidation provides</w:t>
      </w:r>
      <w:r w:rsidR="002C4430" w:rsidRPr="003435B5">
        <w:t xml:space="preserve"> </w:t>
      </w:r>
      <w:r w:rsidR="005711CA" w:rsidRPr="003435B5">
        <w:t xml:space="preserve">electrons </w:t>
      </w:r>
      <w:r w:rsidR="002C4430" w:rsidRPr="003435B5">
        <w:t>t</w:t>
      </w:r>
      <w:r w:rsidR="005711CA" w:rsidRPr="003435B5">
        <w:t>o</w:t>
      </w:r>
      <w:r w:rsidR="002C4430" w:rsidRPr="003435B5">
        <w:t xml:space="preserve"> CI</w:t>
      </w:r>
      <w:r w:rsidR="005711CA" w:rsidRPr="003435B5">
        <w:t>,</w:t>
      </w:r>
      <w:r w:rsidR="0096298F" w:rsidRPr="003435B5">
        <w:t xml:space="preserve"> </w:t>
      </w:r>
      <w:r w:rsidR="00B01964" w:rsidRPr="003435B5">
        <w:t>which in turn are finally used for O</w:t>
      </w:r>
      <w:r w:rsidR="00B01964" w:rsidRPr="003435B5">
        <w:rPr>
          <w:vertAlign w:val="subscript"/>
        </w:rPr>
        <w:t>2</w:t>
      </w:r>
      <w:r w:rsidR="00B01964" w:rsidRPr="003435B5">
        <w:t xml:space="preserve"> reduction in the </w:t>
      </w:r>
      <w:r w:rsidR="00BE50DD" w:rsidRPr="003435B5">
        <w:t xml:space="preserve">cytochrome c segment of the </w:t>
      </w:r>
      <w:r w:rsidR="006B60D7" w:rsidRPr="003435B5">
        <w:t xml:space="preserve">respiratory chain </w:t>
      </w:r>
      <w:r w:rsidR="00B01964" w:rsidRPr="003435B5">
        <w:t>(CIII and CIV)</w:t>
      </w:r>
      <w:r w:rsidR="00EB3C47" w:rsidRPr="003435B5">
        <w:t xml:space="preserve"> or </w:t>
      </w:r>
      <w:r w:rsidR="00B01964" w:rsidRPr="003435B5">
        <w:t xml:space="preserve">by </w:t>
      </w:r>
      <w:r w:rsidR="00EB3C47" w:rsidRPr="003435B5">
        <w:t>AOX</w:t>
      </w:r>
      <w:r w:rsidR="00B01964" w:rsidRPr="003435B5">
        <w:t>.</w:t>
      </w:r>
      <w:r w:rsidR="00883F30" w:rsidRPr="003435B5">
        <w:t xml:space="preserve"> </w:t>
      </w:r>
      <w:r w:rsidR="00883F30" w:rsidRPr="003435B5">
        <w:rPr>
          <w:i/>
          <w:iCs/>
        </w:rPr>
        <w:t>L</w:t>
      </w:r>
      <w:r w:rsidR="00077533" w:rsidRPr="003435B5">
        <w:rPr>
          <w:vertAlign w:val="subscript"/>
        </w:rPr>
        <w:t>N</w:t>
      </w:r>
      <w:r w:rsidR="006B60D7" w:rsidRPr="003435B5">
        <w:t xml:space="preserve"> is</w:t>
      </w:r>
      <w:r w:rsidR="00883F30" w:rsidRPr="003435B5">
        <w:t xml:space="preserve"> </w:t>
      </w:r>
      <w:r w:rsidR="006B60D7" w:rsidRPr="003435B5">
        <w:t xml:space="preserve">sustained by </w:t>
      </w:r>
      <w:r w:rsidR="00F72F6F" w:rsidRPr="003435B5">
        <w:t xml:space="preserve">electron transfer </w:t>
      </w:r>
      <w:r w:rsidR="006B60D7" w:rsidRPr="003435B5">
        <w:t>through these complexes and AOX,</w:t>
      </w:r>
      <w:r w:rsidR="005E4867" w:rsidRPr="003435B5">
        <w:t xml:space="preserve"> </w:t>
      </w:r>
      <w:proofErr w:type="gramStart"/>
      <w:r w:rsidR="006B60D7" w:rsidRPr="003435B5">
        <w:t>as a result of</w:t>
      </w:r>
      <w:proofErr w:type="gramEnd"/>
      <w:r w:rsidR="006B60D7" w:rsidRPr="003435B5">
        <w:t xml:space="preserve"> </w:t>
      </w:r>
      <w:r w:rsidR="00883F30" w:rsidRPr="003435B5">
        <w:t>proton leakage</w:t>
      </w:r>
      <w:r w:rsidR="005D7113" w:rsidRPr="003435B5">
        <w:t xml:space="preserve"> </w:t>
      </w:r>
      <w:r w:rsidR="006B60D7" w:rsidRPr="003435B5">
        <w:t xml:space="preserve">from the mitochondrial intermembrane space to the matrix </w:t>
      </w:r>
      <w:r w:rsidR="005D7113" w:rsidRPr="003435B5">
        <w:t>(intrinsic uncoupling)</w:t>
      </w:r>
      <w:r w:rsidR="006B60D7" w:rsidRPr="003435B5">
        <w:t>.</w:t>
      </w:r>
      <w:r w:rsidR="00883F30" w:rsidRPr="003435B5">
        <w:t xml:space="preserve"> </w:t>
      </w:r>
      <w:r w:rsidR="006B60D7" w:rsidRPr="003435B5">
        <w:t xml:space="preserve">The </w:t>
      </w:r>
      <w:r w:rsidR="00883F30" w:rsidRPr="003435B5">
        <w:rPr>
          <w:shd w:val="clear" w:color="auto" w:fill="FFFFFF"/>
        </w:rPr>
        <w:t>OXPHOS</w:t>
      </w:r>
      <w:r w:rsidR="006B60D7" w:rsidRPr="003435B5">
        <w:rPr>
          <w:shd w:val="clear" w:color="auto" w:fill="FFFFFF"/>
        </w:rPr>
        <w:t xml:space="preserve"> condition is</w:t>
      </w:r>
      <w:r w:rsidR="00883F30" w:rsidRPr="003435B5">
        <w:rPr>
          <w:shd w:val="clear" w:color="auto" w:fill="FFFFFF"/>
        </w:rPr>
        <w:t xml:space="preserve"> </w:t>
      </w:r>
      <w:r w:rsidRPr="003435B5">
        <w:rPr>
          <w:shd w:val="clear" w:color="auto" w:fill="FFFFFF"/>
        </w:rPr>
        <w:t xml:space="preserve">sustained </w:t>
      </w:r>
      <w:r w:rsidR="008722DE" w:rsidRPr="003435B5">
        <w:t xml:space="preserve">basically </w:t>
      </w:r>
      <w:r w:rsidRPr="003435B5">
        <w:rPr>
          <w:shd w:val="clear" w:color="auto" w:fill="FFFFFF"/>
        </w:rPr>
        <w:t xml:space="preserve">by the </w:t>
      </w:r>
      <w:r w:rsidR="008722DE" w:rsidRPr="003435B5">
        <w:rPr>
          <w:shd w:val="clear" w:color="auto" w:fill="FFFFFF"/>
        </w:rPr>
        <w:t>same electron transfer reactions, which is in this case stimulated by</w:t>
      </w:r>
      <w:r w:rsidRPr="003435B5">
        <w:rPr>
          <w:shd w:val="clear" w:color="auto" w:fill="FFFFFF"/>
        </w:rPr>
        <w:t xml:space="preserve"> the</w:t>
      </w:r>
      <w:r w:rsidR="008722DE" w:rsidRPr="003435B5">
        <w:rPr>
          <w:shd w:val="clear" w:color="auto" w:fill="FFFFFF"/>
        </w:rPr>
        <w:t xml:space="preserve"> action of the</w:t>
      </w:r>
      <w:r w:rsidRPr="003435B5">
        <w:rPr>
          <w:shd w:val="clear" w:color="auto" w:fill="FFFFFF"/>
        </w:rPr>
        <w:t xml:space="preserve"> </w:t>
      </w:r>
      <w:r w:rsidR="00883F30" w:rsidRPr="003435B5">
        <w:rPr>
          <w:shd w:val="clear" w:color="auto" w:fill="FFFFFF"/>
        </w:rPr>
        <w:t>ATP</w:t>
      </w:r>
      <w:r w:rsidRPr="003435B5">
        <w:rPr>
          <w:shd w:val="clear" w:color="auto" w:fill="FFFFFF"/>
        </w:rPr>
        <w:t xml:space="preserve"> </w:t>
      </w:r>
      <w:r w:rsidR="00883F30" w:rsidRPr="003435B5">
        <w:rPr>
          <w:shd w:val="clear" w:color="auto" w:fill="FFFFFF"/>
        </w:rPr>
        <w:t>synthase</w:t>
      </w:r>
      <w:r w:rsidR="008722DE" w:rsidRPr="003435B5">
        <w:rPr>
          <w:shd w:val="clear" w:color="auto" w:fill="FFFFFF"/>
        </w:rPr>
        <w:t xml:space="preserve">, as it permits the dissipation of the proton gradient and </w:t>
      </w:r>
      <w:r w:rsidR="002D621D" w:rsidRPr="003435B5">
        <w:rPr>
          <w:shd w:val="clear" w:color="auto" w:fill="FFFFFF"/>
        </w:rPr>
        <w:t>the condensation of ADP and inorganic phosphate</w:t>
      </w:r>
      <w:r w:rsidR="005C0779" w:rsidRPr="003435B5">
        <w:rPr>
          <w:shd w:val="clear" w:color="auto" w:fill="FFFFFF"/>
        </w:rPr>
        <w:t xml:space="preserve"> </w:t>
      </w:r>
      <w:r w:rsidR="00007424" w:rsidRPr="003435B5">
        <w:rPr>
          <w:shd w:val="clear" w:color="auto" w:fill="FFFFFF"/>
        </w:rPr>
        <w:t>(coupled respiration)</w:t>
      </w:r>
      <w:r w:rsidR="00653A53" w:rsidRPr="003435B5">
        <w:rPr>
          <w:shd w:val="clear" w:color="auto" w:fill="FFFFFF"/>
        </w:rPr>
        <w:fldChar w:fldCharType="begin" w:fldLock="1"/>
      </w:r>
      <w:r w:rsidR="00D158C9" w:rsidRPr="003435B5">
        <w:rPr>
          <w:shd w:val="clear" w:color="auto" w:fill="FFFFFF"/>
        </w:rPr>
        <w:instrText>ADDIN CSL_CITATION {"citationItems":[{"id":"ITEM-1","itemData":{"DOI":"10.26124/bec:2020-0002","ISBN":"978-3-9502399-6-6","author":[{"dropping-particle":"","family":"Gnaiger","given":"Erich","non-dropping-particle":"","parse-names":false,"suffix":""}],"container-title":"Bioenergetics Communications","edition":"5","id":"ITEM-1","issued":{"date-parts":[["2020"]]},"number-of-pages":"112","publisher":"Bionergetics Communications","publisher-place":"Innsbruck, Austria","title":"Mitochondrial Pathways and Respiratory Control An Introduction to OXPHOS Analysis","type":"book","volume":"2"},"uris":["http://www.mendeley.com/documents/?uuid=d740b783-6432-3e8e-8203-f5452f1b3796"]}],"mendeley":{"formattedCitation":"&lt;sup&gt;61&lt;/sup&gt;","plainTextFormattedCitation":"61","previouslyFormattedCitation":"&lt;sup&gt;62&lt;/sup&gt;"},"properties":{"noteIndex":0},"schema":"https://github.com/citation-style-language/schema/raw/master/csl-citation.json"}</w:instrText>
      </w:r>
      <w:r w:rsidR="00653A53" w:rsidRPr="003435B5">
        <w:rPr>
          <w:shd w:val="clear" w:color="auto" w:fill="FFFFFF"/>
        </w:rPr>
        <w:fldChar w:fldCharType="separate"/>
      </w:r>
      <w:r w:rsidR="00D158C9" w:rsidRPr="003435B5">
        <w:rPr>
          <w:noProof/>
          <w:shd w:val="clear" w:color="auto" w:fill="FFFFFF"/>
          <w:vertAlign w:val="superscript"/>
        </w:rPr>
        <w:t>61</w:t>
      </w:r>
      <w:r w:rsidR="00653A53" w:rsidRPr="003435B5">
        <w:rPr>
          <w:shd w:val="clear" w:color="auto" w:fill="FFFFFF"/>
        </w:rPr>
        <w:fldChar w:fldCharType="end"/>
      </w:r>
      <w:r w:rsidR="008722DE" w:rsidRPr="003435B5">
        <w:rPr>
          <w:shd w:val="clear" w:color="auto" w:fill="FFFFFF"/>
        </w:rPr>
        <w:t>.</w:t>
      </w:r>
      <w:r w:rsidRPr="003435B5">
        <w:rPr>
          <w:shd w:val="clear" w:color="auto" w:fill="FFFFFF"/>
        </w:rPr>
        <w:t xml:space="preserve"> </w:t>
      </w:r>
      <w:r w:rsidR="008722DE" w:rsidRPr="003435B5">
        <w:rPr>
          <w:shd w:val="clear" w:color="auto" w:fill="FFFFFF"/>
        </w:rPr>
        <w:t xml:space="preserve">The </w:t>
      </w:r>
      <w:r w:rsidR="002C4430" w:rsidRPr="003435B5">
        <w:rPr>
          <w:shd w:val="clear" w:color="auto" w:fill="FFFFFF"/>
        </w:rPr>
        <w:t>antimycin</w:t>
      </w:r>
      <w:r w:rsidR="006B60D7" w:rsidRPr="003435B5">
        <w:rPr>
          <w:shd w:val="clear" w:color="auto" w:fill="FFFFFF"/>
        </w:rPr>
        <w:t xml:space="preserve"> </w:t>
      </w:r>
      <w:r w:rsidR="002C4430" w:rsidRPr="003435B5">
        <w:rPr>
          <w:shd w:val="clear" w:color="auto" w:fill="FFFFFF"/>
        </w:rPr>
        <w:t>A-</w:t>
      </w:r>
      <w:r w:rsidRPr="003435B5">
        <w:rPr>
          <w:shd w:val="clear" w:color="auto" w:fill="FFFFFF"/>
        </w:rPr>
        <w:t>resistant respiration,</w:t>
      </w:r>
      <w:r w:rsidR="008722DE" w:rsidRPr="003435B5">
        <w:rPr>
          <w:shd w:val="clear" w:color="auto" w:fill="FFFFFF"/>
        </w:rPr>
        <w:t xml:space="preserve"> however, is</w:t>
      </w:r>
      <w:r w:rsidRPr="003435B5">
        <w:rPr>
          <w:shd w:val="clear" w:color="auto" w:fill="FFFFFF"/>
        </w:rPr>
        <w:t xml:space="preserve"> </w:t>
      </w:r>
      <w:proofErr w:type="gramStart"/>
      <w:r w:rsidR="002D621D" w:rsidRPr="003435B5">
        <w:rPr>
          <w:shd w:val="clear" w:color="auto" w:fill="FFFFFF"/>
        </w:rPr>
        <w:t>similar to</w:t>
      </w:r>
      <w:proofErr w:type="gramEnd"/>
      <w:r w:rsidR="002D621D" w:rsidRPr="003435B5">
        <w:rPr>
          <w:shd w:val="clear" w:color="auto" w:fill="FFFFFF"/>
        </w:rPr>
        <w:t xml:space="preserve"> OXPHOS, but </w:t>
      </w:r>
      <w:r w:rsidRPr="003435B5">
        <w:rPr>
          <w:shd w:val="clear" w:color="auto" w:fill="FFFFFF"/>
        </w:rPr>
        <w:t xml:space="preserve">driven </w:t>
      </w:r>
      <w:r w:rsidR="002D621D" w:rsidRPr="003435B5">
        <w:rPr>
          <w:shd w:val="clear" w:color="auto" w:fill="FFFFFF"/>
        </w:rPr>
        <w:t xml:space="preserve">solely </w:t>
      </w:r>
      <w:r w:rsidRPr="003435B5">
        <w:rPr>
          <w:shd w:val="clear" w:color="auto" w:fill="FFFFFF"/>
        </w:rPr>
        <w:t>by AOX as the terminal oxidas</w:t>
      </w:r>
      <w:r w:rsidR="002D621D" w:rsidRPr="003435B5">
        <w:rPr>
          <w:shd w:val="clear" w:color="auto" w:fill="FFFFFF"/>
        </w:rPr>
        <w:t>e</w:t>
      </w:r>
      <w:r w:rsidR="00883F30" w:rsidRPr="003435B5">
        <w:rPr>
          <w:shd w:val="clear" w:color="auto" w:fill="FFFFFF"/>
        </w:rPr>
        <w:t xml:space="preserve">. </w:t>
      </w:r>
      <w:r w:rsidR="00476268" w:rsidRPr="003435B5">
        <w:rPr>
          <w:shd w:val="clear" w:color="auto" w:fill="FFFFFF"/>
        </w:rPr>
        <w:t xml:space="preserve">AOX-expressing larvae present strong </w:t>
      </w:r>
      <w:r w:rsidR="002C4430" w:rsidRPr="003435B5">
        <w:rPr>
          <w:shd w:val="clear" w:color="auto" w:fill="FFFFFF"/>
        </w:rPr>
        <w:t>antimycin</w:t>
      </w:r>
      <w:r w:rsidR="008722DE" w:rsidRPr="003435B5">
        <w:rPr>
          <w:shd w:val="clear" w:color="auto" w:fill="FFFFFF"/>
        </w:rPr>
        <w:t xml:space="preserve"> </w:t>
      </w:r>
      <w:r w:rsidR="002C4430" w:rsidRPr="003435B5">
        <w:rPr>
          <w:shd w:val="clear" w:color="auto" w:fill="FFFFFF"/>
        </w:rPr>
        <w:t>A</w:t>
      </w:r>
      <w:r w:rsidR="00476268" w:rsidRPr="003435B5">
        <w:rPr>
          <w:shd w:val="clear" w:color="auto" w:fill="FFFFFF"/>
        </w:rPr>
        <w:t>-resistant respiration (</w:t>
      </w:r>
      <w:r w:rsidR="00476268" w:rsidRPr="00C42F1D">
        <w:rPr>
          <w:b/>
          <w:bCs/>
          <w:shd w:val="clear" w:color="auto" w:fill="FFFFFF"/>
        </w:rPr>
        <w:t>Figure 5A and B</w:t>
      </w:r>
      <w:r w:rsidR="00476268" w:rsidRPr="003435B5">
        <w:rPr>
          <w:shd w:val="clear" w:color="auto" w:fill="FFFFFF"/>
        </w:rPr>
        <w:t xml:space="preserve">), which allows the development of these flies in food containing toxic levels of </w:t>
      </w:r>
      <w:r w:rsidR="00F72F6F" w:rsidRPr="003435B5">
        <w:rPr>
          <w:shd w:val="clear" w:color="auto" w:fill="FFFFFF"/>
        </w:rPr>
        <w:t>antimycin</w:t>
      </w:r>
      <w:r w:rsidR="008722DE" w:rsidRPr="003435B5">
        <w:rPr>
          <w:shd w:val="clear" w:color="auto" w:fill="FFFFFF"/>
        </w:rPr>
        <w:t xml:space="preserve"> </w:t>
      </w:r>
      <w:r w:rsidR="00F72F6F" w:rsidRPr="003435B5">
        <w:rPr>
          <w:shd w:val="clear" w:color="auto" w:fill="FFFFFF"/>
        </w:rPr>
        <w:t>A</w:t>
      </w:r>
      <w:r w:rsidR="00F72F6F" w:rsidRPr="003435B5">
        <w:rPr>
          <w:shd w:val="clear" w:color="auto" w:fill="FFFFFF"/>
        </w:rPr>
        <w:fldChar w:fldCharType="begin" w:fldLock="1"/>
      </w:r>
      <w:r w:rsidR="00D158C9" w:rsidRPr="003435B5">
        <w:rPr>
          <w:shd w:val="clear" w:color="auto" w:fill="FFFFFF"/>
        </w:rPr>
        <w:instrText>ADDIN CSL_CITATION {"citationItems":[{"id":"ITEM-1","itemData":{"DOI":"10.1016/j.cmet.2009.03.004","ISSN":"15504131","abstract":"Defects in mitochondrial OXPHOS are associated with diverse and mostly intractable human disorders. The single-subunit alternative oxidase (AOX) found in many eukaryotes, but not in arthropods or vertebrates, offers a potential bypass of the OXPHOS cytochrome chain under conditions of pathological OXPHOS inhibition. We have engineered Ciona intestinalis AOX for conditional expression in Drosophila melanogaster. Ubiquitous AOX expression produced no detrimental phenotype in wild-type flies. However, mitochondrial suspensions from AOX-expressing flies exhibited a significant cyanide-resistant substrate oxidation, and the flies were partially resistant to both cyanide and antimycin. AOX expression was able to complement the semilethality of partial knockdown of both cyclope (COXVIc) and the complex IV assembly factor Surf1. It also rescued the locomotor defect and excess mitochondrial ROS production of flies mutated in dj-1β, a Drosophila homolog of the human Parkinson's disease gene DJ1. AOX appears to offer promise as a wide-spectrum therapeutic tool in OXPHOS disorders. © 2009 Elsevier Inc. All rights reserved.","author":[{"dropping-particle":"","family":"Fernandez-Ayala","given":"Daniel J.M.","non-dropping-particle":"","parse-names":false,"suffix":""},{"dropping-particle":"","family":"Sanz","given":"Alberto","non-dropping-particle":"","parse-names":false,"suffix":""},{"dropping-particle":"","family":"Vartiainen","given":"Suvi","non-dropping-particle":"","parse-names":false,"suffix":""},{"dropping-particle":"","family":"Kemppainen","given":"Kia K.","non-dropping-particle":"","parse-names":false,"suffix":""},{"dropping-particle":"","family":"Babusiak","given":"Marek","non-dropping-particle":"","parse-names":false,"suffix":""},{"dropping-particle":"","family":"Mustalahti","given":"Eero","non-dropping-particle":"","parse-names":false,"suffix":""},{"dropping-particle":"","family":"Costa","given":"Rodolfo","non-dropping-particle":"","parse-names":false,"suffix":""},{"dropping-particle":"","family":"Tuomela","given":"Tea","non-dropping-particle":"","parse-names":false,"suffix":""},{"dropping-particle":"","family":"Zeviani","given":"Massimo","non-dropping-particle":"","parse-names":false,"suffix":""},{"dropping-particle":"","family":"Chung","given":"Jongkyeong","non-dropping-particle":"","parse-names":false,"suffix":""},{"dropping-particle":"","family":"O'Dell","given":"Kevin M.C.","non-dropping-particle":"","parse-names":false,"suffix":""},{"dropping-particle":"","family":"Rustin","given":"Pierre","non-dropping-particle":"","parse-names":false,"suffix":""},{"dropping-particle":"","family":"Jacobs","given":"Howard T.","non-dropping-particle":"","parse-names":false,"suffix":""}],"container-title":"Cell Metabolism","id":"ITEM-1","issue":"5","issued":{"date-parts":[["2009"]]},"page":"449-460","title":"Expression of the Ciona intestinalis Alternative Oxidase (AOX) in Drosophila Complements Defects in Mitochondrial Oxidative Phosphorylation","type":"article-journal","volume":"9"},"uris":["http://www.mendeley.com/documents/?uuid=64a355cb-0482-4d7f-98b6-126fee6e5c09"]}],"mendeley":{"formattedCitation":"&lt;sup&gt;24&lt;/sup&gt;","plainTextFormattedCitation":"24","previouslyFormattedCitation":"&lt;sup&gt;26&lt;/sup&gt;"},"properties":{"noteIndex":0},"schema":"https://github.com/citation-style-language/schema/raw/master/csl-citation.json"}</w:instrText>
      </w:r>
      <w:r w:rsidR="00F72F6F" w:rsidRPr="003435B5">
        <w:rPr>
          <w:shd w:val="clear" w:color="auto" w:fill="FFFFFF"/>
        </w:rPr>
        <w:fldChar w:fldCharType="separate"/>
      </w:r>
      <w:r w:rsidR="00D158C9" w:rsidRPr="003435B5">
        <w:rPr>
          <w:noProof/>
          <w:shd w:val="clear" w:color="auto" w:fill="FFFFFF"/>
          <w:vertAlign w:val="superscript"/>
        </w:rPr>
        <w:t>24</w:t>
      </w:r>
      <w:r w:rsidR="00F72F6F" w:rsidRPr="003435B5">
        <w:rPr>
          <w:shd w:val="clear" w:color="auto" w:fill="FFFFFF"/>
        </w:rPr>
        <w:fldChar w:fldCharType="end"/>
      </w:r>
      <w:r w:rsidR="00476268" w:rsidRPr="003435B5">
        <w:rPr>
          <w:shd w:val="clear" w:color="auto" w:fill="FFFFFF"/>
        </w:rPr>
        <w:t xml:space="preserve">. </w:t>
      </w:r>
      <w:r w:rsidR="00476268" w:rsidRPr="003435B5">
        <w:t>W</w:t>
      </w:r>
      <w:r w:rsidR="00883F30" w:rsidRPr="003435B5">
        <w:t>e</w:t>
      </w:r>
      <w:r w:rsidR="00476268" w:rsidRPr="003435B5">
        <w:t xml:space="preserve"> also</w:t>
      </w:r>
      <w:r w:rsidR="00883F30" w:rsidRPr="003435B5">
        <w:t xml:space="preserve"> observed significantly higher </w:t>
      </w:r>
      <w:r w:rsidR="00883F30" w:rsidRPr="003435B5">
        <w:rPr>
          <w:i/>
          <w:iCs/>
        </w:rPr>
        <w:t>L</w:t>
      </w:r>
      <w:r w:rsidR="00077533" w:rsidRPr="003435B5">
        <w:rPr>
          <w:vertAlign w:val="subscript"/>
        </w:rPr>
        <w:t>N</w:t>
      </w:r>
      <w:r w:rsidR="003150D8" w:rsidRPr="003435B5">
        <w:t xml:space="preserve"> in the presence of AOX</w:t>
      </w:r>
      <w:r w:rsidR="006831C2" w:rsidRPr="003435B5">
        <w:t xml:space="preserve"> </w:t>
      </w:r>
      <w:r w:rsidR="006831C2" w:rsidRPr="003435B5">
        <w:rPr>
          <w:shd w:val="clear" w:color="auto" w:fill="FFFFFF"/>
        </w:rPr>
        <w:t>(</w:t>
      </w:r>
      <w:r w:rsidR="006831C2" w:rsidRPr="00C42F1D">
        <w:rPr>
          <w:b/>
          <w:bCs/>
          <w:shd w:val="clear" w:color="auto" w:fill="FFFFFF"/>
        </w:rPr>
        <w:t>Figure 5A and B</w:t>
      </w:r>
      <w:r w:rsidR="006831C2" w:rsidRPr="003435B5">
        <w:rPr>
          <w:shd w:val="clear" w:color="auto" w:fill="FFFFFF"/>
        </w:rPr>
        <w:t>)</w:t>
      </w:r>
      <w:r w:rsidR="003150D8" w:rsidRPr="003435B5">
        <w:t>, which results in a lower RCR</w:t>
      </w:r>
      <w:r w:rsidR="00906FEC" w:rsidRPr="003435B5">
        <w:t xml:space="preserve"> (</w:t>
      </w:r>
      <w:r w:rsidR="00906FEC" w:rsidRPr="00C42F1D">
        <w:rPr>
          <w:b/>
          <w:bCs/>
        </w:rPr>
        <w:t>Figure</w:t>
      </w:r>
      <w:r w:rsidR="006831C2" w:rsidRPr="00C42F1D">
        <w:rPr>
          <w:b/>
          <w:bCs/>
        </w:rPr>
        <w:t xml:space="preserve"> 5C</w:t>
      </w:r>
      <w:r w:rsidR="006831C2" w:rsidRPr="003435B5">
        <w:t>)</w:t>
      </w:r>
      <w:r w:rsidR="00883F30" w:rsidRPr="003435B5">
        <w:t>.</w:t>
      </w:r>
      <w:r w:rsidR="004277E5" w:rsidRPr="003435B5">
        <w:t xml:space="preserve"> </w:t>
      </w:r>
      <w:r w:rsidR="00A53C36" w:rsidRPr="003435B5">
        <w:t xml:space="preserve">This estimate of lower mitochondrial coupling indicates higher energy dissipation, which is again consistent with a thermogenic role for AOX in </w:t>
      </w:r>
      <w:r w:rsidR="00A53C36" w:rsidRPr="003435B5">
        <w:rPr>
          <w:i/>
          <w:iCs/>
        </w:rPr>
        <w:t>Drosophila</w:t>
      </w:r>
      <w:r w:rsidR="00A53C36" w:rsidRPr="003435B5">
        <w:t xml:space="preserve"> larvae cultured at low temperatures. However, additional </w:t>
      </w:r>
      <w:r w:rsidR="001B46A9" w:rsidRPr="003435B5">
        <w:t>experiments are warranted to show</w:t>
      </w:r>
      <w:r w:rsidR="00A53C36" w:rsidRPr="003435B5">
        <w:t xml:space="preserve"> how much heat AOX produce</w:t>
      </w:r>
      <w:r w:rsidR="00E672C0" w:rsidRPr="003435B5">
        <w:t>s</w:t>
      </w:r>
      <w:r w:rsidR="00A53C36" w:rsidRPr="003435B5">
        <w:t xml:space="preserve"> and how </w:t>
      </w:r>
      <w:r w:rsidR="001B46A9" w:rsidRPr="003435B5">
        <w:t>this</w:t>
      </w:r>
      <w:r w:rsidR="00A53C36" w:rsidRPr="003435B5">
        <w:t xml:space="preserve"> </w:t>
      </w:r>
      <w:r w:rsidR="007A7152" w:rsidRPr="003435B5">
        <w:t>changes</w:t>
      </w:r>
      <w:r w:rsidR="00022291" w:rsidRPr="003435B5">
        <w:t xml:space="preserve"> </w:t>
      </w:r>
      <w:r w:rsidR="00A53C36" w:rsidRPr="003435B5">
        <w:t>metazoan mitochondrial metabolism</w:t>
      </w:r>
      <w:r w:rsidR="001B46A9" w:rsidRPr="003435B5">
        <w:t>. This may</w:t>
      </w:r>
      <w:r w:rsidR="00A53C36" w:rsidRPr="003435B5">
        <w:t xml:space="preserve"> includ</w:t>
      </w:r>
      <w:r w:rsidR="001B46A9" w:rsidRPr="003435B5">
        <w:t>e</w:t>
      </w:r>
      <w:r w:rsidR="00A53C36" w:rsidRPr="003435B5">
        <w:t xml:space="preserve"> investigations </w:t>
      </w:r>
      <w:r w:rsidR="001B46A9" w:rsidRPr="003435B5">
        <w:t>testing</w:t>
      </w:r>
      <w:r w:rsidR="00A53C36" w:rsidRPr="003435B5">
        <w:t xml:space="preserve"> other mitochondrial electron transfer pathways and other temperatures. Notably, the </w:t>
      </w:r>
      <w:proofErr w:type="spellStart"/>
      <w:r w:rsidR="001B46A9" w:rsidRPr="003435B5">
        <w:t>Oroboros</w:t>
      </w:r>
      <w:proofErr w:type="spellEnd"/>
      <w:r w:rsidR="001B46A9" w:rsidRPr="003435B5">
        <w:t xml:space="preserve"> </w:t>
      </w:r>
      <w:r w:rsidR="00A53C36" w:rsidRPr="003435B5">
        <w:t xml:space="preserve">high resolution respirometry </w:t>
      </w:r>
      <w:r w:rsidR="008722DE" w:rsidRPr="003435B5">
        <w:t xml:space="preserve">system </w:t>
      </w:r>
      <w:r w:rsidR="001B46A9" w:rsidRPr="003435B5">
        <w:t>i</w:t>
      </w:r>
      <w:r w:rsidR="00A53C36" w:rsidRPr="003435B5">
        <w:t>s a versatile</w:t>
      </w:r>
      <w:r w:rsidR="001B46A9" w:rsidRPr="003435B5">
        <w:t xml:space="preserve"> </w:t>
      </w:r>
      <w:r w:rsidR="008722DE" w:rsidRPr="003435B5">
        <w:t>equipment</w:t>
      </w:r>
      <w:r w:rsidR="001B46A9" w:rsidRPr="003435B5">
        <w:t>, allowing different</w:t>
      </w:r>
      <w:r w:rsidR="00A53C36" w:rsidRPr="003435B5">
        <w:t xml:space="preserve"> combination of </w:t>
      </w:r>
      <w:r w:rsidR="001B46A9" w:rsidRPr="003435B5">
        <w:t>protocols to test the</w:t>
      </w:r>
      <w:r w:rsidR="00A53C36" w:rsidRPr="003435B5">
        <w:t xml:space="preserve"> mitochondrial electron transfer system</w:t>
      </w:r>
      <w:r w:rsidR="001B46A9" w:rsidRPr="003435B5">
        <w:t xml:space="preserve"> in different ways</w:t>
      </w:r>
      <w:r w:rsidR="00A53C36" w:rsidRPr="003435B5">
        <w:t>.</w:t>
      </w:r>
      <w:r w:rsidR="00081A8D" w:rsidRPr="003435B5">
        <w:t xml:space="preserve"> In addition,</w:t>
      </w:r>
      <w:r w:rsidR="001B46A9" w:rsidRPr="003435B5">
        <w:t xml:space="preserve"> and perhaps more importantly,</w:t>
      </w:r>
      <w:r w:rsidR="00081A8D" w:rsidRPr="003435B5">
        <w:t xml:space="preserve"> the protocol</w:t>
      </w:r>
      <w:r w:rsidR="001B46A9" w:rsidRPr="003435B5">
        <w:t>s</w:t>
      </w:r>
      <w:r w:rsidR="00081A8D" w:rsidRPr="003435B5">
        <w:t xml:space="preserve"> can be optimized as needed and the interested </w:t>
      </w:r>
      <w:proofErr w:type="spellStart"/>
      <w:r w:rsidR="00081A8D" w:rsidRPr="003435B5">
        <w:t>Drosophilist</w:t>
      </w:r>
      <w:proofErr w:type="spellEnd"/>
      <w:r w:rsidR="00081A8D" w:rsidRPr="003435B5">
        <w:t xml:space="preserve"> can count on a large online community of O2k users</w:t>
      </w:r>
      <w:r w:rsidR="00E91865" w:rsidRPr="003435B5">
        <w:t xml:space="preserve"> specialized in </w:t>
      </w:r>
      <w:r w:rsidR="008722DE" w:rsidRPr="003435B5">
        <w:t xml:space="preserve">mitochondria of </w:t>
      </w:r>
      <w:r w:rsidR="00E91865" w:rsidRPr="003435B5">
        <w:t>diverse tissue</w:t>
      </w:r>
      <w:r w:rsidR="008722DE" w:rsidRPr="003435B5">
        <w:t>s</w:t>
      </w:r>
      <w:r w:rsidR="00E91865" w:rsidRPr="003435B5">
        <w:t>,</w:t>
      </w:r>
      <w:r w:rsidR="001B46A9" w:rsidRPr="003435B5">
        <w:t xml:space="preserve"> and </w:t>
      </w:r>
      <w:r w:rsidR="00E91865" w:rsidRPr="003435B5">
        <w:t xml:space="preserve">on </w:t>
      </w:r>
      <w:r w:rsidR="001B46A9" w:rsidRPr="003435B5">
        <w:t>the open-source materials provided by the company</w:t>
      </w:r>
      <w:r w:rsidR="00E91865" w:rsidRPr="003435B5">
        <w:t xml:space="preserve"> in their website</w:t>
      </w:r>
      <w:r w:rsidR="00242251" w:rsidRPr="003435B5">
        <w:fldChar w:fldCharType="begin" w:fldLock="1"/>
      </w:r>
      <w:r w:rsidR="00D158C9" w:rsidRPr="003435B5">
        <w:instrText>ADDIN CSL_CITATION {"citationItems":[{"id":"ITEM-1","itemData":{"URL":"https://www.oroboros.at/","accessed":{"date-parts":[["2021","7","6"]]},"id":"ITEM-1","issued":{"date-parts":[["0"]]},"title":"Home - Oroboros Instruments","type":"webpage"},"uris":["http://www.mendeley.com/documents/?uuid=f755f8ac-8c28-3c7c-8904-e8827f63a1f0"]}],"mendeley":{"formattedCitation":"&lt;sup&gt;43&lt;/sup&gt;","plainTextFormattedCitation":"43","previouslyFormattedCitation":"&lt;sup&gt;44&lt;/sup&gt;"},"properties":{"noteIndex":0},"schema":"https://github.com/citation-style-language/schema/raw/master/csl-citation.json"}</w:instrText>
      </w:r>
      <w:r w:rsidR="00242251" w:rsidRPr="003435B5">
        <w:fldChar w:fldCharType="separate"/>
      </w:r>
      <w:r w:rsidR="00D158C9" w:rsidRPr="003435B5">
        <w:rPr>
          <w:noProof/>
          <w:vertAlign w:val="superscript"/>
        </w:rPr>
        <w:t>43</w:t>
      </w:r>
      <w:r w:rsidR="00242251" w:rsidRPr="003435B5">
        <w:fldChar w:fldCharType="end"/>
      </w:r>
      <w:r w:rsidR="00E91865" w:rsidRPr="003435B5">
        <w:t>.</w:t>
      </w:r>
    </w:p>
    <w:p w14:paraId="2C9C4BC5" w14:textId="42242AEF" w:rsidR="00883F30" w:rsidRPr="003435B5" w:rsidRDefault="00883F30" w:rsidP="003435B5">
      <w:pPr>
        <w:contextualSpacing/>
      </w:pPr>
    </w:p>
    <w:p w14:paraId="31DAF895" w14:textId="4B3C4984" w:rsidR="00883F30" w:rsidRPr="003435B5" w:rsidRDefault="00FA387F" w:rsidP="003435B5">
      <w:pPr>
        <w:pBdr>
          <w:top w:val="nil"/>
          <w:left w:val="nil"/>
          <w:bottom w:val="nil"/>
          <w:right w:val="nil"/>
          <w:between w:val="nil"/>
        </w:pBdr>
        <w:contextualSpacing/>
      </w:pPr>
      <w:r w:rsidRPr="003435B5">
        <w:rPr>
          <w:b/>
        </w:rPr>
        <w:t xml:space="preserve">ACKNOWLEDGMENTS:  </w:t>
      </w:r>
    </w:p>
    <w:p w14:paraId="1220C619" w14:textId="6D355754" w:rsidR="00FA387F" w:rsidRPr="003435B5" w:rsidRDefault="00CE04F5" w:rsidP="003435B5">
      <w:pPr>
        <w:contextualSpacing/>
      </w:pPr>
      <w:r w:rsidRPr="003435B5">
        <w:t xml:space="preserve">We would like to thank </w:t>
      </w:r>
      <w:r w:rsidR="00752916" w:rsidRPr="003435B5">
        <w:t>Emily A. McKinney</w:t>
      </w:r>
      <w:r w:rsidRPr="003435B5">
        <w:t xml:space="preserve"> for </w:t>
      </w:r>
      <w:r w:rsidR="00752916" w:rsidRPr="003435B5">
        <w:t>English editing</w:t>
      </w:r>
      <w:r w:rsidR="00C22854" w:rsidRPr="003435B5">
        <w:t xml:space="preserve"> of the manuscript</w:t>
      </w:r>
      <w:r w:rsidRPr="003435B5">
        <w:t xml:space="preserve">. </w:t>
      </w:r>
      <w:r w:rsidRPr="003435B5">
        <w:rPr>
          <w:lang w:val="pt-BR"/>
        </w:rPr>
        <w:t xml:space="preserve">G.S.G. was supported by a fellowship from the Conselho Nacional de Desenvolvimento Científico e Tecnológico (CNPq, grant number </w:t>
      </w:r>
      <w:r w:rsidR="00591870" w:rsidRPr="003435B5">
        <w:rPr>
          <w:lang w:val="pt-BR"/>
        </w:rPr>
        <w:t>141001/2019-4</w:t>
      </w:r>
      <w:r w:rsidRPr="003435B5">
        <w:rPr>
          <w:lang w:val="pt-BR"/>
        </w:rPr>
        <w:t xml:space="preserve">). </w:t>
      </w:r>
      <w:r w:rsidRPr="003435B5">
        <w:t xml:space="preserve">M.T.O. would like to acknowledge funding from the </w:t>
      </w:r>
      <w:proofErr w:type="spellStart"/>
      <w:r w:rsidRPr="003435B5">
        <w:t>Fundação</w:t>
      </w:r>
      <w:proofErr w:type="spellEnd"/>
      <w:r w:rsidRPr="003435B5">
        <w:t xml:space="preserve"> de Amparo à </w:t>
      </w:r>
      <w:proofErr w:type="spellStart"/>
      <w:r w:rsidRPr="003435B5">
        <w:t>Pesquisa</w:t>
      </w:r>
      <w:proofErr w:type="spellEnd"/>
      <w:r w:rsidRPr="003435B5">
        <w:t xml:space="preserve"> do Estado de São Paulo (FAPESP, grant numbers 2014/02253-6 and 2017/04372-0), and the </w:t>
      </w:r>
      <w:proofErr w:type="spellStart"/>
      <w:r w:rsidRPr="003435B5">
        <w:t>CNPq</w:t>
      </w:r>
      <w:proofErr w:type="spellEnd"/>
      <w:r w:rsidRPr="003435B5">
        <w:t xml:space="preserve"> (grant numbers 424562/2018-9 and 306974/2017-7).</w:t>
      </w:r>
      <w:r w:rsidR="00AB0CFC" w:rsidRPr="003435B5">
        <w:t xml:space="preserve"> C.A.C.-L. </w:t>
      </w:r>
      <w:r w:rsidR="00751A13" w:rsidRPr="003435B5">
        <w:t xml:space="preserve">would like to acknowledge </w:t>
      </w:r>
      <w:r w:rsidR="00BE4F15" w:rsidRPr="003435B5">
        <w:t xml:space="preserve">internal financial </w:t>
      </w:r>
      <w:r w:rsidR="00751A13" w:rsidRPr="003435B5">
        <w:t xml:space="preserve">support from the </w:t>
      </w:r>
      <w:proofErr w:type="spellStart"/>
      <w:r w:rsidR="00751A13" w:rsidRPr="003435B5">
        <w:t>Universidade</w:t>
      </w:r>
      <w:proofErr w:type="spellEnd"/>
      <w:r w:rsidR="00751A13" w:rsidRPr="003435B5">
        <w:t xml:space="preserve"> do Oeste </w:t>
      </w:r>
      <w:proofErr w:type="spellStart"/>
      <w:r w:rsidR="00BE4F15" w:rsidRPr="003435B5">
        <w:t>P</w:t>
      </w:r>
      <w:r w:rsidR="00751A13" w:rsidRPr="003435B5">
        <w:t>aulista</w:t>
      </w:r>
      <w:proofErr w:type="spellEnd"/>
      <w:r w:rsidR="00751A13" w:rsidRPr="003435B5">
        <w:t>.</w:t>
      </w:r>
      <w:r w:rsidR="00C22854" w:rsidRPr="003435B5">
        <w:t xml:space="preserve"> The work with genetically modified Drosophila lines was authorized by the Local Biosafety Committee</w:t>
      </w:r>
      <w:r w:rsidR="00B56CF8" w:rsidRPr="003435B5">
        <w:t xml:space="preserve"> (</w:t>
      </w:r>
      <w:proofErr w:type="spellStart"/>
      <w:r w:rsidR="00B56CF8" w:rsidRPr="003435B5">
        <w:t>CIBio</w:t>
      </w:r>
      <w:proofErr w:type="spellEnd"/>
      <w:r w:rsidR="00B56CF8" w:rsidRPr="003435B5">
        <w:t>)</w:t>
      </w:r>
      <w:r w:rsidR="00C22854" w:rsidRPr="003435B5">
        <w:t xml:space="preserve"> of the </w:t>
      </w:r>
      <w:proofErr w:type="spellStart"/>
      <w:r w:rsidR="00C22854" w:rsidRPr="003435B5">
        <w:t>Faculdade</w:t>
      </w:r>
      <w:proofErr w:type="spellEnd"/>
      <w:r w:rsidR="00C22854" w:rsidRPr="003435B5">
        <w:t xml:space="preserve"> de </w:t>
      </w:r>
      <w:proofErr w:type="spellStart"/>
      <w:r w:rsidR="00C22854" w:rsidRPr="003435B5">
        <w:t>Ciências</w:t>
      </w:r>
      <w:proofErr w:type="spellEnd"/>
      <w:r w:rsidR="00C22854" w:rsidRPr="003435B5">
        <w:t xml:space="preserve"> </w:t>
      </w:r>
      <w:proofErr w:type="spellStart"/>
      <w:r w:rsidR="00C22854" w:rsidRPr="003435B5">
        <w:t>Agrárias</w:t>
      </w:r>
      <w:proofErr w:type="spellEnd"/>
      <w:r w:rsidR="00C22854" w:rsidRPr="003435B5">
        <w:t xml:space="preserve"> e </w:t>
      </w:r>
      <w:proofErr w:type="spellStart"/>
      <w:r w:rsidR="00C22854" w:rsidRPr="003435B5">
        <w:t>Veterinárias</w:t>
      </w:r>
      <w:proofErr w:type="spellEnd"/>
      <w:r w:rsidR="00C22854" w:rsidRPr="003435B5">
        <w:t xml:space="preserve"> de </w:t>
      </w:r>
      <w:proofErr w:type="spellStart"/>
      <w:r w:rsidR="00C22854" w:rsidRPr="003435B5">
        <w:t>Jaboticabal</w:t>
      </w:r>
      <w:proofErr w:type="spellEnd"/>
      <w:r w:rsidR="00C22854" w:rsidRPr="003435B5">
        <w:t>, under the</w:t>
      </w:r>
      <w:r w:rsidR="00B56CF8" w:rsidRPr="003435B5">
        <w:t xml:space="preserve"> protocols</w:t>
      </w:r>
      <w:r w:rsidR="00C22854" w:rsidRPr="003435B5">
        <w:t xml:space="preserve"> 001/2014</w:t>
      </w:r>
      <w:r w:rsidR="00B56CF8" w:rsidRPr="003435B5">
        <w:t xml:space="preserve"> and</w:t>
      </w:r>
      <w:r w:rsidR="00C22854" w:rsidRPr="003435B5">
        <w:t xml:space="preserve"> 006/2014, and by</w:t>
      </w:r>
      <w:r w:rsidR="00B242F9" w:rsidRPr="003435B5">
        <w:t xml:space="preserve"> </w:t>
      </w:r>
      <w:r w:rsidR="00B56CF8" w:rsidRPr="003435B5">
        <w:t>the National Technical Committee on Biosafety</w:t>
      </w:r>
      <w:r w:rsidR="008962EA" w:rsidRPr="003435B5">
        <w:t xml:space="preserve"> (</w:t>
      </w:r>
      <w:proofErr w:type="spellStart"/>
      <w:r w:rsidR="008962EA" w:rsidRPr="003435B5">
        <w:t>CTNBio</w:t>
      </w:r>
      <w:proofErr w:type="spellEnd"/>
      <w:r w:rsidR="008962EA" w:rsidRPr="003435B5">
        <w:t>)</w:t>
      </w:r>
      <w:r w:rsidR="00B56CF8" w:rsidRPr="003435B5">
        <w:t>, under the protocols</w:t>
      </w:r>
      <w:r w:rsidR="00C22854" w:rsidRPr="003435B5">
        <w:t xml:space="preserve"> </w:t>
      </w:r>
      <w:r w:rsidR="00B56CF8" w:rsidRPr="003435B5">
        <w:t>36343/2017/SEI-MCTIC, 01200.706019/2016-45, and 5488/2017.</w:t>
      </w:r>
    </w:p>
    <w:bookmarkEnd w:id="0"/>
    <w:p w14:paraId="7064BB3D" w14:textId="77777777" w:rsidR="00CE04F5" w:rsidRPr="003435B5" w:rsidRDefault="00CE04F5" w:rsidP="003435B5">
      <w:pPr>
        <w:contextualSpacing/>
        <w:rPr>
          <w:b/>
        </w:rPr>
      </w:pPr>
    </w:p>
    <w:p w14:paraId="0938FC64" w14:textId="14475874" w:rsidR="00FA387F" w:rsidRPr="003435B5" w:rsidRDefault="00FA387F" w:rsidP="003435B5">
      <w:pPr>
        <w:pBdr>
          <w:top w:val="nil"/>
          <w:left w:val="nil"/>
          <w:bottom w:val="nil"/>
          <w:right w:val="nil"/>
          <w:between w:val="nil"/>
        </w:pBdr>
        <w:contextualSpacing/>
      </w:pPr>
      <w:r w:rsidRPr="003435B5">
        <w:rPr>
          <w:b/>
        </w:rPr>
        <w:t>DISCLOSURES:</w:t>
      </w:r>
    </w:p>
    <w:p w14:paraId="6A37476A" w14:textId="36B9E40C" w:rsidR="00FA387F" w:rsidRPr="003435B5" w:rsidRDefault="00FA387F" w:rsidP="003435B5">
      <w:pPr>
        <w:contextualSpacing/>
      </w:pPr>
      <w:r w:rsidRPr="003435B5">
        <w:t>The authors declare no conflict of interest.</w:t>
      </w:r>
    </w:p>
    <w:p w14:paraId="6120BF5C" w14:textId="0A1B67B8" w:rsidR="005C0779" w:rsidRPr="003435B5" w:rsidRDefault="005C0779" w:rsidP="003435B5">
      <w:pPr>
        <w:contextualSpacing/>
        <w:rPr>
          <w:b/>
        </w:rPr>
      </w:pPr>
      <w:bookmarkStart w:id="1" w:name="_Hlk66267328"/>
    </w:p>
    <w:p w14:paraId="0B921F9D" w14:textId="20DC7202" w:rsidR="00FE114A" w:rsidRPr="00C42F1D" w:rsidRDefault="001E476D" w:rsidP="00C42F1D">
      <w:pPr>
        <w:contextualSpacing/>
        <w:rPr>
          <w:b/>
        </w:rPr>
      </w:pPr>
      <w:r w:rsidRPr="003435B5">
        <w:rPr>
          <w:b/>
        </w:rPr>
        <w:t>REFERENCES:</w:t>
      </w:r>
    </w:p>
    <w:bookmarkEnd w:id="1"/>
    <w:p w14:paraId="5B6DF2FF" w14:textId="56B2524F" w:rsidR="00D158C9" w:rsidRPr="003435B5" w:rsidRDefault="007C2878" w:rsidP="003435B5">
      <w:pPr>
        <w:autoSpaceDE w:val="0"/>
        <w:autoSpaceDN w:val="0"/>
        <w:adjustRightInd w:val="0"/>
        <w:contextualSpacing/>
        <w:rPr>
          <w:noProof/>
        </w:rPr>
      </w:pPr>
      <w:r w:rsidRPr="003435B5">
        <w:fldChar w:fldCharType="begin" w:fldLock="1"/>
      </w:r>
      <w:r w:rsidRPr="003435B5">
        <w:instrText xml:space="preserve">ADDIN Mendeley Bibliography CSL_BIBLIOGRAPHY </w:instrText>
      </w:r>
      <w:r w:rsidRPr="003435B5">
        <w:fldChar w:fldCharType="separate"/>
      </w:r>
      <w:r w:rsidR="00D158C9" w:rsidRPr="003435B5">
        <w:rPr>
          <w:noProof/>
        </w:rPr>
        <w:t>1.</w:t>
      </w:r>
      <w:r w:rsidR="00D158C9" w:rsidRPr="003435B5">
        <w:rPr>
          <w:noProof/>
        </w:rPr>
        <w:tab/>
        <w:t>&lt;https://www.nobelprize.org/prizes/medicine/&gt;.</w:t>
      </w:r>
    </w:p>
    <w:p w14:paraId="24100D36" w14:textId="0689BC83" w:rsidR="00D158C9" w:rsidRPr="003435B5" w:rsidRDefault="00D158C9" w:rsidP="003435B5">
      <w:pPr>
        <w:autoSpaceDE w:val="0"/>
        <w:autoSpaceDN w:val="0"/>
        <w:adjustRightInd w:val="0"/>
        <w:contextualSpacing/>
        <w:rPr>
          <w:noProof/>
        </w:rPr>
      </w:pPr>
      <w:r w:rsidRPr="003435B5">
        <w:rPr>
          <w:noProof/>
        </w:rPr>
        <w:t>2.</w:t>
      </w:r>
      <w:r w:rsidR="002F39AA" w:rsidRPr="003435B5">
        <w:rPr>
          <w:noProof/>
        </w:rPr>
        <w:t xml:space="preserve"> </w:t>
      </w:r>
      <w:r w:rsidRPr="003435B5">
        <w:rPr>
          <w:noProof/>
        </w:rPr>
        <w:t>&lt;https://pubmed.ncbi.nlm.nih.gov/?term=%22drosophila+model%22&amp;filter=datesearch.y_5&gt;.</w:t>
      </w:r>
    </w:p>
    <w:p w14:paraId="16D78BAA" w14:textId="673946A4" w:rsidR="00D158C9" w:rsidRPr="003435B5" w:rsidRDefault="00D158C9" w:rsidP="003435B5">
      <w:pPr>
        <w:autoSpaceDE w:val="0"/>
        <w:autoSpaceDN w:val="0"/>
        <w:adjustRightInd w:val="0"/>
        <w:contextualSpacing/>
        <w:rPr>
          <w:noProof/>
        </w:rPr>
      </w:pPr>
      <w:r w:rsidRPr="003435B5">
        <w:rPr>
          <w:noProof/>
        </w:rPr>
        <w:lastRenderedPageBreak/>
        <w:t>3.</w:t>
      </w:r>
      <w:r w:rsidRPr="003435B5">
        <w:rPr>
          <w:noProof/>
        </w:rPr>
        <w:tab/>
        <w:t>&lt;https://nexus.od.nih.gov/all/2016/07/14/a-look-at-trends-in-nihs-model-organism-research-support/&gt;.</w:t>
      </w:r>
    </w:p>
    <w:p w14:paraId="6615B154" w14:textId="5CCEB6C3" w:rsidR="00D158C9" w:rsidRPr="003435B5" w:rsidRDefault="00D158C9" w:rsidP="003435B5">
      <w:pPr>
        <w:autoSpaceDE w:val="0"/>
        <w:autoSpaceDN w:val="0"/>
        <w:adjustRightInd w:val="0"/>
        <w:contextualSpacing/>
        <w:rPr>
          <w:noProof/>
        </w:rPr>
      </w:pPr>
      <w:r w:rsidRPr="003435B5">
        <w:rPr>
          <w:noProof/>
        </w:rPr>
        <w:t>4.</w:t>
      </w:r>
      <w:r w:rsidRPr="003435B5">
        <w:rPr>
          <w:noProof/>
        </w:rPr>
        <w:tab/>
        <w:t>&lt;https://bv.fapesp.br/pt/metapesquisa/?q=drosophila,&gt;.</w:t>
      </w:r>
    </w:p>
    <w:p w14:paraId="6940C2AC" w14:textId="7958EC39" w:rsidR="00D158C9" w:rsidRPr="003435B5" w:rsidRDefault="00D158C9" w:rsidP="003435B5">
      <w:pPr>
        <w:autoSpaceDE w:val="0"/>
        <w:autoSpaceDN w:val="0"/>
        <w:adjustRightInd w:val="0"/>
        <w:contextualSpacing/>
        <w:rPr>
          <w:noProof/>
        </w:rPr>
      </w:pPr>
      <w:r w:rsidRPr="003435B5">
        <w:rPr>
          <w:noProof/>
        </w:rPr>
        <w:t>5.</w:t>
      </w:r>
      <w:r w:rsidRPr="003435B5">
        <w:rPr>
          <w:noProof/>
        </w:rPr>
        <w:tab/>
        <w:t>&lt;https://bv.fapesp.br/pt/metapesquisa/&gt;.</w:t>
      </w:r>
    </w:p>
    <w:p w14:paraId="7479348C" w14:textId="77777777" w:rsidR="00D158C9" w:rsidRPr="003435B5" w:rsidRDefault="00D158C9" w:rsidP="003435B5">
      <w:pPr>
        <w:autoSpaceDE w:val="0"/>
        <w:autoSpaceDN w:val="0"/>
        <w:adjustRightInd w:val="0"/>
        <w:contextualSpacing/>
        <w:rPr>
          <w:noProof/>
        </w:rPr>
      </w:pPr>
      <w:r w:rsidRPr="003435B5">
        <w:rPr>
          <w:noProof/>
        </w:rPr>
        <w:t>6.</w:t>
      </w:r>
      <w:r w:rsidRPr="003435B5">
        <w:rPr>
          <w:noProof/>
        </w:rPr>
        <w:tab/>
        <w:t xml:space="preserve">Jennings, B.H. Drosophila-a versatile model in biology &amp; medicine. </w:t>
      </w:r>
      <w:r w:rsidRPr="003435B5">
        <w:rPr>
          <w:i/>
          <w:iCs/>
          <w:noProof/>
        </w:rPr>
        <w:t>Materials Today</w:t>
      </w:r>
      <w:r w:rsidRPr="003435B5">
        <w:rPr>
          <w:noProof/>
        </w:rPr>
        <w:t xml:space="preserve">. </w:t>
      </w:r>
      <w:r w:rsidRPr="003435B5">
        <w:rPr>
          <w:b/>
          <w:bCs/>
          <w:noProof/>
        </w:rPr>
        <w:t>14</w:t>
      </w:r>
      <w:r w:rsidRPr="003435B5">
        <w:rPr>
          <w:noProof/>
        </w:rPr>
        <w:t xml:space="preserve"> (5), 190–195, doi: 10.1016/S1369-7021(11)70113-4 (2011).</w:t>
      </w:r>
    </w:p>
    <w:p w14:paraId="68E1C68F" w14:textId="77777777" w:rsidR="00D158C9" w:rsidRPr="003435B5" w:rsidRDefault="00D158C9" w:rsidP="003435B5">
      <w:pPr>
        <w:autoSpaceDE w:val="0"/>
        <w:autoSpaceDN w:val="0"/>
        <w:adjustRightInd w:val="0"/>
        <w:contextualSpacing/>
        <w:rPr>
          <w:noProof/>
        </w:rPr>
      </w:pPr>
      <w:r w:rsidRPr="003435B5">
        <w:rPr>
          <w:noProof/>
        </w:rPr>
        <w:t>7.</w:t>
      </w:r>
      <w:r w:rsidRPr="003435B5">
        <w:rPr>
          <w:noProof/>
        </w:rPr>
        <w:tab/>
        <w:t xml:space="preserve">Brandt, A., Vilcinskas, A. The Fruit Fly Drosophila melanogaster as a Model for Aging Research. </w:t>
      </w:r>
      <w:r w:rsidRPr="003435B5">
        <w:rPr>
          <w:i/>
          <w:iCs/>
          <w:noProof/>
        </w:rPr>
        <w:t>Yellow Biotechnology I. Advances in Biochemical Engineering/Biotechnology</w:t>
      </w:r>
      <w:r w:rsidRPr="003435B5">
        <w:rPr>
          <w:noProof/>
        </w:rPr>
        <w:t xml:space="preserve">. </w:t>
      </w:r>
      <w:r w:rsidRPr="003435B5">
        <w:rPr>
          <w:b/>
          <w:bCs/>
          <w:noProof/>
        </w:rPr>
        <w:t>135</w:t>
      </w:r>
      <w:r w:rsidRPr="003435B5">
        <w:rPr>
          <w:noProof/>
        </w:rPr>
        <w:t>, 63–77, doi: 10.1007/10 (2013).</w:t>
      </w:r>
    </w:p>
    <w:p w14:paraId="388B44C6" w14:textId="77777777" w:rsidR="00D158C9" w:rsidRPr="003435B5" w:rsidRDefault="00D158C9" w:rsidP="003435B5">
      <w:pPr>
        <w:autoSpaceDE w:val="0"/>
        <w:autoSpaceDN w:val="0"/>
        <w:adjustRightInd w:val="0"/>
        <w:contextualSpacing/>
        <w:rPr>
          <w:noProof/>
        </w:rPr>
      </w:pPr>
      <w:r w:rsidRPr="003435B5">
        <w:rPr>
          <w:noProof/>
        </w:rPr>
        <w:t>8.</w:t>
      </w:r>
      <w:r w:rsidRPr="003435B5">
        <w:rPr>
          <w:noProof/>
        </w:rPr>
        <w:tab/>
        <w:t xml:space="preserve">Yang, D. Simple homemade tools to handle fruit flies—drosophila melanogaster. </w:t>
      </w:r>
      <w:r w:rsidRPr="003435B5">
        <w:rPr>
          <w:i/>
          <w:iCs/>
          <w:noProof/>
        </w:rPr>
        <w:t>Journal of Visualized Experiments</w:t>
      </w:r>
      <w:r w:rsidRPr="003435B5">
        <w:rPr>
          <w:noProof/>
        </w:rPr>
        <w:t xml:space="preserve">. </w:t>
      </w:r>
      <w:r w:rsidRPr="003435B5">
        <w:rPr>
          <w:b/>
          <w:bCs/>
          <w:noProof/>
        </w:rPr>
        <w:t>2019</w:t>
      </w:r>
      <w:r w:rsidRPr="003435B5">
        <w:rPr>
          <w:noProof/>
        </w:rPr>
        <w:t xml:space="preserve"> (149), 1–8, doi: 10.3791/59613 (2019).</w:t>
      </w:r>
    </w:p>
    <w:p w14:paraId="51DA3E30" w14:textId="77777777" w:rsidR="00D158C9" w:rsidRPr="003435B5" w:rsidRDefault="00D158C9" w:rsidP="003435B5">
      <w:pPr>
        <w:autoSpaceDE w:val="0"/>
        <w:autoSpaceDN w:val="0"/>
        <w:adjustRightInd w:val="0"/>
        <w:contextualSpacing/>
        <w:rPr>
          <w:noProof/>
        </w:rPr>
      </w:pPr>
      <w:r w:rsidRPr="003435B5">
        <w:rPr>
          <w:noProof/>
        </w:rPr>
        <w:t>9.</w:t>
      </w:r>
      <w:r w:rsidRPr="003435B5">
        <w:rPr>
          <w:noProof/>
        </w:rPr>
        <w:tab/>
        <w:t xml:space="preserve">Cheluvappa, R., Scowen, P., Eri, R. Ethics of animal research in human disease remediation, its institutional teaching; and alternatives to animal experimentation. </w:t>
      </w:r>
      <w:r w:rsidRPr="003435B5">
        <w:rPr>
          <w:i/>
          <w:iCs/>
          <w:noProof/>
        </w:rPr>
        <w:t>Pharmacology Research and Perspectives</w:t>
      </w:r>
      <w:r w:rsidRPr="003435B5">
        <w:rPr>
          <w:noProof/>
        </w:rPr>
        <w:t xml:space="preserve">. </w:t>
      </w:r>
      <w:r w:rsidRPr="003435B5">
        <w:rPr>
          <w:b/>
          <w:bCs/>
          <w:noProof/>
        </w:rPr>
        <w:t>5</w:t>
      </w:r>
      <w:r w:rsidRPr="003435B5">
        <w:rPr>
          <w:noProof/>
        </w:rPr>
        <w:t xml:space="preserve"> (4), doi: 10.1002/prp2.332 (2017).</w:t>
      </w:r>
    </w:p>
    <w:p w14:paraId="3C90A49C" w14:textId="188C441C" w:rsidR="00D158C9" w:rsidRPr="003435B5" w:rsidRDefault="00D158C9" w:rsidP="003435B5">
      <w:pPr>
        <w:autoSpaceDE w:val="0"/>
        <w:autoSpaceDN w:val="0"/>
        <w:adjustRightInd w:val="0"/>
        <w:contextualSpacing/>
        <w:rPr>
          <w:noProof/>
        </w:rPr>
      </w:pPr>
      <w:r w:rsidRPr="003435B5">
        <w:rPr>
          <w:noProof/>
        </w:rPr>
        <w:t>10.</w:t>
      </w:r>
      <w:r w:rsidRPr="003435B5">
        <w:rPr>
          <w:noProof/>
        </w:rPr>
        <w:tab/>
        <w:t xml:space="preserve"> &lt;http://www.planalto.gov.br/ccivil_03/_ato2007-2010/2008/lei/l11794.htm&gt;.</w:t>
      </w:r>
    </w:p>
    <w:p w14:paraId="1407C11A" w14:textId="3A309291" w:rsidR="00D158C9" w:rsidRPr="003435B5" w:rsidRDefault="00D158C9" w:rsidP="003435B5">
      <w:pPr>
        <w:autoSpaceDE w:val="0"/>
        <w:autoSpaceDN w:val="0"/>
        <w:adjustRightInd w:val="0"/>
        <w:contextualSpacing/>
        <w:rPr>
          <w:noProof/>
        </w:rPr>
      </w:pPr>
      <w:r w:rsidRPr="003435B5">
        <w:rPr>
          <w:noProof/>
        </w:rPr>
        <w:t>11.</w:t>
      </w:r>
      <w:r w:rsidRPr="003435B5">
        <w:rPr>
          <w:noProof/>
        </w:rPr>
        <w:tab/>
        <w:t xml:space="preserve">&lt;https://www.planalto.gov.br/ccivil_03/_ato2004-2006/2005/decreto/d5591.htm&gt;. </w:t>
      </w:r>
    </w:p>
    <w:p w14:paraId="0887C06A" w14:textId="18FBEF42" w:rsidR="00D158C9" w:rsidRPr="003435B5" w:rsidRDefault="00D158C9" w:rsidP="003435B5">
      <w:pPr>
        <w:autoSpaceDE w:val="0"/>
        <w:autoSpaceDN w:val="0"/>
        <w:adjustRightInd w:val="0"/>
        <w:contextualSpacing/>
        <w:rPr>
          <w:noProof/>
        </w:rPr>
      </w:pPr>
      <w:r w:rsidRPr="003435B5">
        <w:rPr>
          <w:noProof/>
        </w:rPr>
        <w:t>12.</w:t>
      </w:r>
      <w:r w:rsidRPr="003435B5">
        <w:rPr>
          <w:noProof/>
        </w:rPr>
        <w:tab/>
        <w:t>&lt;https://revistapesquisa.fapesp.br/en/supply-side-research-constraints/&gt;.</w:t>
      </w:r>
    </w:p>
    <w:p w14:paraId="5AED5E4D" w14:textId="44D5CC75" w:rsidR="00D158C9" w:rsidRPr="003435B5" w:rsidRDefault="00D158C9" w:rsidP="003435B5">
      <w:pPr>
        <w:autoSpaceDE w:val="0"/>
        <w:autoSpaceDN w:val="0"/>
        <w:adjustRightInd w:val="0"/>
        <w:contextualSpacing/>
        <w:rPr>
          <w:noProof/>
        </w:rPr>
      </w:pPr>
      <w:r w:rsidRPr="003435B5">
        <w:rPr>
          <w:noProof/>
        </w:rPr>
        <w:t>13.</w:t>
      </w:r>
      <w:r w:rsidRPr="003435B5">
        <w:rPr>
          <w:noProof/>
        </w:rPr>
        <w:tab/>
        <w:t>&lt;http://www.abc.org.br/2014/05/08/em-depoimento-a-cell-dario-zamboni-fala-dos-desafios-de-produzir-boa-ciencia-no-brasil/&gt;.</w:t>
      </w:r>
    </w:p>
    <w:p w14:paraId="5F4787DD" w14:textId="77777777" w:rsidR="00D158C9" w:rsidRPr="003435B5" w:rsidRDefault="00D158C9" w:rsidP="003435B5">
      <w:pPr>
        <w:autoSpaceDE w:val="0"/>
        <w:autoSpaceDN w:val="0"/>
        <w:adjustRightInd w:val="0"/>
        <w:contextualSpacing/>
        <w:rPr>
          <w:noProof/>
        </w:rPr>
      </w:pPr>
      <w:r w:rsidRPr="003435B5">
        <w:rPr>
          <w:noProof/>
        </w:rPr>
        <w:t>14.</w:t>
      </w:r>
      <w:r w:rsidRPr="003435B5">
        <w:rPr>
          <w:noProof/>
        </w:rPr>
        <w:tab/>
        <w:t xml:space="preserve">Nascimento, S., Pólvora, A. Maker Cultures and the Prospects for Technological Action. </w:t>
      </w:r>
      <w:r w:rsidRPr="003435B5">
        <w:rPr>
          <w:i/>
          <w:iCs/>
          <w:noProof/>
        </w:rPr>
        <w:t>Science and Engineering Ethics</w:t>
      </w:r>
      <w:r w:rsidRPr="003435B5">
        <w:rPr>
          <w:noProof/>
        </w:rPr>
        <w:t xml:space="preserve">. </w:t>
      </w:r>
      <w:r w:rsidRPr="003435B5">
        <w:rPr>
          <w:b/>
          <w:bCs/>
          <w:noProof/>
        </w:rPr>
        <w:t>24</w:t>
      </w:r>
      <w:r w:rsidRPr="003435B5">
        <w:rPr>
          <w:noProof/>
        </w:rPr>
        <w:t xml:space="preserve"> (3), 927–946, doi: 10.1007/s11948-016-9796-8 (2018).</w:t>
      </w:r>
    </w:p>
    <w:p w14:paraId="56340599" w14:textId="77777777" w:rsidR="00D158C9" w:rsidRPr="003435B5" w:rsidRDefault="00D158C9" w:rsidP="003435B5">
      <w:pPr>
        <w:autoSpaceDE w:val="0"/>
        <w:autoSpaceDN w:val="0"/>
        <w:adjustRightInd w:val="0"/>
        <w:contextualSpacing/>
        <w:rPr>
          <w:noProof/>
        </w:rPr>
      </w:pPr>
      <w:r w:rsidRPr="003435B5">
        <w:rPr>
          <w:noProof/>
        </w:rPr>
        <w:t>15.</w:t>
      </w:r>
      <w:r w:rsidRPr="003435B5">
        <w:rPr>
          <w:noProof/>
        </w:rPr>
        <w:tab/>
        <w:t xml:space="preserve">Maia Chagas, A., Prieto-Godino, L.L., Arrenberg, A.B., Baden, T. The €100 lab: A 3D-printable open-source platform for fluorescence microscopy, optogenetics, and accurate temperature control during behaviour of zebrafish, Drosophila, and Caenorhabditis elegans. </w:t>
      </w:r>
      <w:r w:rsidRPr="003435B5">
        <w:rPr>
          <w:i/>
          <w:iCs/>
          <w:noProof/>
        </w:rPr>
        <w:t>PLoS Biology</w:t>
      </w:r>
      <w:r w:rsidRPr="003435B5">
        <w:rPr>
          <w:noProof/>
        </w:rPr>
        <w:t xml:space="preserve">. </w:t>
      </w:r>
      <w:r w:rsidRPr="003435B5">
        <w:rPr>
          <w:b/>
          <w:bCs/>
          <w:noProof/>
        </w:rPr>
        <w:t>15</w:t>
      </w:r>
      <w:r w:rsidRPr="003435B5">
        <w:rPr>
          <w:noProof/>
        </w:rPr>
        <w:t xml:space="preserve"> (7), doi: 10.1371/journal.pbio.2002702 (2017).</w:t>
      </w:r>
    </w:p>
    <w:p w14:paraId="24C79008" w14:textId="77777777" w:rsidR="00D158C9" w:rsidRPr="003435B5" w:rsidRDefault="00D158C9" w:rsidP="003435B5">
      <w:pPr>
        <w:autoSpaceDE w:val="0"/>
        <w:autoSpaceDN w:val="0"/>
        <w:adjustRightInd w:val="0"/>
        <w:contextualSpacing/>
        <w:rPr>
          <w:noProof/>
        </w:rPr>
      </w:pPr>
      <w:r w:rsidRPr="003435B5">
        <w:rPr>
          <w:noProof/>
        </w:rPr>
        <w:t>16.</w:t>
      </w:r>
      <w:r w:rsidRPr="003435B5">
        <w:rPr>
          <w:noProof/>
        </w:rPr>
        <w:tab/>
        <w:t xml:space="preserve">Baden, T., Chagas, A.M., Gage, G., Marzullo, T., Prieto-Godino, L.L., Euler, T. Open Labware: 3-D Printing Your Own Lab Equipment. </w:t>
      </w:r>
      <w:r w:rsidRPr="003435B5">
        <w:rPr>
          <w:i/>
          <w:iCs/>
          <w:noProof/>
        </w:rPr>
        <w:t>PLOS Biology</w:t>
      </w:r>
      <w:r w:rsidRPr="003435B5">
        <w:rPr>
          <w:noProof/>
        </w:rPr>
        <w:t xml:space="preserve">. </w:t>
      </w:r>
      <w:r w:rsidRPr="003435B5">
        <w:rPr>
          <w:b/>
          <w:bCs/>
          <w:noProof/>
        </w:rPr>
        <w:t>13</w:t>
      </w:r>
      <w:r w:rsidRPr="003435B5">
        <w:rPr>
          <w:noProof/>
        </w:rPr>
        <w:t xml:space="preserve"> (3), e1002086, doi: 10.1371/journal.pbio.1002086 (2015).</w:t>
      </w:r>
    </w:p>
    <w:p w14:paraId="16ED4765" w14:textId="77777777" w:rsidR="00D158C9" w:rsidRPr="003435B5" w:rsidRDefault="00D158C9" w:rsidP="003435B5">
      <w:pPr>
        <w:autoSpaceDE w:val="0"/>
        <w:autoSpaceDN w:val="0"/>
        <w:adjustRightInd w:val="0"/>
        <w:contextualSpacing/>
        <w:rPr>
          <w:noProof/>
        </w:rPr>
      </w:pPr>
      <w:r w:rsidRPr="003435B5">
        <w:rPr>
          <w:noProof/>
        </w:rPr>
        <w:t>17.</w:t>
      </w:r>
      <w:r w:rsidRPr="003435B5">
        <w:rPr>
          <w:noProof/>
        </w:rPr>
        <w:tab/>
        <w:t xml:space="preserve">Zhou, B., Tian, R. Mitochondrial dysfunction in pathophysiology of heart failure. </w:t>
      </w:r>
      <w:r w:rsidRPr="003435B5">
        <w:rPr>
          <w:i/>
          <w:iCs/>
          <w:noProof/>
        </w:rPr>
        <w:t>Journal of Clinical Investigation</w:t>
      </w:r>
      <w:r w:rsidRPr="003435B5">
        <w:rPr>
          <w:noProof/>
        </w:rPr>
        <w:t xml:space="preserve">. </w:t>
      </w:r>
      <w:r w:rsidRPr="003435B5">
        <w:rPr>
          <w:b/>
          <w:bCs/>
          <w:noProof/>
        </w:rPr>
        <w:t>128</w:t>
      </w:r>
      <w:r w:rsidRPr="003435B5">
        <w:rPr>
          <w:noProof/>
        </w:rPr>
        <w:t xml:space="preserve"> (9), 3716–3726, doi: 10.1172/JCI120849 (2018).</w:t>
      </w:r>
    </w:p>
    <w:p w14:paraId="27D8A1EB" w14:textId="77777777" w:rsidR="00D158C9" w:rsidRPr="003435B5" w:rsidRDefault="00D158C9" w:rsidP="003435B5">
      <w:pPr>
        <w:autoSpaceDE w:val="0"/>
        <w:autoSpaceDN w:val="0"/>
        <w:adjustRightInd w:val="0"/>
        <w:contextualSpacing/>
        <w:rPr>
          <w:noProof/>
        </w:rPr>
      </w:pPr>
      <w:r w:rsidRPr="003435B5">
        <w:rPr>
          <w:noProof/>
        </w:rPr>
        <w:t>18.</w:t>
      </w:r>
      <w:r w:rsidRPr="003435B5">
        <w:rPr>
          <w:noProof/>
        </w:rPr>
        <w:tab/>
        <w:t xml:space="preserve">Hock, D.H., Robinson, D.R.L., Stroud, D.A. Blackout in the powerhouse: Clinical phenotypes associated with defects in the assembly of OXPHOS complexes and the mitoribosome. </w:t>
      </w:r>
      <w:r w:rsidRPr="003435B5">
        <w:rPr>
          <w:i/>
          <w:iCs/>
          <w:noProof/>
        </w:rPr>
        <w:t>Biochemical Journal</w:t>
      </w:r>
      <w:r w:rsidRPr="003435B5">
        <w:rPr>
          <w:noProof/>
        </w:rPr>
        <w:t xml:space="preserve">. </w:t>
      </w:r>
      <w:r w:rsidRPr="003435B5">
        <w:rPr>
          <w:b/>
          <w:bCs/>
          <w:noProof/>
        </w:rPr>
        <w:t>477</w:t>
      </w:r>
      <w:r w:rsidRPr="003435B5">
        <w:rPr>
          <w:noProof/>
        </w:rPr>
        <w:t xml:space="preserve"> (21), 4085–4132, doi: 10.1042/BCJ20190767 (2020).</w:t>
      </w:r>
    </w:p>
    <w:p w14:paraId="3CC87F00" w14:textId="77777777" w:rsidR="00D158C9" w:rsidRPr="003435B5" w:rsidRDefault="00D158C9" w:rsidP="003435B5">
      <w:pPr>
        <w:autoSpaceDE w:val="0"/>
        <w:autoSpaceDN w:val="0"/>
        <w:adjustRightInd w:val="0"/>
        <w:contextualSpacing/>
        <w:rPr>
          <w:noProof/>
        </w:rPr>
      </w:pPr>
      <w:r w:rsidRPr="003435B5">
        <w:rPr>
          <w:noProof/>
        </w:rPr>
        <w:t>19.</w:t>
      </w:r>
      <w:r w:rsidRPr="003435B5">
        <w:rPr>
          <w:noProof/>
        </w:rPr>
        <w:tab/>
        <w:t xml:space="preserve">Juszczuk, I.M., Rychter, A.M. Alternative oxidase in higher plants. </w:t>
      </w:r>
      <w:r w:rsidRPr="003435B5">
        <w:rPr>
          <w:i/>
          <w:iCs/>
          <w:noProof/>
        </w:rPr>
        <w:t>Acta Biochimica Polonica</w:t>
      </w:r>
      <w:r w:rsidRPr="003435B5">
        <w:rPr>
          <w:noProof/>
        </w:rPr>
        <w:t xml:space="preserve">. </w:t>
      </w:r>
      <w:r w:rsidRPr="003435B5">
        <w:rPr>
          <w:b/>
          <w:bCs/>
          <w:noProof/>
        </w:rPr>
        <w:t>50</w:t>
      </w:r>
      <w:r w:rsidRPr="003435B5">
        <w:rPr>
          <w:noProof/>
        </w:rPr>
        <w:t xml:space="preserve"> (4), 1257–1271, doi: 10.18388/abp.2003_3649 (2003).</w:t>
      </w:r>
    </w:p>
    <w:p w14:paraId="72BCF98A" w14:textId="77777777" w:rsidR="00D158C9" w:rsidRPr="003435B5" w:rsidRDefault="00D158C9" w:rsidP="003435B5">
      <w:pPr>
        <w:autoSpaceDE w:val="0"/>
        <w:autoSpaceDN w:val="0"/>
        <w:adjustRightInd w:val="0"/>
        <w:contextualSpacing/>
        <w:rPr>
          <w:noProof/>
        </w:rPr>
      </w:pPr>
      <w:r w:rsidRPr="003435B5">
        <w:rPr>
          <w:noProof/>
        </w:rPr>
        <w:t>20.</w:t>
      </w:r>
      <w:r w:rsidRPr="003435B5">
        <w:rPr>
          <w:noProof/>
        </w:rPr>
        <w:tab/>
        <w:t xml:space="preserve">McDonald, A.E. Alternative oxidase: An inter-kingdom perspective on the function and regulation of this broadly distributed “cyanide-resistant” terminal oxidase. </w:t>
      </w:r>
      <w:r w:rsidRPr="003435B5">
        <w:rPr>
          <w:i/>
          <w:iCs/>
          <w:noProof/>
        </w:rPr>
        <w:t>Functional Plant Biology</w:t>
      </w:r>
      <w:r w:rsidRPr="003435B5">
        <w:rPr>
          <w:noProof/>
        </w:rPr>
        <w:t xml:space="preserve">. </w:t>
      </w:r>
      <w:r w:rsidRPr="003435B5">
        <w:rPr>
          <w:b/>
          <w:bCs/>
          <w:noProof/>
        </w:rPr>
        <w:t>35</w:t>
      </w:r>
      <w:r w:rsidRPr="003435B5">
        <w:rPr>
          <w:noProof/>
        </w:rPr>
        <w:t xml:space="preserve"> (7), 535–552, doi: 10.1071/FP08025 (2008).</w:t>
      </w:r>
    </w:p>
    <w:p w14:paraId="56BE1B77" w14:textId="77777777" w:rsidR="00D158C9" w:rsidRPr="003435B5" w:rsidRDefault="00D158C9" w:rsidP="003435B5">
      <w:pPr>
        <w:autoSpaceDE w:val="0"/>
        <w:autoSpaceDN w:val="0"/>
        <w:adjustRightInd w:val="0"/>
        <w:contextualSpacing/>
        <w:rPr>
          <w:noProof/>
        </w:rPr>
      </w:pPr>
      <w:r w:rsidRPr="003435B5">
        <w:rPr>
          <w:noProof/>
        </w:rPr>
        <w:t>21.</w:t>
      </w:r>
      <w:r w:rsidRPr="003435B5">
        <w:rPr>
          <w:noProof/>
        </w:rPr>
        <w:tab/>
        <w:t xml:space="preserve">McDonald, A.E., Vanlerberghe, G.C., Staples, J.F. Alternative oxidase in animals: Unique characteristics and taxonomic distribution. </w:t>
      </w:r>
      <w:r w:rsidRPr="003435B5">
        <w:rPr>
          <w:i/>
          <w:iCs/>
          <w:noProof/>
        </w:rPr>
        <w:t>Journal of Experimental Biology</w:t>
      </w:r>
      <w:r w:rsidRPr="003435B5">
        <w:rPr>
          <w:noProof/>
        </w:rPr>
        <w:t xml:space="preserve">. </w:t>
      </w:r>
      <w:r w:rsidRPr="003435B5">
        <w:rPr>
          <w:b/>
          <w:bCs/>
          <w:noProof/>
        </w:rPr>
        <w:t>212</w:t>
      </w:r>
      <w:r w:rsidRPr="003435B5">
        <w:rPr>
          <w:noProof/>
        </w:rPr>
        <w:t>, 2627–2634, doi: 10.1242/jeb.032151 (2009).</w:t>
      </w:r>
    </w:p>
    <w:p w14:paraId="563099A4" w14:textId="77777777" w:rsidR="00D158C9" w:rsidRPr="003435B5" w:rsidRDefault="00D158C9" w:rsidP="003435B5">
      <w:pPr>
        <w:autoSpaceDE w:val="0"/>
        <w:autoSpaceDN w:val="0"/>
        <w:adjustRightInd w:val="0"/>
        <w:contextualSpacing/>
        <w:rPr>
          <w:noProof/>
        </w:rPr>
      </w:pPr>
      <w:r w:rsidRPr="003435B5">
        <w:rPr>
          <w:noProof/>
        </w:rPr>
        <w:t>22.</w:t>
      </w:r>
      <w:r w:rsidRPr="003435B5">
        <w:rPr>
          <w:noProof/>
        </w:rPr>
        <w:tab/>
        <w:t xml:space="preserve">McDonald, A., Vanlerberghe, G. Branched Mitochondrial Electron Transport in the Animalia: Presence of Alternative Oxidase in Several Animal Phyla. </w:t>
      </w:r>
      <w:r w:rsidRPr="003435B5">
        <w:rPr>
          <w:i/>
          <w:iCs/>
          <w:noProof/>
        </w:rPr>
        <w:t>IUBMB Life (International Union of Biochemistry and Molecular Biology: Life)</w:t>
      </w:r>
      <w:r w:rsidRPr="003435B5">
        <w:rPr>
          <w:noProof/>
        </w:rPr>
        <w:t xml:space="preserve">. </w:t>
      </w:r>
      <w:r w:rsidRPr="003435B5">
        <w:rPr>
          <w:b/>
          <w:bCs/>
          <w:noProof/>
        </w:rPr>
        <w:t>56</w:t>
      </w:r>
      <w:r w:rsidRPr="003435B5">
        <w:rPr>
          <w:noProof/>
        </w:rPr>
        <w:t xml:space="preserve"> (6), 333–341, doi: 10.1080/1521-</w:t>
      </w:r>
      <w:r w:rsidRPr="003435B5">
        <w:rPr>
          <w:noProof/>
        </w:rPr>
        <w:lastRenderedPageBreak/>
        <w:t>6540400000876 (2004).</w:t>
      </w:r>
    </w:p>
    <w:p w14:paraId="21831A9F" w14:textId="77777777" w:rsidR="00D158C9" w:rsidRPr="003435B5" w:rsidRDefault="00D158C9" w:rsidP="003435B5">
      <w:pPr>
        <w:autoSpaceDE w:val="0"/>
        <w:autoSpaceDN w:val="0"/>
        <w:adjustRightInd w:val="0"/>
        <w:contextualSpacing/>
        <w:rPr>
          <w:noProof/>
        </w:rPr>
      </w:pPr>
      <w:r w:rsidRPr="003435B5">
        <w:rPr>
          <w:noProof/>
        </w:rPr>
        <w:t>23.</w:t>
      </w:r>
      <w:r w:rsidRPr="003435B5">
        <w:rPr>
          <w:noProof/>
        </w:rPr>
        <w:tab/>
        <w:t xml:space="preserve">McDonald, A.E., Costa, J.H., Nobre, T., De Melo, D.F., Arnholdt-Schmitt, B. Evolution of AOX genes across kingdoms and the challenge of classification. </w:t>
      </w:r>
      <w:r w:rsidRPr="003435B5">
        <w:rPr>
          <w:i/>
          <w:iCs/>
          <w:noProof/>
        </w:rPr>
        <w:t>Alternative Respiratory Pathways in Higher Plants</w:t>
      </w:r>
      <w:r w:rsidRPr="003435B5">
        <w:rPr>
          <w:noProof/>
        </w:rPr>
        <w:t>. (May), 267–272, doi: 10.1002/9781118789971.ch15 (2015).</w:t>
      </w:r>
    </w:p>
    <w:p w14:paraId="3DA10AC5" w14:textId="77777777" w:rsidR="00D158C9" w:rsidRPr="003435B5" w:rsidRDefault="00D158C9" w:rsidP="003435B5">
      <w:pPr>
        <w:autoSpaceDE w:val="0"/>
        <w:autoSpaceDN w:val="0"/>
        <w:adjustRightInd w:val="0"/>
        <w:contextualSpacing/>
        <w:rPr>
          <w:noProof/>
        </w:rPr>
      </w:pPr>
      <w:r w:rsidRPr="003435B5">
        <w:rPr>
          <w:noProof/>
        </w:rPr>
        <w:t>24.</w:t>
      </w:r>
      <w:r w:rsidRPr="003435B5">
        <w:rPr>
          <w:noProof/>
        </w:rPr>
        <w:tab/>
        <w:t xml:space="preserve">Fernandez-Ayala, D.J.M. </w:t>
      </w:r>
      <w:r w:rsidRPr="003435B5">
        <w:rPr>
          <w:i/>
          <w:iCs/>
          <w:noProof/>
        </w:rPr>
        <w:t>et al.</w:t>
      </w:r>
      <w:r w:rsidRPr="003435B5">
        <w:rPr>
          <w:noProof/>
        </w:rPr>
        <w:t xml:space="preserve"> Expression of the Ciona intestinalis Alternative Oxidase (AOX) in Drosophila Complements Defects in Mitochondrial Oxidative Phosphorylation. </w:t>
      </w:r>
      <w:r w:rsidRPr="003435B5">
        <w:rPr>
          <w:i/>
          <w:iCs/>
          <w:noProof/>
        </w:rPr>
        <w:t>Cell Metabolism</w:t>
      </w:r>
      <w:r w:rsidRPr="003435B5">
        <w:rPr>
          <w:noProof/>
        </w:rPr>
        <w:t xml:space="preserve">. </w:t>
      </w:r>
      <w:r w:rsidRPr="003435B5">
        <w:rPr>
          <w:b/>
          <w:bCs/>
          <w:noProof/>
        </w:rPr>
        <w:t>9</w:t>
      </w:r>
      <w:r w:rsidRPr="003435B5">
        <w:rPr>
          <w:noProof/>
        </w:rPr>
        <w:t xml:space="preserve"> (5), 449–460, doi: 10.1016/j.cmet.2009.03.004 (2009).</w:t>
      </w:r>
    </w:p>
    <w:p w14:paraId="66270C91" w14:textId="77777777" w:rsidR="00D158C9" w:rsidRPr="003435B5" w:rsidRDefault="00D158C9" w:rsidP="003435B5">
      <w:pPr>
        <w:autoSpaceDE w:val="0"/>
        <w:autoSpaceDN w:val="0"/>
        <w:adjustRightInd w:val="0"/>
        <w:contextualSpacing/>
        <w:rPr>
          <w:noProof/>
        </w:rPr>
      </w:pPr>
      <w:r w:rsidRPr="003435B5">
        <w:rPr>
          <w:noProof/>
        </w:rPr>
        <w:t>25.</w:t>
      </w:r>
      <w:r w:rsidRPr="003435B5">
        <w:rPr>
          <w:noProof/>
        </w:rPr>
        <w:tab/>
        <w:t xml:space="preserve">Kemppainen, K.K. </w:t>
      </w:r>
      <w:r w:rsidRPr="003435B5">
        <w:rPr>
          <w:i/>
          <w:iCs/>
          <w:noProof/>
        </w:rPr>
        <w:t>et al.</w:t>
      </w:r>
      <w:r w:rsidRPr="003435B5">
        <w:rPr>
          <w:noProof/>
        </w:rPr>
        <w:t xml:space="preserve"> Expression of alternative oxidase in Drosophila ameliorates diverse phenotypes due to cytochrome oxidase deficiency. </w:t>
      </w:r>
      <w:r w:rsidRPr="003435B5">
        <w:rPr>
          <w:i/>
          <w:iCs/>
          <w:noProof/>
        </w:rPr>
        <w:t>Human Molecular Genetics</w:t>
      </w:r>
      <w:r w:rsidRPr="003435B5">
        <w:rPr>
          <w:noProof/>
        </w:rPr>
        <w:t xml:space="preserve">. </w:t>
      </w:r>
      <w:r w:rsidRPr="003435B5">
        <w:rPr>
          <w:b/>
          <w:bCs/>
          <w:noProof/>
        </w:rPr>
        <w:t>23</w:t>
      </w:r>
      <w:r w:rsidRPr="003435B5">
        <w:rPr>
          <w:noProof/>
        </w:rPr>
        <w:t xml:space="preserve"> (8), 2078–2093, doi: 10.1093/hmg/ddt601 (2014).</w:t>
      </w:r>
    </w:p>
    <w:p w14:paraId="031A1130" w14:textId="77777777" w:rsidR="00D158C9" w:rsidRPr="003435B5" w:rsidRDefault="00D158C9" w:rsidP="003435B5">
      <w:pPr>
        <w:autoSpaceDE w:val="0"/>
        <w:autoSpaceDN w:val="0"/>
        <w:adjustRightInd w:val="0"/>
        <w:contextualSpacing/>
        <w:rPr>
          <w:noProof/>
        </w:rPr>
      </w:pPr>
      <w:r w:rsidRPr="003435B5">
        <w:rPr>
          <w:noProof/>
        </w:rPr>
        <w:t>26.</w:t>
      </w:r>
      <w:r w:rsidRPr="003435B5">
        <w:rPr>
          <w:noProof/>
        </w:rPr>
        <w:tab/>
        <w:t xml:space="preserve">Andjeiković, A., Kemppainen, K.K., Jacobs, H.T. Ligand-bound geneswitch causes developmental aberrations in drosophila that are alleviated by the alternative oxidase. </w:t>
      </w:r>
      <w:r w:rsidRPr="003435B5">
        <w:rPr>
          <w:i/>
          <w:iCs/>
          <w:noProof/>
        </w:rPr>
        <w:t>G3: Genes, Genomes, Genetics</w:t>
      </w:r>
      <w:r w:rsidRPr="003435B5">
        <w:rPr>
          <w:noProof/>
        </w:rPr>
        <w:t xml:space="preserve">. </w:t>
      </w:r>
      <w:r w:rsidRPr="003435B5">
        <w:rPr>
          <w:b/>
          <w:bCs/>
          <w:noProof/>
        </w:rPr>
        <w:t>6</w:t>
      </w:r>
      <w:r w:rsidRPr="003435B5">
        <w:rPr>
          <w:noProof/>
        </w:rPr>
        <w:t xml:space="preserve"> (9), 2839–2846, doi: 10.1534/g3.116.030882 (2016).</w:t>
      </w:r>
    </w:p>
    <w:p w14:paraId="1A12113E" w14:textId="77777777" w:rsidR="00D158C9" w:rsidRPr="003435B5" w:rsidRDefault="00D158C9" w:rsidP="003435B5">
      <w:pPr>
        <w:autoSpaceDE w:val="0"/>
        <w:autoSpaceDN w:val="0"/>
        <w:adjustRightInd w:val="0"/>
        <w:contextualSpacing/>
        <w:rPr>
          <w:noProof/>
          <w:lang w:val="pt-BR"/>
        </w:rPr>
      </w:pPr>
      <w:r w:rsidRPr="003435B5">
        <w:rPr>
          <w:noProof/>
        </w:rPr>
        <w:t>27.</w:t>
      </w:r>
      <w:r w:rsidRPr="003435B5">
        <w:rPr>
          <w:noProof/>
        </w:rPr>
        <w:tab/>
        <w:t xml:space="preserve">Hakkaart, G.A.J., Dassa, E.P.E.P., Jacobs, H.T., Rustin, P. Allotopic expression of a mitochondrial alternative oxidase confers cyanide resistance to human cell respiration. </w:t>
      </w:r>
      <w:r w:rsidRPr="003435B5">
        <w:rPr>
          <w:i/>
          <w:iCs/>
          <w:noProof/>
          <w:lang w:val="pt-BR"/>
        </w:rPr>
        <w:t>EMBO Reports</w:t>
      </w:r>
      <w:r w:rsidRPr="003435B5">
        <w:rPr>
          <w:noProof/>
          <w:lang w:val="pt-BR"/>
        </w:rPr>
        <w:t xml:space="preserve">. </w:t>
      </w:r>
      <w:r w:rsidRPr="003435B5">
        <w:rPr>
          <w:b/>
          <w:bCs/>
          <w:noProof/>
          <w:lang w:val="pt-BR"/>
        </w:rPr>
        <w:t>7</w:t>
      </w:r>
      <w:r w:rsidRPr="003435B5">
        <w:rPr>
          <w:noProof/>
          <w:lang w:val="pt-BR"/>
        </w:rPr>
        <w:t xml:space="preserve"> (3), 341–345, doi: 10.1038/sj.embor.7400601 (2006).</w:t>
      </w:r>
    </w:p>
    <w:p w14:paraId="422C30D9" w14:textId="77777777" w:rsidR="00D158C9" w:rsidRPr="003435B5" w:rsidRDefault="00D158C9" w:rsidP="003435B5">
      <w:pPr>
        <w:autoSpaceDE w:val="0"/>
        <w:autoSpaceDN w:val="0"/>
        <w:adjustRightInd w:val="0"/>
        <w:contextualSpacing/>
        <w:rPr>
          <w:noProof/>
        </w:rPr>
      </w:pPr>
      <w:r w:rsidRPr="003435B5">
        <w:rPr>
          <w:noProof/>
          <w:lang w:val="pt-BR"/>
        </w:rPr>
        <w:t>28.</w:t>
      </w:r>
      <w:r w:rsidRPr="003435B5">
        <w:rPr>
          <w:noProof/>
          <w:lang w:val="pt-BR"/>
        </w:rPr>
        <w:tab/>
        <w:t xml:space="preserve">Dassa, E.P. </w:t>
      </w:r>
      <w:r w:rsidRPr="003435B5">
        <w:rPr>
          <w:i/>
          <w:iCs/>
          <w:noProof/>
          <w:lang w:val="pt-BR"/>
        </w:rPr>
        <w:t>et al.</w:t>
      </w:r>
      <w:r w:rsidRPr="003435B5">
        <w:rPr>
          <w:noProof/>
          <w:lang w:val="pt-BR"/>
        </w:rPr>
        <w:t xml:space="preserve"> </w:t>
      </w:r>
      <w:r w:rsidRPr="003435B5">
        <w:rPr>
          <w:noProof/>
        </w:rPr>
        <w:t xml:space="preserve">Expression of the alternative oxidase complements cytochrome c oxidase deficiency in human cells. </w:t>
      </w:r>
      <w:r w:rsidRPr="003435B5">
        <w:rPr>
          <w:i/>
          <w:iCs/>
          <w:noProof/>
        </w:rPr>
        <w:t>EMBO Molecular Medicine</w:t>
      </w:r>
      <w:r w:rsidRPr="003435B5">
        <w:rPr>
          <w:noProof/>
        </w:rPr>
        <w:t xml:space="preserve">. </w:t>
      </w:r>
      <w:r w:rsidRPr="003435B5">
        <w:rPr>
          <w:b/>
          <w:bCs/>
          <w:noProof/>
        </w:rPr>
        <w:t>1</w:t>
      </w:r>
      <w:r w:rsidRPr="003435B5">
        <w:rPr>
          <w:noProof/>
        </w:rPr>
        <w:t xml:space="preserve"> (1), 30–36, doi: 10.1002/emmm.200900001 (2009).</w:t>
      </w:r>
    </w:p>
    <w:p w14:paraId="345ABD97" w14:textId="77777777" w:rsidR="00D158C9" w:rsidRPr="003435B5" w:rsidRDefault="00D158C9" w:rsidP="003435B5">
      <w:pPr>
        <w:autoSpaceDE w:val="0"/>
        <w:autoSpaceDN w:val="0"/>
        <w:adjustRightInd w:val="0"/>
        <w:contextualSpacing/>
        <w:rPr>
          <w:noProof/>
        </w:rPr>
      </w:pPr>
      <w:r w:rsidRPr="003435B5">
        <w:rPr>
          <w:noProof/>
        </w:rPr>
        <w:t>29.</w:t>
      </w:r>
      <w:r w:rsidRPr="003435B5">
        <w:rPr>
          <w:noProof/>
        </w:rPr>
        <w:tab/>
        <w:t xml:space="preserve">Szibor, M. </w:t>
      </w:r>
      <w:r w:rsidRPr="003435B5">
        <w:rPr>
          <w:i/>
          <w:iCs/>
          <w:noProof/>
        </w:rPr>
        <w:t>et al.</w:t>
      </w:r>
      <w:r w:rsidRPr="003435B5">
        <w:rPr>
          <w:noProof/>
        </w:rPr>
        <w:t xml:space="preserve"> Broad AOX expression in a genetically tractable mouse model does not disturb normal physiology. </w:t>
      </w:r>
      <w:r w:rsidRPr="003435B5">
        <w:rPr>
          <w:i/>
          <w:iCs/>
          <w:noProof/>
        </w:rPr>
        <w:t>DMM Disease Models and Mechanisms</w:t>
      </w:r>
      <w:r w:rsidRPr="003435B5">
        <w:rPr>
          <w:noProof/>
        </w:rPr>
        <w:t xml:space="preserve">. </w:t>
      </w:r>
      <w:r w:rsidRPr="003435B5">
        <w:rPr>
          <w:b/>
          <w:bCs/>
          <w:noProof/>
        </w:rPr>
        <w:t>10</w:t>
      </w:r>
      <w:r w:rsidRPr="003435B5">
        <w:rPr>
          <w:noProof/>
        </w:rPr>
        <w:t xml:space="preserve"> (2), 163–171, doi: 10.1242/dmm.027839 (2017).</w:t>
      </w:r>
    </w:p>
    <w:p w14:paraId="18280BA5" w14:textId="77777777" w:rsidR="00D158C9" w:rsidRPr="003435B5" w:rsidRDefault="00D158C9" w:rsidP="003435B5">
      <w:pPr>
        <w:autoSpaceDE w:val="0"/>
        <w:autoSpaceDN w:val="0"/>
        <w:adjustRightInd w:val="0"/>
        <w:contextualSpacing/>
        <w:rPr>
          <w:noProof/>
        </w:rPr>
      </w:pPr>
      <w:r w:rsidRPr="003435B5">
        <w:rPr>
          <w:noProof/>
        </w:rPr>
        <w:t>30.</w:t>
      </w:r>
      <w:r w:rsidRPr="003435B5">
        <w:rPr>
          <w:noProof/>
        </w:rPr>
        <w:tab/>
        <w:t xml:space="preserve">El-Khoury, R., Kaulio, E., Lassila, K.A., Crowther, D.C., Jacobs, H.T., Rustin, P. Expression of the alternative oxidase mitigates beta-amyloid production and toxicity in model systems. </w:t>
      </w:r>
      <w:r w:rsidRPr="003435B5">
        <w:rPr>
          <w:i/>
          <w:iCs/>
          <w:noProof/>
        </w:rPr>
        <w:t>Free Radical Biology and Medicine</w:t>
      </w:r>
      <w:r w:rsidRPr="003435B5">
        <w:rPr>
          <w:noProof/>
        </w:rPr>
        <w:t xml:space="preserve">. </w:t>
      </w:r>
      <w:r w:rsidRPr="003435B5">
        <w:rPr>
          <w:b/>
          <w:bCs/>
          <w:noProof/>
        </w:rPr>
        <w:t>96</w:t>
      </w:r>
      <w:r w:rsidRPr="003435B5">
        <w:rPr>
          <w:noProof/>
        </w:rPr>
        <w:t>, 57–66, doi: 10.1016/j.freeradbiomed.2016.04.006 (2016).</w:t>
      </w:r>
    </w:p>
    <w:p w14:paraId="53537ED9" w14:textId="77777777" w:rsidR="00D158C9" w:rsidRPr="003435B5" w:rsidRDefault="00D158C9" w:rsidP="003435B5">
      <w:pPr>
        <w:autoSpaceDE w:val="0"/>
        <w:autoSpaceDN w:val="0"/>
        <w:adjustRightInd w:val="0"/>
        <w:contextualSpacing/>
        <w:rPr>
          <w:noProof/>
        </w:rPr>
      </w:pPr>
      <w:r w:rsidRPr="003435B5">
        <w:rPr>
          <w:noProof/>
        </w:rPr>
        <w:t>31.</w:t>
      </w:r>
      <w:r w:rsidRPr="003435B5">
        <w:rPr>
          <w:noProof/>
        </w:rPr>
        <w:tab/>
        <w:t xml:space="preserve">Mills, E.L. </w:t>
      </w:r>
      <w:r w:rsidRPr="003435B5">
        <w:rPr>
          <w:i/>
          <w:iCs/>
          <w:noProof/>
        </w:rPr>
        <w:t>et al.</w:t>
      </w:r>
      <w:r w:rsidRPr="003435B5">
        <w:rPr>
          <w:noProof/>
        </w:rPr>
        <w:t xml:space="preserve"> Succinate Dehydrogenase Supports Metabolic Repurposing of Mitochondria to Drive Inflammatory Macrophages. </w:t>
      </w:r>
      <w:r w:rsidRPr="003435B5">
        <w:rPr>
          <w:i/>
          <w:iCs/>
          <w:noProof/>
        </w:rPr>
        <w:t>Cell</w:t>
      </w:r>
      <w:r w:rsidRPr="003435B5">
        <w:rPr>
          <w:noProof/>
        </w:rPr>
        <w:t xml:space="preserve">. </w:t>
      </w:r>
      <w:r w:rsidRPr="003435B5">
        <w:rPr>
          <w:b/>
          <w:bCs/>
          <w:noProof/>
        </w:rPr>
        <w:t>167</w:t>
      </w:r>
      <w:r w:rsidRPr="003435B5">
        <w:rPr>
          <w:noProof/>
        </w:rPr>
        <w:t xml:space="preserve"> (2), 457-470.e13, doi: 10.1016/j.cell.2016.08.064 (2016).</w:t>
      </w:r>
    </w:p>
    <w:p w14:paraId="453636BB" w14:textId="77777777" w:rsidR="00D158C9" w:rsidRPr="003435B5" w:rsidRDefault="00D158C9" w:rsidP="003435B5">
      <w:pPr>
        <w:autoSpaceDE w:val="0"/>
        <w:autoSpaceDN w:val="0"/>
        <w:adjustRightInd w:val="0"/>
        <w:contextualSpacing/>
        <w:rPr>
          <w:noProof/>
        </w:rPr>
      </w:pPr>
      <w:r w:rsidRPr="003435B5">
        <w:rPr>
          <w:noProof/>
        </w:rPr>
        <w:t>32.</w:t>
      </w:r>
      <w:r w:rsidRPr="003435B5">
        <w:rPr>
          <w:noProof/>
        </w:rPr>
        <w:tab/>
        <w:t xml:space="preserve">Giordano, L. </w:t>
      </w:r>
      <w:r w:rsidRPr="003435B5">
        <w:rPr>
          <w:i/>
          <w:iCs/>
          <w:noProof/>
        </w:rPr>
        <w:t>et al.</w:t>
      </w:r>
      <w:r w:rsidRPr="003435B5">
        <w:rPr>
          <w:noProof/>
        </w:rPr>
        <w:t xml:space="preserve"> Alternative Oxidase Attenuates Cigarette Smoke–induced Lung Dysfunction and Tissue Damage. </w:t>
      </w:r>
      <w:r w:rsidRPr="003435B5">
        <w:rPr>
          <w:i/>
          <w:iCs/>
          <w:noProof/>
        </w:rPr>
        <w:t>American Journal of Respiratory Cell and Molecular Biology</w:t>
      </w:r>
      <w:r w:rsidRPr="003435B5">
        <w:rPr>
          <w:noProof/>
        </w:rPr>
        <w:t xml:space="preserve">. </w:t>
      </w:r>
      <w:r w:rsidRPr="003435B5">
        <w:rPr>
          <w:b/>
          <w:bCs/>
          <w:noProof/>
        </w:rPr>
        <w:t>60</w:t>
      </w:r>
      <w:r w:rsidRPr="003435B5">
        <w:rPr>
          <w:noProof/>
        </w:rPr>
        <w:t xml:space="preserve"> (5), 515–522, doi: 10.1165/rcmb.2018-0261OC (2019).</w:t>
      </w:r>
    </w:p>
    <w:p w14:paraId="4BDE6CFD" w14:textId="77777777" w:rsidR="00D158C9" w:rsidRPr="003435B5" w:rsidRDefault="00D158C9" w:rsidP="003435B5">
      <w:pPr>
        <w:autoSpaceDE w:val="0"/>
        <w:autoSpaceDN w:val="0"/>
        <w:adjustRightInd w:val="0"/>
        <w:contextualSpacing/>
        <w:rPr>
          <w:noProof/>
        </w:rPr>
      </w:pPr>
      <w:r w:rsidRPr="003435B5">
        <w:rPr>
          <w:noProof/>
          <w:lang w:val="pt-BR"/>
        </w:rPr>
        <w:t>33.</w:t>
      </w:r>
      <w:r w:rsidRPr="003435B5">
        <w:rPr>
          <w:noProof/>
          <w:lang w:val="pt-BR"/>
        </w:rPr>
        <w:tab/>
        <w:t xml:space="preserve">Camargo, A.F. </w:t>
      </w:r>
      <w:r w:rsidRPr="003435B5">
        <w:rPr>
          <w:i/>
          <w:iCs/>
          <w:noProof/>
          <w:lang w:val="pt-BR"/>
        </w:rPr>
        <w:t>et al.</w:t>
      </w:r>
      <w:r w:rsidRPr="003435B5">
        <w:rPr>
          <w:noProof/>
          <w:lang w:val="pt-BR"/>
        </w:rPr>
        <w:t xml:space="preserve"> </w:t>
      </w:r>
      <w:r w:rsidRPr="003435B5">
        <w:rPr>
          <w:noProof/>
        </w:rPr>
        <w:t xml:space="preserve">Xenotopic expression of alternative electron transport enzymes in animal mitochondria and their impact in health and disease. </w:t>
      </w:r>
      <w:r w:rsidRPr="003435B5">
        <w:rPr>
          <w:i/>
          <w:iCs/>
          <w:noProof/>
        </w:rPr>
        <w:t>Cell biology international</w:t>
      </w:r>
      <w:r w:rsidRPr="003435B5">
        <w:rPr>
          <w:noProof/>
        </w:rPr>
        <w:t xml:space="preserve">. </w:t>
      </w:r>
      <w:r w:rsidRPr="003435B5">
        <w:rPr>
          <w:b/>
          <w:bCs/>
          <w:noProof/>
        </w:rPr>
        <w:t>42</w:t>
      </w:r>
      <w:r w:rsidRPr="003435B5">
        <w:rPr>
          <w:noProof/>
        </w:rPr>
        <w:t xml:space="preserve"> (6), 664–669, doi: 10.1002/cbin.10943 (2018).</w:t>
      </w:r>
    </w:p>
    <w:p w14:paraId="2F080392" w14:textId="77777777" w:rsidR="00D158C9" w:rsidRPr="003435B5" w:rsidRDefault="00D158C9" w:rsidP="003435B5">
      <w:pPr>
        <w:autoSpaceDE w:val="0"/>
        <w:autoSpaceDN w:val="0"/>
        <w:adjustRightInd w:val="0"/>
        <w:contextualSpacing/>
        <w:rPr>
          <w:noProof/>
        </w:rPr>
      </w:pPr>
      <w:r w:rsidRPr="003435B5">
        <w:rPr>
          <w:noProof/>
        </w:rPr>
        <w:t>34.</w:t>
      </w:r>
      <w:r w:rsidRPr="003435B5">
        <w:rPr>
          <w:noProof/>
        </w:rPr>
        <w:tab/>
        <w:t xml:space="preserve">Saari, S. </w:t>
      </w:r>
      <w:r w:rsidRPr="003435B5">
        <w:rPr>
          <w:i/>
          <w:iCs/>
          <w:noProof/>
        </w:rPr>
        <w:t>et al.</w:t>
      </w:r>
      <w:r w:rsidRPr="003435B5">
        <w:rPr>
          <w:noProof/>
        </w:rPr>
        <w:t xml:space="preserve"> Alternative respiratory chain enzymes: Therapeutic potential and possible pitfalls. </w:t>
      </w:r>
      <w:r w:rsidRPr="003435B5">
        <w:rPr>
          <w:i/>
          <w:iCs/>
          <w:noProof/>
        </w:rPr>
        <w:t>Biochimica et Biophysica Acta - Molecular Basis of Disease</w:t>
      </w:r>
      <w:r w:rsidRPr="003435B5">
        <w:rPr>
          <w:noProof/>
        </w:rPr>
        <w:t xml:space="preserve">. </w:t>
      </w:r>
      <w:r w:rsidRPr="003435B5">
        <w:rPr>
          <w:b/>
          <w:bCs/>
          <w:noProof/>
        </w:rPr>
        <w:t>1865</w:t>
      </w:r>
      <w:r w:rsidRPr="003435B5">
        <w:rPr>
          <w:noProof/>
        </w:rPr>
        <w:t xml:space="preserve"> (4), 854–866, doi: 10.1016/j.bbadis.2018.10.012 (2019).</w:t>
      </w:r>
    </w:p>
    <w:p w14:paraId="617DD3D3" w14:textId="122C64D7" w:rsidR="00D158C9" w:rsidRPr="003435B5" w:rsidRDefault="00D158C9" w:rsidP="003435B5">
      <w:pPr>
        <w:autoSpaceDE w:val="0"/>
        <w:autoSpaceDN w:val="0"/>
        <w:adjustRightInd w:val="0"/>
        <w:contextualSpacing/>
        <w:rPr>
          <w:noProof/>
        </w:rPr>
      </w:pPr>
      <w:r w:rsidRPr="003435B5">
        <w:rPr>
          <w:noProof/>
        </w:rPr>
        <w:t>35.</w:t>
      </w:r>
      <w:r w:rsidRPr="003435B5">
        <w:rPr>
          <w:noProof/>
        </w:rPr>
        <w:tab/>
        <w:t>&lt;https://www.instructables.com/Building-a-Prusa-I3-3D-Printer-Revisited/&gt;.</w:t>
      </w:r>
    </w:p>
    <w:p w14:paraId="3334330C" w14:textId="61E605B1" w:rsidR="00D158C9" w:rsidRPr="003435B5" w:rsidRDefault="00D158C9" w:rsidP="003435B5">
      <w:pPr>
        <w:autoSpaceDE w:val="0"/>
        <w:autoSpaceDN w:val="0"/>
        <w:adjustRightInd w:val="0"/>
        <w:contextualSpacing/>
        <w:rPr>
          <w:noProof/>
        </w:rPr>
      </w:pPr>
      <w:r w:rsidRPr="003435B5">
        <w:rPr>
          <w:noProof/>
        </w:rPr>
        <w:t>36.</w:t>
      </w:r>
      <w:r w:rsidRPr="003435B5">
        <w:rPr>
          <w:noProof/>
        </w:rPr>
        <w:tab/>
        <w:t>&lt;https://www.tinkercad.com/&gt;.</w:t>
      </w:r>
    </w:p>
    <w:p w14:paraId="749734B0" w14:textId="011A5702" w:rsidR="00D158C9" w:rsidRPr="003435B5" w:rsidRDefault="00D158C9" w:rsidP="003435B5">
      <w:pPr>
        <w:autoSpaceDE w:val="0"/>
        <w:autoSpaceDN w:val="0"/>
        <w:adjustRightInd w:val="0"/>
        <w:contextualSpacing/>
        <w:rPr>
          <w:noProof/>
        </w:rPr>
      </w:pPr>
      <w:r w:rsidRPr="003435B5">
        <w:rPr>
          <w:noProof/>
        </w:rPr>
        <w:t>37.</w:t>
      </w:r>
      <w:r w:rsidRPr="003435B5">
        <w:rPr>
          <w:noProof/>
        </w:rPr>
        <w:tab/>
        <w:t>&lt;https://www.repetier.com/&gt;.</w:t>
      </w:r>
    </w:p>
    <w:p w14:paraId="67CD4244" w14:textId="53876237" w:rsidR="00D158C9" w:rsidRPr="003435B5" w:rsidRDefault="00D158C9" w:rsidP="003435B5">
      <w:pPr>
        <w:autoSpaceDE w:val="0"/>
        <w:autoSpaceDN w:val="0"/>
        <w:adjustRightInd w:val="0"/>
        <w:contextualSpacing/>
        <w:rPr>
          <w:noProof/>
        </w:rPr>
      </w:pPr>
      <w:r w:rsidRPr="003435B5">
        <w:rPr>
          <w:noProof/>
        </w:rPr>
        <w:t>38.</w:t>
      </w:r>
      <w:r w:rsidRPr="003435B5">
        <w:rPr>
          <w:noProof/>
        </w:rPr>
        <w:tab/>
        <w:t>&lt;https://www.tinkercad.com/login&gt;.</w:t>
      </w:r>
    </w:p>
    <w:p w14:paraId="48740E22" w14:textId="17DF1EF8" w:rsidR="00D158C9" w:rsidRPr="003435B5" w:rsidRDefault="00D158C9" w:rsidP="003435B5">
      <w:pPr>
        <w:autoSpaceDE w:val="0"/>
        <w:autoSpaceDN w:val="0"/>
        <w:adjustRightInd w:val="0"/>
        <w:contextualSpacing/>
        <w:rPr>
          <w:noProof/>
        </w:rPr>
      </w:pPr>
      <w:r w:rsidRPr="003435B5">
        <w:rPr>
          <w:noProof/>
        </w:rPr>
        <w:t>39.</w:t>
      </w:r>
      <w:r w:rsidRPr="003435B5">
        <w:rPr>
          <w:noProof/>
        </w:rPr>
        <w:tab/>
        <w:t>&lt;https://knowledge.autodesk.com/support/revit-products/learn explore/caas/CloudHelp/cloudhelp/2016/ENU/Revit-Model/files/GUID-B89AD692-C705-458F-A638-EE7DD83D694C-htm.html&gt;.</w:t>
      </w:r>
    </w:p>
    <w:p w14:paraId="274F099E" w14:textId="77777777" w:rsidR="00D158C9" w:rsidRPr="003435B5" w:rsidRDefault="00D158C9" w:rsidP="003435B5">
      <w:pPr>
        <w:autoSpaceDE w:val="0"/>
        <w:autoSpaceDN w:val="0"/>
        <w:adjustRightInd w:val="0"/>
        <w:contextualSpacing/>
        <w:rPr>
          <w:noProof/>
        </w:rPr>
      </w:pPr>
      <w:r w:rsidRPr="003435B5">
        <w:rPr>
          <w:noProof/>
        </w:rPr>
        <w:lastRenderedPageBreak/>
        <w:t>40.</w:t>
      </w:r>
      <w:r w:rsidRPr="003435B5">
        <w:rPr>
          <w:noProof/>
        </w:rPr>
        <w:tab/>
        <w:t xml:space="preserve">Koemans, T.S. </w:t>
      </w:r>
      <w:r w:rsidRPr="003435B5">
        <w:rPr>
          <w:i/>
          <w:iCs/>
          <w:noProof/>
        </w:rPr>
        <w:t>et al.</w:t>
      </w:r>
      <w:r w:rsidRPr="003435B5">
        <w:rPr>
          <w:noProof/>
        </w:rPr>
        <w:t xml:space="preserve"> Drosophila courtship conditioning as a measure of learning and memory. </w:t>
      </w:r>
      <w:r w:rsidRPr="003435B5">
        <w:rPr>
          <w:i/>
          <w:iCs/>
          <w:noProof/>
        </w:rPr>
        <w:t>Journal of Visualized Experiments</w:t>
      </w:r>
      <w:r w:rsidRPr="003435B5">
        <w:rPr>
          <w:noProof/>
        </w:rPr>
        <w:t xml:space="preserve">. </w:t>
      </w:r>
      <w:r w:rsidRPr="003435B5">
        <w:rPr>
          <w:b/>
          <w:bCs/>
          <w:noProof/>
        </w:rPr>
        <w:t>2017</w:t>
      </w:r>
      <w:r w:rsidRPr="003435B5">
        <w:rPr>
          <w:noProof/>
        </w:rPr>
        <w:t xml:space="preserve"> (124), 55808, doi: 10.3791/55808 (2017).</w:t>
      </w:r>
    </w:p>
    <w:p w14:paraId="1E30AF05" w14:textId="77777777" w:rsidR="00D158C9" w:rsidRPr="003435B5" w:rsidRDefault="00D158C9" w:rsidP="003435B5">
      <w:pPr>
        <w:autoSpaceDE w:val="0"/>
        <w:autoSpaceDN w:val="0"/>
        <w:adjustRightInd w:val="0"/>
        <w:contextualSpacing/>
        <w:rPr>
          <w:noProof/>
        </w:rPr>
      </w:pPr>
      <w:r w:rsidRPr="003435B5">
        <w:rPr>
          <w:noProof/>
        </w:rPr>
        <w:t>41.</w:t>
      </w:r>
      <w:r w:rsidRPr="003435B5">
        <w:rPr>
          <w:noProof/>
        </w:rPr>
        <w:tab/>
        <w:t xml:space="preserve">Ali, Y.O., Escala, W., Ruan, K., Zhai, R.G. Assaying locomotor, learning, and memory deficits in Drosophila models of neurodegeneration. </w:t>
      </w:r>
      <w:r w:rsidRPr="003435B5">
        <w:rPr>
          <w:i/>
          <w:iCs/>
          <w:noProof/>
        </w:rPr>
        <w:t>Journal of Visualized Experiments</w:t>
      </w:r>
      <w:r w:rsidRPr="003435B5">
        <w:rPr>
          <w:noProof/>
        </w:rPr>
        <w:t>. (49), doi: 10.3791/2504 (2011).</w:t>
      </w:r>
    </w:p>
    <w:p w14:paraId="4CB70445" w14:textId="77777777" w:rsidR="00D158C9" w:rsidRPr="003435B5" w:rsidRDefault="00D158C9" w:rsidP="003435B5">
      <w:pPr>
        <w:autoSpaceDE w:val="0"/>
        <w:autoSpaceDN w:val="0"/>
        <w:adjustRightInd w:val="0"/>
        <w:contextualSpacing/>
        <w:rPr>
          <w:noProof/>
        </w:rPr>
      </w:pPr>
      <w:r w:rsidRPr="003435B5">
        <w:rPr>
          <w:noProof/>
        </w:rPr>
        <w:t>42.</w:t>
      </w:r>
      <w:r w:rsidRPr="003435B5">
        <w:rPr>
          <w:noProof/>
        </w:rPr>
        <w:tab/>
        <w:t xml:space="preserve">Nichols, C.D., Becnel, J., Pandey, U.B. Methods to assay Drosophila behavior. </w:t>
      </w:r>
      <w:r w:rsidRPr="003435B5">
        <w:rPr>
          <w:i/>
          <w:iCs/>
          <w:noProof/>
        </w:rPr>
        <w:t>Journal of visualized experiments : JoVE</w:t>
      </w:r>
      <w:r w:rsidRPr="003435B5">
        <w:rPr>
          <w:noProof/>
        </w:rPr>
        <w:t xml:space="preserve">. </w:t>
      </w:r>
      <w:r w:rsidRPr="003435B5">
        <w:rPr>
          <w:b/>
          <w:bCs/>
          <w:noProof/>
        </w:rPr>
        <w:t>61</w:t>
      </w:r>
      <w:r w:rsidRPr="003435B5">
        <w:rPr>
          <w:noProof/>
        </w:rPr>
        <w:t xml:space="preserve"> (e3795), doi: 10.3791/3795 (2012).</w:t>
      </w:r>
    </w:p>
    <w:p w14:paraId="242BA069" w14:textId="7D271687" w:rsidR="00D158C9" w:rsidRPr="003435B5" w:rsidRDefault="00D158C9" w:rsidP="003435B5">
      <w:pPr>
        <w:autoSpaceDE w:val="0"/>
        <w:autoSpaceDN w:val="0"/>
        <w:adjustRightInd w:val="0"/>
        <w:contextualSpacing/>
        <w:rPr>
          <w:noProof/>
        </w:rPr>
      </w:pPr>
      <w:r w:rsidRPr="003435B5">
        <w:rPr>
          <w:noProof/>
        </w:rPr>
        <w:t>43.</w:t>
      </w:r>
      <w:r w:rsidRPr="003435B5">
        <w:rPr>
          <w:noProof/>
        </w:rPr>
        <w:tab/>
        <w:t>&lt;https://www.oroboros.at/&gt;.</w:t>
      </w:r>
    </w:p>
    <w:p w14:paraId="38B5B1B7" w14:textId="77777777" w:rsidR="00D158C9" w:rsidRPr="003435B5" w:rsidRDefault="00D158C9" w:rsidP="003435B5">
      <w:pPr>
        <w:autoSpaceDE w:val="0"/>
        <w:autoSpaceDN w:val="0"/>
        <w:adjustRightInd w:val="0"/>
        <w:contextualSpacing/>
        <w:rPr>
          <w:noProof/>
        </w:rPr>
      </w:pPr>
      <w:r w:rsidRPr="003435B5">
        <w:rPr>
          <w:noProof/>
        </w:rPr>
        <w:t>44.</w:t>
      </w:r>
      <w:r w:rsidRPr="003435B5">
        <w:rPr>
          <w:noProof/>
        </w:rPr>
        <w:tab/>
        <w:t xml:space="preserve">Bradford, M.M. A rapid and sensitive method for the quantitation of microgram quantities of protein utilizing the principle of protein-dye binding. </w:t>
      </w:r>
      <w:r w:rsidRPr="003435B5">
        <w:rPr>
          <w:i/>
          <w:iCs/>
          <w:noProof/>
        </w:rPr>
        <w:t>Analytical Biochemistry</w:t>
      </w:r>
      <w:r w:rsidRPr="003435B5">
        <w:rPr>
          <w:noProof/>
        </w:rPr>
        <w:t xml:space="preserve">. </w:t>
      </w:r>
      <w:r w:rsidRPr="003435B5">
        <w:rPr>
          <w:b/>
          <w:bCs/>
          <w:noProof/>
        </w:rPr>
        <w:t>72</w:t>
      </w:r>
      <w:r w:rsidRPr="003435B5">
        <w:rPr>
          <w:noProof/>
        </w:rPr>
        <w:t xml:space="preserve"> (1–2), 248–254, doi: 10.1016/0003-2697(76)90527-3 (1976).</w:t>
      </w:r>
    </w:p>
    <w:p w14:paraId="2D6F7D97" w14:textId="76F6B4A6" w:rsidR="00D158C9" w:rsidRPr="003435B5" w:rsidRDefault="00D158C9" w:rsidP="003435B5">
      <w:pPr>
        <w:autoSpaceDE w:val="0"/>
        <w:autoSpaceDN w:val="0"/>
        <w:adjustRightInd w:val="0"/>
        <w:contextualSpacing/>
        <w:rPr>
          <w:noProof/>
        </w:rPr>
      </w:pPr>
      <w:r w:rsidRPr="003435B5">
        <w:rPr>
          <w:noProof/>
        </w:rPr>
        <w:t>45.</w:t>
      </w:r>
      <w:r w:rsidRPr="003435B5">
        <w:rPr>
          <w:noProof/>
        </w:rPr>
        <w:tab/>
        <w:t>&lt;https://tinkercad.zendesk.com/hc/en-us/categories/200357447-FAQ&gt;.</w:t>
      </w:r>
    </w:p>
    <w:p w14:paraId="2931E7F8" w14:textId="77777777" w:rsidR="00D158C9" w:rsidRPr="003435B5" w:rsidRDefault="00D158C9" w:rsidP="003435B5">
      <w:pPr>
        <w:autoSpaceDE w:val="0"/>
        <w:autoSpaceDN w:val="0"/>
        <w:adjustRightInd w:val="0"/>
        <w:contextualSpacing/>
        <w:rPr>
          <w:noProof/>
        </w:rPr>
      </w:pPr>
      <w:r w:rsidRPr="003435B5">
        <w:rPr>
          <w:noProof/>
        </w:rPr>
        <w:t>46.</w:t>
      </w:r>
      <w:r w:rsidRPr="003435B5">
        <w:rPr>
          <w:noProof/>
        </w:rPr>
        <w:tab/>
        <w:t xml:space="preserve">Morton, J.D., Barnes, M.F., Zyskowski, R.F. Respiratory control ratio: A computer simulation of oxidative phosphorylation. </w:t>
      </w:r>
      <w:r w:rsidRPr="003435B5">
        <w:rPr>
          <w:i/>
          <w:iCs/>
          <w:noProof/>
        </w:rPr>
        <w:t>Biochemical Education</w:t>
      </w:r>
      <w:r w:rsidRPr="003435B5">
        <w:rPr>
          <w:noProof/>
        </w:rPr>
        <w:t xml:space="preserve">. </w:t>
      </w:r>
      <w:r w:rsidRPr="003435B5">
        <w:rPr>
          <w:b/>
          <w:bCs/>
          <w:noProof/>
        </w:rPr>
        <w:t>24</w:t>
      </w:r>
      <w:r w:rsidRPr="003435B5">
        <w:rPr>
          <w:noProof/>
        </w:rPr>
        <w:t xml:space="preserve"> (2), 110–111, doi: 10.1016/0307-4412(95)00156-5 (1996).</w:t>
      </w:r>
    </w:p>
    <w:p w14:paraId="7A9CCDF6" w14:textId="77777777" w:rsidR="00D158C9" w:rsidRPr="003435B5" w:rsidRDefault="00D158C9" w:rsidP="003435B5">
      <w:pPr>
        <w:autoSpaceDE w:val="0"/>
        <w:autoSpaceDN w:val="0"/>
        <w:adjustRightInd w:val="0"/>
        <w:contextualSpacing/>
        <w:rPr>
          <w:noProof/>
        </w:rPr>
      </w:pPr>
      <w:r w:rsidRPr="003435B5">
        <w:rPr>
          <w:noProof/>
        </w:rPr>
        <w:t>47.</w:t>
      </w:r>
      <w:r w:rsidRPr="003435B5">
        <w:rPr>
          <w:noProof/>
        </w:rPr>
        <w:tab/>
        <w:t xml:space="preserve">Chance, B., Williams, G.R. Respiratory enzymes in oxidative phosphorylation. I. Kinetics of oxygen utilization. </w:t>
      </w:r>
      <w:r w:rsidRPr="003435B5">
        <w:rPr>
          <w:i/>
          <w:iCs/>
          <w:noProof/>
        </w:rPr>
        <w:t>The Journal of Biological Chemistry</w:t>
      </w:r>
      <w:r w:rsidRPr="003435B5">
        <w:rPr>
          <w:noProof/>
        </w:rPr>
        <w:t xml:space="preserve">. </w:t>
      </w:r>
      <w:r w:rsidRPr="003435B5">
        <w:rPr>
          <w:b/>
          <w:bCs/>
          <w:noProof/>
        </w:rPr>
        <w:t>217</w:t>
      </w:r>
      <w:r w:rsidRPr="003435B5">
        <w:rPr>
          <w:noProof/>
        </w:rPr>
        <w:t xml:space="preserve"> (1), 383–393, at &lt;https://pubmed.ncbi.nlm.nih.gov/13271402/&gt; (1955).</w:t>
      </w:r>
    </w:p>
    <w:p w14:paraId="6C965166" w14:textId="77777777" w:rsidR="00D158C9" w:rsidRPr="003435B5" w:rsidRDefault="00D158C9" w:rsidP="003435B5">
      <w:pPr>
        <w:autoSpaceDE w:val="0"/>
        <w:autoSpaceDN w:val="0"/>
        <w:adjustRightInd w:val="0"/>
        <w:contextualSpacing/>
        <w:rPr>
          <w:noProof/>
        </w:rPr>
      </w:pPr>
      <w:r w:rsidRPr="003435B5">
        <w:rPr>
          <w:noProof/>
        </w:rPr>
        <w:t>48.</w:t>
      </w:r>
      <w:r w:rsidRPr="003435B5">
        <w:rPr>
          <w:noProof/>
        </w:rPr>
        <w:tab/>
        <w:t xml:space="preserve">Geissmann, Q., Garcia Rodriguez, L., Beckwith, E.J., French, A.S., Jamasb, A.R., Gilestro, G.F. Ethoscopes: An open platform for high-throughput ethomics. </w:t>
      </w:r>
      <w:r w:rsidRPr="003435B5">
        <w:rPr>
          <w:i/>
          <w:iCs/>
          <w:noProof/>
        </w:rPr>
        <w:t>PLOS Biology</w:t>
      </w:r>
      <w:r w:rsidRPr="003435B5">
        <w:rPr>
          <w:noProof/>
        </w:rPr>
        <w:t xml:space="preserve">. </w:t>
      </w:r>
      <w:r w:rsidRPr="003435B5">
        <w:rPr>
          <w:b/>
          <w:bCs/>
          <w:noProof/>
        </w:rPr>
        <w:t>15</w:t>
      </w:r>
      <w:r w:rsidRPr="003435B5">
        <w:rPr>
          <w:noProof/>
        </w:rPr>
        <w:t xml:space="preserve"> (10), e2003026, doi: 10.1371/journal.pbio.2003026 (2017).</w:t>
      </w:r>
    </w:p>
    <w:p w14:paraId="5DBD99C8" w14:textId="77C23750" w:rsidR="00D158C9" w:rsidRPr="003435B5" w:rsidRDefault="00D158C9" w:rsidP="003435B5">
      <w:pPr>
        <w:autoSpaceDE w:val="0"/>
        <w:autoSpaceDN w:val="0"/>
        <w:adjustRightInd w:val="0"/>
        <w:contextualSpacing/>
        <w:rPr>
          <w:noProof/>
        </w:rPr>
      </w:pPr>
      <w:r w:rsidRPr="003435B5">
        <w:rPr>
          <w:noProof/>
        </w:rPr>
        <w:t>49.</w:t>
      </w:r>
      <w:r w:rsidRPr="003435B5">
        <w:rPr>
          <w:noProof/>
        </w:rPr>
        <w:tab/>
        <w:t>&lt;https://github.com/amchagas/Flypi&gt;.</w:t>
      </w:r>
    </w:p>
    <w:p w14:paraId="4DC184DE" w14:textId="35EA8128" w:rsidR="00D158C9" w:rsidRPr="003435B5" w:rsidRDefault="00D158C9" w:rsidP="003435B5">
      <w:pPr>
        <w:autoSpaceDE w:val="0"/>
        <w:autoSpaceDN w:val="0"/>
        <w:adjustRightInd w:val="0"/>
        <w:contextualSpacing/>
        <w:rPr>
          <w:noProof/>
        </w:rPr>
      </w:pPr>
      <w:r w:rsidRPr="003435B5">
        <w:rPr>
          <w:noProof/>
        </w:rPr>
        <w:t>50.</w:t>
      </w:r>
      <w:r w:rsidRPr="003435B5">
        <w:rPr>
          <w:noProof/>
        </w:rPr>
        <w:tab/>
        <w:t>&lt;https://gilestrolab.github.io/ethoscope/&gt;.</w:t>
      </w:r>
    </w:p>
    <w:p w14:paraId="1413121E" w14:textId="69796393" w:rsidR="00D158C9" w:rsidRPr="003435B5" w:rsidRDefault="00D158C9" w:rsidP="003435B5">
      <w:pPr>
        <w:autoSpaceDE w:val="0"/>
        <w:autoSpaceDN w:val="0"/>
        <w:adjustRightInd w:val="0"/>
        <w:contextualSpacing/>
        <w:rPr>
          <w:noProof/>
        </w:rPr>
      </w:pPr>
      <w:r w:rsidRPr="003435B5">
        <w:rPr>
          <w:noProof/>
        </w:rPr>
        <w:t>51.</w:t>
      </w:r>
      <w:r w:rsidRPr="003435B5">
        <w:rPr>
          <w:noProof/>
        </w:rPr>
        <w:tab/>
        <w:t>&lt;https://imagej.nih.gov/ij/&gt;.</w:t>
      </w:r>
    </w:p>
    <w:p w14:paraId="3AAAB7BB" w14:textId="48F17364" w:rsidR="00D158C9" w:rsidRPr="003435B5" w:rsidRDefault="00D158C9" w:rsidP="003435B5">
      <w:pPr>
        <w:autoSpaceDE w:val="0"/>
        <w:autoSpaceDN w:val="0"/>
        <w:adjustRightInd w:val="0"/>
        <w:contextualSpacing/>
        <w:rPr>
          <w:noProof/>
        </w:rPr>
      </w:pPr>
      <w:r w:rsidRPr="003435B5">
        <w:rPr>
          <w:noProof/>
        </w:rPr>
        <w:t>52.</w:t>
      </w:r>
      <w:r w:rsidRPr="003435B5">
        <w:rPr>
          <w:noProof/>
        </w:rPr>
        <w:tab/>
        <w:t>&lt;https://open-neuroscience.com/&gt;.</w:t>
      </w:r>
    </w:p>
    <w:p w14:paraId="42574891" w14:textId="30EBABEC" w:rsidR="00D158C9" w:rsidRPr="003435B5" w:rsidRDefault="00D158C9" w:rsidP="003435B5">
      <w:pPr>
        <w:autoSpaceDE w:val="0"/>
        <w:autoSpaceDN w:val="0"/>
        <w:adjustRightInd w:val="0"/>
        <w:contextualSpacing/>
        <w:rPr>
          <w:noProof/>
        </w:rPr>
      </w:pPr>
      <w:r w:rsidRPr="003435B5">
        <w:rPr>
          <w:noProof/>
        </w:rPr>
        <w:t>53.</w:t>
      </w:r>
      <w:r w:rsidRPr="003435B5">
        <w:rPr>
          <w:noProof/>
        </w:rPr>
        <w:tab/>
        <w:t>&lt;https://www.appropedia.org/3D_printable_science_equipment&gt;.</w:t>
      </w:r>
    </w:p>
    <w:p w14:paraId="2987AF08" w14:textId="77777777" w:rsidR="00D158C9" w:rsidRPr="003435B5" w:rsidRDefault="00D158C9" w:rsidP="003435B5">
      <w:pPr>
        <w:autoSpaceDE w:val="0"/>
        <w:autoSpaceDN w:val="0"/>
        <w:adjustRightInd w:val="0"/>
        <w:contextualSpacing/>
        <w:rPr>
          <w:noProof/>
        </w:rPr>
      </w:pPr>
      <w:r w:rsidRPr="003435B5">
        <w:rPr>
          <w:noProof/>
        </w:rPr>
        <w:t>54.</w:t>
      </w:r>
      <w:r w:rsidRPr="003435B5">
        <w:rPr>
          <w:noProof/>
        </w:rPr>
        <w:tab/>
        <w:t xml:space="preserve">McParland, A.L., Follansbee, T.L., Ganter, G.K. Measurement of larval activity in the Drosophila activity monitor. </w:t>
      </w:r>
      <w:r w:rsidRPr="003435B5">
        <w:rPr>
          <w:i/>
          <w:iCs/>
          <w:noProof/>
        </w:rPr>
        <w:t>Journal of Visualized Experiments</w:t>
      </w:r>
      <w:r w:rsidRPr="003435B5">
        <w:rPr>
          <w:noProof/>
        </w:rPr>
        <w:t>. doi: 10.3791/52684 (2015).</w:t>
      </w:r>
    </w:p>
    <w:p w14:paraId="55527CE7" w14:textId="77777777" w:rsidR="00D158C9" w:rsidRPr="003435B5" w:rsidRDefault="00D158C9" w:rsidP="003435B5">
      <w:pPr>
        <w:autoSpaceDE w:val="0"/>
        <w:autoSpaceDN w:val="0"/>
        <w:adjustRightInd w:val="0"/>
        <w:contextualSpacing/>
        <w:rPr>
          <w:noProof/>
        </w:rPr>
      </w:pPr>
      <w:r w:rsidRPr="003435B5">
        <w:rPr>
          <w:noProof/>
        </w:rPr>
        <w:t>55.</w:t>
      </w:r>
      <w:r w:rsidRPr="003435B5">
        <w:rPr>
          <w:noProof/>
        </w:rPr>
        <w:tab/>
        <w:t xml:space="preserve">Schou, M.F., Kristensen, T.N., Pedersen, A., Göran Karlsson, B., Loeschcke, V., Malmendal, A. Metabolic and functional characterization of effects of developmental temperature in Drosophila melanogaster. </w:t>
      </w:r>
      <w:r w:rsidRPr="003435B5">
        <w:rPr>
          <w:i/>
          <w:iCs/>
          <w:noProof/>
        </w:rPr>
        <w:t>American Journal of Physiology - Regulatory Integrative and Comparative Physiology</w:t>
      </w:r>
      <w:r w:rsidRPr="003435B5">
        <w:rPr>
          <w:noProof/>
        </w:rPr>
        <w:t xml:space="preserve">. </w:t>
      </w:r>
      <w:r w:rsidRPr="003435B5">
        <w:rPr>
          <w:b/>
          <w:bCs/>
          <w:noProof/>
        </w:rPr>
        <w:t>312</w:t>
      </w:r>
      <w:r w:rsidRPr="003435B5">
        <w:rPr>
          <w:noProof/>
        </w:rPr>
        <w:t xml:space="preserve"> (2), R211–R222, doi: 10.1152/ajpregu.00268.2016 (2017).</w:t>
      </w:r>
    </w:p>
    <w:p w14:paraId="588E9032" w14:textId="77777777" w:rsidR="00D158C9" w:rsidRPr="003435B5" w:rsidRDefault="00D158C9" w:rsidP="003435B5">
      <w:pPr>
        <w:autoSpaceDE w:val="0"/>
        <w:autoSpaceDN w:val="0"/>
        <w:adjustRightInd w:val="0"/>
        <w:contextualSpacing/>
        <w:rPr>
          <w:noProof/>
        </w:rPr>
      </w:pPr>
      <w:r w:rsidRPr="003435B5">
        <w:rPr>
          <w:noProof/>
        </w:rPr>
        <w:t>56.</w:t>
      </w:r>
      <w:r w:rsidRPr="003435B5">
        <w:rPr>
          <w:noProof/>
        </w:rPr>
        <w:tab/>
        <w:t xml:space="preserve">Meeuse, B.J.D. Thermogenic Respiration in Aroids. </w:t>
      </w:r>
      <w:r w:rsidRPr="003435B5">
        <w:rPr>
          <w:i/>
          <w:iCs/>
          <w:noProof/>
        </w:rPr>
        <w:t>Annual Review of Plant Physiology</w:t>
      </w:r>
      <w:r w:rsidRPr="003435B5">
        <w:rPr>
          <w:noProof/>
        </w:rPr>
        <w:t>. doi: 10.1146/annurev.pp.26.060175.001001 (1975).</w:t>
      </w:r>
    </w:p>
    <w:p w14:paraId="703EA5AD" w14:textId="77777777" w:rsidR="00D158C9" w:rsidRPr="003435B5" w:rsidRDefault="00D158C9" w:rsidP="003435B5">
      <w:pPr>
        <w:autoSpaceDE w:val="0"/>
        <w:autoSpaceDN w:val="0"/>
        <w:adjustRightInd w:val="0"/>
        <w:contextualSpacing/>
        <w:rPr>
          <w:noProof/>
        </w:rPr>
      </w:pPr>
      <w:r w:rsidRPr="003435B5">
        <w:rPr>
          <w:noProof/>
        </w:rPr>
        <w:t>57.</w:t>
      </w:r>
      <w:r w:rsidRPr="003435B5">
        <w:rPr>
          <w:noProof/>
        </w:rPr>
        <w:tab/>
        <w:t xml:space="preserve">Watling, J.R., Robinson, S.A., Seymour, R.S. Contribution of the alternative pathway to respiration during thermogenesis in flowers of the sacred lotus. </w:t>
      </w:r>
      <w:r w:rsidRPr="003435B5">
        <w:rPr>
          <w:i/>
          <w:iCs/>
          <w:noProof/>
        </w:rPr>
        <w:t>Plant Physiology</w:t>
      </w:r>
      <w:r w:rsidRPr="003435B5">
        <w:rPr>
          <w:noProof/>
        </w:rPr>
        <w:t>. doi: 10.1104/pp.105.075523 (2006).</w:t>
      </w:r>
    </w:p>
    <w:p w14:paraId="2E66E40C" w14:textId="77777777" w:rsidR="00D158C9" w:rsidRPr="003435B5" w:rsidRDefault="00D158C9" w:rsidP="003435B5">
      <w:pPr>
        <w:autoSpaceDE w:val="0"/>
        <w:autoSpaceDN w:val="0"/>
        <w:adjustRightInd w:val="0"/>
        <w:contextualSpacing/>
        <w:rPr>
          <w:noProof/>
        </w:rPr>
      </w:pPr>
      <w:r w:rsidRPr="003435B5">
        <w:rPr>
          <w:noProof/>
        </w:rPr>
        <w:t>58.</w:t>
      </w:r>
      <w:r w:rsidRPr="003435B5">
        <w:rPr>
          <w:noProof/>
        </w:rPr>
        <w:tab/>
        <w:t xml:space="preserve">Inaba, Y.I. </w:t>
      </w:r>
      <w:r w:rsidRPr="003435B5">
        <w:rPr>
          <w:i/>
          <w:iCs/>
          <w:noProof/>
        </w:rPr>
        <w:t>et al.</w:t>
      </w:r>
      <w:r w:rsidRPr="003435B5">
        <w:rPr>
          <w:noProof/>
        </w:rPr>
        <w:t xml:space="preserve"> Alternative oxidase capacity of mitochondria in microsporophylls may function in cycad thermogenesis. </w:t>
      </w:r>
      <w:r w:rsidRPr="003435B5">
        <w:rPr>
          <w:i/>
          <w:iCs/>
          <w:noProof/>
        </w:rPr>
        <w:t>Plant Physiology</w:t>
      </w:r>
      <w:r w:rsidRPr="003435B5">
        <w:rPr>
          <w:noProof/>
        </w:rPr>
        <w:t xml:space="preserve">. </w:t>
      </w:r>
      <w:r w:rsidRPr="003435B5">
        <w:rPr>
          <w:b/>
          <w:bCs/>
          <w:noProof/>
        </w:rPr>
        <w:t>180</w:t>
      </w:r>
      <w:r w:rsidRPr="003435B5">
        <w:rPr>
          <w:noProof/>
        </w:rPr>
        <w:t xml:space="preserve"> (2), 743–756, doi: 10.1104/pp.19.00150 (2019).</w:t>
      </w:r>
    </w:p>
    <w:p w14:paraId="3C476020" w14:textId="77777777" w:rsidR="00D158C9" w:rsidRPr="003435B5" w:rsidRDefault="00D158C9" w:rsidP="003435B5">
      <w:pPr>
        <w:autoSpaceDE w:val="0"/>
        <w:autoSpaceDN w:val="0"/>
        <w:adjustRightInd w:val="0"/>
        <w:contextualSpacing/>
        <w:rPr>
          <w:noProof/>
        </w:rPr>
      </w:pPr>
      <w:r w:rsidRPr="003435B5">
        <w:rPr>
          <w:noProof/>
        </w:rPr>
        <w:t>59.</w:t>
      </w:r>
      <w:r w:rsidRPr="003435B5">
        <w:rPr>
          <w:noProof/>
        </w:rPr>
        <w:tab/>
        <w:t xml:space="preserve">Sanz, A., Stefanatos, R., McIlroy, G. Production of reactive oxygen species by the mitochondrial electron transport chain in Drosophila melanogaster. </w:t>
      </w:r>
      <w:r w:rsidRPr="003435B5">
        <w:rPr>
          <w:i/>
          <w:iCs/>
          <w:noProof/>
        </w:rPr>
        <w:t>Journal of Bioenergetics and Biomembranes</w:t>
      </w:r>
      <w:r w:rsidRPr="003435B5">
        <w:rPr>
          <w:noProof/>
        </w:rPr>
        <w:t xml:space="preserve">. </w:t>
      </w:r>
      <w:r w:rsidRPr="003435B5">
        <w:rPr>
          <w:b/>
          <w:bCs/>
          <w:noProof/>
        </w:rPr>
        <w:t>42</w:t>
      </w:r>
      <w:r w:rsidRPr="003435B5">
        <w:rPr>
          <w:noProof/>
        </w:rPr>
        <w:t xml:space="preserve"> (2), 135–142, doi: 10.1007/s10863-010-9281-z (2010).</w:t>
      </w:r>
    </w:p>
    <w:p w14:paraId="193F7535" w14:textId="77777777" w:rsidR="00D158C9" w:rsidRPr="003435B5" w:rsidRDefault="00D158C9" w:rsidP="003435B5">
      <w:pPr>
        <w:autoSpaceDE w:val="0"/>
        <w:autoSpaceDN w:val="0"/>
        <w:adjustRightInd w:val="0"/>
        <w:contextualSpacing/>
        <w:rPr>
          <w:noProof/>
        </w:rPr>
      </w:pPr>
      <w:r w:rsidRPr="003435B5">
        <w:rPr>
          <w:noProof/>
        </w:rPr>
        <w:t>60.</w:t>
      </w:r>
      <w:r w:rsidRPr="003435B5">
        <w:rPr>
          <w:noProof/>
        </w:rPr>
        <w:tab/>
        <w:t xml:space="preserve">Miwa, S., St-Pierre, J., Partridge, L., Brand, M.D. Superoxide and hydrogen peroxide </w:t>
      </w:r>
      <w:r w:rsidRPr="003435B5">
        <w:rPr>
          <w:noProof/>
        </w:rPr>
        <w:lastRenderedPageBreak/>
        <w:t xml:space="preserve">production by Drosophila mitochondria. </w:t>
      </w:r>
      <w:r w:rsidRPr="003435B5">
        <w:rPr>
          <w:i/>
          <w:iCs/>
          <w:noProof/>
        </w:rPr>
        <w:t>Free Radical Biology and Medicine</w:t>
      </w:r>
      <w:r w:rsidRPr="003435B5">
        <w:rPr>
          <w:noProof/>
        </w:rPr>
        <w:t xml:space="preserve">. </w:t>
      </w:r>
      <w:r w:rsidRPr="003435B5">
        <w:rPr>
          <w:b/>
          <w:bCs/>
          <w:noProof/>
        </w:rPr>
        <w:t>35</w:t>
      </w:r>
      <w:r w:rsidRPr="003435B5">
        <w:rPr>
          <w:noProof/>
        </w:rPr>
        <w:t xml:space="preserve"> (8), 938–948, doi: 10.1016/S0891-5849(03)00464-7 (2003).</w:t>
      </w:r>
    </w:p>
    <w:p w14:paraId="328033F8" w14:textId="77777777" w:rsidR="00D158C9" w:rsidRPr="003435B5" w:rsidRDefault="00D158C9" w:rsidP="003435B5">
      <w:pPr>
        <w:autoSpaceDE w:val="0"/>
        <w:autoSpaceDN w:val="0"/>
        <w:adjustRightInd w:val="0"/>
        <w:contextualSpacing/>
        <w:rPr>
          <w:noProof/>
        </w:rPr>
      </w:pPr>
      <w:r w:rsidRPr="003435B5">
        <w:rPr>
          <w:noProof/>
        </w:rPr>
        <w:t>61.</w:t>
      </w:r>
      <w:r w:rsidRPr="003435B5">
        <w:rPr>
          <w:noProof/>
        </w:rPr>
        <w:tab/>
        <w:t xml:space="preserve">Gnaiger, E. </w:t>
      </w:r>
      <w:r w:rsidRPr="003435B5">
        <w:rPr>
          <w:i/>
          <w:iCs/>
          <w:noProof/>
        </w:rPr>
        <w:t>Mitochondrial Pathways and Respiratory Control An Introduction to OXPHOS Analysis</w:t>
      </w:r>
      <w:r w:rsidRPr="003435B5">
        <w:rPr>
          <w:noProof/>
        </w:rPr>
        <w:t xml:space="preserve">. </w:t>
      </w:r>
      <w:r w:rsidRPr="003435B5">
        <w:rPr>
          <w:i/>
          <w:iCs/>
          <w:noProof/>
        </w:rPr>
        <w:t>Bioenergetics Communications</w:t>
      </w:r>
      <w:r w:rsidRPr="003435B5">
        <w:rPr>
          <w:noProof/>
        </w:rPr>
        <w:t xml:space="preserve">. </w:t>
      </w:r>
      <w:r w:rsidRPr="003435B5">
        <w:rPr>
          <w:b/>
          <w:bCs/>
          <w:noProof/>
        </w:rPr>
        <w:t>2</w:t>
      </w:r>
      <w:r w:rsidRPr="003435B5">
        <w:rPr>
          <w:noProof/>
        </w:rPr>
        <w:t>, doi: 10.26124/bec:2020-0002. Bionergetics Communications. Innsbruck, Austria. (2020).</w:t>
      </w:r>
    </w:p>
    <w:p w14:paraId="2C539F1C" w14:textId="51896548" w:rsidR="00494F5A" w:rsidRPr="003435B5" w:rsidRDefault="007C2878" w:rsidP="003435B5">
      <w:pPr>
        <w:pBdr>
          <w:top w:val="nil"/>
          <w:left w:val="nil"/>
          <w:bottom w:val="nil"/>
          <w:right w:val="nil"/>
          <w:between w:val="nil"/>
        </w:pBdr>
        <w:contextualSpacing/>
      </w:pPr>
      <w:r w:rsidRPr="003435B5">
        <w:fldChar w:fldCharType="end"/>
      </w:r>
    </w:p>
    <w:sectPr w:rsidR="00494F5A" w:rsidRPr="003435B5" w:rsidSect="00765454">
      <w:headerReference w:type="even" r:id="rId8"/>
      <w:headerReference w:type="default" r:id="rId9"/>
      <w:footerReference w:type="even" r:id="rId10"/>
      <w:footerReference w:type="default" r:id="rId11"/>
      <w:headerReference w:type="first" r:id="rId12"/>
      <w:pgSz w:w="12240" w:h="15840"/>
      <w:pgMar w:top="1440" w:right="1440" w:bottom="1440" w:left="1440" w:header="720" w:footer="605"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B521F" w14:textId="77777777" w:rsidR="00527DD4" w:rsidRDefault="00527DD4">
      <w:r>
        <w:separator/>
      </w:r>
    </w:p>
  </w:endnote>
  <w:endnote w:type="continuationSeparator" w:id="0">
    <w:p w14:paraId="5CCB1F09" w14:textId="77777777" w:rsidR="00527DD4" w:rsidRDefault="00527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業獳潩n預뾆籉"/>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08873071"/>
      <w:docPartObj>
        <w:docPartGallery w:val="Page Numbers (Bottom of Page)"/>
        <w:docPartUnique/>
      </w:docPartObj>
    </w:sdtPr>
    <w:sdtEndPr>
      <w:rPr>
        <w:rStyle w:val="PageNumber"/>
      </w:rPr>
    </w:sdtEndPr>
    <w:sdtContent>
      <w:p w14:paraId="0313BC05" w14:textId="2E2C53DD" w:rsidR="00A76FFE" w:rsidRDefault="00A76FFE" w:rsidP="0039302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E5172E" w14:textId="77777777" w:rsidR="00A76FFE" w:rsidRDefault="00A76FF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12732692"/>
      <w:docPartObj>
        <w:docPartGallery w:val="Page Numbers (Bottom of Page)"/>
        <w:docPartUnique/>
      </w:docPartObj>
    </w:sdtPr>
    <w:sdtEndPr>
      <w:rPr>
        <w:rStyle w:val="PageNumber"/>
      </w:rPr>
    </w:sdtEndPr>
    <w:sdtContent>
      <w:p w14:paraId="60DF4E79" w14:textId="50B18C29" w:rsidR="00A76FFE" w:rsidRDefault="00A76FFE" w:rsidP="0039302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F2D1DDB" w14:textId="77777777" w:rsidR="00A76FFE" w:rsidRDefault="00A76F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5C6B2" w14:textId="77777777" w:rsidR="00527DD4" w:rsidRDefault="00527DD4">
      <w:r>
        <w:separator/>
      </w:r>
    </w:p>
  </w:footnote>
  <w:footnote w:type="continuationSeparator" w:id="0">
    <w:p w14:paraId="2886C2AA" w14:textId="77777777" w:rsidR="00527DD4" w:rsidRDefault="00527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A76FFE" w:rsidRDefault="00A76FFE">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A76FFE" w:rsidRDefault="00A76FFE">
    <w:pPr>
      <w:pBdr>
        <w:top w:val="nil"/>
        <w:left w:val="nil"/>
        <w:bottom w:val="nil"/>
        <w:right w:val="nil"/>
        <w:between w:val="nil"/>
      </w:pBdr>
      <w:tabs>
        <w:tab w:val="center" w:pos="4680"/>
        <w:tab w:val="right" w:pos="9360"/>
        <w:tab w:val="left" w:pos="5724"/>
      </w:tabs>
      <w:rPr>
        <w:b/>
        <w:color w:val="1F497D"/>
        <w:sz w:val="28"/>
        <w:szCs w:val="28"/>
      </w:rPr>
    </w:pPr>
    <w:bookmarkStart w:id="2" w:name="_26in1rg" w:colFirst="0" w:colLast="0"/>
    <w:bookmarkEnd w:id="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77777777" w:rsidR="00A76FFE" w:rsidRDefault="00A76FFE">
    <w:pPr>
      <w:pBdr>
        <w:top w:val="nil"/>
        <w:left w:val="nil"/>
        <w:bottom w:val="nil"/>
        <w:right w:val="nil"/>
        <w:between w:val="nil"/>
      </w:pBdr>
      <w:tabs>
        <w:tab w:val="center" w:pos="4680"/>
        <w:tab w:val="right" w:pos="9360"/>
      </w:tabs>
      <w:jc w:val="right"/>
      <w:rPr>
        <w:b/>
        <w:color w:val="1F497D"/>
        <w:sz w:val="32"/>
        <w:szCs w:val="32"/>
      </w:rPr>
    </w:pPr>
    <w:r>
      <w:rPr>
        <w:b/>
        <w:color w:val="1F497D"/>
        <w:sz w:val="32"/>
        <w:szCs w:val="32"/>
      </w:rPr>
      <w:t>Standard Manuscript Template</w:t>
    </w:r>
    <w:r>
      <w:rPr>
        <w:b/>
        <w:color w:val="1F497D"/>
        <w:sz w:val="32"/>
        <w:szCs w:val="32"/>
      </w:rPr>
      <w:br/>
    </w:r>
    <w:r>
      <w:rPr>
        <w:noProof/>
      </w:rPr>
      <w:drawing>
        <wp:anchor distT="0" distB="0" distL="0" distR="0" simplePos="0" relativeHeight="251658240" behindDoc="0" locked="0" layoutInCell="1" hidden="0" allowOverlap="1" wp14:anchorId="13AF9577" wp14:editId="5205C461">
          <wp:simplePos x="0" y="0"/>
          <wp:positionH relativeFrom="column">
            <wp:posOffset>0</wp:posOffset>
          </wp:positionH>
          <wp:positionV relativeFrom="paragraph">
            <wp:posOffset>-428624</wp:posOffset>
          </wp:positionV>
          <wp:extent cx="2843586" cy="93408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43586" cy="9340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365B0F9B"/>
    <w:multiLevelType w:val="multilevel"/>
    <w:tmpl w:val="96E8D098"/>
    <w:lvl w:ilvl="0">
      <w:start w:val="1"/>
      <w:numFmt w:val="decimal"/>
      <w:lvlText w:val="%1."/>
      <w:lvlJc w:val="left"/>
      <w:pPr>
        <w:ind w:left="720" w:hanging="360"/>
      </w:pPr>
      <w:rPr>
        <w:rFonts w:hint="default"/>
      </w:rPr>
    </w:lvl>
    <w:lvl w:ilvl="1">
      <w:start w:val="1"/>
      <w:numFmt w:val="decimal"/>
      <w:isLgl/>
      <w:lvlText w:val="%1.%2."/>
      <w:lvlJc w:val="left"/>
      <w:pPr>
        <w:ind w:left="816" w:hanging="45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8"/>
  </w:num>
  <w:num w:numId="3">
    <w:abstractNumId w:val="12"/>
  </w:num>
  <w:num w:numId="4">
    <w:abstractNumId w:val="0"/>
  </w:num>
  <w:num w:numId="5">
    <w:abstractNumId w:val="10"/>
  </w:num>
  <w:num w:numId="6">
    <w:abstractNumId w:val="11"/>
  </w:num>
  <w:num w:numId="7">
    <w:abstractNumId w:val="4"/>
  </w:num>
  <w:num w:numId="8">
    <w:abstractNumId w:val="7"/>
  </w:num>
  <w:num w:numId="9">
    <w:abstractNumId w:val="1"/>
  </w:num>
  <w:num w:numId="10">
    <w:abstractNumId w:val="6"/>
  </w:num>
  <w:num w:numId="11">
    <w:abstractNumId w:val="9"/>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removePersonalInformation/>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0053"/>
    <w:rsid w:val="00000DA5"/>
    <w:rsid w:val="00002AA2"/>
    <w:rsid w:val="000034A2"/>
    <w:rsid w:val="00004632"/>
    <w:rsid w:val="0000500B"/>
    <w:rsid w:val="0000522B"/>
    <w:rsid w:val="00007424"/>
    <w:rsid w:val="00010326"/>
    <w:rsid w:val="000144F6"/>
    <w:rsid w:val="000151E4"/>
    <w:rsid w:val="00016169"/>
    <w:rsid w:val="00020D27"/>
    <w:rsid w:val="00022291"/>
    <w:rsid w:val="0002243C"/>
    <w:rsid w:val="000225CA"/>
    <w:rsid w:val="00025960"/>
    <w:rsid w:val="00026EF6"/>
    <w:rsid w:val="000333E5"/>
    <w:rsid w:val="0003381C"/>
    <w:rsid w:val="000423EF"/>
    <w:rsid w:val="00043F6B"/>
    <w:rsid w:val="00050EEC"/>
    <w:rsid w:val="000514D2"/>
    <w:rsid w:val="00051CAB"/>
    <w:rsid w:val="00055443"/>
    <w:rsid w:val="00057303"/>
    <w:rsid w:val="000578C8"/>
    <w:rsid w:val="00063239"/>
    <w:rsid w:val="0006669E"/>
    <w:rsid w:val="000701D8"/>
    <w:rsid w:val="000708FC"/>
    <w:rsid w:val="00070A99"/>
    <w:rsid w:val="00072A87"/>
    <w:rsid w:val="00077533"/>
    <w:rsid w:val="00080298"/>
    <w:rsid w:val="000807FB"/>
    <w:rsid w:val="00081292"/>
    <w:rsid w:val="00081A8D"/>
    <w:rsid w:val="00084059"/>
    <w:rsid w:val="00084B18"/>
    <w:rsid w:val="0008694C"/>
    <w:rsid w:val="00092A5D"/>
    <w:rsid w:val="000970F9"/>
    <w:rsid w:val="000A1559"/>
    <w:rsid w:val="000A187E"/>
    <w:rsid w:val="000A3398"/>
    <w:rsid w:val="000A6D88"/>
    <w:rsid w:val="000A76A9"/>
    <w:rsid w:val="000B2272"/>
    <w:rsid w:val="000B2299"/>
    <w:rsid w:val="000B7FE1"/>
    <w:rsid w:val="000C1380"/>
    <w:rsid w:val="000C31CA"/>
    <w:rsid w:val="000C47A8"/>
    <w:rsid w:val="000C5156"/>
    <w:rsid w:val="000C67FF"/>
    <w:rsid w:val="000C7F94"/>
    <w:rsid w:val="000D20CE"/>
    <w:rsid w:val="000D2685"/>
    <w:rsid w:val="000D3282"/>
    <w:rsid w:val="000D48F7"/>
    <w:rsid w:val="000D4E72"/>
    <w:rsid w:val="000D6D5E"/>
    <w:rsid w:val="000E007F"/>
    <w:rsid w:val="000E0B1C"/>
    <w:rsid w:val="000E4585"/>
    <w:rsid w:val="000E66F8"/>
    <w:rsid w:val="000F74EB"/>
    <w:rsid w:val="0010289C"/>
    <w:rsid w:val="00106B56"/>
    <w:rsid w:val="001079F2"/>
    <w:rsid w:val="00107A60"/>
    <w:rsid w:val="00111E68"/>
    <w:rsid w:val="0011321F"/>
    <w:rsid w:val="001146E3"/>
    <w:rsid w:val="0011761C"/>
    <w:rsid w:val="001218AB"/>
    <w:rsid w:val="00125350"/>
    <w:rsid w:val="001256E4"/>
    <w:rsid w:val="00126BF4"/>
    <w:rsid w:val="001324DF"/>
    <w:rsid w:val="001333BD"/>
    <w:rsid w:val="00136F37"/>
    <w:rsid w:val="0013701B"/>
    <w:rsid w:val="001439C7"/>
    <w:rsid w:val="001462CF"/>
    <w:rsid w:val="00150564"/>
    <w:rsid w:val="00150571"/>
    <w:rsid w:val="0015082C"/>
    <w:rsid w:val="00150923"/>
    <w:rsid w:val="00152426"/>
    <w:rsid w:val="00154D29"/>
    <w:rsid w:val="001609D8"/>
    <w:rsid w:val="00164E97"/>
    <w:rsid w:val="00166F3B"/>
    <w:rsid w:val="0018149A"/>
    <w:rsid w:val="001822F9"/>
    <w:rsid w:val="0018570B"/>
    <w:rsid w:val="00191B31"/>
    <w:rsid w:val="00195DB2"/>
    <w:rsid w:val="001A338A"/>
    <w:rsid w:val="001A3CD7"/>
    <w:rsid w:val="001A66F5"/>
    <w:rsid w:val="001A7656"/>
    <w:rsid w:val="001B2F93"/>
    <w:rsid w:val="001B46A9"/>
    <w:rsid w:val="001B55E1"/>
    <w:rsid w:val="001C3CDF"/>
    <w:rsid w:val="001C66C0"/>
    <w:rsid w:val="001C72A9"/>
    <w:rsid w:val="001D08FD"/>
    <w:rsid w:val="001D4B7A"/>
    <w:rsid w:val="001E1F50"/>
    <w:rsid w:val="001E2BF7"/>
    <w:rsid w:val="001E476D"/>
    <w:rsid w:val="001E66FA"/>
    <w:rsid w:val="001E75E3"/>
    <w:rsid w:val="001F3F88"/>
    <w:rsid w:val="001F4831"/>
    <w:rsid w:val="001F666B"/>
    <w:rsid w:val="001F6B98"/>
    <w:rsid w:val="00203E50"/>
    <w:rsid w:val="00210B24"/>
    <w:rsid w:val="00212F77"/>
    <w:rsid w:val="002159EE"/>
    <w:rsid w:val="00220CA3"/>
    <w:rsid w:val="002237DF"/>
    <w:rsid w:val="00223A56"/>
    <w:rsid w:val="00223D22"/>
    <w:rsid w:val="0022422A"/>
    <w:rsid w:val="00225021"/>
    <w:rsid w:val="00227591"/>
    <w:rsid w:val="002343DA"/>
    <w:rsid w:val="00236428"/>
    <w:rsid w:val="00241474"/>
    <w:rsid w:val="0024210E"/>
    <w:rsid w:val="00242251"/>
    <w:rsid w:val="00242ACD"/>
    <w:rsid w:val="002508B3"/>
    <w:rsid w:val="00254C24"/>
    <w:rsid w:val="00257819"/>
    <w:rsid w:val="002628C9"/>
    <w:rsid w:val="00263345"/>
    <w:rsid w:val="002641B4"/>
    <w:rsid w:val="00265D12"/>
    <w:rsid w:val="0027181D"/>
    <w:rsid w:val="002723CB"/>
    <w:rsid w:val="002762C4"/>
    <w:rsid w:val="00276A67"/>
    <w:rsid w:val="00277F8D"/>
    <w:rsid w:val="00282F29"/>
    <w:rsid w:val="002836A6"/>
    <w:rsid w:val="002844E7"/>
    <w:rsid w:val="00286F5B"/>
    <w:rsid w:val="0029368C"/>
    <w:rsid w:val="00294311"/>
    <w:rsid w:val="00297A40"/>
    <w:rsid w:val="002A5862"/>
    <w:rsid w:val="002A743A"/>
    <w:rsid w:val="002B298F"/>
    <w:rsid w:val="002B2E6E"/>
    <w:rsid w:val="002B4BE4"/>
    <w:rsid w:val="002B6C7E"/>
    <w:rsid w:val="002C06F4"/>
    <w:rsid w:val="002C4430"/>
    <w:rsid w:val="002D143E"/>
    <w:rsid w:val="002D621D"/>
    <w:rsid w:val="002D7EB1"/>
    <w:rsid w:val="002E0573"/>
    <w:rsid w:val="002E157C"/>
    <w:rsid w:val="002E29DE"/>
    <w:rsid w:val="002E6D62"/>
    <w:rsid w:val="002F39AA"/>
    <w:rsid w:val="002F4C50"/>
    <w:rsid w:val="002F63FF"/>
    <w:rsid w:val="00305507"/>
    <w:rsid w:val="00307B18"/>
    <w:rsid w:val="00307DCC"/>
    <w:rsid w:val="003100CE"/>
    <w:rsid w:val="00311162"/>
    <w:rsid w:val="0031192A"/>
    <w:rsid w:val="00311C2D"/>
    <w:rsid w:val="0031437B"/>
    <w:rsid w:val="003147C9"/>
    <w:rsid w:val="003150D8"/>
    <w:rsid w:val="00317806"/>
    <w:rsid w:val="003245C3"/>
    <w:rsid w:val="00325596"/>
    <w:rsid w:val="00325FC9"/>
    <w:rsid w:val="0032799A"/>
    <w:rsid w:val="00327C90"/>
    <w:rsid w:val="00330401"/>
    <w:rsid w:val="00333574"/>
    <w:rsid w:val="00335C61"/>
    <w:rsid w:val="0034017E"/>
    <w:rsid w:val="003411EE"/>
    <w:rsid w:val="003435B5"/>
    <w:rsid w:val="00344D6D"/>
    <w:rsid w:val="00351087"/>
    <w:rsid w:val="00352B82"/>
    <w:rsid w:val="00353909"/>
    <w:rsid w:val="00356241"/>
    <w:rsid w:val="003616B1"/>
    <w:rsid w:val="00362DF5"/>
    <w:rsid w:val="003640A3"/>
    <w:rsid w:val="00366586"/>
    <w:rsid w:val="0037475C"/>
    <w:rsid w:val="003776AF"/>
    <w:rsid w:val="003803F1"/>
    <w:rsid w:val="00384FAF"/>
    <w:rsid w:val="00392141"/>
    <w:rsid w:val="00392630"/>
    <w:rsid w:val="0039302F"/>
    <w:rsid w:val="003939F6"/>
    <w:rsid w:val="00394ECA"/>
    <w:rsid w:val="00397082"/>
    <w:rsid w:val="00397BF8"/>
    <w:rsid w:val="003A185C"/>
    <w:rsid w:val="003B57A9"/>
    <w:rsid w:val="003B60E9"/>
    <w:rsid w:val="003B60F6"/>
    <w:rsid w:val="003D10BB"/>
    <w:rsid w:val="003E2900"/>
    <w:rsid w:val="003E59B5"/>
    <w:rsid w:val="003F5127"/>
    <w:rsid w:val="003F5FBD"/>
    <w:rsid w:val="00400EF0"/>
    <w:rsid w:val="00405768"/>
    <w:rsid w:val="004057BD"/>
    <w:rsid w:val="00410654"/>
    <w:rsid w:val="00412FF0"/>
    <w:rsid w:val="00414DE7"/>
    <w:rsid w:val="00417138"/>
    <w:rsid w:val="00423F64"/>
    <w:rsid w:val="00424892"/>
    <w:rsid w:val="00424D98"/>
    <w:rsid w:val="00425C88"/>
    <w:rsid w:val="004277E5"/>
    <w:rsid w:val="00443CAA"/>
    <w:rsid w:val="00446531"/>
    <w:rsid w:val="0045096B"/>
    <w:rsid w:val="00451716"/>
    <w:rsid w:val="004524E1"/>
    <w:rsid w:val="004537F3"/>
    <w:rsid w:val="00456463"/>
    <w:rsid w:val="00460818"/>
    <w:rsid w:val="00462F66"/>
    <w:rsid w:val="00463478"/>
    <w:rsid w:val="0046572D"/>
    <w:rsid w:val="00471E4F"/>
    <w:rsid w:val="00472D75"/>
    <w:rsid w:val="00476268"/>
    <w:rsid w:val="00477069"/>
    <w:rsid w:val="00482B0F"/>
    <w:rsid w:val="00483180"/>
    <w:rsid w:val="00486D72"/>
    <w:rsid w:val="00493D86"/>
    <w:rsid w:val="00493FC2"/>
    <w:rsid w:val="00494F5A"/>
    <w:rsid w:val="004A061D"/>
    <w:rsid w:val="004A23CA"/>
    <w:rsid w:val="004B04A1"/>
    <w:rsid w:val="004B3778"/>
    <w:rsid w:val="004B3B93"/>
    <w:rsid w:val="004B4B70"/>
    <w:rsid w:val="004B6210"/>
    <w:rsid w:val="004C1414"/>
    <w:rsid w:val="004C4E0C"/>
    <w:rsid w:val="004C57A6"/>
    <w:rsid w:val="004D070D"/>
    <w:rsid w:val="004D0ABB"/>
    <w:rsid w:val="004D15F5"/>
    <w:rsid w:val="004D6358"/>
    <w:rsid w:val="004E3546"/>
    <w:rsid w:val="004E3D59"/>
    <w:rsid w:val="004F1420"/>
    <w:rsid w:val="004F3206"/>
    <w:rsid w:val="004F3C9E"/>
    <w:rsid w:val="004F5315"/>
    <w:rsid w:val="005009AB"/>
    <w:rsid w:val="00501AFE"/>
    <w:rsid w:val="0051094A"/>
    <w:rsid w:val="00511CC6"/>
    <w:rsid w:val="0051234B"/>
    <w:rsid w:val="00513C50"/>
    <w:rsid w:val="0051493A"/>
    <w:rsid w:val="00524B9E"/>
    <w:rsid w:val="00527DC6"/>
    <w:rsid w:val="00527DD4"/>
    <w:rsid w:val="00532A40"/>
    <w:rsid w:val="00533720"/>
    <w:rsid w:val="00543B0A"/>
    <w:rsid w:val="00551D82"/>
    <w:rsid w:val="00551FB7"/>
    <w:rsid w:val="00553EFB"/>
    <w:rsid w:val="00562FFB"/>
    <w:rsid w:val="00564F92"/>
    <w:rsid w:val="00567B5D"/>
    <w:rsid w:val="00570084"/>
    <w:rsid w:val="005711CA"/>
    <w:rsid w:val="00571E4B"/>
    <w:rsid w:val="00581C13"/>
    <w:rsid w:val="00586883"/>
    <w:rsid w:val="00587254"/>
    <w:rsid w:val="00591870"/>
    <w:rsid w:val="00594F1B"/>
    <w:rsid w:val="00597A32"/>
    <w:rsid w:val="00597E85"/>
    <w:rsid w:val="005A11E7"/>
    <w:rsid w:val="005A1D43"/>
    <w:rsid w:val="005A3133"/>
    <w:rsid w:val="005A355D"/>
    <w:rsid w:val="005B77FD"/>
    <w:rsid w:val="005C0779"/>
    <w:rsid w:val="005C1F3F"/>
    <w:rsid w:val="005D24AD"/>
    <w:rsid w:val="005D2A5A"/>
    <w:rsid w:val="005D2E2F"/>
    <w:rsid w:val="005D5274"/>
    <w:rsid w:val="005D5CBE"/>
    <w:rsid w:val="005D7113"/>
    <w:rsid w:val="005E4867"/>
    <w:rsid w:val="005E4D2E"/>
    <w:rsid w:val="005E5CDE"/>
    <w:rsid w:val="005E66BE"/>
    <w:rsid w:val="005F57A4"/>
    <w:rsid w:val="00601C21"/>
    <w:rsid w:val="00613756"/>
    <w:rsid w:val="006149DF"/>
    <w:rsid w:val="00616374"/>
    <w:rsid w:val="0062173D"/>
    <w:rsid w:val="00621BC6"/>
    <w:rsid w:val="00622578"/>
    <w:rsid w:val="006255BA"/>
    <w:rsid w:val="00626A10"/>
    <w:rsid w:val="00633639"/>
    <w:rsid w:val="00641738"/>
    <w:rsid w:val="006436F1"/>
    <w:rsid w:val="00645C2C"/>
    <w:rsid w:val="00646E2A"/>
    <w:rsid w:val="0065200D"/>
    <w:rsid w:val="00653655"/>
    <w:rsid w:val="00653A53"/>
    <w:rsid w:val="0065467C"/>
    <w:rsid w:val="00654E14"/>
    <w:rsid w:val="0065508B"/>
    <w:rsid w:val="0066651D"/>
    <w:rsid w:val="00674858"/>
    <w:rsid w:val="00674B97"/>
    <w:rsid w:val="00676074"/>
    <w:rsid w:val="006805DA"/>
    <w:rsid w:val="006831C2"/>
    <w:rsid w:val="0068373D"/>
    <w:rsid w:val="00685507"/>
    <w:rsid w:val="00686342"/>
    <w:rsid w:val="00691DB3"/>
    <w:rsid w:val="0069466C"/>
    <w:rsid w:val="006962C7"/>
    <w:rsid w:val="00697DFC"/>
    <w:rsid w:val="006A01C1"/>
    <w:rsid w:val="006A0881"/>
    <w:rsid w:val="006B03F9"/>
    <w:rsid w:val="006B2087"/>
    <w:rsid w:val="006B24FB"/>
    <w:rsid w:val="006B46A3"/>
    <w:rsid w:val="006B60D7"/>
    <w:rsid w:val="006C0E8E"/>
    <w:rsid w:val="006C2B2C"/>
    <w:rsid w:val="006C312A"/>
    <w:rsid w:val="006C7C98"/>
    <w:rsid w:val="006D517C"/>
    <w:rsid w:val="006D65C7"/>
    <w:rsid w:val="006D68C6"/>
    <w:rsid w:val="006E29C5"/>
    <w:rsid w:val="006E2A68"/>
    <w:rsid w:val="006E3769"/>
    <w:rsid w:val="006E428C"/>
    <w:rsid w:val="006E4797"/>
    <w:rsid w:val="006E7672"/>
    <w:rsid w:val="006F2271"/>
    <w:rsid w:val="006F3FF2"/>
    <w:rsid w:val="00702EFC"/>
    <w:rsid w:val="007031E8"/>
    <w:rsid w:val="0070444F"/>
    <w:rsid w:val="0071684B"/>
    <w:rsid w:val="007224C8"/>
    <w:rsid w:val="0072711F"/>
    <w:rsid w:val="00731B8F"/>
    <w:rsid w:val="007329DD"/>
    <w:rsid w:val="0073312B"/>
    <w:rsid w:val="00733F72"/>
    <w:rsid w:val="00734A96"/>
    <w:rsid w:val="00734BE3"/>
    <w:rsid w:val="00736A2C"/>
    <w:rsid w:val="007411F4"/>
    <w:rsid w:val="00750155"/>
    <w:rsid w:val="007518F2"/>
    <w:rsid w:val="00751A13"/>
    <w:rsid w:val="00752916"/>
    <w:rsid w:val="00756B52"/>
    <w:rsid w:val="00765454"/>
    <w:rsid w:val="007718E1"/>
    <w:rsid w:val="00776AAC"/>
    <w:rsid w:val="00777340"/>
    <w:rsid w:val="00777549"/>
    <w:rsid w:val="007806F7"/>
    <w:rsid w:val="0078099F"/>
    <w:rsid w:val="00782D7D"/>
    <w:rsid w:val="007834CA"/>
    <w:rsid w:val="00785C12"/>
    <w:rsid w:val="007860A9"/>
    <w:rsid w:val="00787739"/>
    <w:rsid w:val="007911D5"/>
    <w:rsid w:val="00791A37"/>
    <w:rsid w:val="0079313B"/>
    <w:rsid w:val="0079781E"/>
    <w:rsid w:val="007A7152"/>
    <w:rsid w:val="007B0178"/>
    <w:rsid w:val="007C2878"/>
    <w:rsid w:val="007D73F2"/>
    <w:rsid w:val="007E7EC4"/>
    <w:rsid w:val="007F10F0"/>
    <w:rsid w:val="007F7BCC"/>
    <w:rsid w:val="00805BEE"/>
    <w:rsid w:val="0080699F"/>
    <w:rsid w:val="00807815"/>
    <w:rsid w:val="00811486"/>
    <w:rsid w:val="00815843"/>
    <w:rsid w:val="00822E4C"/>
    <w:rsid w:val="008337A3"/>
    <w:rsid w:val="0083700F"/>
    <w:rsid w:val="008468E1"/>
    <w:rsid w:val="008519A1"/>
    <w:rsid w:val="00853466"/>
    <w:rsid w:val="00853D19"/>
    <w:rsid w:val="008555E5"/>
    <w:rsid w:val="00855FEB"/>
    <w:rsid w:val="0085660A"/>
    <w:rsid w:val="00864A00"/>
    <w:rsid w:val="0086754E"/>
    <w:rsid w:val="00871031"/>
    <w:rsid w:val="008722DE"/>
    <w:rsid w:val="00876778"/>
    <w:rsid w:val="00880AE0"/>
    <w:rsid w:val="00881849"/>
    <w:rsid w:val="00883F30"/>
    <w:rsid w:val="008848B2"/>
    <w:rsid w:val="008907A1"/>
    <w:rsid w:val="00893057"/>
    <w:rsid w:val="0089465B"/>
    <w:rsid w:val="008962EA"/>
    <w:rsid w:val="008A38A0"/>
    <w:rsid w:val="008A50F1"/>
    <w:rsid w:val="008A59E2"/>
    <w:rsid w:val="008A615D"/>
    <w:rsid w:val="008A7831"/>
    <w:rsid w:val="008B045E"/>
    <w:rsid w:val="008B4171"/>
    <w:rsid w:val="008B5901"/>
    <w:rsid w:val="008B7157"/>
    <w:rsid w:val="008B7EC7"/>
    <w:rsid w:val="008C2362"/>
    <w:rsid w:val="008C4BF6"/>
    <w:rsid w:val="008C60AE"/>
    <w:rsid w:val="008C64C0"/>
    <w:rsid w:val="008C72AD"/>
    <w:rsid w:val="008D2C73"/>
    <w:rsid w:val="008D7FE2"/>
    <w:rsid w:val="008E010D"/>
    <w:rsid w:val="008E31FA"/>
    <w:rsid w:val="008E4B3B"/>
    <w:rsid w:val="008F1A6B"/>
    <w:rsid w:val="008F29DF"/>
    <w:rsid w:val="00906FEC"/>
    <w:rsid w:val="00907A99"/>
    <w:rsid w:val="009117B9"/>
    <w:rsid w:val="0091470B"/>
    <w:rsid w:val="009148DD"/>
    <w:rsid w:val="0091513D"/>
    <w:rsid w:val="009166B9"/>
    <w:rsid w:val="00916EC1"/>
    <w:rsid w:val="0091702A"/>
    <w:rsid w:val="00922962"/>
    <w:rsid w:val="0093094C"/>
    <w:rsid w:val="00932067"/>
    <w:rsid w:val="00942E39"/>
    <w:rsid w:val="00951669"/>
    <w:rsid w:val="009523EE"/>
    <w:rsid w:val="00961CFA"/>
    <w:rsid w:val="0096298F"/>
    <w:rsid w:val="0096521D"/>
    <w:rsid w:val="0097135A"/>
    <w:rsid w:val="009732CF"/>
    <w:rsid w:val="009766D8"/>
    <w:rsid w:val="00981111"/>
    <w:rsid w:val="009900F9"/>
    <w:rsid w:val="009A0942"/>
    <w:rsid w:val="009A0FA7"/>
    <w:rsid w:val="009A13BA"/>
    <w:rsid w:val="009B3996"/>
    <w:rsid w:val="009B4D01"/>
    <w:rsid w:val="009B7B6C"/>
    <w:rsid w:val="009C4ADE"/>
    <w:rsid w:val="009C70A3"/>
    <w:rsid w:val="009C7531"/>
    <w:rsid w:val="009D6C24"/>
    <w:rsid w:val="009E5701"/>
    <w:rsid w:val="009F52E0"/>
    <w:rsid w:val="00A06B86"/>
    <w:rsid w:val="00A1145D"/>
    <w:rsid w:val="00A14027"/>
    <w:rsid w:val="00A20409"/>
    <w:rsid w:val="00A20C61"/>
    <w:rsid w:val="00A22D4B"/>
    <w:rsid w:val="00A2563D"/>
    <w:rsid w:val="00A269DD"/>
    <w:rsid w:val="00A31F78"/>
    <w:rsid w:val="00A3404B"/>
    <w:rsid w:val="00A41885"/>
    <w:rsid w:val="00A45CBB"/>
    <w:rsid w:val="00A53A40"/>
    <w:rsid w:val="00A53C36"/>
    <w:rsid w:val="00A53EE7"/>
    <w:rsid w:val="00A55635"/>
    <w:rsid w:val="00A611F1"/>
    <w:rsid w:val="00A66AFF"/>
    <w:rsid w:val="00A74C6F"/>
    <w:rsid w:val="00A7525C"/>
    <w:rsid w:val="00A76FFE"/>
    <w:rsid w:val="00A77B06"/>
    <w:rsid w:val="00A80169"/>
    <w:rsid w:val="00A8142A"/>
    <w:rsid w:val="00A83950"/>
    <w:rsid w:val="00A83AD5"/>
    <w:rsid w:val="00A852EC"/>
    <w:rsid w:val="00A9028A"/>
    <w:rsid w:val="00A92166"/>
    <w:rsid w:val="00A934EE"/>
    <w:rsid w:val="00A93DBA"/>
    <w:rsid w:val="00A95CAC"/>
    <w:rsid w:val="00A978D5"/>
    <w:rsid w:val="00AA198C"/>
    <w:rsid w:val="00AA325E"/>
    <w:rsid w:val="00AA40CB"/>
    <w:rsid w:val="00AA45B1"/>
    <w:rsid w:val="00AB0CFC"/>
    <w:rsid w:val="00AB139C"/>
    <w:rsid w:val="00AB1E8D"/>
    <w:rsid w:val="00AB4B1D"/>
    <w:rsid w:val="00AB5C58"/>
    <w:rsid w:val="00AC4213"/>
    <w:rsid w:val="00AC5029"/>
    <w:rsid w:val="00AC5C2E"/>
    <w:rsid w:val="00AD0E64"/>
    <w:rsid w:val="00AD1377"/>
    <w:rsid w:val="00AD139F"/>
    <w:rsid w:val="00AD1653"/>
    <w:rsid w:val="00AD2FD2"/>
    <w:rsid w:val="00AD3999"/>
    <w:rsid w:val="00AD54FA"/>
    <w:rsid w:val="00AD65E6"/>
    <w:rsid w:val="00AD670A"/>
    <w:rsid w:val="00AD7242"/>
    <w:rsid w:val="00AE26F9"/>
    <w:rsid w:val="00AE3298"/>
    <w:rsid w:val="00AE47FB"/>
    <w:rsid w:val="00AE74D0"/>
    <w:rsid w:val="00AE779C"/>
    <w:rsid w:val="00AF1B6F"/>
    <w:rsid w:val="00AF40A7"/>
    <w:rsid w:val="00AF46A1"/>
    <w:rsid w:val="00B011B1"/>
    <w:rsid w:val="00B01506"/>
    <w:rsid w:val="00B01964"/>
    <w:rsid w:val="00B024E8"/>
    <w:rsid w:val="00B06E98"/>
    <w:rsid w:val="00B10C7E"/>
    <w:rsid w:val="00B11EC2"/>
    <w:rsid w:val="00B1406B"/>
    <w:rsid w:val="00B1597B"/>
    <w:rsid w:val="00B179BC"/>
    <w:rsid w:val="00B242F9"/>
    <w:rsid w:val="00B2498F"/>
    <w:rsid w:val="00B25792"/>
    <w:rsid w:val="00B267DD"/>
    <w:rsid w:val="00B27507"/>
    <w:rsid w:val="00B27580"/>
    <w:rsid w:val="00B303C0"/>
    <w:rsid w:val="00B30563"/>
    <w:rsid w:val="00B30892"/>
    <w:rsid w:val="00B30CC9"/>
    <w:rsid w:val="00B365BA"/>
    <w:rsid w:val="00B430DA"/>
    <w:rsid w:val="00B43278"/>
    <w:rsid w:val="00B43E82"/>
    <w:rsid w:val="00B475C5"/>
    <w:rsid w:val="00B528B3"/>
    <w:rsid w:val="00B5315D"/>
    <w:rsid w:val="00B54A9B"/>
    <w:rsid w:val="00B56CF8"/>
    <w:rsid w:val="00B60D2D"/>
    <w:rsid w:val="00B61965"/>
    <w:rsid w:val="00B62E42"/>
    <w:rsid w:val="00B64BD5"/>
    <w:rsid w:val="00B65037"/>
    <w:rsid w:val="00B65E7B"/>
    <w:rsid w:val="00B665AA"/>
    <w:rsid w:val="00B72158"/>
    <w:rsid w:val="00B841A2"/>
    <w:rsid w:val="00B860A6"/>
    <w:rsid w:val="00B86775"/>
    <w:rsid w:val="00B90FF7"/>
    <w:rsid w:val="00B974C4"/>
    <w:rsid w:val="00BA0D61"/>
    <w:rsid w:val="00BA3F4E"/>
    <w:rsid w:val="00BA5832"/>
    <w:rsid w:val="00BB3091"/>
    <w:rsid w:val="00BC3482"/>
    <w:rsid w:val="00BD0CF6"/>
    <w:rsid w:val="00BD2BEF"/>
    <w:rsid w:val="00BD2E13"/>
    <w:rsid w:val="00BD3F72"/>
    <w:rsid w:val="00BD5843"/>
    <w:rsid w:val="00BD5E34"/>
    <w:rsid w:val="00BE22A2"/>
    <w:rsid w:val="00BE4F15"/>
    <w:rsid w:val="00BE50DD"/>
    <w:rsid w:val="00BF58D7"/>
    <w:rsid w:val="00BF6DD4"/>
    <w:rsid w:val="00C03656"/>
    <w:rsid w:val="00C062AB"/>
    <w:rsid w:val="00C065EE"/>
    <w:rsid w:val="00C10DB0"/>
    <w:rsid w:val="00C13391"/>
    <w:rsid w:val="00C14406"/>
    <w:rsid w:val="00C14B71"/>
    <w:rsid w:val="00C14EB5"/>
    <w:rsid w:val="00C176E9"/>
    <w:rsid w:val="00C17A23"/>
    <w:rsid w:val="00C20BCB"/>
    <w:rsid w:val="00C212F2"/>
    <w:rsid w:val="00C22854"/>
    <w:rsid w:val="00C268D9"/>
    <w:rsid w:val="00C32C6C"/>
    <w:rsid w:val="00C32DBF"/>
    <w:rsid w:val="00C3716D"/>
    <w:rsid w:val="00C42F1D"/>
    <w:rsid w:val="00C44880"/>
    <w:rsid w:val="00C44982"/>
    <w:rsid w:val="00C45144"/>
    <w:rsid w:val="00C4536B"/>
    <w:rsid w:val="00C5167D"/>
    <w:rsid w:val="00C52F3B"/>
    <w:rsid w:val="00C55283"/>
    <w:rsid w:val="00C5575B"/>
    <w:rsid w:val="00C5796E"/>
    <w:rsid w:val="00C61C2A"/>
    <w:rsid w:val="00C64C7A"/>
    <w:rsid w:val="00C751EB"/>
    <w:rsid w:val="00C845F7"/>
    <w:rsid w:val="00C90768"/>
    <w:rsid w:val="00C9533A"/>
    <w:rsid w:val="00C95490"/>
    <w:rsid w:val="00CA0D17"/>
    <w:rsid w:val="00CA54A4"/>
    <w:rsid w:val="00CA65BA"/>
    <w:rsid w:val="00CA6C86"/>
    <w:rsid w:val="00CA75E8"/>
    <w:rsid w:val="00CA78F9"/>
    <w:rsid w:val="00CB2617"/>
    <w:rsid w:val="00CB682D"/>
    <w:rsid w:val="00CC47F4"/>
    <w:rsid w:val="00CC6B89"/>
    <w:rsid w:val="00CC7310"/>
    <w:rsid w:val="00CC749E"/>
    <w:rsid w:val="00CD0F0E"/>
    <w:rsid w:val="00CD4DCE"/>
    <w:rsid w:val="00CD4E33"/>
    <w:rsid w:val="00CE00FA"/>
    <w:rsid w:val="00CE04F5"/>
    <w:rsid w:val="00CE1E4A"/>
    <w:rsid w:val="00CE6A79"/>
    <w:rsid w:val="00CF095D"/>
    <w:rsid w:val="00CF0CF8"/>
    <w:rsid w:val="00CF7449"/>
    <w:rsid w:val="00D01B2C"/>
    <w:rsid w:val="00D028C2"/>
    <w:rsid w:val="00D04986"/>
    <w:rsid w:val="00D07D69"/>
    <w:rsid w:val="00D13B45"/>
    <w:rsid w:val="00D15406"/>
    <w:rsid w:val="00D158C9"/>
    <w:rsid w:val="00D173C4"/>
    <w:rsid w:val="00D210C1"/>
    <w:rsid w:val="00D2164B"/>
    <w:rsid w:val="00D25C64"/>
    <w:rsid w:val="00D31C61"/>
    <w:rsid w:val="00D31FF0"/>
    <w:rsid w:val="00D3278B"/>
    <w:rsid w:val="00D32F26"/>
    <w:rsid w:val="00D34B5C"/>
    <w:rsid w:val="00D36943"/>
    <w:rsid w:val="00D42283"/>
    <w:rsid w:val="00D55525"/>
    <w:rsid w:val="00D55CBB"/>
    <w:rsid w:val="00D565B5"/>
    <w:rsid w:val="00D60A01"/>
    <w:rsid w:val="00D60F3E"/>
    <w:rsid w:val="00D63E3C"/>
    <w:rsid w:val="00D646B1"/>
    <w:rsid w:val="00D67420"/>
    <w:rsid w:val="00D70F12"/>
    <w:rsid w:val="00D71BF8"/>
    <w:rsid w:val="00D72721"/>
    <w:rsid w:val="00D74A52"/>
    <w:rsid w:val="00D7638C"/>
    <w:rsid w:val="00D776C0"/>
    <w:rsid w:val="00D83256"/>
    <w:rsid w:val="00D83C2F"/>
    <w:rsid w:val="00D86608"/>
    <w:rsid w:val="00D91B7A"/>
    <w:rsid w:val="00D9238E"/>
    <w:rsid w:val="00D9240F"/>
    <w:rsid w:val="00D93A8C"/>
    <w:rsid w:val="00D948A4"/>
    <w:rsid w:val="00D96FFA"/>
    <w:rsid w:val="00DA08FD"/>
    <w:rsid w:val="00DA1303"/>
    <w:rsid w:val="00DB03A7"/>
    <w:rsid w:val="00DB070D"/>
    <w:rsid w:val="00DB0B2E"/>
    <w:rsid w:val="00DB11BF"/>
    <w:rsid w:val="00DC3763"/>
    <w:rsid w:val="00DC3CEA"/>
    <w:rsid w:val="00DC72B6"/>
    <w:rsid w:val="00DC7470"/>
    <w:rsid w:val="00DD0F2F"/>
    <w:rsid w:val="00DD2BDE"/>
    <w:rsid w:val="00DD7BEE"/>
    <w:rsid w:val="00DE2192"/>
    <w:rsid w:val="00DE7788"/>
    <w:rsid w:val="00E026B5"/>
    <w:rsid w:val="00E02DE4"/>
    <w:rsid w:val="00E06F66"/>
    <w:rsid w:val="00E14CFF"/>
    <w:rsid w:val="00E21975"/>
    <w:rsid w:val="00E245D8"/>
    <w:rsid w:val="00E24744"/>
    <w:rsid w:val="00E36090"/>
    <w:rsid w:val="00E3799E"/>
    <w:rsid w:val="00E43035"/>
    <w:rsid w:val="00E43383"/>
    <w:rsid w:val="00E45A9C"/>
    <w:rsid w:val="00E54984"/>
    <w:rsid w:val="00E54BEB"/>
    <w:rsid w:val="00E54F53"/>
    <w:rsid w:val="00E55486"/>
    <w:rsid w:val="00E5616C"/>
    <w:rsid w:val="00E63CD9"/>
    <w:rsid w:val="00E668B3"/>
    <w:rsid w:val="00E669D2"/>
    <w:rsid w:val="00E672C0"/>
    <w:rsid w:val="00E67B2C"/>
    <w:rsid w:val="00E71936"/>
    <w:rsid w:val="00E7574B"/>
    <w:rsid w:val="00E77CCE"/>
    <w:rsid w:val="00E80FD6"/>
    <w:rsid w:val="00E91865"/>
    <w:rsid w:val="00E937DF"/>
    <w:rsid w:val="00E97E0F"/>
    <w:rsid w:val="00EA08A6"/>
    <w:rsid w:val="00EA15D8"/>
    <w:rsid w:val="00EA27DE"/>
    <w:rsid w:val="00EA4F29"/>
    <w:rsid w:val="00EA507E"/>
    <w:rsid w:val="00EA53E2"/>
    <w:rsid w:val="00EB1418"/>
    <w:rsid w:val="00EB1E68"/>
    <w:rsid w:val="00EB20AE"/>
    <w:rsid w:val="00EB2BAE"/>
    <w:rsid w:val="00EB3C47"/>
    <w:rsid w:val="00EC0744"/>
    <w:rsid w:val="00EC0985"/>
    <w:rsid w:val="00EC1083"/>
    <w:rsid w:val="00EC28A0"/>
    <w:rsid w:val="00EC6997"/>
    <w:rsid w:val="00EC7133"/>
    <w:rsid w:val="00ED5BA1"/>
    <w:rsid w:val="00EE127F"/>
    <w:rsid w:val="00EF0370"/>
    <w:rsid w:val="00EF2656"/>
    <w:rsid w:val="00EF32F0"/>
    <w:rsid w:val="00EF5E1F"/>
    <w:rsid w:val="00F02851"/>
    <w:rsid w:val="00F029E7"/>
    <w:rsid w:val="00F057DB"/>
    <w:rsid w:val="00F05CF7"/>
    <w:rsid w:val="00F1088B"/>
    <w:rsid w:val="00F13F01"/>
    <w:rsid w:val="00F163FA"/>
    <w:rsid w:val="00F20AAC"/>
    <w:rsid w:val="00F24840"/>
    <w:rsid w:val="00F24FF2"/>
    <w:rsid w:val="00F314AC"/>
    <w:rsid w:val="00F3414C"/>
    <w:rsid w:val="00F3487C"/>
    <w:rsid w:val="00F352DD"/>
    <w:rsid w:val="00F36854"/>
    <w:rsid w:val="00F37D3A"/>
    <w:rsid w:val="00F42263"/>
    <w:rsid w:val="00F45F6A"/>
    <w:rsid w:val="00F467F1"/>
    <w:rsid w:val="00F50630"/>
    <w:rsid w:val="00F51FB2"/>
    <w:rsid w:val="00F54AC4"/>
    <w:rsid w:val="00F55413"/>
    <w:rsid w:val="00F57278"/>
    <w:rsid w:val="00F5741A"/>
    <w:rsid w:val="00F61F8B"/>
    <w:rsid w:val="00F6279E"/>
    <w:rsid w:val="00F64B30"/>
    <w:rsid w:val="00F658C3"/>
    <w:rsid w:val="00F6611D"/>
    <w:rsid w:val="00F71C69"/>
    <w:rsid w:val="00F72F6F"/>
    <w:rsid w:val="00F7689B"/>
    <w:rsid w:val="00F80724"/>
    <w:rsid w:val="00F82524"/>
    <w:rsid w:val="00F85445"/>
    <w:rsid w:val="00F91127"/>
    <w:rsid w:val="00F93F44"/>
    <w:rsid w:val="00FA12D0"/>
    <w:rsid w:val="00FA387F"/>
    <w:rsid w:val="00FA3A6E"/>
    <w:rsid w:val="00FA62E0"/>
    <w:rsid w:val="00FA6866"/>
    <w:rsid w:val="00FA7222"/>
    <w:rsid w:val="00FB111B"/>
    <w:rsid w:val="00FB47BC"/>
    <w:rsid w:val="00FB4CDA"/>
    <w:rsid w:val="00FC03C9"/>
    <w:rsid w:val="00FC0639"/>
    <w:rsid w:val="00FC0C97"/>
    <w:rsid w:val="00FC1D65"/>
    <w:rsid w:val="00FC4019"/>
    <w:rsid w:val="00FC452B"/>
    <w:rsid w:val="00FC5F3E"/>
    <w:rsid w:val="00FD01F1"/>
    <w:rsid w:val="00FE114A"/>
    <w:rsid w:val="00FE32BC"/>
    <w:rsid w:val="00FE75EB"/>
    <w:rsid w:val="00FF3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MenoPendente1">
    <w:name w:val="Menção Pendente1"/>
    <w:basedOn w:val="DefaultParagraphFont"/>
    <w:uiPriority w:val="99"/>
    <w:semiHidden/>
    <w:unhideWhenUsed/>
    <w:rsid w:val="00EB1E68"/>
    <w:rPr>
      <w:color w:val="605E5C"/>
      <w:shd w:val="clear" w:color="auto" w:fill="E1DFDD"/>
    </w:rPr>
  </w:style>
  <w:style w:type="paragraph" w:styleId="BalloonText">
    <w:name w:val="Balloon Text"/>
    <w:basedOn w:val="Normal"/>
    <w:link w:val="BalloonTextChar"/>
    <w:uiPriority w:val="99"/>
    <w:semiHidden/>
    <w:unhideWhenUsed/>
    <w:rsid w:val="0022759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27591"/>
    <w:rPr>
      <w:rFonts w:ascii="Times New Roman" w:hAnsi="Times New Roman" w:cs="Times New Roman"/>
      <w:sz w:val="18"/>
      <w:szCs w:val="18"/>
    </w:rPr>
  </w:style>
  <w:style w:type="paragraph" w:styleId="ListParagraph">
    <w:name w:val="List Paragraph"/>
    <w:basedOn w:val="Normal"/>
    <w:uiPriority w:val="34"/>
    <w:qFormat/>
    <w:rsid w:val="00C10DB0"/>
    <w:pPr>
      <w:widowControl/>
      <w:spacing w:after="160" w:line="259" w:lineRule="auto"/>
      <w:ind w:left="720"/>
      <w:contextualSpacing/>
      <w:jc w:val="left"/>
    </w:pPr>
    <w:rPr>
      <w:rFonts w:asciiTheme="minorHAnsi" w:eastAsiaTheme="minorHAnsi" w:hAnsiTheme="minorHAnsi" w:cstheme="minorBidi"/>
      <w:sz w:val="22"/>
      <w:szCs w:val="22"/>
      <w:lang w:val="pt-BR"/>
    </w:rPr>
  </w:style>
  <w:style w:type="character" w:styleId="CommentReference">
    <w:name w:val="annotation reference"/>
    <w:basedOn w:val="DefaultParagraphFont"/>
    <w:uiPriority w:val="99"/>
    <w:semiHidden/>
    <w:unhideWhenUsed/>
    <w:rsid w:val="00236428"/>
    <w:rPr>
      <w:sz w:val="16"/>
      <w:szCs w:val="16"/>
    </w:rPr>
  </w:style>
  <w:style w:type="paragraph" w:styleId="CommentText">
    <w:name w:val="annotation text"/>
    <w:basedOn w:val="Normal"/>
    <w:link w:val="CommentTextChar"/>
    <w:uiPriority w:val="99"/>
    <w:semiHidden/>
    <w:unhideWhenUsed/>
    <w:rsid w:val="00236428"/>
    <w:rPr>
      <w:sz w:val="20"/>
      <w:szCs w:val="20"/>
    </w:rPr>
  </w:style>
  <w:style w:type="character" w:customStyle="1" w:styleId="CommentTextChar">
    <w:name w:val="Comment Text Char"/>
    <w:basedOn w:val="DefaultParagraphFont"/>
    <w:link w:val="CommentText"/>
    <w:uiPriority w:val="99"/>
    <w:semiHidden/>
    <w:rsid w:val="00236428"/>
    <w:rPr>
      <w:sz w:val="20"/>
      <w:szCs w:val="20"/>
    </w:rPr>
  </w:style>
  <w:style w:type="paragraph" w:styleId="CommentSubject">
    <w:name w:val="annotation subject"/>
    <w:basedOn w:val="CommentText"/>
    <w:next w:val="CommentText"/>
    <w:link w:val="CommentSubjectChar"/>
    <w:uiPriority w:val="99"/>
    <w:semiHidden/>
    <w:unhideWhenUsed/>
    <w:rsid w:val="00236428"/>
    <w:rPr>
      <w:b/>
      <w:bCs/>
    </w:rPr>
  </w:style>
  <w:style w:type="character" w:customStyle="1" w:styleId="CommentSubjectChar">
    <w:name w:val="Comment Subject Char"/>
    <w:basedOn w:val="CommentTextChar"/>
    <w:link w:val="CommentSubject"/>
    <w:uiPriority w:val="99"/>
    <w:semiHidden/>
    <w:rsid w:val="00236428"/>
    <w:rPr>
      <w:b/>
      <w:bCs/>
      <w:sz w:val="20"/>
      <w:szCs w:val="20"/>
    </w:rPr>
  </w:style>
  <w:style w:type="character" w:styleId="FollowedHyperlink">
    <w:name w:val="FollowedHyperlink"/>
    <w:basedOn w:val="DefaultParagraphFont"/>
    <w:uiPriority w:val="99"/>
    <w:semiHidden/>
    <w:unhideWhenUsed/>
    <w:rsid w:val="00020D27"/>
    <w:rPr>
      <w:color w:val="800080" w:themeColor="followedHyperlink"/>
      <w:u w:val="single"/>
    </w:rPr>
  </w:style>
  <w:style w:type="paragraph" w:styleId="Footer">
    <w:name w:val="footer"/>
    <w:basedOn w:val="Normal"/>
    <w:link w:val="FooterChar"/>
    <w:uiPriority w:val="99"/>
    <w:unhideWhenUsed/>
    <w:rsid w:val="008A59E2"/>
    <w:pPr>
      <w:tabs>
        <w:tab w:val="center" w:pos="4680"/>
        <w:tab w:val="right" w:pos="9360"/>
      </w:tabs>
    </w:pPr>
  </w:style>
  <w:style w:type="character" w:customStyle="1" w:styleId="FooterChar">
    <w:name w:val="Footer Char"/>
    <w:basedOn w:val="DefaultParagraphFont"/>
    <w:link w:val="Footer"/>
    <w:uiPriority w:val="99"/>
    <w:rsid w:val="008A59E2"/>
  </w:style>
  <w:style w:type="character" w:styleId="PageNumber">
    <w:name w:val="page number"/>
    <w:basedOn w:val="DefaultParagraphFont"/>
    <w:uiPriority w:val="99"/>
    <w:semiHidden/>
    <w:unhideWhenUsed/>
    <w:rsid w:val="008A59E2"/>
  </w:style>
  <w:style w:type="character" w:customStyle="1" w:styleId="apple-converted-space">
    <w:name w:val="apple-converted-space"/>
    <w:basedOn w:val="DefaultParagraphFont"/>
    <w:rsid w:val="00F36854"/>
  </w:style>
  <w:style w:type="paragraph" w:customStyle="1" w:styleId="Bibliography1">
    <w:name w:val="Bibliography1"/>
    <w:basedOn w:val="Normal"/>
    <w:link w:val="BibliographyChar"/>
    <w:rsid w:val="00A55635"/>
    <w:pPr>
      <w:tabs>
        <w:tab w:val="left" w:pos="380"/>
      </w:tabs>
      <w:ind w:left="384" w:hanging="384"/>
    </w:pPr>
    <w:rPr>
      <w:color w:val="000000" w:themeColor="text1"/>
    </w:rPr>
  </w:style>
  <w:style w:type="character" w:customStyle="1" w:styleId="BibliographyChar">
    <w:name w:val="Bibliography Char"/>
    <w:basedOn w:val="DefaultParagraphFont"/>
    <w:link w:val="Bibliography1"/>
    <w:rsid w:val="00A55635"/>
    <w:rPr>
      <w:color w:val="000000" w:themeColor="text1"/>
    </w:rPr>
  </w:style>
  <w:style w:type="character" w:styleId="LineNumber">
    <w:name w:val="line number"/>
    <w:basedOn w:val="DefaultParagraphFont"/>
    <w:uiPriority w:val="99"/>
    <w:semiHidden/>
    <w:unhideWhenUsed/>
    <w:rsid w:val="00765454"/>
  </w:style>
  <w:style w:type="character" w:styleId="UnresolvedMention">
    <w:name w:val="Unresolved Mention"/>
    <w:basedOn w:val="DefaultParagraphFont"/>
    <w:uiPriority w:val="99"/>
    <w:semiHidden/>
    <w:unhideWhenUsed/>
    <w:rsid w:val="00FE75EB"/>
    <w:rPr>
      <w:color w:val="605E5C"/>
      <w:shd w:val="clear" w:color="auto" w:fill="E1DFDD"/>
    </w:rPr>
  </w:style>
  <w:style w:type="paragraph" w:styleId="Revision">
    <w:name w:val="Revision"/>
    <w:hidden/>
    <w:uiPriority w:val="99"/>
    <w:semiHidden/>
    <w:rsid w:val="0065508B"/>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9414">
      <w:bodyDiv w:val="1"/>
      <w:marLeft w:val="0"/>
      <w:marRight w:val="0"/>
      <w:marTop w:val="0"/>
      <w:marBottom w:val="0"/>
      <w:divBdr>
        <w:top w:val="none" w:sz="0" w:space="0" w:color="auto"/>
        <w:left w:val="none" w:sz="0" w:space="0" w:color="auto"/>
        <w:bottom w:val="none" w:sz="0" w:space="0" w:color="auto"/>
        <w:right w:val="none" w:sz="0" w:space="0" w:color="auto"/>
      </w:divBdr>
    </w:div>
    <w:div w:id="77483801">
      <w:bodyDiv w:val="1"/>
      <w:marLeft w:val="0"/>
      <w:marRight w:val="0"/>
      <w:marTop w:val="0"/>
      <w:marBottom w:val="0"/>
      <w:divBdr>
        <w:top w:val="none" w:sz="0" w:space="0" w:color="auto"/>
        <w:left w:val="none" w:sz="0" w:space="0" w:color="auto"/>
        <w:bottom w:val="none" w:sz="0" w:space="0" w:color="auto"/>
        <w:right w:val="none" w:sz="0" w:space="0" w:color="auto"/>
      </w:divBdr>
    </w:div>
    <w:div w:id="116265645">
      <w:bodyDiv w:val="1"/>
      <w:marLeft w:val="0"/>
      <w:marRight w:val="0"/>
      <w:marTop w:val="0"/>
      <w:marBottom w:val="0"/>
      <w:divBdr>
        <w:top w:val="none" w:sz="0" w:space="0" w:color="auto"/>
        <w:left w:val="none" w:sz="0" w:space="0" w:color="auto"/>
        <w:bottom w:val="none" w:sz="0" w:space="0" w:color="auto"/>
        <w:right w:val="none" w:sz="0" w:space="0" w:color="auto"/>
      </w:divBdr>
    </w:div>
    <w:div w:id="250086247">
      <w:bodyDiv w:val="1"/>
      <w:marLeft w:val="0"/>
      <w:marRight w:val="0"/>
      <w:marTop w:val="0"/>
      <w:marBottom w:val="0"/>
      <w:divBdr>
        <w:top w:val="none" w:sz="0" w:space="0" w:color="auto"/>
        <w:left w:val="none" w:sz="0" w:space="0" w:color="auto"/>
        <w:bottom w:val="none" w:sz="0" w:space="0" w:color="auto"/>
        <w:right w:val="none" w:sz="0" w:space="0" w:color="auto"/>
      </w:divBdr>
    </w:div>
    <w:div w:id="345206799">
      <w:bodyDiv w:val="1"/>
      <w:marLeft w:val="0"/>
      <w:marRight w:val="0"/>
      <w:marTop w:val="0"/>
      <w:marBottom w:val="0"/>
      <w:divBdr>
        <w:top w:val="none" w:sz="0" w:space="0" w:color="auto"/>
        <w:left w:val="none" w:sz="0" w:space="0" w:color="auto"/>
        <w:bottom w:val="none" w:sz="0" w:space="0" w:color="auto"/>
        <w:right w:val="none" w:sz="0" w:space="0" w:color="auto"/>
      </w:divBdr>
    </w:div>
    <w:div w:id="384454473">
      <w:bodyDiv w:val="1"/>
      <w:marLeft w:val="0"/>
      <w:marRight w:val="0"/>
      <w:marTop w:val="0"/>
      <w:marBottom w:val="0"/>
      <w:divBdr>
        <w:top w:val="none" w:sz="0" w:space="0" w:color="auto"/>
        <w:left w:val="none" w:sz="0" w:space="0" w:color="auto"/>
        <w:bottom w:val="none" w:sz="0" w:space="0" w:color="auto"/>
        <w:right w:val="none" w:sz="0" w:space="0" w:color="auto"/>
      </w:divBdr>
    </w:div>
    <w:div w:id="518277081">
      <w:bodyDiv w:val="1"/>
      <w:marLeft w:val="0"/>
      <w:marRight w:val="0"/>
      <w:marTop w:val="0"/>
      <w:marBottom w:val="0"/>
      <w:divBdr>
        <w:top w:val="none" w:sz="0" w:space="0" w:color="auto"/>
        <w:left w:val="none" w:sz="0" w:space="0" w:color="auto"/>
        <w:bottom w:val="none" w:sz="0" w:space="0" w:color="auto"/>
        <w:right w:val="none" w:sz="0" w:space="0" w:color="auto"/>
      </w:divBdr>
    </w:div>
    <w:div w:id="802967781">
      <w:bodyDiv w:val="1"/>
      <w:marLeft w:val="0"/>
      <w:marRight w:val="0"/>
      <w:marTop w:val="0"/>
      <w:marBottom w:val="0"/>
      <w:divBdr>
        <w:top w:val="none" w:sz="0" w:space="0" w:color="auto"/>
        <w:left w:val="none" w:sz="0" w:space="0" w:color="auto"/>
        <w:bottom w:val="none" w:sz="0" w:space="0" w:color="auto"/>
        <w:right w:val="none" w:sz="0" w:space="0" w:color="auto"/>
      </w:divBdr>
    </w:div>
    <w:div w:id="850143982">
      <w:bodyDiv w:val="1"/>
      <w:marLeft w:val="0"/>
      <w:marRight w:val="0"/>
      <w:marTop w:val="0"/>
      <w:marBottom w:val="0"/>
      <w:divBdr>
        <w:top w:val="none" w:sz="0" w:space="0" w:color="auto"/>
        <w:left w:val="none" w:sz="0" w:space="0" w:color="auto"/>
        <w:bottom w:val="none" w:sz="0" w:space="0" w:color="auto"/>
        <w:right w:val="none" w:sz="0" w:space="0" w:color="auto"/>
      </w:divBdr>
    </w:div>
    <w:div w:id="1228616594">
      <w:bodyDiv w:val="1"/>
      <w:marLeft w:val="0"/>
      <w:marRight w:val="0"/>
      <w:marTop w:val="0"/>
      <w:marBottom w:val="0"/>
      <w:divBdr>
        <w:top w:val="none" w:sz="0" w:space="0" w:color="auto"/>
        <w:left w:val="none" w:sz="0" w:space="0" w:color="auto"/>
        <w:bottom w:val="none" w:sz="0" w:space="0" w:color="auto"/>
        <w:right w:val="none" w:sz="0" w:space="0" w:color="auto"/>
      </w:divBdr>
    </w:div>
    <w:div w:id="1422025917">
      <w:bodyDiv w:val="1"/>
      <w:marLeft w:val="0"/>
      <w:marRight w:val="0"/>
      <w:marTop w:val="0"/>
      <w:marBottom w:val="0"/>
      <w:divBdr>
        <w:top w:val="none" w:sz="0" w:space="0" w:color="auto"/>
        <w:left w:val="none" w:sz="0" w:space="0" w:color="auto"/>
        <w:bottom w:val="none" w:sz="0" w:space="0" w:color="auto"/>
        <w:right w:val="none" w:sz="0" w:space="0" w:color="auto"/>
      </w:divBdr>
    </w:div>
    <w:div w:id="1517886370">
      <w:bodyDiv w:val="1"/>
      <w:marLeft w:val="0"/>
      <w:marRight w:val="0"/>
      <w:marTop w:val="0"/>
      <w:marBottom w:val="0"/>
      <w:divBdr>
        <w:top w:val="none" w:sz="0" w:space="0" w:color="auto"/>
        <w:left w:val="none" w:sz="0" w:space="0" w:color="auto"/>
        <w:bottom w:val="none" w:sz="0" w:space="0" w:color="auto"/>
        <w:right w:val="none" w:sz="0" w:space="0" w:color="auto"/>
      </w:divBdr>
    </w:div>
    <w:div w:id="1664815440">
      <w:bodyDiv w:val="1"/>
      <w:marLeft w:val="0"/>
      <w:marRight w:val="0"/>
      <w:marTop w:val="0"/>
      <w:marBottom w:val="0"/>
      <w:divBdr>
        <w:top w:val="none" w:sz="0" w:space="0" w:color="auto"/>
        <w:left w:val="none" w:sz="0" w:space="0" w:color="auto"/>
        <w:bottom w:val="none" w:sz="0" w:space="0" w:color="auto"/>
        <w:right w:val="none" w:sz="0" w:space="0" w:color="auto"/>
      </w:divBdr>
    </w:div>
    <w:div w:id="1747073387">
      <w:bodyDiv w:val="1"/>
      <w:marLeft w:val="0"/>
      <w:marRight w:val="0"/>
      <w:marTop w:val="0"/>
      <w:marBottom w:val="0"/>
      <w:divBdr>
        <w:top w:val="none" w:sz="0" w:space="0" w:color="auto"/>
        <w:left w:val="none" w:sz="0" w:space="0" w:color="auto"/>
        <w:bottom w:val="none" w:sz="0" w:space="0" w:color="auto"/>
        <w:right w:val="none" w:sz="0" w:space="0" w:color="auto"/>
      </w:divBdr>
    </w:div>
    <w:div w:id="1856335183">
      <w:bodyDiv w:val="1"/>
      <w:marLeft w:val="0"/>
      <w:marRight w:val="0"/>
      <w:marTop w:val="0"/>
      <w:marBottom w:val="0"/>
      <w:divBdr>
        <w:top w:val="none" w:sz="0" w:space="0" w:color="auto"/>
        <w:left w:val="none" w:sz="0" w:space="0" w:color="auto"/>
        <w:bottom w:val="none" w:sz="0" w:space="0" w:color="auto"/>
        <w:right w:val="none" w:sz="0" w:space="0" w:color="auto"/>
      </w:divBdr>
    </w:div>
    <w:div w:id="2017921704">
      <w:bodyDiv w:val="1"/>
      <w:marLeft w:val="0"/>
      <w:marRight w:val="0"/>
      <w:marTop w:val="0"/>
      <w:marBottom w:val="0"/>
      <w:divBdr>
        <w:top w:val="none" w:sz="0" w:space="0" w:color="auto"/>
        <w:left w:val="none" w:sz="0" w:space="0" w:color="auto"/>
        <w:bottom w:val="none" w:sz="0" w:space="0" w:color="auto"/>
        <w:right w:val="none" w:sz="0" w:space="0" w:color="auto"/>
      </w:divBdr>
    </w:div>
    <w:div w:id="2032873478">
      <w:bodyDiv w:val="1"/>
      <w:marLeft w:val="0"/>
      <w:marRight w:val="0"/>
      <w:marTop w:val="0"/>
      <w:marBottom w:val="0"/>
      <w:divBdr>
        <w:top w:val="none" w:sz="0" w:space="0" w:color="auto"/>
        <w:left w:val="none" w:sz="0" w:space="0" w:color="auto"/>
        <w:bottom w:val="none" w:sz="0" w:space="0" w:color="auto"/>
        <w:right w:val="none" w:sz="0" w:space="0" w:color="auto"/>
      </w:divBdr>
    </w:div>
    <w:div w:id="2144419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D1D49-228A-41CB-8F05-3231D0DC2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39735</Words>
  <Characters>226493</Characters>
  <Application>Microsoft Office Word</Application>
  <DocSecurity>0</DocSecurity>
  <Lines>1887</Lines>
  <Paragraphs>531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265697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2021-07-19T17:02:00Z</dcterms:created>
  <dcterms:modified xsi:type="dcterms:W3CDTF">2021-08-05T18:11:00Z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6309fb9f-a07b-3bd6-ae6b-2af0a95fc4bd</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 6th edition</vt:lpwstr>
  </property>
  <property fmtid="{D5CDD505-2E9C-101B-9397-08002B2CF9AE}" pid="9" name="Mendeley Recent Style Id 2_1">
    <vt:lpwstr>http://www.zotero.org/styles/associacao-brasileira-de-normas-tecnicas</vt:lpwstr>
  </property>
  <property fmtid="{D5CDD505-2E9C-101B-9397-08002B2CF9AE}" pid="10" name="Mendeley Recent Style Name 2_1">
    <vt:lpwstr>Associação Brasileira de Normas Técnicas (Portuguese - Brazil)</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PREF_1">
    <vt:lpwstr>&lt;data data-version="3" zotero-version="5.0.96.1"&gt;&lt;session id="H9cYccCA"/&gt;&lt;style id="http://www.zotero.org/styles/journal-of-visualized-experiments" hasBibliography="1" bibliographyStyleHasBeenSet="1"/&gt;&lt;prefs&gt;&lt;pref name="fieldType" value="Field"/&gt;&lt;pref nam</vt:lpwstr>
  </property>
  <property fmtid="{D5CDD505-2E9C-101B-9397-08002B2CF9AE}" pid="26" name="ZOTERO_PREF_2">
    <vt:lpwstr>e="automaticJournalAbbreviations" value="true"/&gt;&lt;pref name="dontAskDelayCitationUpdates" value="true"/&gt;&lt;/prefs&gt;&lt;/data&gt;</vt:lpwstr>
  </property>
</Properties>
</file>