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Non-invasive Method for Generating the Cyclic Loading-induced Intra-articular Cartilage Lesion Model of the Rat Knee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 Ji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Akihiro Nakahata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Zixi Zhao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Hiroshi Kuroki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Tomoki Aoyama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Akira Ito</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Development and Rehabilitation of Motor Function, Human Health Sciences, Graduate School of Medicine, Kyoto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Motor Function Analysis, Human Health Sciences, Graduate School of Medicine, Kyoto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 Ji</w:t>
        <w:tab/>
        <w:tab/>
        <w:t xml:space="preserve">             (gochickenjp@gmail.com)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Akihiro Nakahata</w:t>
        <w:tab/>
        <w:t xml:space="preserve">(kiyoshi0320@pt-aki.asia)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Zixi Zhao</w:t>
        <w:tab/>
        <w:tab/>
        <w:t xml:space="preserve">(zhaozixi2020@yahoo.co.jp)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Hiroshi Kuroki</w:t>
        <w:tab/>
        <w:tab/>
        <w:t xml:space="preserve">(kuroki.hiroshi.6s@kyoto-u.ac.jp)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Tomoki Aoyama</w:t>
        <w:tab/>
        <w:t xml:space="preserve">(aoyama.tomoki.4e@kyoto-u.ac.jp)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Akira Ito</w:t>
        <w:tab/>
        <w:tab/>
        <w:t xml:space="preserve">(ito.akira.4m@kyoto-u.ac.jp)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cyclic compression; Post-traumatic osteoarthritis; Cartilage degeneration; Rat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cyclic loading-induced intra-articular cartilage lesion model of the rat knee, generated by 60 cyclic compressions over 20 N, resulting in damage to the femoral condylar cartilage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pathophysiology of primary osteoarthritis (OA) remains unclear. However, a specific subclassification of OA in relatively younger age groups is likely correlated with a history of articular cartilage damage and ligament avulsion. Surgical animal models of OA of the knee play an important role in understanding the onset and progression of post-traumatic OA and aid in the development of novel therapies for this disease. However, non-surgical models have been recently considered to avoid traumatic inflammation that could affect the evaluation of the intervention.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an intra-articular cartilage lesion rat model induced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cyclic compressive loading was developed, which allowed researchers to (1) determine the optimal magnitude, speed, and duration of load that could cause focal cartilage damage; (2) assess post-traumatic spatiotemporal pathological changes in chondrocyte vitality; and (3) evaluate the histological expression of destructive or protective molecules that are involved in the adaptation and repair mechanisms against joint compressive loads. This report describes the experimental protocol for this novel cartilage lesion in a rat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anterior cruciate ligament (ACL) transection or destabilization of the medial meniscus has been considered optimal for investigating post-traumatic osteoarthritis (PTOA) in small animals. In recent years, non-invasive cyclic compression models have been used to study PTOA. This model was originally designed to investigate the cancellous bone response to mechanical loading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was then modified as a non-surgical animal model for PTOA studies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rationale is to rupture the articular cartilage by applying a periodic external force, which triggers a series of inflammatory responses. However, this model has only been applied to mice, and the appropriate magnitude of loading on larger animals has not been discussed.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problem with the previous model is that the high-volume protocol included too many cycles, which caused excessive thickening of the subchondral bone, an unwanted side effect, in several samples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a novel method of cyclic compression with the appropriate magnitude for large animals and a lower loading side effect was developed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overall goal of the current article is to describe the protocol of the non-invasive cyclic compression model in rats and observe the representative results of cartilage degeneration. The current protocol would help readers interested in the application of the non-invasive cyclic compression model on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approved by the Animal Research Committee of Kyoto University (approval number: Med kyo 17616).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Perform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cyclic compression on the rat knee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Induce experimental animal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Induce anesthesia in a 12-week-old Wistar rat (256.8 &amp;plusmn; 8.7 g) by inhalation of 5% isoflurane solution in the anesthesia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Inject a mixture of three anesthetic agents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including medetomidine, midazolam, and butorphanol, at 2 mg/kg of the rat body weight, and shave the area around the right knee joint. Confirm sufficient anesthetization by testing for the toe-pinch response with forceps, ensuring that the rat responds without any struggle after anesthesia while pinching.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Mount the anesthetized rat on the fixation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Place the anesthetized rat lying on their belly on the baseplate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with the right knee attached to a small piece of resin with a concave groove. Place the right hind limb in the hip extension, knee flexion, and ankle extension positions, with the knee flexed at approximately 140&amp;#176;. Accommodate the heel of the rat on the wedge-shaped groove on the movable fixture.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Move the fixation device to the stress/tensile testing instrument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After ensuring that there are no contacts with the load cell, open the stress/tensile testing instrument control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click on the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button. After calibration, attach the top of the frame to the load cell carefully. To keep the knee joint closely attached to the frame, turn on the rotary knob on the movable main operational panel slowly until the pre-load reaches 5 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Build a loading method and set up the compressive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On the </w:t>
      </w:r>
      <w:r>
        <w:rPr>
          <w:rFonts w:ascii="Calibri" w:hAnsi="Calibri" w:cs="Calibri" w:eastAsia="Calibri"/>
          <w:b/>
          <w:color w:val="auto"/>
          <w:spacing w:val="0"/>
          <w:position w:val="0"/>
          <w:sz w:val="24"/>
          <w:shd w:fill="FFFF00" w:val="clear"/>
        </w:rPr>
        <w:t xml:space="preserve">Main menu</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Create a new method</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System</w:t>
      </w:r>
      <w:r>
        <w:rPr>
          <w:rFonts w:ascii="Calibri" w:hAnsi="Calibri" w:cs="Calibri" w:eastAsia="Calibri"/>
          <w:color w:val="auto"/>
          <w:spacing w:val="0"/>
          <w:position w:val="0"/>
          <w:sz w:val="24"/>
          <w:shd w:fill="FFFF00" w:val="clear"/>
        </w:rPr>
        <w:t xml:space="preserve"> label. Set </w:t>
      </w:r>
      <w:r>
        <w:rPr>
          <w:rFonts w:ascii="Calibri" w:hAnsi="Calibri" w:cs="Calibri" w:eastAsia="Calibri"/>
          <w:b/>
          <w:color w:val="auto"/>
          <w:spacing w:val="0"/>
          <w:position w:val="0"/>
          <w:sz w:val="24"/>
          <w:shd w:fill="FFFF00" w:val="clear"/>
        </w:rPr>
        <w:t xml:space="preserve">Test Mode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Cycle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Test Type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Compression</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Sensor</w:t>
      </w:r>
      <w:r>
        <w:rPr>
          <w:rFonts w:ascii="Calibri" w:hAnsi="Calibri" w:cs="Calibri" w:eastAsia="Calibri"/>
          <w:color w:val="auto"/>
          <w:spacing w:val="0"/>
          <w:position w:val="0"/>
          <w:sz w:val="24"/>
          <w:shd w:fill="FFFF00" w:val="clear"/>
        </w:rPr>
        <w:t xml:space="preserve"> label and select the </w:t>
      </w:r>
      <w:r>
        <w:rPr>
          <w:rFonts w:ascii="Calibri" w:hAnsi="Calibri" w:cs="Calibri" w:eastAsia="Calibri"/>
          <w:b/>
          <w:color w:val="auto"/>
          <w:spacing w:val="0"/>
          <w:position w:val="0"/>
          <w:sz w:val="24"/>
          <w:shd w:fill="FFFF00" w:val="clear"/>
        </w:rPr>
        <w:t xml:space="preserve">Test</w:t>
      </w:r>
      <w:r>
        <w:rPr>
          <w:rFonts w:ascii="Calibri" w:hAnsi="Calibri" w:cs="Calibri" w:eastAsia="Calibri"/>
          <w:color w:val="auto"/>
          <w:spacing w:val="0"/>
          <w:position w:val="0"/>
          <w:sz w:val="24"/>
          <w:shd w:fill="FFFF00" w:val="clear"/>
        </w:rPr>
        <w:t xml:space="preserve"> tab to check that the limit is within 60 N. In addition, select the </w:t>
      </w:r>
      <w:r>
        <w:rPr>
          <w:rFonts w:ascii="Calibri" w:hAnsi="Calibri" w:cs="Calibri" w:eastAsia="Calibri"/>
          <w:b/>
          <w:color w:val="auto"/>
          <w:spacing w:val="0"/>
          <w:position w:val="0"/>
          <w:sz w:val="24"/>
          <w:shd w:fill="FFFF00" w:val="clear"/>
        </w:rPr>
        <w:t xml:space="preserve">Stroke</w:t>
      </w:r>
      <w:r>
        <w:rPr>
          <w:rFonts w:ascii="Calibri" w:hAnsi="Calibri" w:cs="Calibri" w:eastAsia="Calibri"/>
          <w:color w:val="auto"/>
          <w:spacing w:val="0"/>
          <w:position w:val="0"/>
          <w:sz w:val="24"/>
          <w:shd w:fill="FFFF00" w:val="clear"/>
        </w:rPr>
        <w:t xml:space="preserve"> tab and check that the limit is within 500 mm.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step will stop the operation immediately if there is a large displacement on the stress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Under the </w:t>
      </w:r>
      <w:r>
        <w:rPr>
          <w:rFonts w:ascii="Calibri" w:hAnsi="Calibri" w:cs="Calibri" w:eastAsia="Calibri"/>
          <w:b/>
          <w:color w:val="auto"/>
          <w:spacing w:val="0"/>
          <w:position w:val="0"/>
          <w:sz w:val="24"/>
          <w:shd w:fill="FFFF00" w:val="clear"/>
        </w:rPr>
        <w:t xml:space="preserve">Testing control</w:t>
      </w:r>
      <w:r>
        <w:rPr>
          <w:rFonts w:ascii="Calibri" w:hAnsi="Calibri" w:cs="Calibri" w:eastAsia="Calibri"/>
          <w:color w:val="auto"/>
          <w:spacing w:val="0"/>
          <w:position w:val="0"/>
          <w:sz w:val="24"/>
          <w:shd w:fill="FFFF00" w:val="clear"/>
        </w:rPr>
        <w:t xml:space="preserve"> label, select </w:t>
      </w:r>
      <w:r>
        <w:rPr>
          <w:rFonts w:ascii="Calibri" w:hAnsi="Calibri" w:cs="Calibri" w:eastAsia="Calibri"/>
          <w:b/>
          <w:color w:val="auto"/>
          <w:spacing w:val="0"/>
          <w:position w:val="0"/>
          <w:sz w:val="24"/>
          <w:shd w:fill="FFFF00" w:val="clear"/>
        </w:rPr>
        <w:t xml:space="preserve">Origin of growth</w:t>
      </w:r>
      <w:r>
        <w:rPr>
          <w:rFonts w:ascii="Calibri" w:hAnsi="Calibri" w:cs="Calibri" w:eastAsia="Calibri"/>
          <w:color w:val="auto"/>
          <w:spacing w:val="0"/>
          <w:position w:val="0"/>
          <w:sz w:val="24"/>
          <w:shd w:fill="FFFF00" w:val="clear"/>
        </w:rPr>
        <w:t xml:space="preserve"> to start the main program with 0.3%/full scale. Of the four sections in a loading cycle, set the </w:t>
      </w:r>
      <w:r>
        <w:rPr>
          <w:rFonts w:ascii="Calibri" w:hAnsi="Calibri" w:cs="Calibri" w:eastAsia="Calibri"/>
          <w:b/>
          <w:color w:val="auto"/>
          <w:spacing w:val="0"/>
          <w:position w:val="0"/>
          <w:sz w:val="24"/>
          <w:shd w:fill="FFFF00" w:val="clear"/>
        </w:rPr>
        <w:t xml:space="preserve">Stroke speed in control</w:t>
      </w:r>
      <w:r>
        <w:rPr>
          <w:rFonts w:ascii="Calibri" w:hAnsi="Calibri" w:cs="Calibri" w:eastAsia="Calibri"/>
          <w:color w:val="auto"/>
          <w:spacing w:val="0"/>
          <w:position w:val="0"/>
          <w:sz w:val="24"/>
          <w:shd w:fill="FFFF00" w:val="clear"/>
        </w:rPr>
        <w:t xml:space="preserve"> in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and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sections to 1 mm/s. Set the </w:t>
      </w:r>
      <w:r>
        <w:rPr>
          <w:rFonts w:ascii="Calibri" w:hAnsi="Calibri" w:cs="Calibri" w:eastAsia="Calibri"/>
          <w:b/>
          <w:color w:val="auto"/>
          <w:spacing w:val="0"/>
          <w:position w:val="0"/>
          <w:sz w:val="24"/>
          <w:shd w:fill="FFFF00" w:val="clear"/>
        </w:rPr>
        <w:t xml:space="preserve">Maximum testing force</w:t>
      </w:r>
      <w:r>
        <w:rPr>
          <w:rFonts w:ascii="Calibri" w:hAnsi="Calibri" w:cs="Calibri" w:eastAsia="Calibri"/>
          <w:color w:val="auto"/>
          <w:spacing w:val="0"/>
          <w:position w:val="0"/>
          <w:sz w:val="24"/>
          <w:shd w:fill="FFFF00" w:val="clear"/>
        </w:rPr>
        <w:t xml:space="preserve"> in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section to 20 N, and the </w:t>
      </w:r>
      <w:r>
        <w:rPr>
          <w:rFonts w:ascii="Calibri" w:hAnsi="Calibri" w:cs="Calibri" w:eastAsia="Calibri"/>
          <w:b/>
          <w:color w:val="auto"/>
          <w:spacing w:val="0"/>
          <w:position w:val="0"/>
          <w:sz w:val="24"/>
          <w:shd w:fill="FFFF00" w:val="clear"/>
        </w:rPr>
        <w:t xml:space="preserve">Minimum testing force</w:t>
      </w:r>
      <w:r>
        <w:rPr>
          <w:rFonts w:ascii="Calibri" w:hAnsi="Calibri" w:cs="Calibri" w:eastAsia="Calibri"/>
          <w:color w:val="auto"/>
          <w:spacing w:val="0"/>
          <w:position w:val="0"/>
          <w:sz w:val="24"/>
          <w:shd w:fill="FFFF00" w:val="clear"/>
        </w:rPr>
        <w:t xml:space="preserve"> in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section to 5 N. Set “</w:t>
      </w:r>
      <w:r>
        <w:rPr>
          <w:rFonts w:ascii="Calibri" w:hAnsi="Calibri" w:cs="Calibri" w:eastAsia="Calibri"/>
          <w:b/>
          <w:color w:val="auto"/>
          <w:spacing w:val="0"/>
          <w:position w:val="0"/>
          <w:sz w:val="24"/>
          <w:shd w:fill="FFFF00" w:val="clear"/>
        </w:rPr>
        <w:t xml:space="preserve">the Duration of hold</w:t>
      </w:r>
      <w:r>
        <w:rPr>
          <w:rFonts w:ascii="Calibri" w:hAnsi="Calibri" w:cs="Calibri" w:eastAsia="Calibri"/>
          <w:color w:val="auto"/>
          <w:spacing w:val="0"/>
          <w:position w:val="0"/>
          <w:sz w:val="24"/>
          <w:shd w:fill="FFFF00" w:val="clear"/>
        </w:rPr>
        <w:t xml:space="preserve">” to 0.5 s for the peak load and 10 s for the minimum load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this step defines every cycle, ensure that the joint surfaces are in contact with each other and are moving at a reasonable speed and that the motion is maintained.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In the </w:t>
      </w:r>
      <w:r>
        <w:rPr>
          <w:rFonts w:ascii="Calibri" w:hAnsi="Calibri" w:cs="Calibri" w:eastAsia="Calibri"/>
          <w:b/>
          <w:color w:val="auto"/>
          <w:spacing w:val="0"/>
          <w:position w:val="0"/>
          <w:sz w:val="24"/>
          <w:shd w:fill="FFFF00" w:val="clear"/>
        </w:rPr>
        <w:t xml:space="preserve">Pre-load</w:t>
      </w:r>
      <w:r>
        <w:rPr>
          <w:rFonts w:ascii="Calibri" w:hAnsi="Calibri" w:cs="Calibri" w:eastAsia="Calibri"/>
          <w:color w:val="auto"/>
          <w:spacing w:val="0"/>
          <w:position w:val="0"/>
          <w:sz w:val="24"/>
          <w:shd w:fill="FFFF00" w:val="clear"/>
        </w:rPr>
        <w:t xml:space="preserve"> tab at the bottom of the page, ensure that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is checked, the </w:t>
      </w:r>
      <w:r>
        <w:rPr>
          <w:rFonts w:ascii="Calibri" w:hAnsi="Calibri" w:cs="Calibri" w:eastAsia="Calibri"/>
          <w:b/>
          <w:color w:val="auto"/>
          <w:spacing w:val="0"/>
          <w:position w:val="0"/>
          <w:sz w:val="24"/>
          <w:shd w:fill="FFFF00" w:val="clear"/>
        </w:rPr>
        <w:t xml:space="preserve">Speed of deflection removal</w:t>
      </w:r>
      <w:r>
        <w:rPr>
          <w:rFonts w:ascii="Calibri" w:hAnsi="Calibri" w:cs="Calibri" w:eastAsia="Calibri"/>
          <w:color w:val="auto"/>
          <w:spacing w:val="0"/>
          <w:position w:val="0"/>
          <w:sz w:val="24"/>
          <w:shd w:fill="FFFF00" w:val="clear"/>
        </w:rPr>
        <w:t xml:space="preserve"> is set to 100 mm/min, and </w:t>
      </w:r>
      <w:r>
        <w:rPr>
          <w:rFonts w:ascii="Calibri" w:hAnsi="Calibri" w:cs="Calibri" w:eastAsia="Calibri"/>
          <w:b/>
          <w:color w:val="auto"/>
          <w:spacing w:val="0"/>
          <w:position w:val="0"/>
          <w:sz w:val="24"/>
          <w:shd w:fill="FFFF00" w:val="clear"/>
        </w:rPr>
        <w:t xml:space="preserve">maximum force</w:t>
      </w:r>
      <w:r>
        <w:rPr>
          <w:rFonts w:ascii="Calibri" w:hAnsi="Calibri" w:cs="Calibri" w:eastAsia="Calibri"/>
          <w:color w:val="auto"/>
          <w:spacing w:val="0"/>
          <w:position w:val="0"/>
          <w:sz w:val="24"/>
          <w:shd w:fill="FFFF00" w:val="clear"/>
        </w:rPr>
        <w:t xml:space="preserve"> is 5 N. In the </w:t>
      </w:r>
      <w:r>
        <w:rPr>
          <w:rFonts w:ascii="Calibri" w:hAnsi="Calibri" w:cs="Calibri" w:eastAsia="Calibri"/>
          <w:b/>
          <w:color w:val="auto"/>
          <w:spacing w:val="0"/>
          <w:position w:val="0"/>
          <w:sz w:val="24"/>
          <w:shd w:fill="FFFF00" w:val="clear"/>
        </w:rPr>
        <w:t xml:space="preserve">Specimen</w:t>
      </w:r>
      <w:r>
        <w:rPr>
          <w:rFonts w:ascii="Calibri" w:hAnsi="Calibri" w:cs="Calibri" w:eastAsia="Calibri"/>
          <w:color w:val="auto"/>
          <w:spacing w:val="0"/>
          <w:position w:val="0"/>
          <w:sz w:val="24"/>
          <w:shd w:fill="FFFF00" w:val="clear"/>
        </w:rPr>
        <w:t xml:space="preserve"> label, set the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Metal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detailed settings may be specific for each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In the </w:t>
      </w:r>
      <w:r>
        <w:rPr>
          <w:rFonts w:ascii="Calibri" w:hAnsi="Calibri" w:cs="Calibri" w:eastAsia="Calibri"/>
          <w:b/>
          <w:color w:val="auto"/>
          <w:spacing w:val="0"/>
          <w:position w:val="0"/>
          <w:sz w:val="24"/>
          <w:shd w:fill="FFFF00" w:val="clear"/>
        </w:rPr>
        <w:t xml:space="preserve">Main menu</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Select method and test</w:t>
      </w:r>
      <w:r>
        <w:rPr>
          <w:rFonts w:ascii="Calibri" w:hAnsi="Calibri" w:cs="Calibri" w:eastAsia="Calibri"/>
          <w:color w:val="auto"/>
          <w:spacing w:val="0"/>
          <w:position w:val="0"/>
          <w:sz w:val="24"/>
          <w:shd w:fill="FFFF00" w:val="clear"/>
        </w:rPr>
        <w:t xml:space="preserve"> section, select the method that was just built, and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to begin the test.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table at the bottom shows the actual measurements of the peak load and displacement.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1.3.5. Set the number of cycles to 60.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entire loading session includes 60 cycles, which lasts approximately 12 min. In the control group, rats underwent 5 N pre-loading for 12 min pre-load under the same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After loading, return the rat to its cage and maintain a 12-12 h light-dark schedule in a cage with sufficient space and food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 until it is sacrificed</w:t>
      </w:r>
      <w:r>
        <w:rPr>
          <w:rFonts w:ascii="Calibri" w:hAnsi="Calibri" w:cs="Calibri" w:eastAsia="Calibri"/>
          <w:color w:val="auto"/>
          <w:spacing w:val="0"/>
          <w:position w:val="0"/>
          <w:sz w:val="24"/>
          <w:shd w:fill="auto" w:val="clear"/>
        </w:rPr>
        <w:t xml:space="preserve"> by the injection of an overdose of anesthetic agents or carbon dioxide inhalation</w:t>
      </w:r>
      <w:r>
        <w:rPr>
          <w:rFonts w:ascii="Calibri" w:hAnsi="Calibri" w:cs="Calibri" w:eastAsia="Calibri"/>
          <w:color w:val="auto"/>
          <w:spacing w:val="0"/>
          <w:position w:val="0"/>
          <w:sz w:val="24"/>
          <w:shd w:fill="FFFF00" w:val="clear"/>
        </w:rPr>
        <w:t xml:space="preserve"> for analysis (1 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result of the short-term changes (1 h and 12 h) in chondrocyte viability in samples subjected to 20 N cyclic loading was obtained.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number of dead chondrocytes (red fluorescence) increased at 12 h post-trauma. Conversely, the number of living chondrocytes (green fluorescence) continued to decrease, with some samples containing no live chondrocytes in the affected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Histology showed that the articular cartilage of the rat knees that underwent 20 N dynamic loading was damaged, and one focal lesion zone was confirmed in the lateral femoral condyle in all the samples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the lesion size did not progressively increase during the 8-week observational period. The border that corresponded to the interface of the lesion and the unaffected cartilage could be observed in the affected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fixation device consists of a baseplate and a fixation apparatus. </w:t>
      </w:r>
      <w:r>
        <w:rPr>
          <w:rFonts w:ascii="Calibri" w:hAnsi="Calibri" w:cs="Calibri" w:eastAsia="Calibri"/>
          <w:color w:val="auto"/>
          <w:spacing w:val="0"/>
          <w:position w:val="0"/>
          <w:sz w:val="24"/>
          <w:shd w:fill="auto" w:val="clear"/>
        </w:rPr>
        <w:t xml:space="preserve">The base plate (length: 27.5 cm, width: 13 cm) has a resin concave groove (length: 0.8 cm, width: 0.4 cm) on the posterior side to accommodate the flexed knee joint of the rat. The fixation apparatus has a wedge-shaped groove (groove width: 1.5 cm, groove depth: 1 cm) that accommodates the rat’s heel, which is nested in the baseplate between two metal bars. The top of the fixation apparatus will be in direct contact with the load cell of the stress/tensile testing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Load profile for one cycle of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Spatiotemporal assessment of chondrocyte viability in the lesion area.</w:t>
      </w:r>
      <w:r>
        <w:rPr>
          <w:rFonts w:ascii="Calibri" w:hAnsi="Calibri" w:cs="Calibri" w:eastAsia="Calibri"/>
          <w:color w:val="auto"/>
          <w:spacing w:val="0"/>
          <w:position w:val="0"/>
          <w:sz w:val="24"/>
          <w:shd w:fill="auto" w:val="clear"/>
        </w:rPr>
        <w:t xml:space="preserve"> After sacrifice, the knee joint was dissected and separated using small forceps and scissors. Solutions of calcein AM and EthD-1 stains were prepared by diluting the original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1:500 and 1:4,000 in 5 mL of PBS, respectively. The samples were incubated for 20 min at room temperature. Control samples were immersed in PBS under the same conditions. Fluorescence images were obtained using a fluorescence microscope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fluorescein isothiocyanate (495 nm/519 nm) and propidium Iodide (535 nm/617 nm) channels. The vital chondrocytes displayed green fluorescence, whereas dead cells fluoresced red. Compared to the chondrocytes in control samples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dead chondrocytes on the loaded rat knee was increased at 1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occupied most of the area in the affected region at 12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Green and red fluorescence represent the regions of the live and dead chondrocytes, respectively. Scale bars = 100 &amp;#181;m. Abbreviations: calcein AM = calcein acetoxymethyl ester; EthD-1 = ethidium homodimer-1; PBS= phosphate-buffered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safranin O staining of the femoral condyle in the loaded knee.</w:t>
      </w:r>
      <w:r>
        <w:rPr>
          <w:rFonts w:ascii="Calibri" w:hAnsi="Calibri" w:cs="Calibri" w:eastAsia="Calibri"/>
          <w:color w:val="auto"/>
          <w:spacing w:val="0"/>
          <w:position w:val="0"/>
          <w:sz w:val="24"/>
          <w:shd w:fill="auto" w:val="clear"/>
        </w:rPr>
        <w:t xml:space="preserve"> A slide showing the sagittal sections of the lateral femoral condyle, which were stained with a safranin O/Fast Green and hematoxylin solution. Compared to the control, the safranin O staining intensity in the affected area was decreased after loading, and a clear border (arrow) of the upper/calcified cartilage was observed. Scale bars = 100 &amp;#181;m. Abbreviation: w = week.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first time, the current protocol shows how to establish a model of loading-induced cartilage lesion on the lateral femoral condyle in rats, similar to the intra-articular damage model in smaller rodents such as the mouse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loading protocol in mice caused severe osteophyte formation and cruciate ligament lesions, which was not ideal for evaluating the effects of cyclic compression. The current protocol created a focal cartilage lesion in rats with a much lower loading force. Correct loading method settings are critical for the protocol because only the appropriate magnitude, speed, and duration of stress can destroy the cartilage without damaging the bone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Setting the displacement limit (protocol step 1.3.1) is also crucial as it immediately stops the instrument in case of ligament rupture or if the rat wakes up from anesthesia during the loading session. The optimal maximum load and the age of the rat remain to be determined. However, in the preliminary experiments, a load of over 50 N resulted in a high probability of ACL rupture in the rat’s knees. Moreover, the current model is difficult to reproduce in older (&amp;gt;36 weeks old) rats, possibly due to the stiffness of the cartilage as growth occurs.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destructive load threshold for younger rats was not determined, it is believed that future studies should keep the maximum load under 20 N to observe any anabolic effects on the cartilage. The scope and localization of the lesion area were relatively straightforward to establish, even for those new to the field, as estimated by the chondrocyte-degenerative volume in each sample, which potentially focused on the subsequent evaluation of the intervention to a relatively narrow cartilage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staining demonstrated that the scope of the lesion area was relatively steady during the 8-week observation period. However, Mankin’s scores deteriorated continuously while the matrix staining and cell distribution scores increased in the affected area. Moreover, there was an obvious color deviation between the middle layer and the calcified cartilage, which illustrated that only the cartilage above the tidemark was affected by the interarticular compression.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contrary, apart from mild fibrillation in rare samples, the integrity of the cartilage remained largely intact throughout the entire observational period, which is different from progressive OA injury models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a non-surgical model may be better for the assessment of cartilage interface collision-induced focal lesions, which are more common in sports injuries. In the future, the current model will be used to assess the effects of medication or physical therapy, such as hyperthermia therapy and aerobic joint exercise, on traumatic cartilage damage. Moreover, chondrocyte anabolism and catabolism in response to cyclic mechanical stimulation could also be validated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animals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this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had several limitations. First, only cartilage lesions on the lateral femoral condyle were investigated. The lesion on the lateral tibia should also be evaluated in future studies. Second, the lesioned part of the articular cartilage studied in the current protocol was not the main loading-bearing region during walking. Due to the heterogeneity of cartilage, the stiffness of the intra-articular cartilage may differ from the part examined in the current study. Thus, these findings can only be used as a reference. Finally, the model did not show any significant progression of cartilage degeneration, which is an important feature of OA development. Further studies could combine invasive surgery with pre-loaded lesions to observe spatiotemporal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in part by a JSPS KAKENHI grant (numbers JP18H03129 and JP18K19739).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 Souza, R. L. et al. Non-invasive axial loading of mouse tibiae increases cortical bone formation and modifies trabecular organization: a new model to study cortical and cancellous compartments in a single loaded element.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(6),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Poulet, B., Hamilton, R. W., Shefelbine, S., Pitsillides, A. A. Characterizing a novel and adjustable noninvasive murine joint loading model. </w:t>
      </w:r>
      <w:r>
        <w:rPr>
          <w:rFonts w:ascii="Calibri" w:hAnsi="Calibri" w:cs="Calibri" w:eastAsia="Calibri"/>
          <w:i/>
          <w:color w:val="auto"/>
          <w:spacing w:val="0"/>
          <w:position w:val="0"/>
          <w:sz w:val="24"/>
          <w:shd w:fill="auto" w:val="clear"/>
        </w:rPr>
        <w:t xml:space="preserve">Arthritis and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Wu, P. et al. Early response of mouse joint tissue to noninvasive knee injury suggests treatment targets. </w:t>
      </w:r>
      <w:r>
        <w:rPr>
          <w:rFonts w:ascii="Calibri" w:hAnsi="Calibri" w:cs="Calibri" w:eastAsia="Calibri"/>
          <w:i/>
          <w:color w:val="auto"/>
          <w:spacing w:val="0"/>
          <w:position w:val="0"/>
          <w:sz w:val="24"/>
          <w:shd w:fill="auto" w:val="clear"/>
        </w:rPr>
        <w:t xml:space="preserve">Arthritis and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1256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Poulet, B. et al. Intermittent applied mechanical loading induces subchondral bone thickening that may be intensified locally by contiguous articular cartilage lesions.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Ko, F. C. et al. Progressive cell-mediated changes in articular cartilage and bone in mice are initiated by a single session of controlled cyclic compressive loading.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(11), 1941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Adebayo, O. O. et al. Role of subchondral bone properties and changes in development of load-induced osteoarthritis in mice.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(12), 2108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Ko, F. C. et al. In vivo cyclic compression causes cartilage degeneration and subchondral bone changes in mouse tibiae. </w:t>
      </w:r>
      <w:r>
        <w:rPr>
          <w:rFonts w:ascii="Calibri" w:hAnsi="Calibri" w:cs="Calibri" w:eastAsia="Calibri"/>
          <w:i/>
          <w:color w:val="auto"/>
          <w:spacing w:val="0"/>
          <w:position w:val="0"/>
          <w:sz w:val="24"/>
          <w:shd w:fill="auto" w:val="clear"/>
        </w:rPr>
        <w:t xml:space="preserve">Arthritis and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(6), 1569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Ji, X. et al. Effects of in vivo cyclic compressive loading on the distribution of local Col2 and superficial lubricin in rat knee cartilage.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(3),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Kawai, S., Takagi, Y., Kaneko, S., Kurosawa, T. Effect of three types of mixed anesthetic agents alternate to ketamine in mice. </w:t>
      </w:r>
      <w:r>
        <w:rPr>
          <w:rFonts w:ascii="Calibri" w:hAnsi="Calibri" w:cs="Calibri" w:eastAsia="Calibri"/>
          <w:i/>
          <w:color w:val="auto"/>
          <w:spacing w:val="0"/>
          <w:position w:val="0"/>
          <w:sz w:val="24"/>
          <w:shd w:fill="auto" w:val="clear"/>
        </w:rPr>
        <w:t xml:space="preserve">Experimental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481-487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Iijima, H. et al. Destabilization of the medial meniscus leads to subchondral bone defects and site-specific cartilage degeneration in an experimental rat model.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(7), 1036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