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Efficient Method for Directed Hepatocyte-like Cell Induction from Human Embryonic Stem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Qi Zhou*</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Xiaoling Xie*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Zhiqian Zhong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Pingnan Sun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Xiaoling Zhou</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Stem Cell Research Center, Shantou University Medical College, Shantou,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Center for Reproductive Medicine, Shantou University Medical College, Shantou,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Guangdong Provincial Key Laboratory of Infectious Diseases and Molecular Immunopathology, Shantou University Medical College, Shantou, China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1479288377@qq.com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xxling1995@163.com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969482235@qq.com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pnsun@stu.edu.cn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xlzhou@stu.edu.cn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CORRESPONDENCE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Pingnan Sun: </w:t>
      </w:r>
      <w:r>
        <w:rPr>
          <w:rFonts w:ascii="Calibri" w:hAnsi="Calibri" w:cs="Calibri" w:eastAsia="Calibri"/>
          <w:color w:val="000000"/>
          <w:spacing w:val="0"/>
          <w:position w:val="0"/>
          <w:sz w:val="24"/>
          <w:shd w:fill="auto" w:val="clear"/>
        </w:rPr>
        <w:t xml:space="preserve">pnsun@stu.edu.cn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Xiaoling Zhou: </w:t>
      </w:r>
      <w:r>
        <w:rPr>
          <w:rFonts w:ascii="Calibri" w:hAnsi="Calibri" w:cs="Calibri" w:eastAsia="Calibri"/>
          <w:color w:val="000000"/>
          <w:spacing w:val="0"/>
          <w:position w:val="0"/>
          <w:sz w:val="24"/>
          <w:shd w:fill="auto" w:val="clear"/>
        </w:rPr>
        <w:t xml:space="preserve">xlzhou@stu.edu.cn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hepatocyte-like cell, human embryonic stem cells, cell differentiation, definitive endoderm, activin A, CHIR99021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detailed protocol for </w:t>
      </w:r>
      <w:r>
        <w:rPr>
          <w:rFonts w:ascii="Calibri" w:hAnsi="Calibri" w:cs="Calibri" w:eastAsia="Calibri"/>
          <w:color w:val="000000"/>
          <w:spacing w:val="0"/>
          <w:position w:val="0"/>
          <w:sz w:val="24"/>
          <w:shd w:fill="auto" w:val="clear"/>
        </w:rPr>
        <w:t xml:space="preserve">differentiation of human embryonic stem cells (hESCs) into functional hepatocyte-like cells (HLCs)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continuously supplementing activin A and CHIR99021 during hESC differentiation into definitive endoderm (DE).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functions of hepatocyte-like cells (HLCs) derived from human embryonic stem cells (hESCs) hold great promise for disease modeling and drug screening applications. Provided here is an efficient and reproducible method for differentiation of hESCs into functional HLCs. The establishment of an endoderm lineage is a key step in the differentiation to HLCs. By our method, we regulate the key signaling pathways by continuously supplementing activin A and CHIR99021 during hESC differentiation into definitive endoderm (DE), followed by generation of hepatic progenitor cells, and finally HLCs with typical hepatocyte morphology in a stagewise method with completely defined reagents. The hESC-derived HLCs produced by this method express stage-specific markers (including albumin, HNF4</w:t>
      </w:r>
      <w:r>
        <w:rPr>
          <w:rFonts w:ascii="Calibri" w:hAnsi="Calibri" w:cs="Calibri" w:eastAsia="Calibri"/>
          <w:color w:val="000000"/>
          <w:spacing w:val="0"/>
          <w:position w:val="0"/>
          <w:sz w:val="24"/>
          <w:shd w:fill="auto" w:val="clear"/>
        </w:rPr>
        <w:t xml:space="preserve">α nuclear receptor, and sodium taurocholate cotransporting polypeptide (NTCP)), and show special characteristics related to mature and functional hepatocytes (including indocyanine green staining, glycogen storage, hematoxylin-eosin staining and CYP3 activity), and can provide a platform for the development of HLC-based applications in the study of liver diseases.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is a highly metabolic organ that plays several roles, including deoxidation, storing glycogen, and secretion and synthesis of proteins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Various pathogens, drugs and heredity can cause pathological changes in the liver and affect its functions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Hepatocytes, as the main functional unit of the liver, play an important role in artificial liver support systems and drug toxicity elimination. However, the resource of primary human hepatocytes is limited in cell-based therapy, as well as in liver disease research. Therefore, developing new sources of functional human hepatocytes is an important research direction in the field of regenerative medicine. Since 1998 when hESCs have been established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hESCs have been widely considered by researchers because of their superior differentiation potential (they can differentiate into various tissues in a suitable environment) and high degree of self-renewability, and thus provide ideal source cells for bioartificial livers, hepatocyte transplantation and even liver tissue engineering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 hepatic differentiation efficiency can be greatly increased by enriching the endoderm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lineage differentiation of stem cells into endoderm, levels of the TGF-</w:t>
      </w:r>
      <w:r>
        <w:rPr>
          <w:rFonts w:ascii="Calibri" w:hAnsi="Calibri" w:cs="Calibri" w:eastAsia="Calibri"/>
          <w:color w:val="000000"/>
          <w:spacing w:val="0"/>
          <w:position w:val="0"/>
          <w:sz w:val="24"/>
          <w:shd w:fill="auto" w:val="clear"/>
        </w:rPr>
        <w:t xml:space="preserve">β signaling and WNT signaling pathways are the key factors in the node of the endoderm formation stage. Activation of a high-level of TGF-β and WNT signaling can promote the development of endoderm</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Activin A is a cytokine belonging to the transforming growth factor β (TGF-β) superfamily. Therefore, activin A is widely used in endoderm induction of human induced pluripotent stem cells (hiPSCs) and hESCs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GSK3 is a serine-threonine protein kinase. Researchers have found that CHIR99021, a specific inhibitor of GSK3β, can stimulate typical WNT signals, and can promote stem cell differentiation under certain conditions, suggesting that CHIR99021 has potential for inducing stem cell differentiation into endoderm </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report an efficient and reproducible method for effectively inducing the differentiation of hESCs into functional HLCs. The sequential addition of activin A and CHIR99021 produced about 89.7&amp;#177;0.8% SOX17 (definitive endoderm marker)-positive cells. After being further maturated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these cells expressed hepatic specific markers and exerted hepatocyte-like morphology (based on hematoxylin-eosin staining (H &amp; E)) and functions, such as uptake of indocyanine green (ICG), glycogen storage and CYP3 activity. The results show that hESCs can be successfully differentiated into mature functional HLCs by this method and can provide a basis for liver disease-related research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drug screening.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Stem cell maintenance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maintenance protocol described below applies to the hES03 cell line maintained in an adherent monolayer. For all the following protocols in this manuscript, cells should be handled under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Prepare 1x mTesR stem cell culture medium by diluting 5x supplementary medium to mTesR basic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Prepare 30x hESC-qualified Matrigel medium by diluting 5 mL of hESC-qualified Matrigel with 5 mL of DMEM/F12 on the ice. Store at -20</w:t>
      </w:r>
      <w:r>
        <w:rPr>
          <w:rFonts w:ascii="Calibri" w:hAnsi="Calibri" w:cs="Calibri" w:eastAsia="Calibri"/>
          <w:color w:val="auto"/>
          <w:spacing w:val="0"/>
          <w:position w:val="0"/>
          <w:sz w:val="24"/>
          <w:shd w:fill="auto" w:val="clear"/>
        </w:rPr>
        <w:t xml:space="preserve">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Prepare 1x hESC-qualified Matrigel medium by diluting 33.3 &amp;#181;L of 30x hESC-qualified Matrigel with 1 mL of DMEM/F12.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Coat sterile 6 well, tissue culture-treated plates with 1 mL of 1x hESC-qualified Matrigel in each well in advance and store at 4 &amp;#176;C</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overnight. Leave at room temperature for at least 30 min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Thaw the cryopreserved hESCs in a 37 &amp;#176;C water bath for 3 min without shaking. Then immediately transfer the cells by pipetting into a 15 mL centrifuge tube containing 4 mL </w:t>
      </w:r>
      <w:r>
        <w:rPr>
          <w:rFonts w:ascii="Calibri" w:hAnsi="Calibri" w:cs="Calibri" w:eastAsia="Calibri"/>
          <w:color w:val="000000"/>
          <w:spacing w:val="0"/>
          <w:position w:val="0"/>
          <w:sz w:val="24"/>
          <w:shd w:fill="auto" w:val="clear"/>
        </w:rPr>
        <w:t xml:space="preserve">prewarmed 37 &amp;#176;C mTesR medium, pipet up and down gently 2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00" w:val="clear"/>
        </w:rPr>
        <w:t xml:space="preserve">Centrifuge the hESCs at 200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2 min at room temperature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Aspirate the supernatant and gently resuspend the cells in 1 mL of mTesR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Aspirate the DMEM/F12 medium from the plate and seed the cells into a well of 6-well plate at a density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in 2 mL of mTesR.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000000"/>
          <w:spacing w:val="0"/>
          <w:position w:val="0"/>
          <w:sz w:val="24"/>
          <w:shd w:fill="FFFF00" w:val="clear"/>
        </w:rPr>
        <w:t xml:space="preserve">Incubate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and maintain the cells by replacing with preheated mTesR medium daily. Passage the cells at roughly 70-80% confluence or when the cell colonies begin to make contact.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Stem cell passage and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For passaging cells, aspirate the medium and incubate the cells with 1 mL per well of enzyme solution for 5 min at 37 &amp;#176;C. Then transfer the cells by pipetting to a 15 mL centrifuge tube containing 4 mL of DMEM/F12 prewarmed to 37</w:t>
      </w:r>
      <w:r>
        <w:rPr>
          <w:rFonts w:ascii="Calibri" w:hAnsi="Calibri" w:cs="Calibri" w:eastAsia="Calibri"/>
          <w:color w:val="auto"/>
          <w:spacing w:val="0"/>
          <w:position w:val="0"/>
          <w:sz w:val="24"/>
          <w:shd w:fill="FFFF00" w:val="clear"/>
        </w:rPr>
        <w:t xml:space="preserve"> &amp;#176;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Centrifuge the cells at 200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at RT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Aspirate the medium and gently resuspend the cell pellet in 1 mL of mTesR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Prepare 24-well plates by coating with 250 &amp;#181;L of 1x hESC-qualified Matrigel medium in </w:t>
      </w:r>
      <w:r>
        <w:rPr>
          <w:rFonts w:ascii="Calibri" w:hAnsi="Calibri" w:cs="Calibri" w:eastAsia="Calibri"/>
          <w:color w:val="auto"/>
          <w:spacing w:val="0"/>
          <w:position w:val="0"/>
          <w:sz w:val="24"/>
          <w:shd w:fill="FFFF00" w:val="clear"/>
        </w:rPr>
        <w:t xml:space="preserve">advance</w:t>
      </w:r>
      <w:r>
        <w:rPr>
          <w:rFonts w:ascii="Calibri" w:hAnsi="Calibri" w:cs="Calibri" w:eastAsia="Calibri"/>
          <w:color w:val="000000"/>
          <w:spacing w:val="0"/>
          <w:position w:val="0"/>
          <w:sz w:val="24"/>
          <w:shd w:fill="FFFF00" w:val="clear"/>
        </w:rPr>
        <w:t xml:space="preserve">. Seed hESCs as described above at a density of 1 - 1.5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per well in 500 &amp;#181;L of mTesR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Allow cells to incubate for 24 h at 37 &amp;#176;C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Definitive endoderm formation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w:t>
      </w:r>
      <w:r>
        <w:rPr>
          <w:rFonts w:ascii="Calibri" w:hAnsi="Calibri" w:cs="Calibri" w:eastAsia="Calibri"/>
          <w:color w:val="000000"/>
          <w:spacing w:val="0"/>
          <w:position w:val="0"/>
          <w:sz w:val="24"/>
          <w:shd w:fill="auto" w:val="clear"/>
        </w:rPr>
        <w:t xml:space="preserve">repare stock solutions of 100 &amp;#181;g/mL activin A with DPBS containing 0.2% BSA and 3 mM CHIR99021 with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Prepare Stage I differentiation basic medium by supplementing RPMI medium with 1x B27.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Add activin A to a final concentration of 100 ng/mL and CHIR99021 to a final concentration of 3 </w:t>
      </w:r>
      <w:r>
        <w:rPr>
          <w:rFonts w:ascii="Times New Roman" w:hAnsi="Times New Roman" w:cs="Times New Roman" w:eastAsia="Times New Roman"/>
          <w:color w:val="000000"/>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M in an appropriate volume of preheated Stage I differentiation basic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Aspirate mTesR medium from the cells and replace with Stage I differentiation media containing added differentiation factors (e.g., 0.5 mL per well of a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Allow cells to incubate for 3 days at 37 &amp;#176;C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replacing Stage I media daily with freshly added differentiation factors (Days 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3 days of differentiation, differentiated cells should express markers of definitive endoderm cells, such as FOXA2, SOX17, GATA4, CRCR4, and FOXA1 (minimum 80% of SOX17 needed for proceeding).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Differentiation of hepatic progenitor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w:t>
      </w:r>
      <w:r>
        <w:rPr>
          <w:rFonts w:ascii="Calibri" w:hAnsi="Calibri" w:cs="Calibri" w:eastAsia="Calibri"/>
          <w:color w:val="000000"/>
          <w:spacing w:val="0"/>
          <w:position w:val="0"/>
          <w:sz w:val="24"/>
          <w:shd w:fill="auto" w:val="clear"/>
        </w:rPr>
        <w:t xml:space="preserve">repare Stage II differentiation basic media by dissolving knockout serum replacement (KOSR) to a final concentration of 20% in Knock Out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Prepare Stage II differentiation medium containing 1% DMSO, 1x GlutaMAX, 1x non-essential amino acid (NEAA) solution, 100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2-mercaptoethanol and 1x penicillin/streptomycin (P/S) to the appropriate volume of KOSR/knockout DMEM.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On Day 3 of differentiation, aspirate the medium and replace with Stage II medium (e.g., 0.5 mL per well of a 24 well plate). Then incubate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000000"/>
          <w:spacing w:val="0"/>
          <w:position w:val="0"/>
          <w:sz w:val="24"/>
          <w:shd w:fill="FFFF00" w:val="clear"/>
        </w:rPr>
        <w:t xml:space="preserve">On Day 4 of differentiation, aspirate the medium and replace with Stage II medium (e.g., 1 mL per well of a 24 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000000"/>
          <w:spacing w:val="0"/>
          <w:position w:val="0"/>
          <w:sz w:val="24"/>
          <w:shd w:fill="FFFF00" w:val="clear"/>
        </w:rPr>
        <w:t xml:space="preserve">Change the medium every other day (replace medium on Day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8 days of differentiation, differentiated cells should express appropriate markers of hepatic progenitor cells, such as HNF4</w:t>
      </w:r>
      <w:r>
        <w:rPr>
          <w:rFonts w:ascii="Calibri" w:hAnsi="Calibri" w:cs="Calibri" w:eastAsia="Calibri"/>
          <w:color w:val="000000"/>
          <w:spacing w:val="0"/>
          <w:position w:val="0"/>
          <w:sz w:val="24"/>
          <w:shd w:fill="FFFF00" w:val="clear"/>
        </w:rPr>
        <w:t xml:space="preserve">α, AFP, TBX3, TTR, ALB, NTCP, CEBPA (minimum 80% of HNF4α needed for proceeding).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Hepatocyte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P</w:t>
      </w:r>
      <w:r>
        <w:rPr>
          <w:rFonts w:ascii="Calibri" w:hAnsi="Calibri" w:cs="Calibri" w:eastAsia="Calibri"/>
          <w:color w:val="000000"/>
          <w:spacing w:val="0"/>
          <w:position w:val="0"/>
          <w:sz w:val="24"/>
          <w:shd w:fill="auto" w:val="clear"/>
        </w:rPr>
        <w:t xml:space="preserve">repare 10 &amp;#181;g/mL hepatocyte growth factor (HGF), 20 &amp;#181;g/mL Oncostatin (OSM) stock solutions with DBPS (containing 0.2% BSA) and filter with a 0.22 &amp;#181;m filter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Prepare Stage III differentiation basic medium (HepatoZYME-SFM (HZM) medium supplemented with 10 &amp;#181;M hydrocortisone-21-hemisuccinate and 1x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Add HGF to a final concentration of 10 ng/mL and OSM to a final concentration of 20 ng/mL to the appropriate volume of preheated Stage III differentiation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000000"/>
          <w:spacing w:val="0"/>
          <w:position w:val="0"/>
          <w:sz w:val="24"/>
          <w:shd w:fill="FFFF00" w:val="clear"/>
        </w:rPr>
        <w:t xml:space="preserve">On Day 8 of differentiation, aspirate Stage II medium from cells and replace with Stage III </w:t>
      </w:r>
      <w:r>
        <w:rPr>
          <w:rFonts w:ascii="Calibri" w:hAnsi="Calibri" w:cs="Calibri" w:eastAsia="Calibri"/>
          <w:color w:val="auto"/>
          <w:spacing w:val="0"/>
          <w:position w:val="0"/>
          <w:sz w:val="24"/>
          <w:shd w:fill="FFFF00" w:val="clear"/>
        </w:rPr>
        <w:t xml:space="preserve">medium</w:t>
      </w:r>
      <w:r>
        <w:rPr>
          <w:rFonts w:ascii="Calibri" w:hAnsi="Calibri" w:cs="Calibri" w:eastAsia="Calibri"/>
          <w:color w:val="000000"/>
          <w:spacing w:val="0"/>
          <w:position w:val="0"/>
          <w:sz w:val="24"/>
          <w:shd w:fill="FFFF00" w:val="clear"/>
        </w:rPr>
        <w:t xml:space="preserve"> (e.g., 1 mL per well of a 24 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000000"/>
          <w:spacing w:val="0"/>
          <w:position w:val="0"/>
          <w:sz w:val="24"/>
          <w:shd w:fill="FFFF00" w:val="clear"/>
        </w:rPr>
        <w:t xml:space="preserve">Allow cells to incubate for 10 days at 37 &amp;#176;C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changing Stage III media every other day with freshly added differentiation factors (Days 8-18).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18 days of differentiation, differentiated cells should express characteristic markers of</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hepatocytes, such as AAT, ALB, TTR, HNF4</w:t>
      </w:r>
      <w:r>
        <w:rPr>
          <w:rFonts w:ascii="Calibri" w:hAnsi="Calibri" w:cs="Calibri" w:eastAsia="Calibri"/>
          <w:color w:val="000000"/>
          <w:spacing w:val="0"/>
          <w:position w:val="0"/>
          <w:sz w:val="24"/>
          <w:shd w:fill="FFFF00" w:val="clear"/>
        </w:rPr>
        <w:t xml:space="preserve">α, NTCP, ASGR1, CYP3A4. The percentage of Albumin-positive cells usually is more than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RNA isolation, cDNA synthesis and RT-PCR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w:t>
      </w:r>
      <w:r>
        <w:rPr>
          <w:rFonts w:ascii="Calibri" w:hAnsi="Calibri" w:cs="Calibri" w:eastAsia="Calibri"/>
          <w:color w:val="000000"/>
          <w:spacing w:val="0"/>
          <w:position w:val="0"/>
          <w:sz w:val="24"/>
          <w:shd w:fill="auto" w:val="clear"/>
        </w:rPr>
        <w:t xml:space="preserve">spirate medium from cells and add the proper amount of RNAiso Plus reagent, (e.g., 0.3 mL </w:t>
      </w:r>
      <w:r>
        <w:rPr>
          <w:rFonts w:ascii="Calibri" w:hAnsi="Calibri" w:cs="Calibri" w:eastAsia="Calibri"/>
          <w:color w:val="auto"/>
          <w:spacing w:val="0"/>
          <w:position w:val="0"/>
          <w:sz w:val="24"/>
          <w:shd w:fill="auto" w:val="clear"/>
        </w:rPr>
        <w:t xml:space="preserve">per</w:t>
      </w:r>
      <w:r>
        <w:rPr>
          <w:rFonts w:ascii="Calibri" w:hAnsi="Calibri" w:cs="Calibri" w:eastAsia="Calibri"/>
          <w:color w:val="000000"/>
          <w:spacing w:val="0"/>
          <w:position w:val="0"/>
          <w:sz w:val="24"/>
          <w:shd w:fill="auto" w:val="clear"/>
        </w:rPr>
        <w:t xml:space="preserve"> well of a 24-well plate). Collect the supernatant in a 1.5 mL tube and let stand at RT for 5 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60 &amp;#181;L </w:t>
      </w:r>
      <w:r>
        <w:rPr>
          <w:rFonts w:ascii="Calibri" w:hAnsi="Calibri" w:cs="Calibri" w:eastAsia="Calibri"/>
          <w:color w:val="000000"/>
          <w:spacing w:val="0"/>
          <w:position w:val="0"/>
          <w:sz w:val="24"/>
          <w:shd w:fill="auto" w:val="clear"/>
        </w:rPr>
        <w:t xml:space="preserve">of chloroform reagent and leave it at RT for 5 min. Then centrifuge at 12,000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000000"/>
          <w:spacing w:val="0"/>
          <w:position w:val="0"/>
          <w:sz w:val="24"/>
          <w:shd w:fill="auto" w:val="clear"/>
        </w:rPr>
        <w:t xml:space="preserve">Collect the 125 &amp;#181;L supernatant and transfer it to another centrifuge tube. Add 160 &amp;#181;L of </w:t>
      </w:r>
      <w:r>
        <w:rPr>
          <w:rFonts w:ascii="Calibri" w:hAnsi="Calibri" w:cs="Calibri" w:eastAsia="Calibri"/>
          <w:color w:val="auto"/>
          <w:spacing w:val="0"/>
          <w:position w:val="0"/>
          <w:sz w:val="24"/>
          <w:shd w:fill="auto" w:val="clear"/>
        </w:rPr>
        <w:t xml:space="preserve">isopropanol</w:t>
      </w:r>
      <w:r>
        <w:rPr>
          <w:rFonts w:ascii="Calibri" w:hAnsi="Calibri" w:cs="Calibri" w:eastAsia="Calibri"/>
          <w:color w:val="000000"/>
          <w:spacing w:val="0"/>
          <w:position w:val="0"/>
          <w:sz w:val="24"/>
          <w:shd w:fill="auto" w:val="clear"/>
        </w:rPr>
        <w:t xml:space="preserve">, mix well, and stand at RT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000000"/>
          <w:spacing w:val="0"/>
          <w:position w:val="0"/>
          <w:sz w:val="24"/>
          <w:shd w:fill="auto" w:val="clear"/>
        </w:rPr>
        <w:t xml:space="preserve">Centrifuge at 12,000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Remove the supernatant, add 75% ethanol to the precipitated, and centrifuge at 7,500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auto" w:val="clear"/>
        </w:rPr>
        <w:t xml:space="preserve">After drying at RT, add 40 &amp;#181;L of DEPC-treated water to dissolve. For qPCR, reverse transcribe 2 &amp;#181;g of total RNA with a reverse transcription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000000"/>
          <w:spacing w:val="0"/>
          <w:position w:val="0"/>
          <w:sz w:val="24"/>
          <w:shd w:fill="auto" w:val="clear"/>
        </w:rPr>
        <w:t xml:space="preserve">Perform Q-PCR using a commercial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000000"/>
          <w:spacing w:val="0"/>
          <w:position w:val="0"/>
          <w:sz w:val="24"/>
          <w:shd w:fill="auto" w:val="clear"/>
        </w:rPr>
        <w:t xml:space="preserve">Normalize gene expression relative to non-induced stem cells and determine fold variation following normalization to GAPDH.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Immunofluorescence Validation of Differentiation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Prepare 1x PBST washing buffer by adding 0.1% Tween-20 to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Aspirate medium from adherent cells and wash briefly with PBS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Aspirate PBS and incubate cells with 500 &amp;#181;L of ice-cold methanol per well of a 24-well plate to fix the cells at -20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Remove the methanol and wash the cells 3 times with PBS on a shaker for 10 min each time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Block cells with 500 &amp;#181;L of 5% bovine serum albumin prepared in PBS for 1-2 h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Dilute primary antibody at 1: 200 in the same solution used for blocking.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Incubate the fixed cells in 300 &amp;#181;L primary antibody solution overnight at 4 &amp;#176;C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r>
      <w:r>
        <w:rPr>
          <w:rFonts w:ascii="Calibri" w:hAnsi="Calibri" w:cs="Calibri" w:eastAsia="Calibri"/>
          <w:color w:val="000000"/>
          <w:spacing w:val="0"/>
          <w:position w:val="0"/>
          <w:sz w:val="24"/>
          <w:shd w:fill="auto" w:val="clear"/>
        </w:rPr>
        <w:t xml:space="preserve">After overnight incubation, wash cells 3 times with PBST for 10 min each time at RT on </w:t>
      </w:r>
      <w:r>
        <w:rPr>
          <w:rFonts w:ascii="Calibri" w:hAnsi="Calibri" w:cs="Calibri" w:eastAsia="Calibri"/>
          <w:color w:val="auto"/>
          <w:spacing w:val="0"/>
          <w:position w:val="0"/>
          <w:sz w:val="24"/>
          <w:shd w:fill="auto" w:val="clear"/>
        </w:rPr>
        <w:t xml:space="preserve">a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Prepare secondary antibody solution in blocking solution at 1:1000.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Incubate in 300 &amp;#181;L of secondary antibody solution protected from light for 1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Aspirate secondary antibody solution and wash cells 3 times with PBST for 10 min each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Incubate cells with 300 &amp;#181;L of 1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DAPI for 3-5 min, and then wash twice with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t xml:space="preserve">After aspirating PBST, add an appropriate amount of PBS for taking pictures under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Western blot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1x TBST washing buffer by adding 0.1% Tween-20 to Tris-buffered saline (TBS).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Prepare SDS-PAGE electrophoresis buffer and western transfer buffer by using a commercial kit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000000"/>
          <w:spacing w:val="0"/>
          <w:position w:val="0"/>
          <w:sz w:val="24"/>
          <w:shd w:fill="auto" w:val="clear"/>
        </w:rPr>
        <w:t xml:space="preserve">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Resolve total cell protein (40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on a 10% sodium dodecyl sulfate polyacrylamide gel and run in SDS-PAGE electrophoresis buffer at 15 mA constant current for about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Transfer the gel to a polyvinylidene difluoride (PVDF) membrane at 300 mA constant current for 2 h at low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running time and transfer time may vary depending on the equipment used and the type and percentage of the gel.</w:t>
      </w:r>
    </w:p>
    <w:p>
      <w:pPr>
        <w:tabs>
          <w:tab w:val="left" w:pos="31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Block the membrane with 3% bovine serum albumin prepared in TBST for 1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 </w:t>
      </w:r>
      <w:r>
        <w:rPr>
          <w:rFonts w:ascii="Calibri" w:hAnsi="Calibri" w:cs="Calibri" w:eastAsia="Calibri"/>
          <w:color w:val="auto"/>
          <w:spacing w:val="0"/>
          <w:position w:val="0"/>
          <w:sz w:val="24"/>
          <w:shd w:fill="auto" w:val="clear"/>
        </w:rPr>
        <w:t xml:space="preserve">Incubate</w:t>
      </w:r>
      <w:r>
        <w:rPr>
          <w:rFonts w:ascii="Calibri" w:hAnsi="Calibri" w:cs="Calibri" w:eastAsia="Calibri"/>
          <w:color w:val="000000"/>
          <w:spacing w:val="0"/>
          <w:position w:val="0"/>
          <w:sz w:val="24"/>
          <w:shd w:fill="auto" w:val="clear"/>
        </w:rPr>
        <w:t xml:space="preserve"> in primary antibody solution (1:1000 dilution) overnight at 4 &amp;#176;C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After overnight incubation, wash blotting membrane 3 times with TBST for 15 min per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Incubate in secondary antibody solution (1:2000 dilution) for 2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Discard secondary antibody solution and wash the membrane 3 times with TBST, for 15 min </w:t>
      </w:r>
      <w:r>
        <w:rPr>
          <w:rFonts w:ascii="Calibri" w:hAnsi="Calibri" w:cs="Calibri" w:eastAsia="Calibri"/>
          <w:color w:val="auto"/>
          <w:spacing w:val="0"/>
          <w:position w:val="0"/>
          <w:sz w:val="24"/>
          <w:shd w:fill="auto" w:val="clear"/>
        </w:rPr>
        <w:t xml:space="preserve">each</w:t>
      </w:r>
      <w:r>
        <w:rPr>
          <w:rFonts w:ascii="Calibri" w:hAnsi="Calibri" w:cs="Calibri" w:eastAsia="Calibri"/>
          <w:color w:val="000000"/>
          <w:spacing w:val="0"/>
          <w:position w:val="0"/>
          <w:sz w:val="24"/>
          <w:shd w:fill="auto" w:val="clear"/>
        </w:rPr>
        <w:t xml:space="preserve">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r>
      <w:r>
        <w:rPr>
          <w:rFonts w:ascii="Calibri" w:hAnsi="Calibri" w:cs="Calibri" w:eastAsia="Calibri"/>
          <w:color w:val="auto"/>
          <w:spacing w:val="0"/>
          <w:position w:val="0"/>
          <w:sz w:val="24"/>
          <w:shd w:fill="auto" w:val="clear"/>
        </w:rPr>
        <w:t xml:space="preserve">Visualize immunoreactive</w:t>
      </w:r>
      <w:r>
        <w:rPr>
          <w:rFonts w:ascii="Calibri" w:hAnsi="Calibri" w:cs="Calibri" w:eastAsia="Calibri"/>
          <w:color w:val="000000"/>
          <w:spacing w:val="0"/>
          <w:position w:val="0"/>
          <w:sz w:val="24"/>
          <w:shd w:fill="auto" w:val="clear"/>
        </w:rPr>
        <w:t xml:space="preserve"> bands using a chemiluminescence reagent followed by autoradiography. Use </w:t>
      </w:r>
      <w:r>
        <w:rPr>
          <w:rFonts w:ascii="Times New Roman" w:hAnsi="Times New Roman" w:cs="Times New Roman" w:eastAsia="Times New Roman"/>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-actin as the loading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Indocyanine green uptake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Prepare 200 mg/mL indocyanine green stock solution in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Prepare a working solution by supplementing Stage III differentiation medium with </w:t>
      </w:r>
      <w:r>
        <w:rPr>
          <w:rFonts w:ascii="Calibri" w:hAnsi="Calibri" w:cs="Calibri" w:eastAsia="Calibri"/>
          <w:color w:val="auto"/>
          <w:spacing w:val="0"/>
          <w:position w:val="0"/>
          <w:sz w:val="24"/>
          <w:shd w:fill="auto" w:val="clear"/>
        </w:rPr>
        <w:t xml:space="preserve">indocyanine</w:t>
      </w:r>
      <w:r>
        <w:rPr>
          <w:rFonts w:ascii="Calibri" w:hAnsi="Calibri" w:cs="Calibri" w:eastAsia="Calibri"/>
          <w:color w:val="000000"/>
          <w:spacing w:val="0"/>
          <w:position w:val="0"/>
          <w:sz w:val="24"/>
          <w:shd w:fill="auto" w:val="clear"/>
        </w:rPr>
        <w:t xml:space="preserve"> green solution to a final concentration of 1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Incubate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1-2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Aspirate medium and wash the cells 3 times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Photograph under a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 Periodic Acid-Schiff (PAS) staining and Hematoxylin-Eosin (H&amp;E)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Aspirate medium from adherent cells and briefly wash twice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For cell fixation, aspirate PBS and incubate cells with ice-cold methanol at -20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Visualize glycogen storage by PAS staining and observe binucleated cells by H &amp; E staining using a kit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Take images with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Assay for CYP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Measure CYP450 activity using commercially available cell-based assays (P450-Glo Assays)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Use three independent repeats for testing. Data are represented as the mean &amp;#177;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schematic diagram of HLC induction from hESCs and representative bright-field images of each differentiation stage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Stage I, activin A and CHIR99021 were added for 3 days to induce stem cells to form endoderm cells. In Stage II, the endoderm cells differentiated into hepatic progenitor cells after being treated with differentiation medium for 5 days. In Stage III, early hepatocytes had matured and differentiated into hepatocyte-like cells after 10 days in HGF and OSM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the final stage of differentiation, cells showed a typical hepatocyte phenotype (The cells are polygon and distributed evenly and regularly)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confirm hepatic differentiation, RT-PCR, immunofluorescence staining and western blotting were used to detect markers of endoderm cells, hepatic precursor cells, and mature hepatocytes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differentiated cells showed high expression levels of differentiation-related genes and proteins in each stage, such as endoderm markers SOX17 (89.7&amp;#177; 0.8%) at Day 3, hepatic precursor marker HNF4</w:t>
      </w:r>
      <w:r>
        <w:rPr>
          <w:rFonts w:ascii="Times New Roman" w:hAnsi="Times New Roman" w:cs="Times New Roman" w:eastAsia="Times New Roman"/>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 (81.3&amp;#177;2.9%) at Day 8, AFP (86.6&amp;#177;0.3%) at Day 14, and mature hepatocyte marker ALB (94.5&amp;#177;1.1%) at Day 18. These results indicate that hepatocyte-like cells are generated by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detect whether HLCs have hepatocyte functions, we detected ICG uptake, glycogen storage, and CYP activity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HLCs, as well as performed H&amp;E staining. As can be seen the HLCs exhibited green staining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extensive cytoplasmic periodic acid-Schiff staining (pink to purple) was observed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which is consistent with glycogen storage. In addition, we can see the representative morphology of a typical binucleated hepatocyte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Finally, the enzymatic activity of CYP3A4, the most important metabolic CYP in the liver, was confirmed by enzymatic activity assay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Components of cell culture and differentiation base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Primer sequences for q-PCR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Schematic diagram of protocol for the specification of definitive endoderm and hepatocyte-like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presentation of the 3-stage differentiation strategy used in this study.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Morphology of the differentiated cells at Days 0, 3, 8, 14 and 18. Scale bar = 100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Stage-specific marker expression during hESC differentiation into HLCs.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mRNA expression of stage-specific genes.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Protein expression of stage-specific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Functions of hESC-derived hepatocytes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HLCs treated for 1 h with 1 mg/mL indocyanine green demonstrate uptake as assessed by phase microscopy.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PAS staining images indicating glycogen storage.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HE staining images showing binucleates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Basal level activity of major cytochrome P450 enzymes. All values are presented as mean &amp;#177; SD. Scale bar =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stepwise method that divides hepatocyte-like cell induction from human embryonic stem cells in three stages. In the first stage, activin A and CHIR99021 were used to differentiate hESCs into definitive endoderm. In the second stage, KO-DMEM and DMSO were used to differentiate definitive endoderm into hepatic progenitor cells. In the third stage, HepatoZYME-SFM (HZM) plus HGF, OSM and HC were used to continue to differentiate hepatic progenitor cells into hepatocyte-like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critical steps need to be taken into consideration while using the protocol. The initial differentiation density of cells and the accurate timing of medium changes are important factors for successful differentiation. When we begin to differentiate, we must ensure that the initial seeding density is appropriate, at a confluence of about 30-40%, when cells are just beginning to come into contact with each other, and that the intercellular spaces are evenly arranged in a network under the field of vision. During differentiation, the corresponding differentiation medium must be changed precisely at the indicated time, especially in the first stage and the key moment of each replacement stage, to ensure that cells differentiate in the mode and stage imitating the process of embryonic development.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stage of differentiation of hESCs into DE is particularly important. There are usually a large number of cells that detach and float up during Stage I of differentiation, which is a critical stage for the cell fate, but at this time the cells still retain the ability to proliferate. Therefore, the confluence of cells can reach about 90-100% at the end of Stage I. In addition, it should be noted that at the beginning of Stage III of differentiation (i.e., Day 8), the cytoplasm of the cells begins to condense, resulting in the cells gradually acquiring a slender morphology. However at Day 10, the cytoplasm gradually recovers, and at Day 14, the cells begin to show the obvious polyhedral morphology of hepatocytes.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HLCs obtained are actually closer to fetal hepatocytes as AFP is higher expressed than ALB at day 18. Although the generated HLCs exert hepatocyte characteristics and functions, there is still a gap between HLCs and primary human hepatocytes, indicating our differentiated cells are still not functionally mature. Therefore, future work will need to focus on further optimizing the differentiation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small molecular compounds such as activin A</w:t>
      </w:r>
      <w:r>
        <w:rPr>
          <w:rFonts w:ascii="Calibri" w:hAnsi="Calibri" w:cs="Calibri" w:eastAsia="Calibri"/>
          <w:color w:val="000000"/>
          <w:spacing w:val="0"/>
          <w:position w:val="0"/>
          <w:sz w:val="22"/>
          <w:shd w:fill="auto" w:val="clear"/>
          <w:vertAlign w:val="superscript"/>
        </w:rPr>
        <w:t xml:space="preserve">9,10,14</w:t>
      </w:r>
      <w:r>
        <w:rPr>
          <w:rFonts w:ascii="Calibri" w:hAnsi="Calibri" w:cs="Calibri" w:eastAsia="Calibri"/>
          <w:color w:val="000000"/>
          <w:spacing w:val="0"/>
          <w:position w:val="0"/>
          <w:sz w:val="24"/>
          <w:shd w:fill="auto" w:val="clear"/>
        </w:rPr>
        <w:t xml:space="preserve">, Wnt3a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CHIR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Torin2</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IDE1</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are commonly used to induce DE differentiation in various differentiation systems. The Song group used activin A to differentiate stem cells into DE, and used FGF4 (Fibroblast Growth Factor 4), BMP2(Bone morphogenetic protein 2), HGF, KGF (Keratinocyte growth factor), OSM and Dex for hepatic specification and HLCs maturation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Sullivan group induced DE by activin A and Wnt 3a, and induced HLCs by </w:t>
      </w:r>
      <w:r>
        <w:rPr>
          <w:rFonts w:ascii="Calibri" w:hAnsi="Calibri" w:cs="Calibri" w:eastAsia="Calibri"/>
          <w:color w:val="000000"/>
          <w:spacing w:val="0"/>
          <w:position w:val="0"/>
          <w:sz w:val="24"/>
          <w:shd w:fill="auto" w:val="clear"/>
        </w:rPr>
        <w:t xml:space="preserve">β-ME (2-mercaptoethanol), DMSO, Insulin, HGF, OSM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Siller team used CHIR99021 for DE differentiation, DMSO, Dihexa (Hepatocyte growth factor receptor agonist N-hexanoic-Tyr), and Dex for HLC differentiation to obtain HLC with liver function characteristics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some of these methods use many recombinant growth factors to generate DE with high cost and some of them use only small molecules to generate DE with lower efficiency. Activin A is critical factor for DE generation. We have tried to replace Activin A with other small molecules but usually get a lower efficiency. Therefore, we adopt the method of adding activin A and CHIR99021 as inducing factors of DE, and detect differentiation-related genes in each stage by real-time quantitative PCR, immunofluorescence and western blotting.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the establishment of an experimental system for directed HLC induction from hESCs is an important basis for the modeling of hepatocyte development and screening drugs for liver-related diseases. At the same time, it can also provide an effective source of cells for hepatocyte transplantation, liver tissue engineering, bioartificial livers and other research. It has been reported that HLCs derived from stem cells have been used to conduct various studies on viral infection as a drug screening model to predict hepatotoxic drug-induced responses and to study the innate immune pathway and signaling pathways of cells</w:t>
      </w:r>
      <w:r>
        <w:rPr>
          <w:rFonts w:ascii="Calibri" w:hAnsi="Calibri" w:cs="Calibri" w:eastAsia="Calibri"/>
          <w:color w:val="000000"/>
          <w:spacing w:val="0"/>
          <w:position w:val="0"/>
          <w:sz w:val="24"/>
          <w:shd w:fill="auto" w:val="clear"/>
          <w:vertAlign w:val="superscript"/>
        </w:rPr>
        <w:t xml:space="preserve">10,22-25</w:t>
      </w:r>
      <w:r>
        <w:rPr>
          <w:rFonts w:ascii="Calibri" w:hAnsi="Calibri" w:cs="Calibri" w:eastAsia="Calibri"/>
          <w:color w:val="000000"/>
          <w:spacing w:val="0"/>
          <w:position w:val="0"/>
          <w:sz w:val="24"/>
          <w:shd w:fill="auto" w:val="clear"/>
        </w:rPr>
        <w:t xml:space="preserve">. Generally, this method introduces in detail an efficient hepatocyte-like cell differentiation technique from hESCs that can successfully differentiate hESCs into mature functional hepatocytes. The results provide a platform for the development of HLC-based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(No. 81870432 and 81570567 to X.L.Z.), (No. 81571994 to P.N.S.); the Natural Science Foundation of Guangdong Province, China (No. 2020A1515010054 to P.N.S.), The Li Ka Shing Shantou University Foundation (No. L1111 2008 to P.N.S.). We would like to thank Prof. Stanley Lin from Shantou University Medical College for useful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Hou, Y., Hu, S., Li, X., He, W., Wu, G. Amino Acid Metabolism in the Liver: Nutritional and Physiological Significance.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1265</w:t>
      </w:r>
      <w:r>
        <w:rPr>
          <w:rFonts w:ascii="Calibri" w:hAnsi="Calibri" w:cs="Calibri" w:eastAsia="Calibri"/>
          <w:color w:val="000000"/>
          <w:spacing w:val="0"/>
          <w:position w:val="0"/>
          <w:sz w:val="24"/>
          <w:shd w:fill="auto" w:val="clear"/>
        </w:rPr>
        <w:t xml:space="preserve">, 21-37, doi:10.1007/978-3-030-45328-2_2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Huang, C., Li, Q., Xu, W., Chen, L. Molecular and cellular mechanisms of liver dysfunction in COVID-19. </w:t>
      </w:r>
      <w:r>
        <w:rPr>
          <w:rFonts w:ascii="Calibri" w:hAnsi="Calibri" w:cs="Calibri" w:eastAsia="Calibri"/>
          <w:i/>
          <w:color w:val="000000"/>
          <w:spacing w:val="0"/>
          <w:position w:val="0"/>
          <w:sz w:val="24"/>
          <w:shd w:fill="auto" w:val="clear"/>
        </w:rPr>
        <w:t xml:space="preserve">Discovery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107-112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Todorovic Vukotic, N., Dordevic, J., Pejic, S., Dordevic, N., Pajovic, S. B. Antidepressants- and antipsychotics-induced hepatotoxicity. </w:t>
      </w:r>
      <w:r>
        <w:rPr>
          <w:rFonts w:ascii="Calibri" w:hAnsi="Calibri" w:cs="Calibri" w:eastAsia="Calibri"/>
          <w:i/>
          <w:color w:val="000000"/>
          <w:spacing w:val="0"/>
          <w:position w:val="0"/>
          <w:sz w:val="24"/>
          <w:shd w:fill="auto" w:val="clear"/>
        </w:rPr>
        <w:t xml:space="preserve">Archives of Toxicology</w:t>
      </w:r>
      <w:r>
        <w:rPr>
          <w:rFonts w:ascii="Calibri" w:hAnsi="Calibri" w:cs="Calibri" w:eastAsia="Calibri"/>
          <w:color w:val="000000"/>
          <w:spacing w:val="0"/>
          <w:position w:val="0"/>
          <w:sz w:val="24"/>
          <w:shd w:fill="auto" w:val="clear"/>
        </w:rPr>
        <w:t xml:space="preserve">. doi:10.1007/s00204-020-02963-4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Thomson,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Embryonic stem cell lines derived from human blastocysts.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1145-1147, doi:10.1126/science.282.5391.1145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qualified clinical-grade functional hepatocytes from human embryonic stem cells in chemically defined conditions. </w:t>
      </w:r>
      <w:r>
        <w:rPr>
          <w:rFonts w:ascii="Calibri" w:hAnsi="Calibri" w:cs="Calibri" w:eastAsia="Calibri"/>
          <w:i/>
          <w:color w:val="000000"/>
          <w:spacing w:val="0"/>
          <w:position w:val="0"/>
          <w:sz w:val="24"/>
          <w:shd w:fill="auto" w:val="clear"/>
        </w:rPr>
        <w:t xml:space="preserve">Cell Death &amp;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763, doi:10.1038/s41419-019-1967-5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Rassouli,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Expression Patterns of Royan Human Embryonic Stem Cells Correlate with Their Propensity and Culture Systems. </w:t>
      </w:r>
      <w:r>
        <w:rPr>
          <w:rFonts w:ascii="Calibri" w:hAnsi="Calibri" w:cs="Calibri" w:eastAsia="Calibri"/>
          <w:i/>
          <w:color w:val="000000"/>
          <w:spacing w:val="0"/>
          <w:position w:val="0"/>
          <w:sz w:val="24"/>
          <w:shd w:fill="auto" w:val="clear"/>
        </w:rPr>
        <w:t xml:space="preserve">Cell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290-299, doi:10.22074/cellj.2019.6128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Loh,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endoderm induction from human pluripotent stem cells by logically directing signals controlling lineage bifurcations.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237-252, doi:10.1016/j.stem.2013.12.007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Mukherjee,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Sox17 and beta-catenin co-occupy Wnt-responsive enhancers to govern the endoderm gene regulatory network.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doi:10.7554/eLife.58029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Ang, L.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Roadmap for Human Liver Differentiation from Pluripotent Stem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2190-2205, doi:10.1016/j.celrep.2018.01.087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Carpentier,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Engrafted human stem cell-derived hepatocytes establish an infectious HCV murine model.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4953-4964, doi:10.1172/JCI75456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Gomez, G.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neural crest induction by temporal modulation of WNT activation.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449</w:t>
      </w:r>
      <w:r>
        <w:rPr>
          <w:rFonts w:ascii="Calibri" w:hAnsi="Calibri" w:cs="Calibri" w:eastAsia="Calibri"/>
          <w:color w:val="000000"/>
          <w:spacing w:val="0"/>
          <w:position w:val="0"/>
          <w:sz w:val="24"/>
          <w:shd w:fill="auto" w:val="clear"/>
        </w:rPr>
        <w:t xml:space="preserve">, 99-106, doi:10.1016/j.ydbio.2019.02.015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J., Choi, S. H., Lee, D. R., Kim, D. S., Kim, D. W. Generation of Isthmic Organizer-Like Cells from Human Embryonic Stem Cells. </w:t>
      </w:r>
      <w:r>
        <w:rPr>
          <w:rFonts w:ascii="Calibri" w:hAnsi="Calibri" w:cs="Calibri" w:eastAsia="Calibri"/>
          <w:i/>
          <w:color w:val="000000"/>
          <w:spacing w:val="0"/>
          <w:position w:val="0"/>
          <w:sz w:val="24"/>
          <w:shd w:fill="auto" w:val="clear"/>
        </w:rPr>
        <w:t xml:space="preserve">Molecules and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110-118, doi:10.14348/molcells.2018.2210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Matsuno,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Redefining definitive endoderm subtypes by robust induction of human induced pluripotent stem cells. </w:t>
      </w:r>
      <w:r>
        <w:rPr>
          <w:rFonts w:ascii="Calibri" w:hAnsi="Calibri" w:cs="Calibri" w:eastAsia="Calibri"/>
          <w:i/>
          <w:color w:val="000000"/>
          <w:spacing w:val="0"/>
          <w:position w:val="0"/>
          <w:sz w:val="24"/>
          <w:shd w:fill="auto" w:val="clear"/>
        </w:rPr>
        <w:t xml:space="preserve">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281-290, doi:10.1016/j.diff.2016.04.002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Mathapati,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Small-Molecule-Directed Hepatocyte-Like Cell Differentiation of Human Pluripotent Stem Cells. </w:t>
      </w:r>
      <w:r>
        <w:rPr>
          <w:rFonts w:ascii="Calibri" w:hAnsi="Calibri" w:cs="Calibri" w:eastAsia="Calibri"/>
          <w:i/>
          <w:color w:val="000000"/>
          <w:spacing w:val="0"/>
          <w:position w:val="0"/>
          <w:sz w:val="24"/>
          <w:shd w:fill="auto" w:val="clear"/>
        </w:rPr>
        <w:t xml:space="preserve">Current Protocols in Stem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1G 6 1-1G 6 18, doi:10.1002/cpsc.13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Hay, 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efficient differentiation of hESCs to functional hepatic endoderm requires ActivinA and Wnt3a signaling.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12301-12306, doi:10.1073/pnas.0806522105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Siller, R., Greenhough, S., Naumovska, E., Sullivan, G. J. Small-molecule-driven hepatocyte differentiation of human pluripotent stem cells.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939-952, doi:10.1016/j.stemcr.2015.04.001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Yu,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PI3K/mTORC2 regulates TGF-beta/Activin signalling by modulating Smad2/3 activity via linker phosphorylation.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7212, doi:10.1038/ncomms8212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Borowiak,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Small molecules efficiently direct endodermal differentiation of mouse and human embryonic stem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348-358, doi:10.1016/j.stem.2009.01.014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Tahamtani,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Treatment of human embryonic stem cells with different combinations of priming and inducing factors toward definitive endoderm.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1419-1432, doi:10.1089/scd.2012.0453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Song,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generation of hepatocyte-like cells from human induced pluripotent stem cells.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1233-1242, doi:10.1038/cr.2009.107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Sullivan, 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functional human hepatic endoderm from human induced pluripotent stem cells.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329-335, doi:10.1002/hep.23335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Xia,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stem cell-derived hepatocytes as a model for hepatitis B virus infection, spreading and virus-host interactions.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494-503, doi:10.1016/j.jhep.2016.10.009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Derivation and applications of human hepatocyte-like cells. </w:t>
      </w:r>
      <w:r>
        <w:rPr>
          <w:rFonts w:ascii="Calibri" w:hAnsi="Calibri" w:cs="Calibri" w:eastAsia="Calibri"/>
          <w:i/>
          <w:color w:val="000000"/>
          <w:spacing w:val="0"/>
          <w:position w:val="0"/>
          <w:sz w:val="24"/>
          <w:shd w:fill="auto" w:val="clear"/>
        </w:rPr>
        <w:t xml:space="preserve">World Journal of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535-547, doi:10.4252/wjsc.v11.i8.535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Ogawa,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culture and cAMP signaling promote the maturation of human pluripotent stem cell-derived hepatocytes.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3285-3296, doi:10.1242/dev.090266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 D.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Prediction of drug-induced immune-mediated hepatotoxicity using hepatocyte-like cells derived from human embryonic stem cells.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1-9, doi:10.1016/j.tox.2017.06.005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