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0A9F" w:rsidRPr="00C453CC" w:rsidRDefault="0098340E" w:rsidP="001612BE">
      <w:pPr>
        <w:pBdr>
          <w:top w:val="nil"/>
          <w:left w:val="nil"/>
          <w:bottom w:val="nil"/>
          <w:right w:val="nil"/>
          <w:between w:val="nil"/>
        </w:pBdr>
      </w:pPr>
      <w:r w:rsidRPr="00C453CC">
        <w:rPr>
          <w:b/>
        </w:rPr>
        <w:t>TITLE:</w:t>
      </w:r>
      <w:r w:rsidRPr="00C453CC">
        <w:t xml:space="preserve"> </w:t>
      </w:r>
    </w:p>
    <w:p w14:paraId="00000002" w14:textId="79ED0B34" w:rsidR="005B0A9F" w:rsidRPr="00C453CC" w:rsidRDefault="0098340E" w:rsidP="001612BE">
      <w:pPr>
        <w:widowControl/>
      </w:pPr>
      <w:r w:rsidRPr="00C453CC">
        <w:t xml:space="preserve">AAV </w:t>
      </w:r>
      <w:r w:rsidR="00EA3AFA" w:rsidRPr="00C453CC">
        <w:t>Deploy</w:t>
      </w:r>
      <w:r w:rsidRPr="00C453CC">
        <w:t xml:space="preserve">ment of </w:t>
      </w:r>
      <w:r w:rsidR="00EA3AFA" w:rsidRPr="00C453CC">
        <w:t xml:space="preserve">Enhancer-Based Expression Constructs </w:t>
      </w:r>
      <w:r w:rsidR="00EA3AFA" w:rsidRPr="00C453CC">
        <w:rPr>
          <w:i/>
        </w:rPr>
        <w:t>In Vivo</w:t>
      </w:r>
      <w:r w:rsidR="00EA3AFA" w:rsidRPr="00C453CC">
        <w:t xml:space="preserve"> </w:t>
      </w:r>
      <w:r w:rsidRPr="00C453CC">
        <w:t xml:space="preserve">in </w:t>
      </w:r>
      <w:r w:rsidR="00EA3AFA" w:rsidRPr="00C453CC">
        <w:t>Mouse Brain</w:t>
      </w:r>
    </w:p>
    <w:p w14:paraId="00000003" w14:textId="77777777" w:rsidR="005B0A9F" w:rsidRPr="00C453CC" w:rsidRDefault="005B0A9F" w:rsidP="001612BE">
      <w:pPr>
        <w:rPr>
          <w:b/>
        </w:rPr>
      </w:pPr>
    </w:p>
    <w:p w14:paraId="00000004" w14:textId="77777777" w:rsidR="005B0A9F" w:rsidRPr="00C453CC" w:rsidRDefault="0098340E" w:rsidP="001612BE">
      <w:r w:rsidRPr="00C453CC">
        <w:rPr>
          <w:b/>
        </w:rPr>
        <w:t>AUTHORS AND AFFILIATIONS:</w:t>
      </w:r>
    </w:p>
    <w:p w14:paraId="00000005" w14:textId="77777777" w:rsidR="005B0A9F" w:rsidRPr="00C453CC" w:rsidRDefault="0098340E" w:rsidP="001612BE">
      <w:r w:rsidRPr="00C453CC">
        <w:t>Tracy L. Warren</w:t>
      </w:r>
      <w:r w:rsidRPr="00C453CC">
        <w:rPr>
          <w:vertAlign w:val="superscript"/>
        </w:rPr>
        <w:t>1,2</w:t>
      </w:r>
      <w:r w:rsidRPr="00C453CC">
        <w:t>, Jason T. Lambert</w:t>
      </w:r>
      <w:r w:rsidRPr="00C453CC">
        <w:rPr>
          <w:vertAlign w:val="superscript"/>
        </w:rPr>
        <w:t>1,2</w:t>
      </w:r>
      <w:r w:rsidRPr="00C453CC">
        <w:t>*, Alex S. Nord</w:t>
      </w:r>
      <w:r w:rsidRPr="00C453CC">
        <w:rPr>
          <w:vertAlign w:val="superscript"/>
        </w:rPr>
        <w:t>1,2</w:t>
      </w:r>
      <w:r w:rsidRPr="00C453CC">
        <w:t>*</w:t>
      </w:r>
    </w:p>
    <w:p w14:paraId="00000006" w14:textId="77777777" w:rsidR="005B0A9F" w:rsidRPr="00C453CC" w:rsidRDefault="005B0A9F" w:rsidP="001612BE"/>
    <w:p w14:paraId="00000007" w14:textId="77777777" w:rsidR="005B0A9F" w:rsidRPr="00C453CC" w:rsidRDefault="0098340E" w:rsidP="001612BE">
      <w:r w:rsidRPr="00C453CC">
        <w:rPr>
          <w:vertAlign w:val="superscript"/>
        </w:rPr>
        <w:t>1</w:t>
      </w:r>
      <w:r w:rsidRPr="00C453CC">
        <w:t>Department of Psychiatry and Behavioral Sciences, University of California, Davis, Davis, California, USA</w:t>
      </w:r>
    </w:p>
    <w:p w14:paraId="00000008" w14:textId="77777777" w:rsidR="005B0A9F" w:rsidRPr="00C453CC" w:rsidRDefault="0098340E" w:rsidP="001612BE">
      <w:r w:rsidRPr="00C453CC">
        <w:rPr>
          <w:vertAlign w:val="superscript"/>
        </w:rPr>
        <w:t>2</w:t>
      </w:r>
      <w:r w:rsidRPr="00C453CC">
        <w:t>Department of Neurobiology, Physiology and Behavior, University of California, Davis, Davis, California, USA</w:t>
      </w:r>
    </w:p>
    <w:p w14:paraId="00000009" w14:textId="77777777" w:rsidR="005B0A9F" w:rsidRPr="00C453CC" w:rsidRDefault="005B0A9F" w:rsidP="001612BE"/>
    <w:p w14:paraId="0000000A" w14:textId="500F3C33" w:rsidR="005B0A9F" w:rsidRPr="00C453CC" w:rsidRDefault="0098340E" w:rsidP="001612BE">
      <w:r w:rsidRPr="00C453CC">
        <w:t>*co-corresponding authors</w:t>
      </w:r>
    </w:p>
    <w:p w14:paraId="73856171" w14:textId="0C2F1B1C" w:rsidR="00AC52C2" w:rsidRPr="00C453CC" w:rsidRDefault="00AC52C2" w:rsidP="001612BE"/>
    <w:p w14:paraId="062FAF72" w14:textId="566F57F1" w:rsidR="00AC52C2" w:rsidRPr="00C453CC" w:rsidRDefault="00AC52C2" w:rsidP="001612BE">
      <w:r w:rsidRPr="00C453CC">
        <w:t>Email addresses of co-authors:</w:t>
      </w:r>
    </w:p>
    <w:p w14:paraId="4016EC7C" w14:textId="488221FA" w:rsidR="00AC52C2" w:rsidRPr="00C453CC" w:rsidRDefault="00AC52C2" w:rsidP="00AC52C2">
      <w:r w:rsidRPr="00C453CC">
        <w:t xml:space="preserve">Tracy L. Warren </w:t>
      </w:r>
      <w:r w:rsidRPr="00C453CC">
        <w:tab/>
        <w:t>(tlwarren@ucdavis.edu)</w:t>
      </w:r>
    </w:p>
    <w:p w14:paraId="04230878" w14:textId="0136B691" w:rsidR="00AC52C2" w:rsidRPr="00C453CC" w:rsidRDefault="00AC52C2" w:rsidP="00AC52C2">
      <w:r w:rsidRPr="00C453CC">
        <w:t xml:space="preserve">Jason T. Lambert </w:t>
      </w:r>
      <w:r w:rsidRPr="00C453CC">
        <w:tab/>
        <w:t>(jtlambert@ucdavis.edu)</w:t>
      </w:r>
    </w:p>
    <w:p w14:paraId="1E924028" w14:textId="4C22350E" w:rsidR="00AC52C2" w:rsidRPr="00C453CC" w:rsidRDefault="00AC52C2" w:rsidP="00AC52C2">
      <w:r w:rsidRPr="00C453CC">
        <w:t>Alex S. Nord</w:t>
      </w:r>
      <w:r w:rsidRPr="00C453CC">
        <w:tab/>
      </w:r>
      <w:r w:rsidRPr="00C453CC">
        <w:tab/>
        <w:t>(asnord@ucdavis.edu)</w:t>
      </w:r>
    </w:p>
    <w:p w14:paraId="088D8F19" w14:textId="2384C149" w:rsidR="00AC52C2" w:rsidRPr="00C453CC" w:rsidRDefault="00AC52C2" w:rsidP="001612BE"/>
    <w:p w14:paraId="36F7D0CE" w14:textId="051B0250" w:rsidR="00AC52C2" w:rsidRPr="00C453CC" w:rsidRDefault="00AC52C2" w:rsidP="001612BE">
      <w:pPr>
        <w:rPr>
          <w:b/>
        </w:rPr>
      </w:pPr>
      <w:r w:rsidRPr="00C453CC">
        <w:t>Corresponding authors:</w:t>
      </w:r>
    </w:p>
    <w:p w14:paraId="50CDF36B" w14:textId="77777777" w:rsidR="00AC52C2" w:rsidRPr="00C453CC" w:rsidRDefault="00AC52C2" w:rsidP="00AC52C2">
      <w:r w:rsidRPr="00C453CC">
        <w:t xml:space="preserve">Jason T. Lambert </w:t>
      </w:r>
      <w:r w:rsidRPr="00C453CC">
        <w:tab/>
        <w:t>(jtlambert@ucdavis.edu)</w:t>
      </w:r>
    </w:p>
    <w:p w14:paraId="08002BF6" w14:textId="77777777" w:rsidR="00AC52C2" w:rsidRPr="00C453CC" w:rsidRDefault="00AC52C2" w:rsidP="00AC52C2">
      <w:r w:rsidRPr="00C453CC">
        <w:t>Alex S. Nord</w:t>
      </w:r>
      <w:r w:rsidRPr="00C453CC">
        <w:tab/>
      </w:r>
      <w:r w:rsidRPr="00C453CC">
        <w:tab/>
        <w:t>(asnord@ucdavis.edu)</w:t>
      </w:r>
    </w:p>
    <w:p w14:paraId="0000000B" w14:textId="77777777" w:rsidR="005B0A9F" w:rsidRPr="00C453CC" w:rsidRDefault="005B0A9F" w:rsidP="001612BE">
      <w:pPr>
        <w:pBdr>
          <w:top w:val="nil"/>
          <w:left w:val="nil"/>
          <w:bottom w:val="nil"/>
          <w:right w:val="nil"/>
          <w:between w:val="nil"/>
        </w:pBdr>
      </w:pPr>
    </w:p>
    <w:p w14:paraId="0000000D" w14:textId="4EC304D5" w:rsidR="005B0A9F" w:rsidRPr="00C453CC" w:rsidRDefault="0098340E" w:rsidP="001612BE">
      <w:r w:rsidRPr="00C453CC">
        <w:rPr>
          <w:b/>
        </w:rPr>
        <w:t>SUMMARY:</w:t>
      </w:r>
    </w:p>
    <w:p w14:paraId="0000000E" w14:textId="77777777" w:rsidR="005B0A9F" w:rsidRPr="00C453CC" w:rsidRDefault="0098340E" w:rsidP="001612BE">
      <w:r w:rsidRPr="00C453CC">
        <w:t xml:space="preserve">This protocol describes a novel </w:t>
      </w:r>
      <w:proofErr w:type="spellStart"/>
      <w:r w:rsidRPr="00C453CC">
        <w:t>rAAV</w:t>
      </w:r>
      <w:proofErr w:type="spellEnd"/>
      <w:r w:rsidRPr="00C453CC">
        <w:t xml:space="preserve">-based transient enhancer-reporter assay. This assay can be used to induce enhancer-driven expression </w:t>
      </w:r>
      <w:r w:rsidRPr="00C453CC">
        <w:rPr>
          <w:i/>
        </w:rPr>
        <w:t xml:space="preserve">in vivo </w:t>
      </w:r>
      <w:r w:rsidRPr="00C453CC">
        <w:t>in the mouse brain.</w:t>
      </w:r>
    </w:p>
    <w:p w14:paraId="0000000F" w14:textId="77777777" w:rsidR="005B0A9F" w:rsidRPr="00C453CC" w:rsidRDefault="005B0A9F" w:rsidP="001612BE"/>
    <w:p w14:paraId="00000011" w14:textId="1F87DEA0" w:rsidR="005B0A9F" w:rsidRPr="00C453CC" w:rsidRDefault="0098340E" w:rsidP="001612BE">
      <w:r w:rsidRPr="00C453CC">
        <w:rPr>
          <w:b/>
        </w:rPr>
        <w:t>ABSTRACT:</w:t>
      </w:r>
    </w:p>
    <w:p w14:paraId="00000012" w14:textId="74A63003" w:rsidR="005B0A9F" w:rsidRPr="00C453CC" w:rsidRDefault="0098340E" w:rsidP="001612BE">
      <w:pPr>
        <w:widowControl/>
      </w:pPr>
      <w:r w:rsidRPr="00C453CC">
        <w:t xml:space="preserve">Enhancers </w:t>
      </w:r>
      <w:r w:rsidR="009A68EA" w:rsidRPr="00C453CC">
        <w:t xml:space="preserve">are binding platforms for a diverse array of </w:t>
      </w:r>
      <w:r w:rsidRPr="00C453CC">
        <w:t xml:space="preserve">transcription factors </w:t>
      </w:r>
      <w:r w:rsidR="00EA3AFA" w:rsidRPr="00C453CC">
        <w:t xml:space="preserve">that </w:t>
      </w:r>
      <w:r w:rsidRPr="00C453CC">
        <w:t xml:space="preserve">drive specific expression patterns of </w:t>
      </w:r>
      <w:r w:rsidR="009A68EA" w:rsidRPr="00C453CC">
        <w:t>tissue- and cell-type-specific genes. Multiple</w:t>
      </w:r>
      <w:r w:rsidRPr="00C453CC">
        <w:t xml:space="preserve"> means of assessing </w:t>
      </w:r>
      <w:r w:rsidR="009A68EA" w:rsidRPr="00C453CC">
        <w:t>non-coding</w:t>
      </w:r>
      <w:r w:rsidRPr="00C453CC">
        <w:t xml:space="preserve"> DNA and </w:t>
      </w:r>
      <w:r w:rsidR="009A68EA" w:rsidRPr="00C453CC">
        <w:t xml:space="preserve">various </w:t>
      </w:r>
      <w:r w:rsidRPr="00C453CC">
        <w:t xml:space="preserve">chromatin </w:t>
      </w:r>
      <w:r w:rsidR="009A68EA" w:rsidRPr="00C453CC">
        <w:t>states</w:t>
      </w:r>
      <w:r w:rsidRPr="00C453CC">
        <w:t xml:space="preserve"> have proven useful in predicting the presence of enhancer sequences in the </w:t>
      </w:r>
      <w:proofErr w:type="gramStart"/>
      <w:r w:rsidRPr="00C453CC">
        <w:t>genome, but</w:t>
      </w:r>
      <w:proofErr w:type="gramEnd"/>
      <w:r w:rsidRPr="00C453CC">
        <w:t xml:space="preserve"> validating the activity of these sequences and finding the </w:t>
      </w:r>
      <w:r w:rsidR="009A68EA" w:rsidRPr="00C453CC">
        <w:t>organs</w:t>
      </w:r>
      <w:r w:rsidRPr="00C453CC">
        <w:t xml:space="preserve"> and developmental stages they are active in is </w:t>
      </w:r>
      <w:r w:rsidR="00EA3AFA" w:rsidRPr="00C453CC">
        <w:t>labor-</w:t>
      </w:r>
      <w:r w:rsidRPr="00C453CC">
        <w:t xml:space="preserve">intensive process. </w:t>
      </w:r>
      <w:r w:rsidR="0048511D" w:rsidRPr="00C453CC">
        <w:t>R</w:t>
      </w:r>
      <w:r w:rsidR="009A68EA" w:rsidRPr="00C453CC">
        <w:t>ecent</w:t>
      </w:r>
      <w:r w:rsidRPr="00C453CC">
        <w:t xml:space="preserve"> advances in adeno-associated </w:t>
      </w:r>
      <w:r w:rsidR="009A68EA" w:rsidRPr="00C453CC">
        <w:t>vir</w:t>
      </w:r>
      <w:r w:rsidR="00660EBB" w:rsidRPr="00C453CC">
        <w:t>us</w:t>
      </w:r>
      <w:r w:rsidRPr="00C453CC">
        <w:t xml:space="preserve"> (AAV) vectors have enabled the widespread delivery of transgenes to mouse tissues</w:t>
      </w:r>
      <w:r w:rsidR="0048511D" w:rsidRPr="00C453CC">
        <w:t xml:space="preserve">, enabling </w:t>
      </w:r>
      <w:r w:rsidR="0048511D" w:rsidRPr="00C453CC">
        <w:rPr>
          <w:i/>
          <w:iCs/>
        </w:rPr>
        <w:t>in vivo</w:t>
      </w:r>
      <w:r w:rsidR="0048511D" w:rsidRPr="00C453CC">
        <w:t xml:space="preserve"> enhancer testing without necessitating a transgenic animal</w:t>
      </w:r>
      <w:r w:rsidR="009A68EA" w:rsidRPr="00C453CC">
        <w:t>. This protocol shows</w:t>
      </w:r>
      <w:r w:rsidRPr="00C453CC">
        <w:t xml:space="preserve"> how a reporter construct that expresses EGFP under the control of a minimal promoter, which does not drive significant expression on its own, can be used to study the activity patterns of candidate enhancer sequences in the mouse brain. </w:t>
      </w:r>
      <w:r w:rsidR="0048511D" w:rsidRPr="00C453CC">
        <w:t xml:space="preserve">An AAV-packaged </w:t>
      </w:r>
      <w:r w:rsidRPr="00C453CC">
        <w:t xml:space="preserve">reporter construct is delivered to </w:t>
      </w:r>
      <w:r w:rsidR="00EA3AFA" w:rsidRPr="00C453CC">
        <w:t xml:space="preserve">the </w:t>
      </w:r>
      <w:r w:rsidRPr="00C453CC">
        <w:t xml:space="preserve">mouse brain </w:t>
      </w:r>
      <w:r w:rsidR="0048511D" w:rsidRPr="00C453CC">
        <w:t>and incubated for</w:t>
      </w:r>
      <w:r w:rsidRPr="00C453CC">
        <w:t xml:space="preserve"> 1</w:t>
      </w:r>
      <w:r w:rsidR="00EA3AFA" w:rsidRPr="00C453CC">
        <w:t>–</w:t>
      </w:r>
      <w:r w:rsidRPr="00C453CC">
        <w:t>4 weeks,</w:t>
      </w:r>
      <w:r w:rsidR="0048511D" w:rsidRPr="00C453CC">
        <w:t xml:space="preserve"> after which</w:t>
      </w:r>
      <w:r w:rsidRPr="00C453CC">
        <w:t xml:space="preserve"> the animal is sacrificed</w:t>
      </w:r>
      <w:r w:rsidR="00EA3AFA" w:rsidRPr="00C453CC">
        <w:t>,</w:t>
      </w:r>
      <w:r w:rsidRPr="00C453CC">
        <w:t xml:space="preserve"> and brain sections are observed under a microscope. EGFP appears in cells in which the tested enhancer is </w:t>
      </w:r>
      <w:r w:rsidR="00660EBB" w:rsidRPr="00C453CC">
        <w:t>sufficient</w:t>
      </w:r>
      <w:r w:rsidRPr="00C453CC">
        <w:t xml:space="preserve"> to initiate gene expression, pinpointing the location and developmental </w:t>
      </w:r>
      <w:r w:rsidR="0048511D" w:rsidRPr="00C453CC">
        <w:t>stage</w:t>
      </w:r>
      <w:r w:rsidRPr="00C453CC">
        <w:t xml:space="preserve"> the enhancer is active in the brain. Standard cloning methods, </w:t>
      </w:r>
      <w:r w:rsidR="00EA3AFA" w:rsidRPr="00C453CC">
        <w:t>low-</w:t>
      </w:r>
      <w:r w:rsidRPr="00C453CC">
        <w:t xml:space="preserve">cost AAV packaging, and </w:t>
      </w:r>
      <w:r w:rsidR="0048511D" w:rsidRPr="00C453CC">
        <w:t xml:space="preserve">expanding AAV serotypes and </w:t>
      </w:r>
      <w:r w:rsidRPr="00C453CC">
        <w:t xml:space="preserve">methods for </w:t>
      </w:r>
      <w:r w:rsidR="0048511D" w:rsidRPr="00C453CC">
        <w:rPr>
          <w:i/>
          <w:iCs/>
        </w:rPr>
        <w:t>in vivo</w:t>
      </w:r>
      <w:r w:rsidRPr="00C453CC">
        <w:t xml:space="preserve"> delivery and </w:t>
      </w:r>
      <w:r w:rsidR="0048511D" w:rsidRPr="00C453CC">
        <w:t xml:space="preserve">standard </w:t>
      </w:r>
      <w:r w:rsidRPr="00C453CC">
        <w:t>imaging</w:t>
      </w:r>
      <w:r w:rsidR="0048511D" w:rsidRPr="00C453CC">
        <w:t xml:space="preserve"> readout</w:t>
      </w:r>
      <w:r w:rsidRPr="00C453CC">
        <w:t xml:space="preserve"> make this an accessible approach for the study of how gene expression is regulated in the brain.</w:t>
      </w:r>
    </w:p>
    <w:p w14:paraId="00000013" w14:textId="77777777" w:rsidR="005B0A9F" w:rsidRPr="00C453CC" w:rsidRDefault="005B0A9F" w:rsidP="001612BE"/>
    <w:p w14:paraId="00000015" w14:textId="268CE864" w:rsidR="005B0A9F" w:rsidRPr="00C453CC" w:rsidRDefault="0098340E" w:rsidP="001612BE">
      <w:r w:rsidRPr="00C453CC">
        <w:rPr>
          <w:b/>
        </w:rPr>
        <w:t>INTRODUCTION:</w:t>
      </w:r>
      <w:r w:rsidRPr="00C453CC">
        <w:t xml:space="preserve"> </w:t>
      </w:r>
    </w:p>
    <w:p w14:paraId="00000016" w14:textId="74ED6232" w:rsidR="005B0A9F" w:rsidRPr="00C453CC" w:rsidRDefault="0098340E" w:rsidP="001612BE">
      <w:r w:rsidRPr="00C453CC">
        <w:t xml:space="preserve">Enhancers are genomic cis-regulatory elements that serve as transcription factor binding sites and can drive </w:t>
      </w:r>
      <w:r w:rsidR="0013015D" w:rsidRPr="00C453CC">
        <w:t xml:space="preserve">the </w:t>
      </w:r>
      <w:r w:rsidRPr="00C453CC">
        <w:t xml:space="preserve">expression of a target gene in a spatiotemporally specific </w:t>
      </w:r>
      <w:r w:rsidR="009A68EA" w:rsidRPr="00C453CC">
        <w:t>manner</w:t>
      </w:r>
      <w:r w:rsidR="0060523D" w:rsidRPr="00C453CC">
        <w:rPr>
          <w:vertAlign w:val="superscript"/>
        </w:rPr>
        <w:t>1,2</w:t>
      </w:r>
      <w:r w:rsidR="009A68EA" w:rsidRPr="00C453CC">
        <w:t>.</w:t>
      </w:r>
      <w:r w:rsidRPr="00C453CC">
        <w:t xml:space="preserve"> They are differentially active in different cell types, tissues, and stages of development and can be substrates of disease risk-related genomic </w:t>
      </w:r>
      <w:r w:rsidR="009A68EA" w:rsidRPr="00C453CC">
        <w:t>variation</w:t>
      </w:r>
      <w:r w:rsidR="0060523D" w:rsidRPr="00C453CC">
        <w:rPr>
          <w:vertAlign w:val="superscript"/>
        </w:rPr>
        <w:t>3,4</w:t>
      </w:r>
      <w:r w:rsidR="009A68EA" w:rsidRPr="00C453CC">
        <w:t>.</w:t>
      </w:r>
      <w:r w:rsidRPr="00C453CC">
        <w:t xml:space="preserve"> Thus, the need to understand the dynamics of enhancer function is critical to progress in both translational and basic science applications within genomics. </w:t>
      </w:r>
      <w:r w:rsidRPr="00C453CC">
        <w:rPr>
          <w:i/>
        </w:rPr>
        <w:t>In silico</w:t>
      </w:r>
      <w:r w:rsidRPr="00C453CC">
        <w:t xml:space="preserve"> predictions of enhancer activity can serve as excellent resources for generating hypotheses as to enhancer </w:t>
      </w:r>
      <w:r w:rsidR="009A68EA" w:rsidRPr="00C453CC">
        <w:t>capability</w:t>
      </w:r>
      <w:r w:rsidR="0060523D" w:rsidRPr="00C453CC">
        <w:rPr>
          <w:vertAlign w:val="superscript"/>
        </w:rPr>
        <w:t>5,6</w:t>
      </w:r>
      <w:r w:rsidR="009A68EA" w:rsidRPr="00C453CC">
        <w:t>.</w:t>
      </w:r>
      <w:r w:rsidRPr="00C453CC">
        <w:t xml:space="preserve"> Such predicted enhancer activity can require additional validation and interrogation for </w:t>
      </w:r>
      <w:r w:rsidR="0013015D" w:rsidRPr="00C453CC">
        <w:t xml:space="preserve">a </w:t>
      </w:r>
      <w:r w:rsidRPr="00C453CC">
        <w:t xml:space="preserve">full understanding of </w:t>
      </w:r>
      <w:r w:rsidR="0013015D" w:rsidRPr="00C453CC">
        <w:t xml:space="preserve">the </w:t>
      </w:r>
      <w:r w:rsidRPr="00C453CC">
        <w:t xml:space="preserve">functional activity. Enhancer reporter assays have proved valuable for this purpose across a variety of systems, from cells to </w:t>
      </w:r>
      <w:r w:rsidR="009A68EA" w:rsidRPr="00C453CC">
        <w:t>animals</w:t>
      </w:r>
      <w:r w:rsidR="00DE33DB" w:rsidRPr="00C453CC">
        <w:rPr>
          <w:vertAlign w:val="superscript"/>
        </w:rPr>
        <w:t>7–9</w:t>
      </w:r>
      <w:r w:rsidR="009A68EA" w:rsidRPr="00C453CC">
        <w:t>.</w:t>
      </w:r>
      <w:r w:rsidRPr="00C453CC">
        <w:t xml:space="preserve"> Towards extending these studies in a flexible and cost-effective transient</w:t>
      </w:r>
      <w:r w:rsidRPr="00C453CC">
        <w:rPr>
          <w:i/>
        </w:rPr>
        <w:t xml:space="preserve"> in vivo</w:t>
      </w:r>
      <w:r w:rsidRPr="00C453CC">
        <w:t xml:space="preserve"> context, </w:t>
      </w:r>
      <w:r w:rsidR="009A68EA" w:rsidRPr="00C453CC">
        <w:t>this protocol describes</w:t>
      </w:r>
      <w:r w:rsidRPr="00C453CC">
        <w:t xml:space="preserve"> </w:t>
      </w:r>
      <w:r w:rsidR="0013015D" w:rsidRPr="00C453CC">
        <w:t xml:space="preserve">the </w:t>
      </w:r>
      <w:r w:rsidRPr="00C453CC">
        <w:t xml:space="preserve">use of </w:t>
      </w:r>
      <w:r w:rsidRPr="00C453CC">
        <w:rPr>
          <w:i/>
        </w:rPr>
        <w:t>in vivo</w:t>
      </w:r>
      <w:r w:rsidRPr="00C453CC">
        <w:t xml:space="preserve"> AAV-based methods to test putative enhancer sequences for their ability to drive </w:t>
      </w:r>
      <w:r w:rsidR="0013015D" w:rsidRPr="00C453CC">
        <w:t xml:space="preserve">the </w:t>
      </w:r>
      <w:r w:rsidRPr="00C453CC">
        <w:t xml:space="preserve">expression of an ectopic reporter gene in </w:t>
      </w:r>
      <w:r w:rsidR="0013015D" w:rsidRPr="00C453CC">
        <w:t xml:space="preserve">the </w:t>
      </w:r>
      <w:r w:rsidRPr="00C453CC">
        <w:t xml:space="preserve">postnatal mouse brain. This family of methods has utility for interrogating single candidate sequences or </w:t>
      </w:r>
      <w:r w:rsidR="0013015D" w:rsidRPr="00C453CC">
        <w:t>parallel library screening and is relevant for</w:t>
      </w:r>
      <w:r w:rsidRPr="00C453CC">
        <w:t xml:space="preserve"> basic and translational research.</w:t>
      </w:r>
    </w:p>
    <w:p w14:paraId="00000017" w14:textId="77777777" w:rsidR="005B0A9F" w:rsidRPr="00C453CC" w:rsidRDefault="005B0A9F" w:rsidP="001612BE"/>
    <w:p w14:paraId="00000018" w14:textId="14ADF6B0" w:rsidR="005B0A9F" w:rsidRPr="00C453CC" w:rsidRDefault="0098340E" w:rsidP="001612BE">
      <w:r w:rsidRPr="00C453CC">
        <w:t>This method combines in a single plasmid a putative enhancer candidate DNA sequence with a reporter gene (here EGFP), under the control of a minimal promoter that alone does not drive significant expression. The plasmid is packaged into recombinant AAV (</w:t>
      </w:r>
      <w:proofErr w:type="spellStart"/>
      <w:r w:rsidRPr="00C453CC">
        <w:t>rAAV</w:t>
      </w:r>
      <w:proofErr w:type="spellEnd"/>
      <w:r w:rsidRPr="00C453CC">
        <w:t xml:space="preserve">) and injected into an animal model.  While the application here is to </w:t>
      </w:r>
      <w:r w:rsidR="00E35A41" w:rsidRPr="00C453CC">
        <w:t xml:space="preserve">the </w:t>
      </w:r>
      <w:r w:rsidRPr="00C453CC">
        <w:t xml:space="preserve">brain, various </w:t>
      </w:r>
      <w:proofErr w:type="spellStart"/>
      <w:r w:rsidRPr="00C453CC">
        <w:t>rAAV</w:t>
      </w:r>
      <w:proofErr w:type="spellEnd"/>
      <w:r w:rsidRPr="00C453CC">
        <w:t xml:space="preserve"> serotypes enable infection across different tissue types</w:t>
      </w:r>
      <w:r w:rsidR="00E35A41" w:rsidRPr="00C453CC">
        <w:t xml:space="preserve"> so that</w:t>
      </w:r>
      <w:r w:rsidRPr="00C453CC">
        <w:t xml:space="preserve"> this approach can be extended to other </w:t>
      </w:r>
      <w:r w:rsidR="009A68EA" w:rsidRPr="00C453CC">
        <w:t>systems</w:t>
      </w:r>
      <w:r w:rsidR="00DE33DB" w:rsidRPr="00C453CC">
        <w:rPr>
          <w:vertAlign w:val="superscript"/>
        </w:rPr>
        <w:t>10</w:t>
      </w:r>
      <w:r w:rsidR="009A68EA" w:rsidRPr="00C453CC">
        <w:t>.</w:t>
      </w:r>
      <w:r w:rsidRPr="00C453CC">
        <w:t xml:space="preserve"> After </w:t>
      </w:r>
      <w:proofErr w:type="gramStart"/>
      <w:r w:rsidRPr="00C453CC">
        <w:t xml:space="preserve">a period of </w:t>
      </w:r>
      <w:r w:rsidR="00547DC1" w:rsidRPr="00C453CC">
        <w:t>time</w:t>
      </w:r>
      <w:proofErr w:type="gramEnd"/>
      <w:r w:rsidRPr="00C453CC">
        <w:t xml:space="preserve">, the brain can be collected and assayed for </w:t>
      </w:r>
      <w:r w:rsidR="00E35A41" w:rsidRPr="00C453CC">
        <w:t xml:space="preserve">the </w:t>
      </w:r>
      <w:r w:rsidRPr="00C453CC">
        <w:t xml:space="preserve">expression of the reporter gene. Strong expression, compared with controls, indicates that the tested candidate sequence was able to “enhance” </w:t>
      </w:r>
      <w:r w:rsidR="00E35A41" w:rsidRPr="00C453CC">
        <w:t xml:space="preserve">the </w:t>
      </w:r>
      <w:r w:rsidRPr="00C453CC">
        <w:t>expression of the gene (</w:t>
      </w:r>
      <w:r w:rsidRPr="00C453CC">
        <w:rPr>
          <w:b/>
          <w:bCs/>
        </w:rPr>
        <w:t>Fig</w:t>
      </w:r>
      <w:r w:rsidR="00E35A41" w:rsidRPr="00C453CC">
        <w:rPr>
          <w:b/>
          <w:bCs/>
        </w:rPr>
        <w:t xml:space="preserve">ure </w:t>
      </w:r>
      <w:r w:rsidRPr="00C453CC">
        <w:rPr>
          <w:b/>
          <w:bCs/>
        </w:rPr>
        <w:t>1</w:t>
      </w:r>
      <w:r w:rsidRPr="00C453CC">
        <w:t xml:space="preserve">). This simple design offers an easy and clear approach to test a sequence for enhancer activity </w:t>
      </w:r>
      <w:r w:rsidRPr="00C453CC">
        <w:rPr>
          <w:i/>
        </w:rPr>
        <w:t>in vivo</w:t>
      </w:r>
      <w:r w:rsidRPr="00C453CC">
        <w:t xml:space="preserve"> in the brain. </w:t>
      </w:r>
    </w:p>
    <w:p w14:paraId="00000019" w14:textId="77777777" w:rsidR="005B0A9F" w:rsidRPr="00C453CC" w:rsidRDefault="005B0A9F" w:rsidP="001612BE"/>
    <w:p w14:paraId="0000001A" w14:textId="41C52DC5" w:rsidR="005B0A9F" w:rsidRPr="00C453CC" w:rsidRDefault="0098340E" w:rsidP="001612BE">
      <w:bookmarkStart w:id="0" w:name="_Hlk84341126"/>
      <w:r w:rsidRPr="00C453CC">
        <w:t xml:space="preserve">In addition to testing for enhancer capability of a sequence, this method can be combined with </w:t>
      </w:r>
      <w:r w:rsidR="009A68EA" w:rsidRPr="00C453CC">
        <w:t xml:space="preserve">techniques to determine cell-type enhancer activity. In sequence-based approaches to determining differential enhancer activity, sorting cells </w:t>
      </w:r>
      <w:r w:rsidR="000F2EBC" w:rsidRPr="00C453CC">
        <w:t>on cell-</w:t>
      </w:r>
      <w:r w:rsidR="00E35A41" w:rsidRPr="00C453CC">
        <w:t>type-</w:t>
      </w:r>
      <w:r w:rsidR="000F2EBC" w:rsidRPr="00C453CC">
        <w:t xml:space="preserve">specific markers </w:t>
      </w:r>
      <w:r w:rsidR="009A68EA" w:rsidRPr="00C453CC">
        <w:t xml:space="preserve">prior to DNA and RNA sequencing can allow researchers to determine if different cell types show differential enhancer activity, as was described in </w:t>
      </w:r>
      <w:proofErr w:type="spellStart"/>
      <w:r w:rsidR="009A68EA" w:rsidRPr="00C453CC">
        <w:t>Gisselbrecht</w:t>
      </w:r>
      <w:proofErr w:type="spellEnd"/>
      <w:r w:rsidR="009A68EA" w:rsidRPr="00C453CC">
        <w:t xml:space="preserve"> et al</w:t>
      </w:r>
      <w:r w:rsidR="00E35A41" w:rsidRPr="00C453CC">
        <w:t>.</w:t>
      </w:r>
      <w:r w:rsidR="00DE33DB" w:rsidRPr="00C453CC">
        <w:rPr>
          <w:vertAlign w:val="superscript"/>
        </w:rPr>
        <w:t>11</w:t>
      </w:r>
      <w:r w:rsidR="009A68EA" w:rsidRPr="00C453CC">
        <w:t>. In imaging-based approaches, co-labeling images with cell-</w:t>
      </w:r>
      <w:r w:rsidR="00E35A41" w:rsidRPr="00C453CC">
        <w:t>type-</w:t>
      </w:r>
      <w:r w:rsidR="009A68EA" w:rsidRPr="00C453CC">
        <w:t>specific markers allow</w:t>
      </w:r>
      <w:r w:rsidR="00E35A41" w:rsidRPr="00C453CC">
        <w:t xml:space="preserve"> examining</w:t>
      </w:r>
      <w:r w:rsidR="009A68EA" w:rsidRPr="00C453CC">
        <w:t xml:space="preserve"> whether cells exhibiting enhancer-driven fluorescence also </w:t>
      </w:r>
      <w:r w:rsidR="00547DC1" w:rsidRPr="00C453CC">
        <w:t>display</w:t>
      </w:r>
      <w:r w:rsidR="009A68EA" w:rsidRPr="00C453CC">
        <w:t xml:space="preserve"> cell-type markers of interest</w:t>
      </w:r>
      <w:r w:rsidR="00034781" w:rsidRPr="00C453CC">
        <w:rPr>
          <w:vertAlign w:val="superscript"/>
        </w:rPr>
        <w:t>12–16</w:t>
      </w:r>
      <w:r w:rsidR="009A68EA" w:rsidRPr="00C453CC">
        <w:t>.</w:t>
      </w:r>
      <w:r w:rsidRPr="00C453CC">
        <w:t xml:space="preserve"> </w:t>
      </w:r>
      <w:bookmarkEnd w:id="0"/>
      <w:r w:rsidRPr="00C453CC">
        <w:t xml:space="preserve">Enhancer reporter assays enable direct testing of risk-associated allelic variation in enhancers for effects on enhancer capability. </w:t>
      </w:r>
      <w:proofErr w:type="gramStart"/>
      <w:r w:rsidRPr="00C453CC">
        <w:t>The vast majority of</w:t>
      </w:r>
      <w:proofErr w:type="gramEnd"/>
      <w:r w:rsidRPr="00C453CC">
        <w:t xml:space="preserve"> risk loci identified in genome-wide association studies (GWAS) lie in non-coding regions of the </w:t>
      </w:r>
      <w:r w:rsidR="009A68EA" w:rsidRPr="00C453CC">
        <w:t>genome</w:t>
      </w:r>
      <w:r w:rsidR="00DE33DB" w:rsidRPr="00C453CC">
        <w:rPr>
          <w:vertAlign w:val="superscript"/>
        </w:rPr>
        <w:t>17</w:t>
      </w:r>
      <w:r w:rsidR="009A68EA" w:rsidRPr="00C453CC">
        <w:t>.</w:t>
      </w:r>
      <w:r w:rsidRPr="00C453CC">
        <w:t xml:space="preserve"> Functional annotation studies of these risk loci indicate that a large portion likely act as </w:t>
      </w:r>
      <w:r w:rsidR="009A68EA" w:rsidRPr="00C453CC">
        <w:t>enhancers</w:t>
      </w:r>
      <w:r w:rsidR="00DE33DB" w:rsidRPr="00C453CC">
        <w:rPr>
          <w:vertAlign w:val="superscript"/>
        </w:rPr>
        <w:t>18–20</w:t>
      </w:r>
      <w:r w:rsidR="009A68EA" w:rsidRPr="00C453CC">
        <w:t xml:space="preserve">. </w:t>
      </w:r>
      <w:r w:rsidR="000F2EBC" w:rsidRPr="00C453CC">
        <w:t xml:space="preserve"> MPRA </w:t>
      </w:r>
      <w:r w:rsidRPr="00C453CC">
        <w:t>deployment</w:t>
      </w:r>
      <w:r w:rsidR="000F2EBC" w:rsidRPr="00C453CC">
        <w:t xml:space="preserve"> </w:t>
      </w:r>
      <w:r w:rsidR="009A68EA" w:rsidRPr="00C453CC">
        <w:rPr>
          <w:i/>
        </w:rPr>
        <w:t>in vivo</w:t>
      </w:r>
      <w:r w:rsidRPr="00C453CC">
        <w:t xml:space="preserve"> can </w:t>
      </w:r>
      <w:r w:rsidR="000F2EBC" w:rsidRPr="00C453CC">
        <w:t>allow testing of</w:t>
      </w:r>
      <w:r w:rsidR="009A68EA" w:rsidRPr="00C453CC">
        <w:t xml:space="preserve"> </w:t>
      </w:r>
      <w:r w:rsidR="002F7384" w:rsidRPr="00C453CC">
        <w:t>these</w:t>
      </w:r>
      <w:r w:rsidRPr="00C453CC">
        <w:t xml:space="preserve"> risk-associated variants for enhancer activity in </w:t>
      </w:r>
      <w:r w:rsidR="009A68EA" w:rsidRPr="00C453CC">
        <w:t>brain</w:t>
      </w:r>
      <w:r w:rsidR="00034781" w:rsidRPr="00C453CC">
        <w:rPr>
          <w:vertAlign w:val="superscript"/>
        </w:rPr>
        <w:t>12,21</w:t>
      </w:r>
      <w:r w:rsidRPr="00C453CC">
        <w:t>. Finally, delivery and collection at different time points can offer insights into the developmental stages during which an enhancer is active.</w:t>
      </w:r>
    </w:p>
    <w:p w14:paraId="0000001B" w14:textId="77777777" w:rsidR="005B0A9F" w:rsidRPr="00C453CC" w:rsidRDefault="005B0A9F" w:rsidP="001612BE"/>
    <w:p w14:paraId="0000001C" w14:textId="1983CEB8" w:rsidR="005B0A9F" w:rsidRPr="00C453CC" w:rsidRDefault="0098340E" w:rsidP="001612BE">
      <w:pPr>
        <w:rPr>
          <w:vertAlign w:val="superscript"/>
        </w:rPr>
      </w:pPr>
      <w:r w:rsidRPr="00C453CC">
        <w:t xml:space="preserve">Enhancer-reporter plasmid designs are diverse and can be customized to suit experimental goals. </w:t>
      </w:r>
      <w:r w:rsidRPr="00C453CC">
        <w:lastRenderedPageBreak/>
        <w:t xml:space="preserve">There are several options for minimal promoters that have been used in enhancer research, such as the human β-globin </w:t>
      </w:r>
      <w:r w:rsidR="00547DC1" w:rsidRPr="00C453CC">
        <w:t xml:space="preserve">minimal </w:t>
      </w:r>
      <w:r w:rsidR="009A68EA" w:rsidRPr="00C453CC">
        <w:t>promoter</w:t>
      </w:r>
      <w:r w:rsidR="00034781" w:rsidRPr="00C453CC">
        <w:rPr>
          <w:vertAlign w:val="superscript"/>
        </w:rPr>
        <w:t>22</w:t>
      </w:r>
      <w:r w:rsidRPr="00C453CC">
        <w:t xml:space="preserve"> and the mouse Hsp68 minimal </w:t>
      </w:r>
      <w:r w:rsidR="009A68EA" w:rsidRPr="00C453CC">
        <w:t>promoter</w:t>
      </w:r>
      <w:r w:rsidR="00034781" w:rsidRPr="00C453CC">
        <w:rPr>
          <w:vertAlign w:val="superscript"/>
        </w:rPr>
        <w:t>23</w:t>
      </w:r>
      <w:r w:rsidR="009A68EA" w:rsidRPr="00C453CC">
        <w:t>.</w:t>
      </w:r>
      <w:r w:rsidRPr="00C453CC">
        <w:t xml:space="preserve"> These promoters are known to drive low levels of expression unless coupled with an enhancer element to activate them. In contrast, constitutive promoter elements drive strong expression of the transgene, useful for positive control or to test for enhancer function against a background of robust expression. Common choices for constitutive promoters include CAG, a hybrid promoter derived from chicken β-actin and cytomegalovirus immediate-early </w:t>
      </w:r>
      <w:r w:rsidR="009A68EA" w:rsidRPr="00C453CC">
        <w:t>enhancer</w:t>
      </w:r>
      <w:r w:rsidR="00034781" w:rsidRPr="00C453CC">
        <w:rPr>
          <w:vertAlign w:val="superscript"/>
        </w:rPr>
        <w:t>24</w:t>
      </w:r>
      <w:r w:rsidR="009A68EA" w:rsidRPr="00C453CC">
        <w:t>,</w:t>
      </w:r>
      <w:r w:rsidRPr="00C453CC">
        <w:t xml:space="preserve"> or human </w:t>
      </w:r>
      <w:r w:rsidR="009A68EA" w:rsidRPr="00C453CC">
        <w:t>EF1α</w:t>
      </w:r>
      <w:r w:rsidR="00034781" w:rsidRPr="00C453CC">
        <w:rPr>
          <w:vertAlign w:val="superscript"/>
        </w:rPr>
        <w:t>25</w:t>
      </w:r>
      <w:r w:rsidR="009A68EA" w:rsidRPr="00C453CC">
        <w:t>.</w:t>
      </w:r>
      <w:r w:rsidRPr="00C453CC">
        <w:t xml:space="preserve"> Since enhancers are known to work </w:t>
      </w:r>
      <w:r w:rsidR="009A68EA" w:rsidRPr="00C453CC">
        <w:t>bidirectionally</w:t>
      </w:r>
      <w:r w:rsidR="00034781" w:rsidRPr="00C453CC">
        <w:rPr>
          <w:vertAlign w:val="superscript"/>
        </w:rPr>
        <w:t>26</w:t>
      </w:r>
      <w:r w:rsidR="009A68EA" w:rsidRPr="00C453CC">
        <w:t>,</w:t>
      </w:r>
      <w:r w:rsidRPr="00C453CC">
        <w:t xml:space="preserve"> the orientation and location of the enhancer relative to the minimal promoter </w:t>
      </w:r>
      <w:r w:rsidR="00E35A41" w:rsidRPr="00C453CC">
        <w:t xml:space="preserve">are </w:t>
      </w:r>
      <w:r w:rsidRPr="00C453CC">
        <w:t>flexible (</w:t>
      </w:r>
      <w:r w:rsidRPr="00C453CC">
        <w:rPr>
          <w:b/>
          <w:bCs/>
        </w:rPr>
        <w:t>Fig</w:t>
      </w:r>
      <w:r w:rsidR="00E35A41" w:rsidRPr="00C453CC">
        <w:rPr>
          <w:b/>
          <w:bCs/>
        </w:rPr>
        <w:t xml:space="preserve">ure </w:t>
      </w:r>
      <w:r w:rsidRPr="00C453CC">
        <w:rPr>
          <w:b/>
          <w:bCs/>
        </w:rPr>
        <w:t>2A</w:t>
      </w:r>
      <w:r w:rsidRPr="00C453CC">
        <w:t xml:space="preserve">). Traditional enhancer-reporter assays place the enhancer upstream of the promoter and, in library deliveries, include a barcode sequence downstream of the reporter gene to associate sequencing reads with the tested </w:t>
      </w:r>
      <w:r w:rsidR="009A68EA" w:rsidRPr="00C453CC">
        <w:t>enhancer</w:t>
      </w:r>
      <w:r w:rsidR="00034781" w:rsidRPr="00C453CC">
        <w:rPr>
          <w:vertAlign w:val="superscript"/>
        </w:rPr>
        <w:t>27</w:t>
      </w:r>
      <w:r w:rsidR="009A68EA" w:rsidRPr="00C453CC">
        <w:t>.</w:t>
      </w:r>
      <w:r w:rsidRPr="00C453CC">
        <w:t xml:space="preserve"> However, enhancers can also be placed in the open reading frame of the reporter gene and serve as their own barcode sequence, as is done in STARR-</w:t>
      </w:r>
      <w:r w:rsidR="009A68EA" w:rsidRPr="00C453CC">
        <w:t>seq</w:t>
      </w:r>
      <w:r w:rsidR="00034781" w:rsidRPr="00C453CC">
        <w:rPr>
          <w:vertAlign w:val="superscript"/>
        </w:rPr>
        <w:t>28</w:t>
      </w:r>
      <w:r w:rsidR="009A68EA" w:rsidRPr="00C453CC">
        <w:t>.</w:t>
      </w:r>
      <w:r w:rsidR="00741DA2" w:rsidRPr="00C453CC">
        <w:t xml:space="preserve"> The protocol described here utilizes the STARR-seq assay design, placing the candidate enhancer sequence into the 3’ UTR of the reporter gene. While the STARR-seq orientation offers the benefit of more streamlined cloning, </w:t>
      </w:r>
      <w:r w:rsidR="009306D2" w:rsidRPr="00C453CC">
        <w:t>it is less well understood than the conventional approach</w:t>
      </w:r>
      <w:r w:rsidR="00E0143E" w:rsidRPr="00C453CC">
        <w:t xml:space="preserve"> and may induce variable RNA stability between constructs. The described methods can be easily adapted to either the STARR-seq or conventional orientation with minor alterations to the cloning process that have been described elsewhere</w:t>
      </w:r>
      <w:r w:rsidR="00034781" w:rsidRPr="00C453CC">
        <w:rPr>
          <w:vertAlign w:val="superscript"/>
        </w:rPr>
        <w:t>27,29</w:t>
      </w:r>
      <w:r w:rsidR="0060523D" w:rsidRPr="00C453CC">
        <w:t>.</w:t>
      </w:r>
    </w:p>
    <w:p w14:paraId="0000001D" w14:textId="77777777" w:rsidR="005B0A9F" w:rsidRPr="00C453CC" w:rsidRDefault="005B0A9F" w:rsidP="001612BE"/>
    <w:p w14:paraId="0000001E" w14:textId="709E326C" w:rsidR="005B0A9F" w:rsidRPr="00C453CC" w:rsidRDefault="0098340E" w:rsidP="001612BE">
      <w:r w:rsidRPr="00C453CC">
        <w:t>Different methods of AAV delivery can be employed to further customize this technique to fit experimental goals (</w:t>
      </w:r>
      <w:r w:rsidRPr="00C453CC">
        <w:rPr>
          <w:b/>
          <w:bCs/>
        </w:rPr>
        <w:t>Fig</w:t>
      </w:r>
      <w:r w:rsidR="00E35A41" w:rsidRPr="00C453CC">
        <w:rPr>
          <w:b/>
          <w:bCs/>
        </w:rPr>
        <w:t xml:space="preserve">ure </w:t>
      </w:r>
      <w:r w:rsidRPr="00C453CC">
        <w:rPr>
          <w:b/>
          <w:bCs/>
        </w:rPr>
        <w:t>2B</w:t>
      </w:r>
      <w:r w:rsidRPr="00C453CC">
        <w:t xml:space="preserve">). Direct intracranial injections, described further in this protocol, deliver a high concentration of virus directly to the </w:t>
      </w:r>
      <w:r w:rsidR="009A68EA" w:rsidRPr="00C453CC">
        <w:t>brain</w:t>
      </w:r>
      <w:r w:rsidR="008D34E1" w:rsidRPr="00C453CC">
        <w:rPr>
          <w:vertAlign w:val="superscript"/>
        </w:rPr>
        <w:t>30</w:t>
      </w:r>
      <w:r w:rsidRPr="00C453CC">
        <w:t xml:space="preserve">. This gives a high transduction efficiency centered at the site of injection, making this an excellent technique for experiments looking to maximize </w:t>
      </w:r>
      <w:r w:rsidR="00E35A41" w:rsidRPr="00C453CC">
        <w:t xml:space="preserve">the </w:t>
      </w:r>
      <w:r w:rsidRPr="00C453CC">
        <w:t xml:space="preserve">density of transduced cells over an area of tissue. Stereotactic injection can help standardize the site of injection across animals for reproducible localized transduction. Intracranial injections are most straightforward in early postnatal animals. </w:t>
      </w:r>
      <w:bookmarkStart w:id="1" w:name="_Hlk84339527"/>
      <w:r w:rsidRPr="00C453CC">
        <w:t xml:space="preserve">As an alternative technique, systemic injections </w:t>
      </w:r>
      <w:r w:rsidR="0052126E" w:rsidRPr="00C453CC">
        <w:t>can deliver transgenes using AAVs with serotypes capable</w:t>
      </w:r>
      <w:r w:rsidRPr="00C453CC">
        <w:t xml:space="preserve"> of </w:t>
      </w:r>
      <w:r w:rsidR="0052126E" w:rsidRPr="00C453CC">
        <w:t>crossing</w:t>
      </w:r>
      <w:r w:rsidRPr="00C453CC">
        <w:t xml:space="preserve"> the </w:t>
      </w:r>
      <w:r w:rsidR="0052126E" w:rsidRPr="00C453CC">
        <w:t>blood-</w:t>
      </w:r>
      <w:r w:rsidRPr="00C453CC">
        <w:t>brain</w:t>
      </w:r>
      <w:r w:rsidR="0052126E" w:rsidRPr="00C453CC">
        <w:t xml:space="preserve"> barrier</w:t>
      </w:r>
      <w:r w:rsidR="008D34E1" w:rsidRPr="00C453CC">
        <w:rPr>
          <w:vertAlign w:val="superscript"/>
        </w:rPr>
        <w:t>31</w:t>
      </w:r>
      <w:r w:rsidRPr="00C453CC">
        <w:t>.</w:t>
      </w:r>
      <w:bookmarkEnd w:id="1"/>
      <w:r w:rsidRPr="00C453CC">
        <w:t xml:space="preserve"> Tail-vein injections allow the virus to circulate throughout the body, enabling generalized delivery across many </w:t>
      </w:r>
      <w:r w:rsidR="009A68EA" w:rsidRPr="00C453CC">
        <w:t>tissues</w:t>
      </w:r>
      <w:r w:rsidR="0052126E" w:rsidRPr="00C453CC">
        <w:rPr>
          <w:vertAlign w:val="superscript"/>
        </w:rPr>
        <w:t>10</w:t>
      </w:r>
      <w:r w:rsidRPr="00C453CC">
        <w:t xml:space="preserve">. Retro-orbital injections are another systemic injection technique that delivers the virus behind the eye into the retro-orbital </w:t>
      </w:r>
      <w:r w:rsidR="009A68EA" w:rsidRPr="00C453CC">
        <w:t>sinus</w:t>
      </w:r>
      <w:r w:rsidR="008D34E1" w:rsidRPr="00C453CC">
        <w:rPr>
          <w:vertAlign w:val="superscript"/>
        </w:rPr>
        <w:t>32</w:t>
      </w:r>
      <w:r w:rsidRPr="00C453CC">
        <w:t xml:space="preserve">. This offers a more direct route for the AAV from the venous system to the brain, resulting in a higher concentration of transduced cells in the brain than injections into more peripheral blood </w:t>
      </w:r>
      <w:r w:rsidR="009A68EA" w:rsidRPr="00C453CC">
        <w:t>vessel</w:t>
      </w:r>
      <w:r w:rsidR="000E3D33" w:rsidRPr="00C453CC">
        <w:t>s</w:t>
      </w:r>
      <w:r w:rsidR="008D34E1" w:rsidRPr="00C453CC">
        <w:rPr>
          <w:vertAlign w:val="superscript"/>
        </w:rPr>
        <w:t>33</w:t>
      </w:r>
      <w:r w:rsidR="009A68EA" w:rsidRPr="00C453CC">
        <w:t>.</w:t>
      </w:r>
      <w:r w:rsidRPr="00C453CC">
        <w:t xml:space="preserve"> </w:t>
      </w:r>
    </w:p>
    <w:p w14:paraId="0000001F" w14:textId="77777777" w:rsidR="005B0A9F" w:rsidRPr="00C453CC" w:rsidRDefault="005B0A9F" w:rsidP="001612BE"/>
    <w:p w14:paraId="00000020" w14:textId="0BED24E5" w:rsidR="005B0A9F" w:rsidRPr="00C453CC" w:rsidRDefault="0098340E" w:rsidP="001612BE">
      <w:r w:rsidRPr="00C453CC">
        <w:t xml:space="preserve">Another flexible aspect of this technique is </w:t>
      </w:r>
      <w:r w:rsidR="00E35A41" w:rsidRPr="00C453CC">
        <w:t xml:space="preserve">the </w:t>
      </w:r>
      <w:r w:rsidRPr="00C453CC">
        <w:t>method of readout. Broadly, options can be described as reporter-</w:t>
      </w:r>
      <w:r w:rsidR="009A68EA" w:rsidRPr="00C453CC">
        <w:t>based</w:t>
      </w:r>
      <w:r w:rsidRPr="00C453CC">
        <w:t xml:space="preserve"> or </w:t>
      </w:r>
      <w:r w:rsidR="009A68EA" w:rsidRPr="00C453CC">
        <w:t>sequencing-based</w:t>
      </w:r>
      <w:r w:rsidRPr="00C453CC">
        <w:t xml:space="preserve"> (</w:t>
      </w:r>
      <w:r w:rsidRPr="00C453CC">
        <w:rPr>
          <w:b/>
          <w:bCs/>
        </w:rPr>
        <w:t>Fig</w:t>
      </w:r>
      <w:r w:rsidR="00E35A41" w:rsidRPr="00C453CC">
        <w:rPr>
          <w:b/>
          <w:bCs/>
        </w:rPr>
        <w:t xml:space="preserve">ure </w:t>
      </w:r>
      <w:r w:rsidRPr="00C453CC">
        <w:rPr>
          <w:b/>
          <w:bCs/>
        </w:rPr>
        <w:t>2C</w:t>
      </w:r>
      <w:r w:rsidRPr="00C453CC">
        <w:t xml:space="preserve">). Incorporating a fluorescent reporter such as GFP into the open reading frame of the </w:t>
      </w:r>
      <w:r w:rsidR="009A68EA" w:rsidRPr="00C453CC">
        <w:t>construct</w:t>
      </w:r>
      <w:r w:rsidRPr="00C453CC">
        <w:t xml:space="preserve"> results in the expression of the fluorescent protein in any transduced cells where the candidate enhancer drove expression. Labeling and imaging techniques such as immunohistochemistry enable signal amplification. Sequencing-based readout techniques involve identifying sequence</w:t>
      </w:r>
      <w:r w:rsidR="00E35A41" w:rsidRPr="00C453CC">
        <w:t>s</w:t>
      </w:r>
      <w:r w:rsidRPr="00C453CC">
        <w:t xml:space="preserve"> from the delivered </w:t>
      </w:r>
      <w:r w:rsidR="00FC492E" w:rsidRPr="00C453CC">
        <w:t>construct</w:t>
      </w:r>
      <w:r w:rsidRPr="00C453CC">
        <w:t xml:space="preserve"> in RNA collected from the tissue. </w:t>
      </w:r>
      <w:bookmarkStart w:id="2" w:name="_Hlk84341163"/>
      <w:r w:rsidRPr="00C453CC">
        <w:t xml:space="preserve">By quantifying the amount of viral DNA that was initially delivered, the comparison of expressed RNA versus delivered DNA can be used to determine the degree to which a tested enhancer sequence </w:t>
      </w:r>
      <w:proofErr w:type="gramStart"/>
      <w:r w:rsidRPr="00C453CC">
        <w:t>was capable of driving</w:t>
      </w:r>
      <w:proofErr w:type="gramEnd"/>
      <w:r w:rsidRPr="00C453CC">
        <w:t xml:space="preserve"> increased </w:t>
      </w:r>
      <w:r w:rsidRPr="00C453CC">
        <w:lastRenderedPageBreak/>
        <w:t>expression of the transgene, for example</w:t>
      </w:r>
      <w:r w:rsidR="00E35A41" w:rsidRPr="00C453CC">
        <w:t>,</w:t>
      </w:r>
      <w:r w:rsidRPr="00C453CC">
        <w:t xml:space="preserve"> in the context of a massively parallel reporter assay (MPRA</w:t>
      </w:r>
      <w:r w:rsidR="009A68EA" w:rsidRPr="00C453CC">
        <w:t>). MPRAs offer a powerful expansion of these techniques to test up to thousands of candidate enhancers for activity simultaneously and have been described extensively in genomics research</w:t>
      </w:r>
      <w:r w:rsidR="008D34E1" w:rsidRPr="00C453CC">
        <w:rPr>
          <w:vertAlign w:val="superscript"/>
        </w:rPr>
        <w:t>12,27,34–36</w:t>
      </w:r>
      <w:r w:rsidR="009A68EA" w:rsidRPr="00C453CC">
        <w:t xml:space="preserve">. Higher throughput screening is achieved by executing cloning, packaging, delivery, and sequencing steps for candidate enhancers in batch rather than individually. </w:t>
      </w:r>
      <w:bookmarkEnd w:id="2"/>
    </w:p>
    <w:p w14:paraId="00000021" w14:textId="77777777" w:rsidR="005B0A9F" w:rsidRPr="00C453CC" w:rsidRDefault="005B0A9F" w:rsidP="001612BE"/>
    <w:p w14:paraId="00000022" w14:textId="483EF5C6" w:rsidR="005B0A9F" w:rsidRPr="00C453CC" w:rsidRDefault="0098340E" w:rsidP="001612BE">
      <w:r w:rsidRPr="00C453CC">
        <w:t>Candidate enhancer selection provides another opportunity for flexibility (</w:t>
      </w:r>
      <w:r w:rsidRPr="00C453CC">
        <w:rPr>
          <w:b/>
          <w:bCs/>
        </w:rPr>
        <w:t>Fig</w:t>
      </w:r>
      <w:r w:rsidR="00E35A41" w:rsidRPr="00C453CC">
        <w:rPr>
          <w:b/>
          <w:bCs/>
        </w:rPr>
        <w:t xml:space="preserve">ure </w:t>
      </w:r>
      <w:r w:rsidRPr="00C453CC">
        <w:rPr>
          <w:b/>
          <w:bCs/>
        </w:rPr>
        <w:t>2D</w:t>
      </w:r>
      <w:r w:rsidRPr="00C453CC">
        <w:t xml:space="preserve">). For example, this assay can be used to identify enhancers of a specific gene, to ascertain the function of non-coding DNA regions of interest, or to determine specific cell types or developmental stages during which an enhancer is active - all of which serve goals both in basic science and in disease research. </w:t>
      </w:r>
      <w:r w:rsidR="00D31F7E" w:rsidRPr="00C453CC">
        <w:t>Generally</w:t>
      </w:r>
      <w:r w:rsidRPr="00C453CC">
        <w:t xml:space="preserve">, candidate </w:t>
      </w:r>
      <w:r w:rsidR="00D31F7E" w:rsidRPr="00C453CC">
        <w:t xml:space="preserve">enhancer </w:t>
      </w:r>
      <w:r w:rsidRPr="00C453CC">
        <w:t xml:space="preserve">selection </w:t>
      </w:r>
      <w:r w:rsidR="00D31F7E" w:rsidRPr="00C453CC">
        <w:t>is</w:t>
      </w:r>
      <w:r w:rsidRPr="00C453CC">
        <w:t xml:space="preserve"> driven by</w:t>
      </w:r>
      <w:r w:rsidRPr="00C453CC">
        <w:rPr>
          <w:i/>
        </w:rPr>
        <w:t xml:space="preserve"> in silico </w:t>
      </w:r>
      <w:r w:rsidRPr="00C453CC">
        <w:t xml:space="preserve">predictions of enhancer activity. Commonly, </w:t>
      </w:r>
      <w:r w:rsidRPr="00C453CC">
        <w:rPr>
          <w:i/>
        </w:rPr>
        <w:t xml:space="preserve">in silico </w:t>
      </w:r>
      <w:r w:rsidRPr="00C453CC">
        <w:t xml:space="preserve">predictions include </w:t>
      </w:r>
      <w:proofErr w:type="spellStart"/>
      <w:r w:rsidRPr="00C453CC">
        <w:t>ChIP</w:t>
      </w:r>
      <w:proofErr w:type="spellEnd"/>
      <w:r w:rsidRPr="00C453CC">
        <w:t xml:space="preserve">-seq for histone modifications that indicate likely enhancers, such as </w:t>
      </w:r>
      <w:r w:rsidR="009A68EA" w:rsidRPr="00C453CC">
        <w:t>H3K27ac</w:t>
      </w:r>
      <w:r w:rsidR="008D34E1" w:rsidRPr="00C453CC">
        <w:rPr>
          <w:vertAlign w:val="superscript"/>
        </w:rPr>
        <w:t>37</w:t>
      </w:r>
      <w:r w:rsidRPr="00C453CC">
        <w:t xml:space="preserve"> and chromatin accessibility </w:t>
      </w:r>
      <w:r w:rsidR="009A68EA" w:rsidRPr="00C453CC">
        <w:t>mapping</w:t>
      </w:r>
      <w:r w:rsidR="008D34E1" w:rsidRPr="00C453CC">
        <w:rPr>
          <w:vertAlign w:val="superscript"/>
        </w:rPr>
        <w:t>38</w:t>
      </w:r>
      <w:r w:rsidR="009A68EA" w:rsidRPr="00C453CC">
        <w:t>.</w:t>
      </w:r>
      <w:r w:rsidRPr="00C453CC">
        <w:t xml:space="preserve"> Finally, a growing area of research is </w:t>
      </w:r>
      <w:r w:rsidR="00E35A41" w:rsidRPr="00C453CC">
        <w:t xml:space="preserve">the </w:t>
      </w:r>
      <w:r w:rsidRPr="00C453CC">
        <w:t>function</w:t>
      </w:r>
      <w:r w:rsidR="00D31F7E" w:rsidRPr="00C453CC">
        <w:t>-based screening</w:t>
      </w:r>
      <w:r w:rsidRPr="00C453CC">
        <w:t xml:space="preserve"> of synthetically designed enhancer elements, enabling studies of how enhancer sequence </w:t>
      </w:r>
      <w:r w:rsidR="00D31F7E" w:rsidRPr="00C453CC">
        <w:t>directs function</w:t>
      </w:r>
      <w:r w:rsidR="008D34E1" w:rsidRPr="00C453CC">
        <w:rPr>
          <w:vertAlign w:val="superscript"/>
        </w:rPr>
        <w:t>39</w:t>
      </w:r>
      <w:r w:rsidR="009A68EA" w:rsidRPr="00C453CC">
        <w:t xml:space="preserve"> and </w:t>
      </w:r>
      <w:r w:rsidR="00E35A41" w:rsidRPr="00C453CC">
        <w:t xml:space="preserve">the </w:t>
      </w:r>
      <w:r w:rsidRPr="00C453CC">
        <w:t xml:space="preserve">design of enhancers with specific </w:t>
      </w:r>
      <w:r w:rsidR="009A68EA" w:rsidRPr="00C453CC">
        <w:t>properties</w:t>
      </w:r>
      <w:r w:rsidR="008D34E1" w:rsidRPr="00C453CC">
        <w:rPr>
          <w:vertAlign w:val="superscript"/>
        </w:rPr>
        <w:t>40</w:t>
      </w:r>
      <w:r w:rsidRPr="00C453CC">
        <w:t xml:space="preserve">. </w:t>
      </w:r>
    </w:p>
    <w:p w14:paraId="00000023" w14:textId="77777777" w:rsidR="005B0A9F" w:rsidRPr="00C453CC" w:rsidRDefault="005B0A9F" w:rsidP="001612BE">
      <w:pPr>
        <w:rPr>
          <w:b/>
        </w:rPr>
      </w:pPr>
    </w:p>
    <w:p w14:paraId="00000024" w14:textId="125DF61E" w:rsidR="005B0A9F" w:rsidRPr="00C453CC" w:rsidRDefault="0098340E" w:rsidP="001612BE">
      <w:pPr>
        <w:rPr>
          <w:b/>
        </w:rPr>
      </w:pPr>
      <w:r w:rsidRPr="00C453CC">
        <w:rPr>
          <w:b/>
        </w:rPr>
        <w:t>PROTOCOL:</w:t>
      </w:r>
    </w:p>
    <w:p w14:paraId="39B789C8" w14:textId="0E207FF6" w:rsidR="00E35A41" w:rsidRPr="00C453CC" w:rsidRDefault="00E35A41" w:rsidP="001612BE">
      <w:pPr>
        <w:rPr>
          <w:b/>
        </w:rPr>
      </w:pPr>
    </w:p>
    <w:p w14:paraId="0FD9B3B2" w14:textId="7713EBAB" w:rsidR="00E35A41" w:rsidRPr="00C453CC" w:rsidRDefault="00E35A41" w:rsidP="001612BE">
      <w:pPr>
        <w:rPr>
          <w:iCs/>
        </w:rPr>
      </w:pPr>
      <w:r w:rsidRPr="00C453CC">
        <w:rPr>
          <w:iCs/>
        </w:rPr>
        <w:t>This protocol has been approved by the UC Davis Institutional Animal Care and Use Committee (Protocol #22339) and the UC Davis Institutional Biosafety Committee (BUA-R1903). This protocol has been tested on C57BL/6J mice of both sexes at postnatal day 0–1.</w:t>
      </w:r>
    </w:p>
    <w:p w14:paraId="00000025" w14:textId="77777777" w:rsidR="005B0A9F" w:rsidRPr="00C453CC" w:rsidRDefault="005B0A9F" w:rsidP="001612BE">
      <w:bookmarkStart w:id="3" w:name="_Hlk85740466"/>
    </w:p>
    <w:p w14:paraId="43D2EE81" w14:textId="32677F94" w:rsidR="00E35A41" w:rsidRPr="00C453CC" w:rsidRDefault="0098340E">
      <w:pPr>
        <w:pStyle w:val="ListParagraph"/>
        <w:numPr>
          <w:ilvl w:val="0"/>
          <w:numId w:val="29"/>
        </w:numPr>
        <w:ind w:left="0" w:firstLine="0"/>
      </w:pPr>
      <w:bookmarkStart w:id="4" w:name="_Hlk85722651"/>
      <w:r w:rsidRPr="00C453CC">
        <w:rPr>
          <w:b/>
          <w:highlight w:val="yellow"/>
        </w:rPr>
        <w:t>Clone the enhancer candidate sequence into the AAV vector plasmid.</w:t>
      </w:r>
      <w:r w:rsidRPr="00C453CC">
        <w:rPr>
          <w:highlight w:val="yellow"/>
        </w:rPr>
        <w:t xml:space="preserve"> </w:t>
      </w:r>
    </w:p>
    <w:p w14:paraId="73F3D463" w14:textId="77777777" w:rsidR="00E35A41" w:rsidRPr="002F6129" w:rsidRDefault="00E35A41" w:rsidP="00E35A41">
      <w:pPr>
        <w:pStyle w:val="ListParagraph"/>
        <w:ind w:left="0"/>
      </w:pPr>
    </w:p>
    <w:p w14:paraId="00000026" w14:textId="2799F67B" w:rsidR="005B0A9F" w:rsidRPr="00C453CC" w:rsidRDefault="00E35A41" w:rsidP="007C2A68">
      <w:pPr>
        <w:pStyle w:val="ListParagraph"/>
        <w:ind w:left="0"/>
      </w:pPr>
      <w:r w:rsidRPr="002F6129">
        <w:t>NOTE: The</w:t>
      </w:r>
      <w:r w:rsidR="0098340E" w:rsidRPr="002F6129">
        <w:t xml:space="preserve"> representative protocols are given, but the</w:t>
      </w:r>
      <w:r w:rsidR="00B664C7" w:rsidRPr="00C453CC">
        <w:t xml:space="preserve"> cloning strategy has a high degree of flexibilit</w:t>
      </w:r>
      <w:r w:rsidR="0098340E" w:rsidRPr="002F6129">
        <w:t>y.</w:t>
      </w:r>
    </w:p>
    <w:p w14:paraId="0A7E43CF" w14:textId="77777777" w:rsidR="00DA02C7" w:rsidRPr="00C453CC" w:rsidRDefault="00DA02C7" w:rsidP="007C2A68">
      <w:pPr>
        <w:pStyle w:val="ListParagraph"/>
        <w:ind w:left="0"/>
        <w:rPr>
          <w:b/>
          <w:u w:val="single"/>
        </w:rPr>
      </w:pPr>
    </w:p>
    <w:p w14:paraId="529C546A" w14:textId="24E1D51C" w:rsidR="00FC492E" w:rsidRPr="00C453CC" w:rsidRDefault="00FC492E" w:rsidP="007C2A68">
      <w:pPr>
        <w:pStyle w:val="ListParagraph"/>
        <w:numPr>
          <w:ilvl w:val="1"/>
          <w:numId w:val="29"/>
        </w:numPr>
        <w:ind w:left="0" w:firstLine="0"/>
        <w:rPr>
          <w:highlight w:val="yellow"/>
        </w:rPr>
      </w:pPr>
      <w:r w:rsidRPr="00C453CC">
        <w:rPr>
          <w:highlight w:val="yellow"/>
        </w:rPr>
        <w:t xml:space="preserve">Select or design a reporter construct. Here, the enhancer candidate </w:t>
      </w:r>
      <w:r w:rsidR="00E35A41" w:rsidRPr="00C453CC">
        <w:rPr>
          <w:highlight w:val="yellow"/>
        </w:rPr>
        <w:t xml:space="preserve">is inserted </w:t>
      </w:r>
      <w:r w:rsidRPr="00C453CC">
        <w:rPr>
          <w:highlight w:val="yellow"/>
        </w:rPr>
        <w:t>into the 3’ untranslated region (UTR) of the EGFP reporter gene</w:t>
      </w:r>
      <w:r w:rsidR="004D6C5A" w:rsidRPr="00C453CC">
        <w:rPr>
          <w:highlight w:val="yellow"/>
        </w:rPr>
        <w:t>, which is expressed under the control of the Hsp68 minimal promoter.</w:t>
      </w:r>
    </w:p>
    <w:p w14:paraId="2CF3D2ED" w14:textId="77777777" w:rsidR="00DA02C7" w:rsidRPr="00C453CC" w:rsidRDefault="00DA02C7" w:rsidP="007C2A68">
      <w:pPr>
        <w:pStyle w:val="ListParagraph"/>
        <w:ind w:left="0"/>
      </w:pPr>
    </w:p>
    <w:p w14:paraId="525F467D" w14:textId="06B94E5E" w:rsidR="006224D3" w:rsidRPr="00C453CC" w:rsidRDefault="0089284C" w:rsidP="007C2A68">
      <w:r w:rsidRPr="00C453CC">
        <w:t>NOTE</w:t>
      </w:r>
      <w:r w:rsidR="006224D3" w:rsidRPr="00C453CC">
        <w:t xml:space="preserve">: Many </w:t>
      </w:r>
      <w:r w:rsidR="0006399D" w:rsidRPr="00C453CC">
        <w:t xml:space="preserve">MPRA </w:t>
      </w:r>
      <w:r w:rsidR="006224D3" w:rsidRPr="00C453CC">
        <w:t>plasmid constructs appropriate for this assay have been deposited to Addgene</w:t>
      </w:r>
      <w:r w:rsidR="008D34E1" w:rsidRPr="00C453CC">
        <w:rPr>
          <w:vertAlign w:val="superscript"/>
        </w:rPr>
        <w:t>41</w:t>
      </w:r>
      <w:r w:rsidR="006224D3" w:rsidRPr="00C453CC">
        <w:t xml:space="preserve"> and are available for research use.</w:t>
      </w:r>
      <w:r w:rsidR="0006399D" w:rsidRPr="00C453CC">
        <w:t xml:space="preserve"> </w:t>
      </w:r>
    </w:p>
    <w:p w14:paraId="5B50E9B9" w14:textId="77777777" w:rsidR="00DA02C7" w:rsidRPr="00C453CC" w:rsidRDefault="00DA02C7" w:rsidP="007C2A68">
      <w:pPr>
        <w:rPr>
          <w:i/>
          <w:iCs/>
          <w:highlight w:val="yellow"/>
        </w:rPr>
      </w:pPr>
    </w:p>
    <w:p w14:paraId="00000027" w14:textId="16A463BF" w:rsidR="005B0A9F" w:rsidRPr="00C453CC" w:rsidRDefault="0098340E" w:rsidP="007C2A68">
      <w:pPr>
        <w:pStyle w:val="ListParagraph"/>
        <w:numPr>
          <w:ilvl w:val="1"/>
          <w:numId w:val="29"/>
        </w:numPr>
        <w:ind w:left="0" w:firstLine="0"/>
        <w:rPr>
          <w:highlight w:val="yellow"/>
        </w:rPr>
      </w:pPr>
      <w:r w:rsidRPr="00C453CC">
        <w:rPr>
          <w:highlight w:val="yellow"/>
        </w:rPr>
        <w:t xml:space="preserve">Design PCR primers to amplify </w:t>
      </w:r>
      <w:r w:rsidR="009A68EA" w:rsidRPr="00C453CC">
        <w:rPr>
          <w:highlight w:val="yellow"/>
        </w:rPr>
        <w:t>a</w:t>
      </w:r>
      <w:r w:rsidRPr="00C453CC">
        <w:rPr>
          <w:highlight w:val="yellow"/>
        </w:rPr>
        <w:t xml:space="preserve"> sequence of interest. Add to the 5’ end of </w:t>
      </w:r>
      <w:r w:rsidR="009A68EA" w:rsidRPr="00C453CC">
        <w:rPr>
          <w:highlight w:val="yellow"/>
        </w:rPr>
        <w:t>the</w:t>
      </w:r>
      <w:r w:rsidRPr="00C453CC">
        <w:rPr>
          <w:highlight w:val="yellow"/>
        </w:rPr>
        <w:t xml:space="preserve"> primers the appropriate homology arm for Gibson cloning (~35 bp corresponding to sequence 5’ upstream of </w:t>
      </w:r>
      <w:r w:rsidR="009A68EA" w:rsidRPr="00C453CC">
        <w:rPr>
          <w:highlight w:val="yellow"/>
        </w:rPr>
        <w:t>the</w:t>
      </w:r>
      <w:r w:rsidRPr="00C453CC">
        <w:rPr>
          <w:highlight w:val="yellow"/>
        </w:rPr>
        <w:t xml:space="preserve"> insertion location, top strand for the forward primer, and bottom strand for the reverse primer</w:t>
      </w:r>
      <w:r w:rsidR="0060158E" w:rsidRPr="00C453CC">
        <w:rPr>
          <w:highlight w:val="yellow"/>
        </w:rPr>
        <w:t>)</w:t>
      </w:r>
      <w:r w:rsidR="00A85350" w:rsidRPr="00C453CC">
        <w:rPr>
          <w:highlight w:val="yellow"/>
        </w:rPr>
        <w:t>.</w:t>
      </w:r>
      <w:r w:rsidRPr="00C453CC">
        <w:rPr>
          <w:highlight w:val="yellow"/>
        </w:rPr>
        <w:t xml:space="preserve"> </w:t>
      </w:r>
    </w:p>
    <w:p w14:paraId="4199D3F2" w14:textId="77777777" w:rsidR="00DA02C7" w:rsidRPr="00C453CC" w:rsidRDefault="00DA02C7" w:rsidP="007C2A68">
      <w:pPr>
        <w:pStyle w:val="ListParagraph"/>
        <w:ind w:left="0"/>
        <w:rPr>
          <w:iCs/>
        </w:rPr>
      </w:pPr>
    </w:p>
    <w:p w14:paraId="190B51BB" w14:textId="5EE91E5D" w:rsidR="009B4B36" w:rsidRPr="00C453CC" w:rsidRDefault="0089284C" w:rsidP="007C2A68">
      <w:pPr>
        <w:rPr>
          <w:iCs/>
        </w:rPr>
      </w:pPr>
      <w:r w:rsidRPr="00C453CC">
        <w:rPr>
          <w:iCs/>
        </w:rPr>
        <w:t>NOTE</w:t>
      </w:r>
      <w:r w:rsidR="009A68EA" w:rsidRPr="00C453CC">
        <w:rPr>
          <w:iCs/>
        </w:rPr>
        <w:t xml:space="preserve">: </w:t>
      </w:r>
      <w:r w:rsidR="00E35A41" w:rsidRPr="00C453CC">
        <w:rPr>
          <w:iCs/>
        </w:rPr>
        <w:t>Ensure that t</w:t>
      </w:r>
      <w:r w:rsidR="009A68EA" w:rsidRPr="00C453CC">
        <w:rPr>
          <w:iCs/>
        </w:rPr>
        <w:t xml:space="preserve">he base primer sequence </w:t>
      </w:r>
      <w:r w:rsidR="00E35A41" w:rsidRPr="00C453CC">
        <w:rPr>
          <w:iCs/>
        </w:rPr>
        <w:t>is</w:t>
      </w:r>
      <w:r w:rsidR="009A68EA" w:rsidRPr="00C453CC">
        <w:rPr>
          <w:iCs/>
        </w:rPr>
        <w:t xml:space="preserve"> ~18</w:t>
      </w:r>
      <w:r w:rsidR="00E35A41" w:rsidRPr="00C453CC">
        <w:rPr>
          <w:iCs/>
        </w:rPr>
        <w:t>–</w:t>
      </w:r>
      <w:r w:rsidR="009A68EA" w:rsidRPr="00C453CC">
        <w:rPr>
          <w:iCs/>
        </w:rPr>
        <w:t>24 bp long and ~50</w:t>
      </w:r>
      <w:r w:rsidR="00E35A41" w:rsidRPr="00C453CC">
        <w:rPr>
          <w:iCs/>
        </w:rPr>
        <w:t>%–</w:t>
      </w:r>
      <w:r w:rsidR="009A68EA" w:rsidRPr="00C453CC">
        <w:rPr>
          <w:iCs/>
        </w:rPr>
        <w:t>60% GC content with a melting temperature of approximately 57</w:t>
      </w:r>
      <w:r w:rsidR="00E35A41" w:rsidRPr="00C453CC">
        <w:rPr>
          <w:iCs/>
        </w:rPr>
        <w:t>–</w:t>
      </w:r>
      <w:r w:rsidR="009A68EA" w:rsidRPr="00C453CC">
        <w:rPr>
          <w:iCs/>
        </w:rPr>
        <w:t>59 °C.</w:t>
      </w:r>
    </w:p>
    <w:p w14:paraId="41331F6D" w14:textId="77777777" w:rsidR="00DA02C7" w:rsidRPr="00C453CC" w:rsidRDefault="00DA02C7" w:rsidP="007C2A68">
      <w:pPr>
        <w:rPr>
          <w:i/>
        </w:rPr>
      </w:pPr>
    </w:p>
    <w:p w14:paraId="00000028" w14:textId="6199A8B2" w:rsidR="005B0A9F" w:rsidRPr="00C453CC" w:rsidRDefault="0098340E" w:rsidP="007C2A68">
      <w:pPr>
        <w:pStyle w:val="ListParagraph"/>
        <w:numPr>
          <w:ilvl w:val="1"/>
          <w:numId w:val="29"/>
        </w:numPr>
        <w:ind w:left="0" w:firstLine="0"/>
        <w:rPr>
          <w:highlight w:val="yellow"/>
        </w:rPr>
      </w:pPr>
      <w:r w:rsidRPr="00C453CC">
        <w:rPr>
          <w:highlight w:val="yellow"/>
        </w:rPr>
        <w:lastRenderedPageBreak/>
        <w:t xml:space="preserve">Perform PCR from </w:t>
      </w:r>
      <w:r w:rsidR="009A68EA" w:rsidRPr="00C453CC">
        <w:rPr>
          <w:highlight w:val="yellow"/>
        </w:rPr>
        <w:t>a</w:t>
      </w:r>
      <w:r w:rsidRPr="00C453CC">
        <w:rPr>
          <w:highlight w:val="yellow"/>
        </w:rPr>
        <w:t xml:space="preserve"> DNA sample using the designed</w:t>
      </w:r>
      <w:r w:rsidR="009A68EA" w:rsidRPr="00C453CC">
        <w:rPr>
          <w:highlight w:val="yellow"/>
        </w:rPr>
        <w:t xml:space="preserve"> primers</w:t>
      </w:r>
      <w:r w:rsidRPr="00C453CC">
        <w:rPr>
          <w:highlight w:val="yellow"/>
        </w:rPr>
        <w:t>.</w:t>
      </w:r>
    </w:p>
    <w:p w14:paraId="0FAA18C3" w14:textId="77777777" w:rsidR="00DA02C7" w:rsidRPr="00C453CC" w:rsidRDefault="00DA02C7" w:rsidP="007C2A68">
      <w:pPr>
        <w:pStyle w:val="ListParagraph"/>
        <w:ind w:left="0"/>
      </w:pPr>
    </w:p>
    <w:p w14:paraId="00000029" w14:textId="44AA52E4" w:rsidR="005B0A9F" w:rsidRPr="00C453CC" w:rsidRDefault="0098340E" w:rsidP="007C2A68">
      <w:r w:rsidRPr="00C453CC">
        <w:t>1.</w:t>
      </w:r>
      <w:r w:rsidR="004D6C5A" w:rsidRPr="00C453CC">
        <w:t>3</w:t>
      </w:r>
      <w:r w:rsidRPr="00C453CC">
        <w:t>.1. Assemble the PCR reaction mix in 0.2 mL PCR tubes</w:t>
      </w:r>
      <w:r w:rsidR="00E35A41" w:rsidRPr="00C453CC">
        <w:t xml:space="preserve"> as described in </w:t>
      </w:r>
      <w:r w:rsidR="00E35A41" w:rsidRPr="00C453CC">
        <w:rPr>
          <w:b/>
          <w:bCs/>
        </w:rPr>
        <w:t>Table 1</w:t>
      </w:r>
      <w:r w:rsidR="00E35A41" w:rsidRPr="00C453CC">
        <w:t>.</w:t>
      </w:r>
    </w:p>
    <w:p w14:paraId="4A24C25C" w14:textId="7DDF2652" w:rsidR="00DA02C7" w:rsidRPr="00C453CC" w:rsidRDefault="00DA02C7" w:rsidP="007C2A68">
      <w:pPr>
        <w:pBdr>
          <w:top w:val="nil"/>
          <w:left w:val="nil"/>
          <w:bottom w:val="nil"/>
          <w:right w:val="nil"/>
          <w:between w:val="nil"/>
        </w:pBdr>
      </w:pPr>
    </w:p>
    <w:p w14:paraId="00000030" w14:textId="222D7501" w:rsidR="005B0A9F" w:rsidRPr="00C453CC" w:rsidRDefault="0098340E" w:rsidP="007C2A68">
      <w:r w:rsidRPr="00C453CC">
        <w:t>1.</w:t>
      </w:r>
      <w:r w:rsidR="004D6C5A" w:rsidRPr="00C453CC">
        <w:t>3</w:t>
      </w:r>
      <w:r w:rsidRPr="00C453CC">
        <w:t>.2. Place the PCR reaction mix(es) on a thermal cycler and cycle according to the program</w:t>
      </w:r>
      <w:r w:rsidR="00E35A41" w:rsidRPr="00C453CC">
        <w:t xml:space="preserve"> mentioned in </w:t>
      </w:r>
      <w:r w:rsidR="00E35A41" w:rsidRPr="00C453CC">
        <w:rPr>
          <w:b/>
          <w:bCs/>
        </w:rPr>
        <w:t>Table 1</w:t>
      </w:r>
      <w:r w:rsidR="00E35A41" w:rsidRPr="00C453CC">
        <w:t>.</w:t>
      </w:r>
    </w:p>
    <w:p w14:paraId="692F2AB4" w14:textId="0DD83FB6" w:rsidR="00DA02C7" w:rsidRPr="00C453CC" w:rsidRDefault="00DA02C7" w:rsidP="007C2A68"/>
    <w:p w14:paraId="00000037" w14:textId="71697CAB" w:rsidR="005B0A9F" w:rsidRPr="00C453CC" w:rsidRDefault="0098340E" w:rsidP="007C2A68">
      <w:r w:rsidRPr="00C453CC">
        <w:t>1.3.</w:t>
      </w:r>
      <w:r w:rsidR="009A68EA" w:rsidRPr="00C453CC">
        <w:t>3.</w:t>
      </w:r>
      <w:r w:rsidRPr="00C453CC">
        <w:t xml:space="preserve"> Confirm </w:t>
      </w:r>
      <w:r w:rsidR="00E35A41" w:rsidRPr="00C453CC">
        <w:t xml:space="preserve">the </w:t>
      </w:r>
      <w:r w:rsidRPr="00C453CC">
        <w:t>success of PCR by running 5 µL of PCR product on a 0.7</w:t>
      </w:r>
      <w:r w:rsidR="00E35A41" w:rsidRPr="00C453CC">
        <w:t>%–</w:t>
      </w:r>
      <w:r w:rsidRPr="00C453CC">
        <w:t>1% agarose gel</w:t>
      </w:r>
      <w:r w:rsidR="009A68EA" w:rsidRPr="00C453CC">
        <w:t xml:space="preserve"> at 100 V for 30</w:t>
      </w:r>
      <w:r w:rsidR="00E35A41" w:rsidRPr="00C453CC">
        <w:t>–</w:t>
      </w:r>
      <w:r w:rsidR="009A68EA" w:rsidRPr="00C453CC">
        <w:t>60 min.</w:t>
      </w:r>
      <w:r w:rsidRPr="00C453CC">
        <w:t xml:space="preserve"> Check for </w:t>
      </w:r>
      <w:r w:rsidR="00E35A41" w:rsidRPr="00C453CC">
        <w:t xml:space="preserve">the </w:t>
      </w:r>
      <w:r w:rsidRPr="00C453CC">
        <w:t>fragment of predicted length.</w:t>
      </w:r>
    </w:p>
    <w:p w14:paraId="52F193AD" w14:textId="77777777" w:rsidR="00DA02C7" w:rsidRPr="00C453CC" w:rsidRDefault="00DA02C7" w:rsidP="007C2A68"/>
    <w:p w14:paraId="00000038" w14:textId="337F2FE4" w:rsidR="005B0A9F" w:rsidRPr="00C453CC" w:rsidRDefault="0098340E" w:rsidP="007C2A68">
      <w:r w:rsidRPr="00C453CC">
        <w:t>1.</w:t>
      </w:r>
      <w:r w:rsidR="004D6C5A" w:rsidRPr="00C453CC">
        <w:t>3</w:t>
      </w:r>
      <w:r w:rsidRPr="00C453CC">
        <w:t xml:space="preserve">.4. Cleanup the PCR product using a commercial </w:t>
      </w:r>
      <w:r w:rsidR="009A68EA" w:rsidRPr="00C453CC">
        <w:t>enzymatic</w:t>
      </w:r>
      <w:r w:rsidRPr="00C453CC">
        <w:t xml:space="preserve"> reaction cleanup column kit. The final eluate is </w:t>
      </w:r>
      <w:r w:rsidR="009A68EA" w:rsidRPr="00C453CC">
        <w:t>the</w:t>
      </w:r>
      <w:r w:rsidRPr="00C453CC">
        <w:t xml:space="preserve"> cloning insert.</w:t>
      </w:r>
    </w:p>
    <w:p w14:paraId="315D14E5" w14:textId="77777777" w:rsidR="00DA02C7" w:rsidRPr="00C453CC" w:rsidRDefault="00DA02C7" w:rsidP="007C2A68"/>
    <w:p w14:paraId="00000039" w14:textId="1376EE87" w:rsidR="005B0A9F" w:rsidRPr="00C453CC" w:rsidRDefault="0098340E" w:rsidP="007C2A68">
      <w:pPr>
        <w:pStyle w:val="ListParagraph"/>
        <w:numPr>
          <w:ilvl w:val="1"/>
          <w:numId w:val="29"/>
        </w:numPr>
        <w:ind w:left="0" w:firstLine="0"/>
        <w:rPr>
          <w:highlight w:val="yellow"/>
        </w:rPr>
      </w:pPr>
      <w:bookmarkStart w:id="5" w:name="_Hlk84340620"/>
      <w:r w:rsidRPr="00C453CC">
        <w:rPr>
          <w:highlight w:val="yellow"/>
        </w:rPr>
        <w:t>Perform</w:t>
      </w:r>
      <w:r w:rsidR="00B664C7" w:rsidRPr="00C453CC">
        <w:rPr>
          <w:highlight w:val="yellow"/>
        </w:rPr>
        <w:t xml:space="preserve"> </w:t>
      </w:r>
      <w:r w:rsidRPr="00C453CC">
        <w:rPr>
          <w:highlight w:val="yellow"/>
        </w:rPr>
        <w:t>restriction digestion to linearize the AAV vector</w:t>
      </w:r>
      <w:r w:rsidR="009A68EA" w:rsidRPr="00C453CC">
        <w:rPr>
          <w:highlight w:val="yellow"/>
        </w:rPr>
        <w:t xml:space="preserve"> at the unique cloning site </w:t>
      </w:r>
      <w:r w:rsidR="00B664C7" w:rsidRPr="00C453CC">
        <w:rPr>
          <w:highlight w:val="yellow"/>
        </w:rPr>
        <w:t xml:space="preserve">to insert </w:t>
      </w:r>
      <w:r w:rsidR="009A68EA" w:rsidRPr="00C453CC">
        <w:rPr>
          <w:highlight w:val="yellow"/>
        </w:rPr>
        <w:t xml:space="preserve">the enhancer into the vector. </w:t>
      </w:r>
    </w:p>
    <w:p w14:paraId="36CBE2E3" w14:textId="77777777" w:rsidR="00DA02C7" w:rsidRPr="00C453CC" w:rsidRDefault="00DA02C7" w:rsidP="007C2A68">
      <w:pPr>
        <w:pStyle w:val="ListParagraph"/>
        <w:ind w:left="0"/>
      </w:pPr>
    </w:p>
    <w:p w14:paraId="0000003A" w14:textId="6CFC69C5" w:rsidR="005B0A9F" w:rsidRPr="00C453CC" w:rsidRDefault="0098340E" w:rsidP="007C2A68">
      <w:pPr>
        <w:pStyle w:val="ListParagraph"/>
        <w:numPr>
          <w:ilvl w:val="2"/>
          <w:numId w:val="29"/>
        </w:numPr>
        <w:ind w:left="0" w:firstLine="0"/>
      </w:pPr>
      <w:r w:rsidRPr="00C453CC">
        <w:t xml:space="preserve">The cloning site in the 3’ UTR of </w:t>
      </w:r>
      <w:r w:rsidR="009A68EA" w:rsidRPr="00C453CC">
        <w:t>the</w:t>
      </w:r>
      <w:r w:rsidRPr="00C453CC">
        <w:t xml:space="preserve"> enhancer reporter construct </w:t>
      </w:r>
      <w:r w:rsidR="009A68EA" w:rsidRPr="00C453CC">
        <w:t xml:space="preserve">used here </w:t>
      </w:r>
      <w:r w:rsidRPr="00C453CC">
        <w:t xml:space="preserve">is bounded by </w:t>
      </w:r>
      <w:r w:rsidR="009A68EA" w:rsidRPr="00C453CC">
        <w:t xml:space="preserve">unique </w:t>
      </w:r>
      <w:proofErr w:type="spellStart"/>
      <w:r w:rsidRPr="00C453CC">
        <w:t>PacI</w:t>
      </w:r>
      <w:proofErr w:type="spellEnd"/>
      <w:r w:rsidRPr="00C453CC">
        <w:t xml:space="preserve"> and </w:t>
      </w:r>
      <w:proofErr w:type="spellStart"/>
      <w:r w:rsidRPr="00C453CC">
        <w:t>AscI</w:t>
      </w:r>
      <w:proofErr w:type="spellEnd"/>
      <w:r w:rsidRPr="00C453CC">
        <w:t xml:space="preserve"> restriction sites. </w:t>
      </w:r>
      <w:bookmarkEnd w:id="5"/>
      <w:r w:rsidRPr="00C453CC">
        <w:t xml:space="preserve">Perform a digest </w:t>
      </w:r>
      <w:r w:rsidR="009A68EA" w:rsidRPr="00C453CC">
        <w:t xml:space="preserve">to linearize the plasmid at this location </w:t>
      </w:r>
      <w:r w:rsidRPr="00C453CC">
        <w:t>according to the following parameters</w:t>
      </w:r>
      <w:r w:rsidR="00FF750A" w:rsidRPr="00C453CC">
        <w:t xml:space="preserve"> </w:t>
      </w:r>
      <w:proofErr w:type="gramStart"/>
      <w:r w:rsidR="00FF750A" w:rsidRPr="00C453CC">
        <w:t>( steps</w:t>
      </w:r>
      <w:proofErr w:type="gramEnd"/>
      <w:r w:rsidR="00FF750A" w:rsidRPr="00C453CC">
        <w:t xml:space="preserve"> 1.4.2–1.4.</w:t>
      </w:r>
      <w:r w:rsidR="00B664C7" w:rsidRPr="00C453CC">
        <w:t>4</w:t>
      </w:r>
      <w:r w:rsidR="00FF750A" w:rsidRPr="00C453CC">
        <w:t>).</w:t>
      </w:r>
    </w:p>
    <w:p w14:paraId="12CCC06B" w14:textId="77777777" w:rsidR="00DA02C7" w:rsidRPr="00C453CC" w:rsidRDefault="00DA02C7" w:rsidP="007C2A68">
      <w:pPr>
        <w:pStyle w:val="ListParagraph"/>
        <w:ind w:left="0"/>
      </w:pPr>
    </w:p>
    <w:p w14:paraId="0000003C" w14:textId="07768537" w:rsidR="005B0A9F" w:rsidRPr="00C453CC" w:rsidRDefault="0098340E" w:rsidP="002F6129">
      <w:pPr>
        <w:pStyle w:val="ListParagraph"/>
        <w:numPr>
          <w:ilvl w:val="2"/>
          <w:numId w:val="29"/>
        </w:numPr>
        <w:ind w:left="0" w:firstLine="0"/>
      </w:pPr>
      <w:r w:rsidRPr="00C453CC">
        <w:rPr>
          <w:highlight w:val="yellow"/>
        </w:rPr>
        <w:t>Digest 1</w:t>
      </w:r>
      <w:r w:rsidR="00E35A41" w:rsidRPr="00C453CC">
        <w:rPr>
          <w:highlight w:val="yellow"/>
        </w:rPr>
        <w:t>–</w:t>
      </w:r>
      <w:r w:rsidRPr="00C453CC">
        <w:rPr>
          <w:highlight w:val="yellow"/>
        </w:rPr>
        <w:t>10 µg of vector DNA</w:t>
      </w:r>
      <w:r w:rsidR="0060158E" w:rsidRPr="00C453CC">
        <w:rPr>
          <w:highlight w:val="yellow"/>
        </w:rPr>
        <w:t xml:space="preserve"> using </w:t>
      </w:r>
      <w:proofErr w:type="spellStart"/>
      <w:r w:rsidR="0060158E" w:rsidRPr="00C453CC">
        <w:rPr>
          <w:highlight w:val="yellow"/>
        </w:rPr>
        <w:t>PacI</w:t>
      </w:r>
      <w:proofErr w:type="spellEnd"/>
      <w:r w:rsidR="0060158E" w:rsidRPr="00C453CC">
        <w:rPr>
          <w:highlight w:val="yellow"/>
        </w:rPr>
        <w:t xml:space="preserve"> and </w:t>
      </w:r>
      <w:proofErr w:type="spellStart"/>
      <w:r w:rsidR="0060158E" w:rsidRPr="00C453CC">
        <w:rPr>
          <w:highlight w:val="yellow"/>
        </w:rPr>
        <w:t>AscI</w:t>
      </w:r>
      <w:proofErr w:type="spellEnd"/>
      <w:r w:rsidRPr="00C453CC">
        <w:rPr>
          <w:highlight w:val="yellow"/>
        </w:rPr>
        <w:t xml:space="preserve">, depending on how many cloning reactions will </w:t>
      </w:r>
      <w:r w:rsidR="009A68EA" w:rsidRPr="00C453CC">
        <w:rPr>
          <w:highlight w:val="yellow"/>
        </w:rPr>
        <w:t xml:space="preserve">be needed. </w:t>
      </w:r>
      <w:r w:rsidRPr="00C453CC">
        <w:t xml:space="preserve">Prepare </w:t>
      </w:r>
      <w:r w:rsidR="009A68EA" w:rsidRPr="00C453CC">
        <w:t>the</w:t>
      </w:r>
      <w:r w:rsidRPr="00C453CC">
        <w:t xml:space="preserve"> reactions </w:t>
      </w:r>
      <w:r w:rsidR="00B664C7" w:rsidRPr="00C453CC">
        <w:t xml:space="preserve">using the supplied buffer </w:t>
      </w:r>
      <w:r w:rsidRPr="00C453CC">
        <w:t>according to the manufacturer’s instructions.</w:t>
      </w:r>
    </w:p>
    <w:p w14:paraId="49AA34D2" w14:textId="77777777" w:rsidR="00DA02C7" w:rsidRPr="00C453CC" w:rsidRDefault="00DA02C7" w:rsidP="007C2A68">
      <w:pPr>
        <w:pBdr>
          <w:top w:val="nil"/>
          <w:left w:val="nil"/>
          <w:bottom w:val="nil"/>
          <w:right w:val="nil"/>
          <w:between w:val="nil"/>
        </w:pBdr>
      </w:pPr>
    </w:p>
    <w:p w14:paraId="0000003D" w14:textId="68E13D6F" w:rsidR="005B0A9F" w:rsidRPr="00C453CC" w:rsidRDefault="0098340E" w:rsidP="007C2A68">
      <w:pPr>
        <w:pStyle w:val="ListParagraph"/>
        <w:numPr>
          <w:ilvl w:val="2"/>
          <w:numId w:val="29"/>
        </w:numPr>
        <w:ind w:left="0" w:firstLine="0"/>
      </w:pPr>
      <w:r w:rsidRPr="00C453CC">
        <w:t>Incubate at 37 °C for 1</w:t>
      </w:r>
      <w:r w:rsidR="00E35A41" w:rsidRPr="00C453CC">
        <w:t>–</w:t>
      </w:r>
      <w:r w:rsidRPr="00C453CC">
        <w:t>2 h</w:t>
      </w:r>
      <w:r w:rsidR="00814A2A" w:rsidRPr="00C453CC">
        <w:t xml:space="preserve"> to digest the vector DNA</w:t>
      </w:r>
      <w:r w:rsidR="009A68EA" w:rsidRPr="00C453CC">
        <w:t>.</w:t>
      </w:r>
      <w:r w:rsidRPr="00C453CC">
        <w:t xml:space="preserve"> (If digesting more than 5 µg in a 50 µL reaction, longer incubation</w:t>
      </w:r>
      <w:r w:rsidR="009A68EA" w:rsidRPr="00C453CC">
        <w:t xml:space="preserve"> may be necessary</w:t>
      </w:r>
      <w:r w:rsidRPr="00C453CC">
        <w:t>.)</w:t>
      </w:r>
    </w:p>
    <w:p w14:paraId="5DFD5C04" w14:textId="77777777" w:rsidR="00DA02C7" w:rsidRPr="00C453CC" w:rsidRDefault="00DA02C7" w:rsidP="007C2A68">
      <w:pPr>
        <w:pBdr>
          <w:top w:val="nil"/>
          <w:left w:val="nil"/>
          <w:bottom w:val="nil"/>
          <w:right w:val="nil"/>
          <w:between w:val="nil"/>
        </w:pBdr>
      </w:pPr>
    </w:p>
    <w:p w14:paraId="0000003E" w14:textId="4580D478" w:rsidR="005B0A9F" w:rsidRPr="00C453CC" w:rsidRDefault="00814A2A" w:rsidP="007C2A68">
      <w:pPr>
        <w:pStyle w:val="ListParagraph"/>
        <w:numPr>
          <w:ilvl w:val="2"/>
          <w:numId w:val="29"/>
        </w:numPr>
        <w:ind w:left="0" w:firstLine="0"/>
      </w:pPr>
      <w:r w:rsidRPr="00C453CC">
        <w:t>After 1</w:t>
      </w:r>
      <w:r w:rsidR="00A85350" w:rsidRPr="00C453CC">
        <w:t>–</w:t>
      </w:r>
      <w:r w:rsidRPr="00C453CC">
        <w:t xml:space="preserve">2 h </w:t>
      </w:r>
      <w:r w:rsidR="00A85350" w:rsidRPr="00C453CC">
        <w:t xml:space="preserve">of </w:t>
      </w:r>
      <w:r w:rsidRPr="00C453CC">
        <w:t>incubation, i</w:t>
      </w:r>
      <w:r w:rsidR="0098340E" w:rsidRPr="00C453CC">
        <w:t xml:space="preserve">nactivate </w:t>
      </w:r>
      <w:r w:rsidR="00E35A41" w:rsidRPr="00C453CC">
        <w:t xml:space="preserve">the </w:t>
      </w:r>
      <w:r w:rsidR="0098340E" w:rsidRPr="00C453CC">
        <w:t>enzyme by incubating at 65 °C for 20 min.</w:t>
      </w:r>
    </w:p>
    <w:p w14:paraId="48B9AD51" w14:textId="77777777" w:rsidR="00DA02C7" w:rsidRPr="00C453CC" w:rsidRDefault="00DA02C7" w:rsidP="007C2A68">
      <w:pPr>
        <w:pBdr>
          <w:top w:val="nil"/>
          <w:left w:val="nil"/>
          <w:bottom w:val="nil"/>
          <w:right w:val="nil"/>
          <w:between w:val="nil"/>
        </w:pBdr>
      </w:pPr>
    </w:p>
    <w:p w14:paraId="7023A9B9" w14:textId="5E813FCE" w:rsidR="009B4B36" w:rsidRPr="00C453CC" w:rsidRDefault="0098340E" w:rsidP="007C2A68">
      <w:pPr>
        <w:pStyle w:val="ListParagraph"/>
        <w:numPr>
          <w:ilvl w:val="2"/>
          <w:numId w:val="29"/>
        </w:numPr>
        <w:ind w:left="0" w:firstLine="0"/>
        <w:rPr>
          <w:highlight w:val="yellow"/>
        </w:rPr>
      </w:pPr>
      <w:r w:rsidRPr="00C453CC">
        <w:rPr>
          <w:highlight w:val="yellow"/>
        </w:rPr>
        <w:t xml:space="preserve">Separate </w:t>
      </w:r>
      <w:r w:rsidR="00E35A41" w:rsidRPr="00C453CC">
        <w:rPr>
          <w:highlight w:val="yellow"/>
        </w:rPr>
        <w:t xml:space="preserve">the </w:t>
      </w:r>
      <w:r w:rsidRPr="00C453CC">
        <w:rPr>
          <w:highlight w:val="yellow"/>
        </w:rPr>
        <w:t xml:space="preserve">restriction digest fragments by gel electrophoresis </w:t>
      </w:r>
      <w:r w:rsidR="009A68EA" w:rsidRPr="00C453CC">
        <w:rPr>
          <w:highlight w:val="yellow"/>
        </w:rPr>
        <w:t>using a 0.7</w:t>
      </w:r>
      <w:r w:rsidR="00E35A41" w:rsidRPr="00C453CC">
        <w:rPr>
          <w:highlight w:val="yellow"/>
        </w:rPr>
        <w:t>%–</w:t>
      </w:r>
      <w:r w:rsidR="009A68EA" w:rsidRPr="00C453CC">
        <w:rPr>
          <w:highlight w:val="yellow"/>
        </w:rPr>
        <w:t>1% agarose gel, run at 100 V for 30</w:t>
      </w:r>
      <w:r w:rsidR="00E35A41" w:rsidRPr="00C453CC">
        <w:rPr>
          <w:highlight w:val="yellow"/>
        </w:rPr>
        <w:t>–</w:t>
      </w:r>
      <w:r w:rsidR="009A68EA" w:rsidRPr="00C453CC">
        <w:rPr>
          <w:highlight w:val="yellow"/>
        </w:rPr>
        <w:t>60 min.</w:t>
      </w:r>
    </w:p>
    <w:p w14:paraId="34C351B2" w14:textId="77777777" w:rsidR="00DA02C7" w:rsidRPr="00C453CC" w:rsidRDefault="00DA02C7" w:rsidP="007C2A68">
      <w:pPr>
        <w:pStyle w:val="ListParagraph"/>
        <w:ind w:left="0"/>
        <w:rPr>
          <w:highlight w:val="yellow"/>
        </w:rPr>
      </w:pPr>
    </w:p>
    <w:p w14:paraId="0000003F" w14:textId="6C314B11" w:rsidR="005B0A9F" w:rsidRPr="00C453CC" w:rsidRDefault="009A68EA" w:rsidP="007C2A68">
      <w:pPr>
        <w:pStyle w:val="ListParagraph"/>
        <w:numPr>
          <w:ilvl w:val="2"/>
          <w:numId w:val="29"/>
        </w:numPr>
        <w:ind w:left="0" w:firstLine="0"/>
        <w:rPr>
          <w:highlight w:val="yellow"/>
        </w:rPr>
      </w:pPr>
      <w:r w:rsidRPr="00C453CC">
        <w:rPr>
          <w:highlight w:val="yellow"/>
        </w:rPr>
        <w:t xml:space="preserve">Excise the band for the </w:t>
      </w:r>
      <w:r w:rsidR="0098340E" w:rsidRPr="00C453CC">
        <w:rPr>
          <w:highlight w:val="yellow"/>
        </w:rPr>
        <w:t xml:space="preserve">linearized vector </w:t>
      </w:r>
      <w:r w:rsidRPr="00C453CC">
        <w:rPr>
          <w:highlight w:val="yellow"/>
        </w:rPr>
        <w:t xml:space="preserve">and purify </w:t>
      </w:r>
      <w:r w:rsidR="0098340E" w:rsidRPr="00C453CC">
        <w:rPr>
          <w:highlight w:val="yellow"/>
        </w:rPr>
        <w:t>using a commercial gel extraction kit.</w:t>
      </w:r>
    </w:p>
    <w:p w14:paraId="0893C4F7" w14:textId="77777777" w:rsidR="00DA02C7" w:rsidRPr="00C453CC" w:rsidRDefault="00DA02C7" w:rsidP="007C2A68">
      <w:pPr>
        <w:rPr>
          <w:highlight w:val="yellow"/>
        </w:rPr>
      </w:pPr>
    </w:p>
    <w:p w14:paraId="00000040" w14:textId="713A876D" w:rsidR="005B0A9F" w:rsidRPr="00C453CC" w:rsidRDefault="0098340E" w:rsidP="007C2A68">
      <w:pPr>
        <w:pStyle w:val="ListParagraph"/>
        <w:numPr>
          <w:ilvl w:val="1"/>
          <w:numId w:val="29"/>
        </w:numPr>
        <w:ind w:left="0" w:firstLine="0"/>
        <w:rPr>
          <w:highlight w:val="yellow"/>
        </w:rPr>
      </w:pPr>
      <w:r w:rsidRPr="00C453CC">
        <w:rPr>
          <w:highlight w:val="yellow"/>
        </w:rPr>
        <w:t>Perform Gibson cloning reactions and transform</w:t>
      </w:r>
    </w:p>
    <w:p w14:paraId="080D4C3A" w14:textId="77777777" w:rsidR="00DA02C7" w:rsidRPr="00C453CC" w:rsidRDefault="00DA02C7" w:rsidP="007C2A68">
      <w:pPr>
        <w:pStyle w:val="ListParagraph"/>
        <w:ind w:left="0"/>
      </w:pPr>
    </w:p>
    <w:p w14:paraId="229CC57A" w14:textId="479BACC2" w:rsidR="00A85350" w:rsidRPr="00C453CC" w:rsidRDefault="0098340E" w:rsidP="00A85350">
      <w:pPr>
        <w:pStyle w:val="ListParagraph"/>
        <w:numPr>
          <w:ilvl w:val="2"/>
          <w:numId w:val="29"/>
        </w:numPr>
        <w:ind w:left="0" w:firstLine="0"/>
      </w:pPr>
      <w:r w:rsidRPr="00C453CC">
        <w:t>Determine the concentration of the purified vector and the cloning insert using a spectrophotometer.</w:t>
      </w:r>
      <w:r w:rsidR="00814A2A" w:rsidRPr="00C453CC">
        <w:t xml:space="preserve"> </w:t>
      </w:r>
    </w:p>
    <w:p w14:paraId="3A3F7AD3" w14:textId="77777777" w:rsidR="00A85350" w:rsidRPr="00C453CC" w:rsidRDefault="00A85350" w:rsidP="00A85350">
      <w:pPr>
        <w:pStyle w:val="ListParagraph"/>
        <w:ind w:left="0"/>
      </w:pPr>
    </w:p>
    <w:p w14:paraId="00000041" w14:textId="693F5628" w:rsidR="005B0A9F" w:rsidRPr="00C453CC" w:rsidRDefault="00A85350" w:rsidP="00A85350">
      <w:pPr>
        <w:pStyle w:val="ListParagraph"/>
        <w:ind w:left="0"/>
      </w:pPr>
      <w:r w:rsidRPr="00C453CC">
        <w:t xml:space="preserve">NOTE: </w:t>
      </w:r>
      <w:r w:rsidR="00AE0930" w:rsidRPr="00C453CC">
        <w:t>DNA absorbs</w:t>
      </w:r>
      <w:r w:rsidR="00814A2A" w:rsidRPr="00C453CC">
        <w:t xml:space="preserve"> light at 260 nm, while contaminants absorb light at 230 nm and 280 nm. High ratios (&gt;1.8) of 260/230 and 260/280 indicate highly purified DNA. </w:t>
      </w:r>
    </w:p>
    <w:p w14:paraId="75DC4E97" w14:textId="77777777" w:rsidR="00DA02C7" w:rsidRPr="00C453CC" w:rsidRDefault="00DA02C7" w:rsidP="007C2A68">
      <w:pPr>
        <w:pStyle w:val="ListParagraph"/>
        <w:ind w:left="0"/>
      </w:pPr>
    </w:p>
    <w:p w14:paraId="00000047" w14:textId="538162E0" w:rsidR="005B0A9F" w:rsidRPr="00C453CC" w:rsidRDefault="0098340E" w:rsidP="00FC2803">
      <w:pPr>
        <w:pStyle w:val="ListParagraph"/>
        <w:numPr>
          <w:ilvl w:val="2"/>
          <w:numId w:val="29"/>
        </w:numPr>
        <w:ind w:left="0" w:firstLine="0"/>
      </w:pPr>
      <w:r w:rsidRPr="00C453CC">
        <w:t xml:space="preserve"> Assemble Gibson cloning reactions in 0.2 mL PCR tubes:</w:t>
      </w:r>
      <w:r w:rsidR="00E35A41" w:rsidRPr="00C453CC">
        <w:t xml:space="preserve"> </w:t>
      </w:r>
      <w:r w:rsidRPr="00C453CC">
        <w:t xml:space="preserve">5 µL </w:t>
      </w:r>
      <w:r w:rsidR="00B664C7" w:rsidRPr="00C453CC">
        <w:t xml:space="preserve">of </w:t>
      </w:r>
      <w:r w:rsidRPr="00C453CC">
        <w:t>2x Gibson master mix</w:t>
      </w:r>
      <w:r w:rsidR="00E35A41" w:rsidRPr="00C453CC">
        <w:t xml:space="preserve">, </w:t>
      </w:r>
      <w:r w:rsidRPr="00C453CC">
        <w:t>0.02</w:t>
      </w:r>
      <w:r w:rsidR="00E35A41" w:rsidRPr="00C453CC">
        <w:t>–</w:t>
      </w:r>
      <w:r w:rsidRPr="00C453CC">
        <w:t xml:space="preserve">0.5 </w:t>
      </w:r>
      <w:proofErr w:type="spellStart"/>
      <w:r w:rsidRPr="00C453CC">
        <w:t>pmol</w:t>
      </w:r>
      <w:proofErr w:type="spellEnd"/>
      <w:r w:rsidRPr="00C453CC">
        <w:t xml:space="preserve"> DNA fragments in a ratio of 3:1 insert to vector</w:t>
      </w:r>
      <w:r w:rsidR="00E35A41" w:rsidRPr="00C453CC">
        <w:t xml:space="preserve"> </w:t>
      </w:r>
      <w:r w:rsidR="009A68EA" w:rsidRPr="00C453CC">
        <w:t xml:space="preserve">(Optimal DNA concentration for </w:t>
      </w:r>
      <w:r w:rsidR="009A68EA" w:rsidRPr="00C453CC">
        <w:lastRenderedPageBreak/>
        <w:t>the reaction should be determined empirically</w:t>
      </w:r>
      <w:r w:rsidR="003369E5" w:rsidRPr="00C453CC">
        <w:t>)</w:t>
      </w:r>
      <w:r w:rsidR="00E35A41" w:rsidRPr="00C453CC">
        <w:t xml:space="preserve"> and </w:t>
      </w:r>
      <w:r w:rsidRPr="00C453CC">
        <w:t xml:space="preserve">Nuclease-free water </w:t>
      </w:r>
      <w:r w:rsidR="00E35A41" w:rsidRPr="00C453CC">
        <w:t xml:space="preserve">(bring </w:t>
      </w:r>
      <w:r w:rsidRPr="00C453CC">
        <w:t>up</w:t>
      </w:r>
      <w:r w:rsidR="00E35A41" w:rsidRPr="00C453CC">
        <w:t xml:space="preserve"> the volume</w:t>
      </w:r>
      <w:r w:rsidRPr="00C453CC">
        <w:t xml:space="preserve"> to 10 µL</w:t>
      </w:r>
      <w:r w:rsidR="00E35A41" w:rsidRPr="00C453CC">
        <w:t>).</w:t>
      </w:r>
    </w:p>
    <w:p w14:paraId="77A4E2AE" w14:textId="77777777" w:rsidR="00DA02C7" w:rsidRPr="00C453CC" w:rsidRDefault="00DA02C7" w:rsidP="007C2A68">
      <w:pPr>
        <w:pBdr>
          <w:top w:val="nil"/>
          <w:left w:val="nil"/>
          <w:bottom w:val="nil"/>
          <w:right w:val="nil"/>
          <w:between w:val="nil"/>
        </w:pBdr>
      </w:pPr>
    </w:p>
    <w:p w14:paraId="00000048" w14:textId="22115590" w:rsidR="005B0A9F" w:rsidRPr="00C453CC" w:rsidRDefault="0098340E" w:rsidP="007C2A68">
      <w:pPr>
        <w:pStyle w:val="ListParagraph"/>
        <w:numPr>
          <w:ilvl w:val="2"/>
          <w:numId w:val="29"/>
        </w:numPr>
        <w:ind w:left="0" w:firstLine="0"/>
      </w:pPr>
      <w:r w:rsidRPr="00C453CC">
        <w:t>Incubate Gibson reactions at 50 °C for 20 min</w:t>
      </w:r>
      <w:r w:rsidR="00814A2A" w:rsidRPr="00C453CC">
        <w:t xml:space="preserve"> in a thermal cycler</w:t>
      </w:r>
      <w:r w:rsidRPr="00C453CC">
        <w:t>.</w:t>
      </w:r>
    </w:p>
    <w:p w14:paraId="1A0DB878" w14:textId="77777777" w:rsidR="00DA02C7" w:rsidRPr="00C453CC" w:rsidRDefault="00DA02C7" w:rsidP="007C2A68">
      <w:pPr>
        <w:pStyle w:val="ListParagraph"/>
        <w:ind w:left="0"/>
      </w:pPr>
    </w:p>
    <w:p w14:paraId="00000049" w14:textId="0CB72FFC" w:rsidR="005B0A9F" w:rsidRPr="00C453CC" w:rsidRDefault="0098340E" w:rsidP="007C2A68">
      <w:pPr>
        <w:pStyle w:val="ListParagraph"/>
        <w:numPr>
          <w:ilvl w:val="1"/>
          <w:numId w:val="29"/>
        </w:numPr>
        <w:ind w:left="0" w:firstLine="0"/>
      </w:pPr>
      <w:r w:rsidRPr="00C453CC">
        <w:t>Transform recombination deficient (</w:t>
      </w:r>
      <w:proofErr w:type="spellStart"/>
      <w:r w:rsidRPr="00C453CC">
        <w:rPr>
          <w:i/>
        </w:rPr>
        <w:t>recA</w:t>
      </w:r>
      <w:proofErr w:type="spellEnd"/>
      <w:r w:rsidRPr="00C453CC">
        <w:rPr>
          <w:i/>
          <w:vertAlign w:val="superscript"/>
        </w:rPr>
        <w:t>-</w:t>
      </w:r>
      <w:r w:rsidRPr="00C453CC">
        <w:t xml:space="preserve">) competent </w:t>
      </w:r>
      <w:r w:rsidRPr="00C453CC">
        <w:rPr>
          <w:i/>
          <w:highlight w:val="white"/>
        </w:rPr>
        <w:t>Escherichia</w:t>
      </w:r>
      <w:r w:rsidRPr="00C453CC">
        <w:rPr>
          <w:i/>
        </w:rPr>
        <w:t xml:space="preserve"> coli (E. coli)</w:t>
      </w:r>
      <w:r w:rsidRPr="00C453CC">
        <w:t>.</w:t>
      </w:r>
    </w:p>
    <w:p w14:paraId="506E16CA" w14:textId="77777777" w:rsidR="00DA02C7" w:rsidRPr="00C453CC" w:rsidRDefault="00DA02C7" w:rsidP="007C2A68">
      <w:pPr>
        <w:pStyle w:val="ListParagraph"/>
        <w:ind w:left="0"/>
      </w:pPr>
    </w:p>
    <w:p w14:paraId="0000004A" w14:textId="19EEC1D5" w:rsidR="005B0A9F" w:rsidRPr="00C453CC" w:rsidRDefault="0098340E" w:rsidP="007C2A68">
      <w:pPr>
        <w:pStyle w:val="ListParagraph"/>
        <w:numPr>
          <w:ilvl w:val="2"/>
          <w:numId w:val="29"/>
        </w:numPr>
        <w:ind w:left="0" w:firstLine="0"/>
      </w:pPr>
      <w:r w:rsidRPr="00C453CC">
        <w:t xml:space="preserve">Set a water bath to 42 °C and thaw </w:t>
      </w:r>
      <w:r w:rsidR="00B664C7" w:rsidRPr="00C453CC">
        <w:t xml:space="preserve">the </w:t>
      </w:r>
      <w:r w:rsidR="00333BA9" w:rsidRPr="00C453CC">
        <w:t xml:space="preserve">commercially available </w:t>
      </w:r>
      <w:r w:rsidRPr="00C453CC">
        <w:t>competent cells on ice.</w:t>
      </w:r>
    </w:p>
    <w:p w14:paraId="5B516E66" w14:textId="77777777" w:rsidR="00DA02C7" w:rsidRPr="00C453CC" w:rsidRDefault="00DA02C7" w:rsidP="007C2A68">
      <w:pPr>
        <w:pStyle w:val="ListParagraph"/>
        <w:ind w:left="0"/>
      </w:pPr>
    </w:p>
    <w:p w14:paraId="0000004B" w14:textId="7A7AACF1" w:rsidR="005B0A9F" w:rsidRPr="00C453CC" w:rsidRDefault="0098340E" w:rsidP="007C2A68">
      <w:pPr>
        <w:rPr>
          <w:iCs/>
        </w:rPr>
      </w:pPr>
      <w:r w:rsidRPr="00C453CC">
        <w:rPr>
          <w:iCs/>
        </w:rPr>
        <w:t xml:space="preserve">NOTE: This step can be done prior to step 1.4, and the cells can thaw while </w:t>
      </w:r>
      <w:r w:rsidR="009A68EA" w:rsidRPr="00C453CC">
        <w:rPr>
          <w:iCs/>
        </w:rPr>
        <w:t>preparing</w:t>
      </w:r>
      <w:r w:rsidRPr="00C453CC">
        <w:rPr>
          <w:iCs/>
        </w:rPr>
        <w:t xml:space="preserve"> and </w:t>
      </w:r>
      <w:r w:rsidR="009A68EA" w:rsidRPr="00C453CC">
        <w:rPr>
          <w:iCs/>
        </w:rPr>
        <w:t>incubating</w:t>
      </w:r>
      <w:r w:rsidRPr="00C453CC">
        <w:rPr>
          <w:iCs/>
        </w:rPr>
        <w:t xml:space="preserve"> the Gibson reaction.</w:t>
      </w:r>
    </w:p>
    <w:p w14:paraId="4F49A36B" w14:textId="77777777" w:rsidR="00DA02C7" w:rsidRPr="00C453CC" w:rsidRDefault="00DA02C7" w:rsidP="007C2A68"/>
    <w:p w14:paraId="0000004C" w14:textId="5079C476" w:rsidR="005B0A9F" w:rsidRPr="00C453CC" w:rsidRDefault="0098340E" w:rsidP="007C2A68">
      <w:pPr>
        <w:pStyle w:val="ListParagraph"/>
        <w:numPr>
          <w:ilvl w:val="2"/>
          <w:numId w:val="29"/>
        </w:numPr>
        <w:ind w:left="0" w:firstLine="0"/>
      </w:pPr>
      <w:r w:rsidRPr="00C453CC">
        <w:t>Aliquot 30</w:t>
      </w:r>
      <w:r w:rsidR="00E35A41" w:rsidRPr="00C453CC">
        <w:t>–</w:t>
      </w:r>
      <w:r w:rsidRPr="00C453CC">
        <w:t xml:space="preserve">50 µL of cells into 2.0 </w:t>
      </w:r>
      <w:r w:rsidR="002F6A8C" w:rsidRPr="00C453CC">
        <w:t>m</w:t>
      </w:r>
      <w:r w:rsidR="009A68EA" w:rsidRPr="00C453CC">
        <w:t>L microcentrifuge</w:t>
      </w:r>
      <w:r w:rsidRPr="00C453CC">
        <w:t xml:space="preserve"> tubes. Add 2 µL of Gibson reaction to an aliquot and label the tube with </w:t>
      </w:r>
      <w:r w:rsidR="00E35A41" w:rsidRPr="00C453CC">
        <w:t xml:space="preserve">the </w:t>
      </w:r>
      <w:r w:rsidRPr="00C453CC">
        <w:t>identity of the Gibson. Incubate</w:t>
      </w:r>
      <w:r w:rsidR="00E35A41" w:rsidRPr="00C453CC">
        <w:t xml:space="preserve"> the</w:t>
      </w:r>
      <w:r w:rsidRPr="00C453CC">
        <w:t xml:space="preserve"> cells on ice for 30 min.</w:t>
      </w:r>
    </w:p>
    <w:p w14:paraId="4615083E" w14:textId="5033681C" w:rsidR="00DA02C7" w:rsidRPr="00C453CC" w:rsidRDefault="00DA02C7" w:rsidP="007C2A68">
      <w:pPr>
        <w:pStyle w:val="ListParagraph"/>
        <w:ind w:left="0"/>
      </w:pPr>
    </w:p>
    <w:p w14:paraId="5F2DE9E3" w14:textId="285D365D" w:rsidR="00B664C7" w:rsidRPr="00C453CC" w:rsidRDefault="00B664C7" w:rsidP="007C2A68">
      <w:pPr>
        <w:pStyle w:val="ListParagraph"/>
        <w:ind w:left="0"/>
      </w:pPr>
      <w:r w:rsidRPr="00C453CC">
        <w:t>NOTE: Use 5–10 ng of undigested empty vector as a positive control and water as a negative control.</w:t>
      </w:r>
    </w:p>
    <w:p w14:paraId="1AFB50A0" w14:textId="77777777" w:rsidR="00B664C7" w:rsidRPr="00C453CC" w:rsidRDefault="00B664C7" w:rsidP="007C2A68">
      <w:pPr>
        <w:pStyle w:val="ListParagraph"/>
        <w:ind w:left="0"/>
      </w:pPr>
    </w:p>
    <w:p w14:paraId="0000004D" w14:textId="1C3D71EE" w:rsidR="005B0A9F" w:rsidRPr="00C453CC" w:rsidRDefault="0098340E" w:rsidP="007C2A68">
      <w:pPr>
        <w:pStyle w:val="ListParagraph"/>
        <w:numPr>
          <w:ilvl w:val="2"/>
          <w:numId w:val="29"/>
        </w:numPr>
        <w:ind w:left="0" w:firstLine="0"/>
      </w:pPr>
      <w:r w:rsidRPr="00C453CC">
        <w:t>Heat</w:t>
      </w:r>
      <w:r w:rsidR="00E35A41" w:rsidRPr="00C453CC">
        <w:t>-</w:t>
      </w:r>
      <w:r w:rsidRPr="00C453CC">
        <w:t xml:space="preserve">shock the cells in the 42 °C water bath for </w:t>
      </w:r>
      <w:r w:rsidR="002F6A8C" w:rsidRPr="00C453CC">
        <w:t>30</w:t>
      </w:r>
      <w:r w:rsidR="00E35A41" w:rsidRPr="00C453CC">
        <w:t>–</w:t>
      </w:r>
      <w:r w:rsidRPr="00C453CC">
        <w:t>45 s, immediately return the tubes to ice</w:t>
      </w:r>
      <w:r w:rsidR="00B664C7" w:rsidRPr="00C453CC">
        <w:t>,</w:t>
      </w:r>
      <w:r w:rsidRPr="00C453CC">
        <w:t xml:space="preserve"> and </w:t>
      </w:r>
      <w:r w:rsidR="00E35A41" w:rsidRPr="00C453CC">
        <w:t xml:space="preserve">let </w:t>
      </w:r>
      <w:r w:rsidR="00B664C7" w:rsidRPr="00C453CC">
        <w:t xml:space="preserve">them </w:t>
      </w:r>
      <w:r w:rsidRPr="00C453CC">
        <w:t>recover for 5 min.</w:t>
      </w:r>
    </w:p>
    <w:p w14:paraId="4D3BC257" w14:textId="77777777" w:rsidR="00DA02C7" w:rsidRPr="00C453CC" w:rsidRDefault="00DA02C7" w:rsidP="007C2A68"/>
    <w:p w14:paraId="6C921DBF" w14:textId="18652EC2" w:rsidR="00DA02C7" w:rsidRPr="00C453CC" w:rsidRDefault="0098340E" w:rsidP="007C2A68">
      <w:pPr>
        <w:pStyle w:val="ListParagraph"/>
        <w:numPr>
          <w:ilvl w:val="2"/>
          <w:numId w:val="29"/>
        </w:numPr>
        <w:ind w:left="0" w:firstLine="0"/>
      </w:pPr>
      <w:r w:rsidRPr="00C453CC">
        <w:t>While on ice, add 400</w:t>
      </w:r>
      <w:r w:rsidR="00E35A41" w:rsidRPr="00C453CC">
        <w:t>–</w:t>
      </w:r>
      <w:r w:rsidR="002F6A8C" w:rsidRPr="00C453CC">
        <w:t>950</w:t>
      </w:r>
      <w:r w:rsidRPr="00C453CC">
        <w:t xml:space="preserve"> µL </w:t>
      </w:r>
      <w:r w:rsidR="00E35A41" w:rsidRPr="00C453CC">
        <w:t xml:space="preserve">of </w:t>
      </w:r>
      <w:r w:rsidR="00B664C7" w:rsidRPr="00C453CC">
        <w:t xml:space="preserve">the </w:t>
      </w:r>
      <w:r w:rsidR="00333BA9" w:rsidRPr="00C453CC">
        <w:t>commercially available</w:t>
      </w:r>
      <w:r w:rsidR="00E35A41" w:rsidRPr="00C453CC">
        <w:t xml:space="preserve"> </w:t>
      </w:r>
      <w:r w:rsidR="002F6A8C" w:rsidRPr="00C453CC">
        <w:t>recovery</w:t>
      </w:r>
      <w:r w:rsidRPr="00C453CC">
        <w:t xml:space="preserve"> media.</w:t>
      </w:r>
    </w:p>
    <w:p w14:paraId="5B87C496" w14:textId="77777777" w:rsidR="00333BA9" w:rsidRPr="00C453CC" w:rsidRDefault="00333BA9" w:rsidP="003175BC">
      <w:pPr>
        <w:pStyle w:val="ListParagraph"/>
      </w:pPr>
    </w:p>
    <w:p w14:paraId="028D9453" w14:textId="77777777" w:rsidR="00333BA9" w:rsidRPr="00C453CC" w:rsidRDefault="00333BA9" w:rsidP="003175BC">
      <w:r w:rsidRPr="00C453CC">
        <w:t xml:space="preserve">NOTE: The recovery media used in these experiments contains 2% vegetable peptone, 0.5% yeast extract, 10 mM NaCl, 2.5 mM </w:t>
      </w:r>
      <w:proofErr w:type="spellStart"/>
      <w:r w:rsidRPr="00C453CC">
        <w:t>KCl</w:t>
      </w:r>
      <w:proofErr w:type="spellEnd"/>
      <w:r w:rsidRPr="00C453CC">
        <w:t>, 10 mM MgCl</w:t>
      </w:r>
      <w:r w:rsidRPr="00C453CC">
        <w:rPr>
          <w:vertAlign w:val="subscript"/>
        </w:rPr>
        <w:t>2</w:t>
      </w:r>
      <w:r w:rsidRPr="00C453CC">
        <w:t>, 10 mM MgSO</w:t>
      </w:r>
      <w:r w:rsidRPr="00C453CC">
        <w:rPr>
          <w:vertAlign w:val="subscript"/>
        </w:rPr>
        <w:t>4</w:t>
      </w:r>
      <w:r w:rsidRPr="00C453CC">
        <w:t>, and 20 mM glucose.</w:t>
      </w:r>
    </w:p>
    <w:p w14:paraId="469D01AB" w14:textId="77777777" w:rsidR="00DA02C7" w:rsidRPr="00C453CC" w:rsidRDefault="00DA02C7" w:rsidP="007C2A68"/>
    <w:p w14:paraId="0000004F" w14:textId="1F97E5BF" w:rsidR="005B0A9F" w:rsidRPr="00C453CC" w:rsidRDefault="0098340E" w:rsidP="007C2A68">
      <w:pPr>
        <w:pStyle w:val="ListParagraph"/>
        <w:numPr>
          <w:ilvl w:val="2"/>
          <w:numId w:val="29"/>
        </w:numPr>
        <w:ind w:left="0" w:firstLine="0"/>
      </w:pPr>
      <w:r w:rsidRPr="00C453CC">
        <w:t>After recovery on ice, fully recover the cells by incubating at 37 °C with gentle agitation of 250 RPM for 30</w:t>
      </w:r>
      <w:r w:rsidR="00E35A41" w:rsidRPr="00C453CC">
        <w:t>–</w:t>
      </w:r>
      <w:r w:rsidRPr="00C453CC">
        <w:t>60 min.</w:t>
      </w:r>
    </w:p>
    <w:p w14:paraId="623CEA57" w14:textId="77777777" w:rsidR="00DA02C7" w:rsidRPr="00C453CC" w:rsidRDefault="00DA02C7" w:rsidP="007C2A68"/>
    <w:p w14:paraId="00000050" w14:textId="14D5E8C0" w:rsidR="005B0A9F" w:rsidRPr="00C453CC" w:rsidRDefault="0098340E" w:rsidP="007C2A68">
      <w:pPr>
        <w:pStyle w:val="ListParagraph"/>
        <w:numPr>
          <w:ilvl w:val="2"/>
          <w:numId w:val="29"/>
        </w:numPr>
        <w:ind w:left="0" w:firstLine="0"/>
      </w:pPr>
      <w:r w:rsidRPr="00C453CC">
        <w:t xml:space="preserve">Pellet the cells by centrifugation at 5,000 x </w:t>
      </w:r>
      <w:r w:rsidRPr="00C453CC">
        <w:rPr>
          <w:i/>
          <w:iCs/>
        </w:rPr>
        <w:t>g</w:t>
      </w:r>
      <w:r w:rsidRPr="00C453CC">
        <w:t xml:space="preserve"> for 5 min and remove 400 µL of </w:t>
      </w:r>
      <w:r w:rsidR="00B664C7" w:rsidRPr="00C453CC">
        <w:t xml:space="preserve">the </w:t>
      </w:r>
      <w:r w:rsidRPr="00C453CC">
        <w:t>supernatant, leaving ~50 µL of bacteria to plate.</w:t>
      </w:r>
    </w:p>
    <w:p w14:paraId="192D9908" w14:textId="77777777" w:rsidR="00DA02C7" w:rsidRPr="00C453CC" w:rsidRDefault="00DA02C7" w:rsidP="007C2A68"/>
    <w:p w14:paraId="00000051" w14:textId="7988EE95" w:rsidR="005B0A9F" w:rsidRPr="00C453CC" w:rsidRDefault="0098340E" w:rsidP="007C2A68">
      <w:pPr>
        <w:pStyle w:val="ListParagraph"/>
        <w:numPr>
          <w:ilvl w:val="2"/>
          <w:numId w:val="29"/>
        </w:numPr>
        <w:ind w:left="0" w:firstLine="0"/>
        <w:rPr>
          <w:highlight w:val="yellow"/>
        </w:rPr>
      </w:pPr>
      <w:r w:rsidRPr="00C453CC">
        <w:rPr>
          <w:highlight w:val="yellow"/>
        </w:rPr>
        <w:t>Plate on selective media and incubate at 37 °C overnight.</w:t>
      </w:r>
    </w:p>
    <w:p w14:paraId="64CC38CA" w14:textId="77777777" w:rsidR="00DA02C7" w:rsidRPr="00C453CC" w:rsidRDefault="00DA02C7" w:rsidP="00A85350">
      <w:pPr>
        <w:pStyle w:val="ListParagraph"/>
      </w:pPr>
    </w:p>
    <w:p w14:paraId="7696E19B" w14:textId="0D3BD278" w:rsidR="009B4B36" w:rsidRPr="00C453CC" w:rsidRDefault="00757905" w:rsidP="002F6129">
      <w:pPr>
        <w:pStyle w:val="ListParagraph"/>
        <w:ind w:left="0"/>
      </w:pPr>
      <w:r w:rsidRPr="00C453CC">
        <w:t>NOTE: The selective media use in these experiments contains 1.0% tryptone, 0.5% yeast extract, 1.0% sodium chloride, 1</w:t>
      </w:r>
      <w:r w:rsidR="00463242" w:rsidRPr="00C453CC">
        <w:t>-2</w:t>
      </w:r>
      <w:r w:rsidRPr="00C453CC">
        <w:t xml:space="preserve">% agar, </w:t>
      </w:r>
      <w:r w:rsidR="00463242" w:rsidRPr="00C453CC">
        <w:t>96-97% water, and carbenicillin at a concentration of 100 µg/</w:t>
      </w:r>
      <w:proofErr w:type="spellStart"/>
      <w:r w:rsidR="00463242" w:rsidRPr="00C453CC">
        <w:t>mL.</w:t>
      </w:r>
      <w:proofErr w:type="spellEnd"/>
      <w:r w:rsidR="00B664C7" w:rsidRPr="00C453CC">
        <w:t xml:space="preserve"> </w:t>
      </w:r>
      <w:r w:rsidR="009A68EA" w:rsidRPr="00C453CC">
        <w:t xml:space="preserve">Always use recombination deficient strains of bacteria for cloning viral plasmids because the viral inverted terminal repeats (ITRs) have matching sequences and can undergo homologous recombination. However, </w:t>
      </w:r>
      <w:proofErr w:type="spellStart"/>
      <w:r w:rsidR="009A68EA" w:rsidRPr="00C453CC">
        <w:t>recA</w:t>
      </w:r>
      <w:proofErr w:type="spellEnd"/>
      <w:r w:rsidR="009A68EA" w:rsidRPr="00C453CC">
        <w:rPr>
          <w:vertAlign w:val="superscript"/>
        </w:rPr>
        <w:t>-</w:t>
      </w:r>
      <w:r w:rsidR="009A68EA" w:rsidRPr="00C453CC">
        <w:t xml:space="preserve"> strains of bacteria still undergo low levels of recombination. The reporter plasmid used here is a self-complementary AAV, where the sequence of one of the ITRs has been altered and no longer perfectly matches the other ITR. Growing the bacteria at 30 °C is also recommended for further slowing the rate of homologous recombination. </w:t>
      </w:r>
    </w:p>
    <w:p w14:paraId="6494019B" w14:textId="77777777" w:rsidR="00E35A41" w:rsidRPr="00C453CC" w:rsidRDefault="00E35A41" w:rsidP="007C2A68">
      <w:pPr>
        <w:rPr>
          <w:iCs/>
        </w:rPr>
      </w:pPr>
    </w:p>
    <w:p w14:paraId="00000052" w14:textId="4A217D40" w:rsidR="005B0A9F" w:rsidRPr="00C453CC" w:rsidRDefault="0098340E" w:rsidP="007C2A68">
      <w:pPr>
        <w:pStyle w:val="ListParagraph"/>
        <w:numPr>
          <w:ilvl w:val="1"/>
          <w:numId w:val="29"/>
        </w:numPr>
        <w:ind w:left="0" w:firstLine="0"/>
      </w:pPr>
      <w:r w:rsidRPr="00C453CC">
        <w:lastRenderedPageBreak/>
        <w:t>Verify clones and recover plasmids.</w:t>
      </w:r>
    </w:p>
    <w:p w14:paraId="247D8C48" w14:textId="77777777" w:rsidR="00DA02C7" w:rsidRPr="00C453CC" w:rsidRDefault="00DA02C7" w:rsidP="007C2A68">
      <w:pPr>
        <w:pStyle w:val="ListParagraph"/>
        <w:ind w:left="0"/>
      </w:pPr>
    </w:p>
    <w:p w14:paraId="00000053" w14:textId="50DEF9BA" w:rsidR="005B0A9F" w:rsidRPr="00C453CC" w:rsidRDefault="0098340E" w:rsidP="007C2A68">
      <w:pPr>
        <w:pStyle w:val="ListParagraph"/>
        <w:numPr>
          <w:ilvl w:val="2"/>
          <w:numId w:val="29"/>
        </w:numPr>
        <w:ind w:left="0" w:firstLine="0"/>
      </w:pPr>
      <w:r w:rsidRPr="00C453CC">
        <w:t>Prepare a PCR master mix using forward and reverse primers</w:t>
      </w:r>
      <w:r w:rsidR="00A85350" w:rsidRPr="00C453CC">
        <w:t xml:space="preserve"> (</w:t>
      </w:r>
      <w:r w:rsidR="00A85350" w:rsidRPr="00C453CC">
        <w:rPr>
          <w:b/>
          <w:bCs/>
        </w:rPr>
        <w:t xml:space="preserve">Table of </w:t>
      </w:r>
      <w:proofErr w:type="gramStart"/>
      <w:r w:rsidR="00A85350" w:rsidRPr="00C453CC">
        <w:rPr>
          <w:b/>
          <w:bCs/>
        </w:rPr>
        <w:t>Materials</w:t>
      </w:r>
      <w:r w:rsidR="00A85350" w:rsidRPr="00C453CC">
        <w:t xml:space="preserve">) </w:t>
      </w:r>
      <w:r w:rsidRPr="00C453CC">
        <w:t xml:space="preserve"> that</w:t>
      </w:r>
      <w:proofErr w:type="gramEnd"/>
      <w:r w:rsidRPr="00C453CC">
        <w:t xml:space="preserve"> anneal to the vector, flanking the insert location. Aliquot 10 µL volumes into 0.2 mL PCR strip tubes.</w:t>
      </w:r>
    </w:p>
    <w:p w14:paraId="4E92E26B" w14:textId="77777777" w:rsidR="00DA02C7" w:rsidRPr="00C453CC" w:rsidRDefault="00DA02C7" w:rsidP="007C2A68">
      <w:pPr>
        <w:pStyle w:val="ListParagraph"/>
        <w:ind w:left="0"/>
      </w:pPr>
    </w:p>
    <w:p w14:paraId="00000055" w14:textId="4B05ED15" w:rsidR="005B0A9F" w:rsidRPr="00C453CC" w:rsidRDefault="0098340E" w:rsidP="007C2A68">
      <w:pPr>
        <w:pStyle w:val="ListParagraph"/>
        <w:numPr>
          <w:ilvl w:val="2"/>
          <w:numId w:val="29"/>
        </w:numPr>
        <w:ind w:left="0" w:firstLine="0"/>
      </w:pPr>
      <w:r w:rsidRPr="00C453CC">
        <w:t xml:space="preserve">In 14 mL </w:t>
      </w:r>
      <w:r w:rsidR="00E35A41" w:rsidRPr="00C453CC">
        <w:t>round-</w:t>
      </w:r>
      <w:r w:rsidRPr="00C453CC">
        <w:t xml:space="preserve">bottom tubes, prepare 5 mL aliquots of antibiotic selective LB broth, one for each colony </w:t>
      </w:r>
      <w:r w:rsidR="009A68EA" w:rsidRPr="00C453CC">
        <w:t>being tested</w:t>
      </w:r>
      <w:r w:rsidRPr="00C453CC">
        <w:t xml:space="preserve"> via PCR </w:t>
      </w:r>
      <w:r w:rsidR="00E35A41" w:rsidRPr="00C453CC">
        <w:t xml:space="preserve">and </w:t>
      </w:r>
      <w:r w:rsidRPr="00C453CC">
        <w:t>negative control.</w:t>
      </w:r>
    </w:p>
    <w:p w14:paraId="545FB87D" w14:textId="77777777" w:rsidR="00DA02C7" w:rsidRPr="00C453CC" w:rsidRDefault="00DA02C7" w:rsidP="007C2A68"/>
    <w:p w14:paraId="3EBEE774" w14:textId="77777777" w:rsidR="00B664C7" w:rsidRPr="00C453CC" w:rsidRDefault="0098340E" w:rsidP="007C2A68">
      <w:pPr>
        <w:pStyle w:val="ListParagraph"/>
        <w:numPr>
          <w:ilvl w:val="2"/>
          <w:numId w:val="29"/>
        </w:numPr>
        <w:ind w:left="0" w:firstLine="0"/>
      </w:pPr>
      <w:r w:rsidRPr="00C453CC">
        <w:t xml:space="preserve">Use a sterile toothpick or pipette tip to pick an individual colony and roughly scrape the colony down into the bottom of one PCR tube. </w:t>
      </w:r>
    </w:p>
    <w:p w14:paraId="69FEB0B1" w14:textId="77777777" w:rsidR="00B664C7" w:rsidRPr="00C453CC" w:rsidRDefault="00B664C7" w:rsidP="002F6129">
      <w:pPr>
        <w:pStyle w:val="ListParagraph"/>
      </w:pPr>
    </w:p>
    <w:p w14:paraId="00000056" w14:textId="3D249041" w:rsidR="005B0A9F" w:rsidRPr="00C453CC" w:rsidRDefault="0098340E" w:rsidP="007C2A68">
      <w:pPr>
        <w:pStyle w:val="ListParagraph"/>
        <w:numPr>
          <w:ilvl w:val="2"/>
          <w:numId w:val="29"/>
        </w:numPr>
        <w:ind w:left="0" w:firstLine="0"/>
      </w:pPr>
      <w:r w:rsidRPr="00C453CC">
        <w:t>When the colony has dissociated into the PCR master mix, drop the toothpick or tip into one of the LB aliquots and label the 14 mL tube with the Gibson reaction and the PCR tube number.</w:t>
      </w:r>
    </w:p>
    <w:p w14:paraId="5F04E96C" w14:textId="77777777" w:rsidR="00DA02C7" w:rsidRPr="00C453CC" w:rsidRDefault="00DA02C7" w:rsidP="007C2A68"/>
    <w:p w14:paraId="1C0B7405" w14:textId="5D7D7A74" w:rsidR="00DA02C7" w:rsidRPr="00C453CC" w:rsidRDefault="0098340E" w:rsidP="007C2A68">
      <w:pPr>
        <w:pStyle w:val="ListParagraph"/>
        <w:numPr>
          <w:ilvl w:val="2"/>
          <w:numId w:val="29"/>
        </w:numPr>
        <w:ind w:left="0" w:firstLine="0"/>
      </w:pPr>
      <w:r w:rsidRPr="00C453CC">
        <w:t>Place the colony PCR reactions on a thermal cycler and cycle with the program</w:t>
      </w:r>
      <w:r w:rsidR="009101E8" w:rsidRPr="00C453CC">
        <w:t xml:space="preserve"> described in </w:t>
      </w:r>
      <w:r w:rsidR="009101E8" w:rsidRPr="00C453CC">
        <w:rPr>
          <w:b/>
          <w:bCs/>
        </w:rPr>
        <w:t>Table 2</w:t>
      </w:r>
      <w:r w:rsidR="009101E8" w:rsidRPr="00C453CC">
        <w:t>.</w:t>
      </w:r>
    </w:p>
    <w:p w14:paraId="32D0E049" w14:textId="77777777" w:rsidR="00DA02C7" w:rsidRPr="00C453CC" w:rsidRDefault="00DA02C7" w:rsidP="007C2A68"/>
    <w:p w14:paraId="0000005D" w14:textId="22965F4E" w:rsidR="005B0A9F" w:rsidRPr="00C453CC" w:rsidRDefault="0098340E" w:rsidP="007C2A68">
      <w:pPr>
        <w:pStyle w:val="ListParagraph"/>
        <w:numPr>
          <w:ilvl w:val="2"/>
          <w:numId w:val="29"/>
        </w:numPr>
        <w:ind w:left="0" w:firstLine="0"/>
      </w:pPr>
      <w:r w:rsidRPr="00C453CC">
        <w:t>Incubate</w:t>
      </w:r>
      <w:r w:rsidR="00B664C7" w:rsidRPr="00C453CC">
        <w:t xml:space="preserve"> the</w:t>
      </w:r>
      <w:r w:rsidRPr="00C453CC">
        <w:t xml:space="preserve"> 5 mL liquid cultures inoculated with toothpicks or pipet</w:t>
      </w:r>
      <w:r w:rsidR="00B664C7" w:rsidRPr="00C453CC">
        <w:t>te</w:t>
      </w:r>
      <w:r w:rsidRPr="00C453CC">
        <w:t xml:space="preserve"> tips </w:t>
      </w:r>
      <w:r w:rsidR="009A68EA" w:rsidRPr="00C453CC">
        <w:t>in a shaking incubator set to</w:t>
      </w:r>
      <w:r w:rsidRPr="00C453CC">
        <w:t xml:space="preserve"> 37 °C </w:t>
      </w:r>
      <w:r w:rsidR="009A68EA" w:rsidRPr="00C453CC">
        <w:t>and</w:t>
      </w:r>
      <w:r w:rsidRPr="00C453CC">
        <w:t xml:space="preserve"> 180 RPM.</w:t>
      </w:r>
    </w:p>
    <w:p w14:paraId="6EBF9B5C" w14:textId="77777777" w:rsidR="00DA02C7" w:rsidRPr="00C453CC" w:rsidRDefault="00DA02C7" w:rsidP="007C2A68">
      <w:pPr>
        <w:pStyle w:val="ListParagraph"/>
        <w:ind w:left="0"/>
      </w:pPr>
    </w:p>
    <w:p w14:paraId="0000005E" w14:textId="5308D313" w:rsidR="005B0A9F" w:rsidRPr="00C453CC" w:rsidRDefault="0098340E" w:rsidP="007C2A68">
      <w:pPr>
        <w:pStyle w:val="ListParagraph"/>
        <w:numPr>
          <w:ilvl w:val="2"/>
          <w:numId w:val="29"/>
        </w:numPr>
        <w:ind w:left="0" w:firstLine="0"/>
      </w:pPr>
      <w:r w:rsidRPr="00C453CC">
        <w:t>Run the colony PCR reactions on a 0.7</w:t>
      </w:r>
      <w:r w:rsidR="00E35A41" w:rsidRPr="00C453CC">
        <w:t>%–</w:t>
      </w:r>
      <w:r w:rsidRPr="00C453CC">
        <w:t xml:space="preserve">1% agarose gel </w:t>
      </w:r>
      <w:r w:rsidR="009A68EA" w:rsidRPr="00C453CC">
        <w:t>at 100 V for 30</w:t>
      </w:r>
      <w:r w:rsidR="00E35A41" w:rsidRPr="00C453CC">
        <w:t>–</w:t>
      </w:r>
      <w:r w:rsidR="009A68EA" w:rsidRPr="00C453CC">
        <w:t xml:space="preserve">60 min </w:t>
      </w:r>
      <w:r w:rsidRPr="00C453CC">
        <w:t>and visualize the bands</w:t>
      </w:r>
      <w:r w:rsidR="009101E8" w:rsidRPr="00C453CC">
        <w:t xml:space="preserve"> in a gel doc imaging system</w:t>
      </w:r>
      <w:r w:rsidR="009A68EA" w:rsidRPr="00C453CC">
        <w:t>.</w:t>
      </w:r>
      <w:r w:rsidRPr="00C453CC">
        <w:t xml:space="preserve"> </w:t>
      </w:r>
    </w:p>
    <w:p w14:paraId="7AFF25F8" w14:textId="77777777" w:rsidR="00DA02C7" w:rsidRPr="00C453CC" w:rsidRDefault="00DA02C7" w:rsidP="007C2A68"/>
    <w:p w14:paraId="0000005F" w14:textId="3DEBED57" w:rsidR="005B0A9F" w:rsidRPr="00C453CC" w:rsidRDefault="0098340E" w:rsidP="007C2A68">
      <w:pPr>
        <w:pStyle w:val="ListParagraph"/>
        <w:numPr>
          <w:ilvl w:val="2"/>
          <w:numId w:val="29"/>
        </w:numPr>
        <w:ind w:left="0" w:firstLine="0"/>
      </w:pPr>
      <w:r w:rsidRPr="00C453CC">
        <w:t xml:space="preserve">Discard </w:t>
      </w:r>
      <w:r w:rsidR="00B664C7" w:rsidRPr="00C453CC">
        <w:t xml:space="preserve">the </w:t>
      </w:r>
      <w:r w:rsidRPr="00C453CC">
        <w:t>5 mL cultures that do not display the predicted PCR band.</w:t>
      </w:r>
    </w:p>
    <w:p w14:paraId="154C33C4" w14:textId="77777777" w:rsidR="00DA02C7" w:rsidRPr="00C453CC" w:rsidRDefault="00DA02C7" w:rsidP="007C2A68"/>
    <w:p w14:paraId="00000060" w14:textId="3F011A7E" w:rsidR="005B0A9F" w:rsidRPr="00C453CC" w:rsidRDefault="0098340E" w:rsidP="007C2A68">
      <w:pPr>
        <w:pStyle w:val="ListParagraph"/>
        <w:numPr>
          <w:ilvl w:val="2"/>
          <w:numId w:val="29"/>
        </w:numPr>
        <w:ind w:left="0" w:firstLine="0"/>
      </w:pPr>
      <w:r w:rsidRPr="00C453CC">
        <w:t>For each successfully integrated clone, allow the 5 mL cultures to grow overnight and then perform a plasmid mini prep from 4.5 mL using a commercial kit. Reserve 0.5 mL of</w:t>
      </w:r>
      <w:r w:rsidR="00E35A41" w:rsidRPr="00C453CC">
        <w:t xml:space="preserve"> the</w:t>
      </w:r>
      <w:r w:rsidRPr="00C453CC">
        <w:t xml:space="preserve"> liquid culture and save at -80 °C as a glycerol stock.</w:t>
      </w:r>
    </w:p>
    <w:p w14:paraId="0ABED9DA" w14:textId="77777777" w:rsidR="00DA02C7" w:rsidRPr="00C453CC" w:rsidRDefault="00DA02C7" w:rsidP="007C2A68"/>
    <w:p w14:paraId="00000061" w14:textId="14967278" w:rsidR="005B0A9F" w:rsidRPr="00C453CC" w:rsidRDefault="0098340E" w:rsidP="007C2A68">
      <w:pPr>
        <w:pStyle w:val="ListParagraph"/>
        <w:numPr>
          <w:ilvl w:val="2"/>
          <w:numId w:val="29"/>
        </w:numPr>
        <w:ind w:left="0" w:firstLine="0"/>
      </w:pPr>
      <w:r w:rsidRPr="00C453CC">
        <w:t xml:space="preserve">Confirm </w:t>
      </w:r>
      <w:r w:rsidR="00FF750A" w:rsidRPr="00C453CC">
        <w:t xml:space="preserve">that </w:t>
      </w:r>
      <w:r w:rsidRPr="00C453CC">
        <w:t xml:space="preserve">the </w:t>
      </w:r>
      <w:r w:rsidR="009A68EA" w:rsidRPr="00C453CC">
        <w:t xml:space="preserve">transgenes contained within the </w:t>
      </w:r>
      <w:r w:rsidRPr="00C453CC">
        <w:t>plasmids are free of undesirable mutations using Sanger sequencing</w:t>
      </w:r>
      <w:r w:rsidR="00E15E9C" w:rsidRPr="00C453CC">
        <w:rPr>
          <w:vertAlign w:val="superscript"/>
        </w:rPr>
        <w:t>42</w:t>
      </w:r>
      <w:r w:rsidRPr="00C453CC">
        <w:t>.</w:t>
      </w:r>
    </w:p>
    <w:p w14:paraId="7579F292" w14:textId="77777777" w:rsidR="00DA02C7" w:rsidRPr="00C453CC" w:rsidRDefault="00DA02C7" w:rsidP="007C2A68"/>
    <w:p w14:paraId="123F7F7D" w14:textId="620662DF" w:rsidR="009B4B36" w:rsidRPr="00C453CC" w:rsidRDefault="009A68EA" w:rsidP="007C2A68">
      <w:pPr>
        <w:pStyle w:val="ListParagraph"/>
        <w:numPr>
          <w:ilvl w:val="2"/>
          <w:numId w:val="29"/>
        </w:numPr>
        <w:ind w:left="0" w:firstLine="0"/>
        <w:rPr>
          <w:highlight w:val="yellow"/>
        </w:rPr>
      </w:pPr>
      <w:r w:rsidRPr="00C453CC">
        <w:rPr>
          <w:highlight w:val="yellow"/>
        </w:rPr>
        <w:t xml:space="preserve">After the reporter construct has been confirmed to be successfully cloned, use the saved </w:t>
      </w:r>
      <w:r w:rsidR="0098340E" w:rsidRPr="00C453CC">
        <w:rPr>
          <w:highlight w:val="yellow"/>
        </w:rPr>
        <w:t xml:space="preserve">glycerol stock </w:t>
      </w:r>
      <w:r w:rsidRPr="00C453CC">
        <w:rPr>
          <w:highlight w:val="yellow"/>
        </w:rPr>
        <w:t xml:space="preserve">to inoculate a 5 mL starter culture and grow </w:t>
      </w:r>
      <w:r w:rsidR="00FF750A" w:rsidRPr="00C453CC">
        <w:rPr>
          <w:highlight w:val="yellow"/>
        </w:rPr>
        <w:t xml:space="preserve">for </w:t>
      </w:r>
      <w:r w:rsidRPr="00C453CC">
        <w:rPr>
          <w:highlight w:val="yellow"/>
        </w:rPr>
        <w:t>8</w:t>
      </w:r>
      <w:r w:rsidR="00FF750A" w:rsidRPr="00C453CC">
        <w:rPr>
          <w:highlight w:val="yellow"/>
        </w:rPr>
        <w:t>–</w:t>
      </w:r>
      <w:r w:rsidRPr="00C453CC">
        <w:rPr>
          <w:highlight w:val="yellow"/>
        </w:rPr>
        <w:t>16 h</w:t>
      </w:r>
      <w:r w:rsidR="0098340E" w:rsidRPr="00C453CC">
        <w:rPr>
          <w:highlight w:val="yellow"/>
        </w:rPr>
        <w:t xml:space="preserve"> in </w:t>
      </w:r>
      <w:r w:rsidRPr="00C453CC">
        <w:rPr>
          <w:highlight w:val="yellow"/>
        </w:rPr>
        <w:t>a shaking incubator at 30 °C and</w:t>
      </w:r>
      <w:r w:rsidR="0098340E" w:rsidRPr="00C453CC">
        <w:rPr>
          <w:highlight w:val="yellow"/>
        </w:rPr>
        <w:t xml:space="preserve"> 180 RPM</w:t>
      </w:r>
      <w:r w:rsidRPr="00C453CC">
        <w:rPr>
          <w:highlight w:val="yellow"/>
        </w:rPr>
        <w:t>.</w:t>
      </w:r>
    </w:p>
    <w:p w14:paraId="698A02E4" w14:textId="77777777" w:rsidR="00DA02C7" w:rsidRPr="00C453CC" w:rsidRDefault="00DA02C7" w:rsidP="007C2A68">
      <w:pPr>
        <w:rPr>
          <w:highlight w:val="yellow"/>
        </w:rPr>
      </w:pPr>
    </w:p>
    <w:p w14:paraId="00000065" w14:textId="5F5196B8" w:rsidR="005B0A9F" w:rsidRPr="00C453CC" w:rsidRDefault="009A68EA" w:rsidP="007C2A68">
      <w:pPr>
        <w:pStyle w:val="ListParagraph"/>
        <w:numPr>
          <w:ilvl w:val="2"/>
          <w:numId w:val="29"/>
        </w:numPr>
        <w:ind w:left="0" w:firstLine="0"/>
        <w:rPr>
          <w:highlight w:val="yellow"/>
        </w:rPr>
      </w:pPr>
      <w:bookmarkStart w:id="6" w:name="_Hlk84339852"/>
      <w:r w:rsidRPr="00C453CC">
        <w:rPr>
          <w:highlight w:val="yellow"/>
        </w:rPr>
        <w:t xml:space="preserve">Once the </w:t>
      </w:r>
      <w:r w:rsidR="0098340E" w:rsidRPr="00C453CC">
        <w:rPr>
          <w:highlight w:val="yellow"/>
        </w:rPr>
        <w:t xml:space="preserve">broth is cloudy, dilute </w:t>
      </w:r>
      <w:r w:rsidRPr="00C453CC">
        <w:rPr>
          <w:highlight w:val="yellow"/>
        </w:rPr>
        <w:t>the starter culture</w:t>
      </w:r>
      <w:r w:rsidR="0098340E" w:rsidRPr="00C453CC">
        <w:rPr>
          <w:highlight w:val="yellow"/>
        </w:rPr>
        <w:t xml:space="preserve"> 1,000x in 250</w:t>
      </w:r>
      <w:r w:rsidR="00FF750A" w:rsidRPr="00C453CC">
        <w:rPr>
          <w:highlight w:val="yellow"/>
        </w:rPr>
        <w:t>–</w:t>
      </w:r>
      <w:r w:rsidR="0098340E" w:rsidRPr="00C453CC">
        <w:rPr>
          <w:highlight w:val="yellow"/>
        </w:rPr>
        <w:t xml:space="preserve">300 mL </w:t>
      </w:r>
      <w:r w:rsidRPr="00C453CC">
        <w:rPr>
          <w:highlight w:val="yellow"/>
        </w:rPr>
        <w:t xml:space="preserve">of </w:t>
      </w:r>
      <w:r w:rsidR="0098340E" w:rsidRPr="00C453CC">
        <w:rPr>
          <w:highlight w:val="yellow"/>
        </w:rPr>
        <w:t xml:space="preserve">fresh selective LB broth and incubate at </w:t>
      </w:r>
      <w:r w:rsidRPr="00C453CC">
        <w:rPr>
          <w:highlight w:val="yellow"/>
        </w:rPr>
        <w:t>least overnight in a shaking incubator at 30</w:t>
      </w:r>
      <w:r w:rsidR="0098340E" w:rsidRPr="00C453CC">
        <w:rPr>
          <w:highlight w:val="yellow"/>
        </w:rPr>
        <w:t xml:space="preserve"> °C and 180 RPM</w:t>
      </w:r>
      <w:r w:rsidR="00FF750A" w:rsidRPr="00C453CC">
        <w:rPr>
          <w:highlight w:val="yellow"/>
        </w:rPr>
        <w:t>. T</w:t>
      </w:r>
      <w:r w:rsidR="002F6A8C" w:rsidRPr="00C453CC">
        <w:rPr>
          <w:highlight w:val="yellow"/>
        </w:rPr>
        <w:t>hen purify</w:t>
      </w:r>
      <w:r w:rsidR="0098340E" w:rsidRPr="00C453CC">
        <w:rPr>
          <w:highlight w:val="yellow"/>
        </w:rPr>
        <w:t xml:space="preserve"> the </w:t>
      </w:r>
      <w:r w:rsidR="002F6A8C" w:rsidRPr="00C453CC">
        <w:rPr>
          <w:highlight w:val="yellow"/>
        </w:rPr>
        <w:t>plasmid</w:t>
      </w:r>
      <w:r w:rsidR="0098340E" w:rsidRPr="00C453CC">
        <w:rPr>
          <w:highlight w:val="yellow"/>
        </w:rPr>
        <w:t xml:space="preserve"> using a commercial plasmid maxi kit</w:t>
      </w:r>
      <w:r w:rsidRPr="00C453CC">
        <w:rPr>
          <w:highlight w:val="yellow"/>
        </w:rPr>
        <w:t>.</w:t>
      </w:r>
    </w:p>
    <w:p w14:paraId="7E15EDEC" w14:textId="77777777" w:rsidR="00DA02C7" w:rsidRPr="00C453CC" w:rsidRDefault="00DA02C7" w:rsidP="007C2A68"/>
    <w:p w14:paraId="226EE8EA" w14:textId="4F2CDF32" w:rsidR="009B4B36" w:rsidRPr="00C453CC" w:rsidRDefault="0089284C" w:rsidP="007C2A68">
      <w:pPr>
        <w:rPr>
          <w:iCs/>
        </w:rPr>
      </w:pPr>
      <w:r w:rsidRPr="00C453CC">
        <w:rPr>
          <w:iCs/>
        </w:rPr>
        <w:t>NOTE</w:t>
      </w:r>
      <w:r w:rsidR="009A68EA" w:rsidRPr="00C453CC">
        <w:rPr>
          <w:iCs/>
        </w:rPr>
        <w:t>: Bacteria will grow more slowly at 30 °C compared to 37 °C, but this is the best temperature for slowing the rate of spontaneous recombination when growing large cultures.</w:t>
      </w:r>
    </w:p>
    <w:p w14:paraId="077B68F2" w14:textId="77777777" w:rsidR="00DA02C7" w:rsidRPr="00C453CC" w:rsidRDefault="00DA02C7" w:rsidP="007C2A68">
      <w:pPr>
        <w:rPr>
          <w:i/>
        </w:rPr>
      </w:pPr>
    </w:p>
    <w:p w14:paraId="26D1485E" w14:textId="511EF1A3" w:rsidR="00B664C7" w:rsidRPr="002F6129" w:rsidRDefault="0098340E" w:rsidP="007C2A68">
      <w:pPr>
        <w:pStyle w:val="ListParagraph"/>
        <w:numPr>
          <w:ilvl w:val="2"/>
          <w:numId w:val="29"/>
        </w:numPr>
        <w:ind w:left="0" w:firstLine="0"/>
        <w:rPr>
          <w:highlight w:val="yellow"/>
        </w:rPr>
      </w:pPr>
      <w:bookmarkStart w:id="7" w:name="_Hlk84339724"/>
      <w:bookmarkEnd w:id="6"/>
      <w:r w:rsidRPr="00C453CC">
        <w:rPr>
          <w:highlight w:val="yellow"/>
        </w:rPr>
        <w:t xml:space="preserve">Perform an </w:t>
      </w:r>
      <w:proofErr w:type="spellStart"/>
      <w:r w:rsidRPr="00C453CC">
        <w:rPr>
          <w:highlight w:val="yellow"/>
        </w:rPr>
        <w:t>XmaI</w:t>
      </w:r>
      <w:proofErr w:type="spellEnd"/>
      <w:r w:rsidRPr="00C453CC">
        <w:rPr>
          <w:highlight w:val="yellow"/>
        </w:rPr>
        <w:t xml:space="preserve"> digest to test for recombination of the ITRs</w:t>
      </w:r>
      <w:r w:rsidR="009101E8" w:rsidRPr="00C453CC">
        <w:rPr>
          <w:highlight w:val="yellow"/>
        </w:rPr>
        <w:t xml:space="preserve"> using steps 1.4.2</w:t>
      </w:r>
      <w:r w:rsidR="00B664C7" w:rsidRPr="00C453CC">
        <w:rPr>
          <w:highlight w:val="yellow"/>
        </w:rPr>
        <w:t>–</w:t>
      </w:r>
      <w:r w:rsidR="009101E8" w:rsidRPr="00C453CC">
        <w:rPr>
          <w:highlight w:val="yellow"/>
        </w:rPr>
        <w:t>1.4.</w:t>
      </w:r>
      <w:r w:rsidR="00B664C7" w:rsidRPr="00C453CC">
        <w:rPr>
          <w:highlight w:val="yellow"/>
        </w:rPr>
        <w:t>5</w:t>
      </w:r>
      <w:r w:rsidR="009101E8" w:rsidRPr="00C453CC">
        <w:rPr>
          <w:highlight w:val="yellow"/>
        </w:rPr>
        <w:t xml:space="preserve">, substituting </w:t>
      </w:r>
      <w:proofErr w:type="spellStart"/>
      <w:r w:rsidR="009101E8" w:rsidRPr="00C453CC">
        <w:rPr>
          <w:highlight w:val="yellow"/>
        </w:rPr>
        <w:t>XmaI</w:t>
      </w:r>
      <w:proofErr w:type="spellEnd"/>
      <w:r w:rsidR="009101E8" w:rsidRPr="00C453CC">
        <w:rPr>
          <w:highlight w:val="yellow"/>
        </w:rPr>
        <w:t xml:space="preserve"> instead of </w:t>
      </w:r>
      <w:proofErr w:type="spellStart"/>
      <w:r w:rsidR="009101E8" w:rsidRPr="00C453CC">
        <w:rPr>
          <w:highlight w:val="yellow"/>
        </w:rPr>
        <w:t>PacI</w:t>
      </w:r>
      <w:proofErr w:type="spellEnd"/>
      <w:r w:rsidR="009101E8" w:rsidRPr="00C453CC">
        <w:rPr>
          <w:highlight w:val="yellow"/>
        </w:rPr>
        <w:t xml:space="preserve"> and </w:t>
      </w:r>
      <w:proofErr w:type="spellStart"/>
      <w:r w:rsidR="009101E8" w:rsidRPr="00C453CC">
        <w:rPr>
          <w:highlight w:val="yellow"/>
        </w:rPr>
        <w:t>AscI</w:t>
      </w:r>
      <w:proofErr w:type="spellEnd"/>
      <w:r w:rsidR="009A68EA" w:rsidRPr="00C453CC">
        <w:rPr>
          <w:highlight w:val="yellow"/>
        </w:rPr>
        <w:t>.</w:t>
      </w:r>
      <w:r w:rsidR="000828BE" w:rsidRPr="00C453CC">
        <w:rPr>
          <w:highlight w:val="yellow"/>
        </w:rPr>
        <w:t xml:space="preserve"> Visualize the bands on a gel doc imaging system</w:t>
      </w:r>
      <w:r w:rsidR="009A68EA" w:rsidRPr="00C453CC">
        <w:rPr>
          <w:highlight w:val="yellow"/>
        </w:rPr>
        <w:t>.</w:t>
      </w:r>
      <w:r w:rsidRPr="002F6129">
        <w:t xml:space="preserve"> </w:t>
      </w:r>
    </w:p>
    <w:p w14:paraId="10DADF75" w14:textId="77777777" w:rsidR="00B664C7" w:rsidRPr="00C453CC" w:rsidRDefault="00B664C7" w:rsidP="00B664C7">
      <w:pPr>
        <w:pStyle w:val="ListParagraph"/>
        <w:ind w:left="0"/>
      </w:pPr>
    </w:p>
    <w:p w14:paraId="351AB2B0" w14:textId="1B5C96FA" w:rsidR="009B4B36" w:rsidRPr="00C453CC" w:rsidRDefault="00B664C7" w:rsidP="002F6129">
      <w:pPr>
        <w:pStyle w:val="ListParagraph"/>
        <w:ind w:left="0"/>
      </w:pPr>
      <w:r w:rsidRPr="00C453CC">
        <w:t xml:space="preserve">NOTE: </w:t>
      </w:r>
      <w:r w:rsidR="0098340E" w:rsidRPr="002F6129">
        <w:t xml:space="preserve">An </w:t>
      </w:r>
      <w:proofErr w:type="spellStart"/>
      <w:r w:rsidR="0098340E" w:rsidRPr="002F6129">
        <w:t>rAAV</w:t>
      </w:r>
      <w:proofErr w:type="spellEnd"/>
      <w:r w:rsidR="0098340E" w:rsidRPr="002F6129">
        <w:t xml:space="preserve"> plasmid with both ITRs present will yield two bands on a gel following this digest: one the length of the </w:t>
      </w:r>
      <w:proofErr w:type="spellStart"/>
      <w:r w:rsidR="0098340E" w:rsidRPr="002F6129">
        <w:t>rAAV</w:t>
      </w:r>
      <w:proofErr w:type="spellEnd"/>
      <w:r w:rsidR="0098340E" w:rsidRPr="002F6129">
        <w:t xml:space="preserve"> genome and the other the length of the rest of the plasmid backbone. If there is only one band, then the ITRs have undergone homologous recombination, and </w:t>
      </w:r>
      <w:r w:rsidR="009A68EA" w:rsidRPr="002F6129">
        <w:t>the</w:t>
      </w:r>
      <w:r w:rsidR="0098340E" w:rsidRPr="002F6129">
        <w:t xml:space="preserve"> </w:t>
      </w:r>
      <w:proofErr w:type="spellStart"/>
      <w:r w:rsidR="0098340E" w:rsidRPr="002F6129">
        <w:t>rAAV</w:t>
      </w:r>
      <w:proofErr w:type="spellEnd"/>
      <w:r w:rsidR="0098340E" w:rsidRPr="002F6129">
        <w:t xml:space="preserve"> plasmid will not be capable of packaging viral particles</w:t>
      </w:r>
      <w:r w:rsidR="009A68EA" w:rsidRPr="002F6129">
        <w:t>.</w:t>
      </w:r>
      <w:r w:rsidRPr="00C453CC">
        <w:t xml:space="preserve"> </w:t>
      </w:r>
      <w:r w:rsidR="009A68EA" w:rsidRPr="00C453CC">
        <w:t xml:space="preserve">The </w:t>
      </w:r>
      <w:proofErr w:type="spellStart"/>
      <w:r w:rsidR="009A68EA" w:rsidRPr="00C453CC">
        <w:t>rAAV</w:t>
      </w:r>
      <w:proofErr w:type="spellEnd"/>
      <w:r w:rsidR="009A68EA" w:rsidRPr="00C453CC">
        <w:t xml:space="preserve"> plasmid backbone described here has been designed so that only </w:t>
      </w:r>
      <w:proofErr w:type="spellStart"/>
      <w:r w:rsidR="009A68EA" w:rsidRPr="00C453CC">
        <w:t>XmaI</w:t>
      </w:r>
      <w:proofErr w:type="spellEnd"/>
      <w:r w:rsidR="009A68EA" w:rsidRPr="00C453CC">
        <w:t xml:space="preserve"> sites occur in the ITRs. If the enhancer candidate insert also contains any </w:t>
      </w:r>
      <w:proofErr w:type="spellStart"/>
      <w:r w:rsidR="009A68EA" w:rsidRPr="00C453CC">
        <w:t>XmaI</w:t>
      </w:r>
      <w:proofErr w:type="spellEnd"/>
      <w:r w:rsidR="009A68EA" w:rsidRPr="00C453CC">
        <w:t xml:space="preserve"> sites, update the predicted band results and analysis accordingly.</w:t>
      </w:r>
    </w:p>
    <w:bookmarkEnd w:id="7"/>
    <w:p w14:paraId="5C45CFD8" w14:textId="77777777" w:rsidR="009B4B36" w:rsidRPr="00C453CC" w:rsidRDefault="009B4B36" w:rsidP="007C2A68"/>
    <w:p w14:paraId="7D437D5D" w14:textId="22224F04" w:rsidR="009B4B36" w:rsidRPr="00C453CC" w:rsidRDefault="009A68EA" w:rsidP="007C2A68">
      <w:pPr>
        <w:pStyle w:val="ListParagraph"/>
        <w:numPr>
          <w:ilvl w:val="0"/>
          <w:numId w:val="29"/>
        </w:numPr>
        <w:ind w:left="0" w:firstLine="0"/>
        <w:rPr>
          <w:b/>
        </w:rPr>
      </w:pPr>
      <w:r w:rsidRPr="00C453CC">
        <w:rPr>
          <w:b/>
        </w:rPr>
        <w:t xml:space="preserve">Obtain packaged </w:t>
      </w:r>
      <w:proofErr w:type="spellStart"/>
      <w:r w:rsidRPr="00C453CC">
        <w:rPr>
          <w:b/>
        </w:rPr>
        <w:t>rAAV</w:t>
      </w:r>
      <w:proofErr w:type="spellEnd"/>
      <w:r w:rsidRPr="00C453CC">
        <w:rPr>
          <w:b/>
        </w:rPr>
        <w:t>.</w:t>
      </w:r>
    </w:p>
    <w:p w14:paraId="1056BBFD" w14:textId="5AD7A680" w:rsidR="00DA02C7" w:rsidRPr="00C453CC" w:rsidRDefault="00DA02C7" w:rsidP="007C2A68">
      <w:pPr>
        <w:pStyle w:val="ListParagraph"/>
        <w:ind w:left="0"/>
        <w:rPr>
          <w:b/>
          <w:u w:val="single"/>
        </w:rPr>
      </w:pPr>
    </w:p>
    <w:p w14:paraId="1E1B71B1" w14:textId="3750D8A5" w:rsidR="00B664C7" w:rsidRPr="002F6129" w:rsidRDefault="00B664C7" w:rsidP="002F6129">
      <w:pPr>
        <w:pStyle w:val="ListParagraph"/>
        <w:numPr>
          <w:ilvl w:val="1"/>
          <w:numId w:val="29"/>
        </w:numPr>
        <w:ind w:left="0" w:firstLine="0"/>
        <w:rPr>
          <w:bCs/>
        </w:rPr>
      </w:pPr>
      <w:r w:rsidRPr="002F6129">
        <w:rPr>
          <w:bCs/>
        </w:rPr>
        <w:t xml:space="preserve">Use packaged </w:t>
      </w:r>
      <w:proofErr w:type="spellStart"/>
      <w:r w:rsidRPr="002F6129">
        <w:rPr>
          <w:bCs/>
        </w:rPr>
        <w:t>rAAV</w:t>
      </w:r>
      <w:proofErr w:type="spellEnd"/>
      <w:r w:rsidRPr="002F6129">
        <w:rPr>
          <w:bCs/>
        </w:rPr>
        <w:t xml:space="preserve"> (</w:t>
      </w:r>
      <w:r w:rsidRPr="00C453CC">
        <w:rPr>
          <w:bCs/>
          <w:iCs/>
        </w:rPr>
        <w:t>professionally or in-house) for the experiments in this study.</w:t>
      </w:r>
      <w:r w:rsidRPr="002F6129">
        <w:rPr>
          <w:bCs/>
        </w:rPr>
        <w:t xml:space="preserve"> </w:t>
      </w:r>
    </w:p>
    <w:p w14:paraId="6FD9EC61" w14:textId="77777777" w:rsidR="00B664C7" w:rsidRPr="00C453CC" w:rsidRDefault="00B664C7" w:rsidP="002F6129">
      <w:pPr>
        <w:pStyle w:val="ListParagraph"/>
        <w:ind w:left="790"/>
        <w:rPr>
          <w:b/>
          <w:u w:val="single"/>
        </w:rPr>
      </w:pPr>
    </w:p>
    <w:p w14:paraId="212D4835" w14:textId="7F2C149D" w:rsidR="009B4B36" w:rsidRPr="00C453CC" w:rsidRDefault="0089284C" w:rsidP="009F16C6">
      <w:pPr>
        <w:rPr>
          <w:iCs/>
        </w:rPr>
      </w:pPr>
      <w:bookmarkStart w:id="8" w:name="_Hlk84339585"/>
      <w:r w:rsidRPr="00C453CC">
        <w:rPr>
          <w:iCs/>
        </w:rPr>
        <w:t>NOTE</w:t>
      </w:r>
      <w:r w:rsidR="009A68EA" w:rsidRPr="00C453CC">
        <w:rPr>
          <w:iCs/>
        </w:rPr>
        <w:t xml:space="preserve">: There are many options for packaging an </w:t>
      </w:r>
      <w:proofErr w:type="spellStart"/>
      <w:r w:rsidR="009A68EA" w:rsidRPr="00C453CC">
        <w:rPr>
          <w:iCs/>
        </w:rPr>
        <w:t>rAAV</w:t>
      </w:r>
      <w:proofErr w:type="spellEnd"/>
      <w:r w:rsidR="009A68EA" w:rsidRPr="00C453CC">
        <w:rPr>
          <w:iCs/>
        </w:rPr>
        <w:t xml:space="preserve">. An </w:t>
      </w:r>
      <w:proofErr w:type="spellStart"/>
      <w:r w:rsidR="009A68EA" w:rsidRPr="00C453CC">
        <w:rPr>
          <w:iCs/>
        </w:rPr>
        <w:t>rAAV</w:t>
      </w:r>
      <w:proofErr w:type="spellEnd"/>
      <w:r w:rsidR="009A68EA" w:rsidRPr="00C453CC">
        <w:rPr>
          <w:iCs/>
        </w:rPr>
        <w:t xml:space="preserve"> can be professionally packaged at a company or a university core facility. The </w:t>
      </w:r>
      <w:proofErr w:type="spellStart"/>
      <w:r w:rsidR="009A68EA" w:rsidRPr="00C453CC">
        <w:rPr>
          <w:iCs/>
        </w:rPr>
        <w:t>rAAV</w:t>
      </w:r>
      <w:proofErr w:type="spellEnd"/>
      <w:r w:rsidR="009A68EA" w:rsidRPr="00C453CC">
        <w:rPr>
          <w:iCs/>
        </w:rPr>
        <w:t xml:space="preserve"> can also be packaged in-house using different techniques that range in complexity and need for specialized equipment</w:t>
      </w:r>
      <w:r w:rsidR="00E15E9C" w:rsidRPr="00C453CC">
        <w:rPr>
          <w:vertAlign w:val="superscript"/>
        </w:rPr>
        <w:t>43,44</w:t>
      </w:r>
      <w:r w:rsidR="009A68EA" w:rsidRPr="00C453CC">
        <w:rPr>
          <w:i/>
        </w:rPr>
        <w:t xml:space="preserve">. </w:t>
      </w:r>
      <w:r w:rsidR="009A68EA" w:rsidRPr="00C453CC">
        <w:rPr>
          <w:iCs/>
        </w:rPr>
        <w:t>The</w:t>
      </w:r>
      <w:r w:rsidR="009A68EA" w:rsidRPr="00C453CC">
        <w:rPr>
          <w:i/>
        </w:rPr>
        <w:t xml:space="preserve"> </w:t>
      </w:r>
      <w:r w:rsidR="009A68EA" w:rsidRPr="00C453CC">
        <w:rPr>
          <w:iCs/>
        </w:rPr>
        <w:t>primary concern is obtaining a vector that is high quality and that the infectious titer has been determined to a high degree of certainty.</w:t>
      </w:r>
      <w:r w:rsidR="000828BE" w:rsidRPr="00C453CC">
        <w:rPr>
          <w:iCs/>
        </w:rPr>
        <w:t xml:space="preserve"> Both professionally packaged and in-house packaged </w:t>
      </w:r>
      <w:proofErr w:type="spellStart"/>
      <w:r w:rsidR="000828BE" w:rsidRPr="00C453CC">
        <w:rPr>
          <w:iCs/>
        </w:rPr>
        <w:t>rAAVs</w:t>
      </w:r>
      <w:proofErr w:type="spellEnd"/>
      <w:r w:rsidR="000828BE" w:rsidRPr="00C453CC">
        <w:rPr>
          <w:iCs/>
        </w:rPr>
        <w:t xml:space="preserve"> were used for different experiments described in this study.</w:t>
      </w:r>
    </w:p>
    <w:p w14:paraId="46E4B2EB" w14:textId="77777777" w:rsidR="00DA02C7" w:rsidRPr="00C453CC" w:rsidRDefault="00DA02C7" w:rsidP="007C2A68">
      <w:pPr>
        <w:rPr>
          <w:i/>
        </w:rPr>
      </w:pPr>
    </w:p>
    <w:bookmarkEnd w:id="8"/>
    <w:p w14:paraId="156D36D3" w14:textId="193E17AF" w:rsidR="00DA02C7" w:rsidRPr="00C453CC" w:rsidRDefault="008335F3" w:rsidP="007C2A68">
      <w:pPr>
        <w:pStyle w:val="ListParagraph"/>
        <w:numPr>
          <w:ilvl w:val="0"/>
          <w:numId w:val="29"/>
        </w:numPr>
        <w:ind w:left="0" w:firstLine="0"/>
        <w:rPr>
          <w:b/>
          <w:highlight w:val="yellow"/>
        </w:rPr>
      </w:pPr>
      <w:r w:rsidRPr="00C453CC">
        <w:rPr>
          <w:b/>
          <w:highlight w:val="yellow"/>
        </w:rPr>
        <w:t xml:space="preserve">Intracranially inject </w:t>
      </w:r>
      <w:proofErr w:type="spellStart"/>
      <w:r w:rsidRPr="00C453CC">
        <w:rPr>
          <w:b/>
          <w:highlight w:val="yellow"/>
        </w:rPr>
        <w:t>rAAV</w:t>
      </w:r>
      <w:proofErr w:type="spellEnd"/>
      <w:r w:rsidRPr="00C453CC">
        <w:rPr>
          <w:b/>
          <w:highlight w:val="yellow"/>
        </w:rPr>
        <w:t>-packaged plasmid into neonatal mice</w:t>
      </w:r>
      <w:r w:rsidR="009A68EA" w:rsidRPr="00C453CC">
        <w:rPr>
          <w:b/>
          <w:highlight w:val="yellow"/>
        </w:rPr>
        <w:t xml:space="preserve">. </w:t>
      </w:r>
    </w:p>
    <w:p w14:paraId="2C6066A6" w14:textId="7F384112" w:rsidR="00DA02C7" w:rsidRPr="00C453CC" w:rsidRDefault="00DA02C7" w:rsidP="007C2A68">
      <w:pPr>
        <w:rPr>
          <w:i/>
          <w:highlight w:val="yellow"/>
        </w:rPr>
      </w:pPr>
    </w:p>
    <w:p w14:paraId="00000088" w14:textId="2C253D3C" w:rsidR="005B0A9F" w:rsidRPr="00C453CC" w:rsidRDefault="0098340E" w:rsidP="007C2A68">
      <w:pPr>
        <w:pStyle w:val="ListParagraph"/>
        <w:numPr>
          <w:ilvl w:val="1"/>
          <w:numId w:val="29"/>
        </w:numPr>
        <w:ind w:left="0" w:firstLine="0"/>
        <w:rPr>
          <w:highlight w:val="yellow"/>
        </w:rPr>
      </w:pPr>
      <w:r w:rsidRPr="00C453CC">
        <w:rPr>
          <w:highlight w:val="yellow"/>
        </w:rPr>
        <w:t xml:space="preserve">Prepare </w:t>
      </w:r>
      <w:proofErr w:type="spellStart"/>
      <w:r w:rsidRPr="00C453CC">
        <w:rPr>
          <w:highlight w:val="yellow"/>
        </w:rPr>
        <w:t>rAAV</w:t>
      </w:r>
      <w:proofErr w:type="spellEnd"/>
      <w:r w:rsidRPr="00C453CC">
        <w:rPr>
          <w:highlight w:val="yellow"/>
        </w:rPr>
        <w:t xml:space="preserve"> mixture for delivery.</w:t>
      </w:r>
    </w:p>
    <w:p w14:paraId="776EA8EF" w14:textId="77777777" w:rsidR="00DA02C7" w:rsidRPr="00C453CC" w:rsidRDefault="00DA02C7" w:rsidP="007C2A68">
      <w:pPr>
        <w:pStyle w:val="ListParagraph"/>
        <w:ind w:left="0"/>
        <w:rPr>
          <w:highlight w:val="yellow"/>
        </w:rPr>
      </w:pPr>
    </w:p>
    <w:p w14:paraId="00000089" w14:textId="73046DFC" w:rsidR="005B0A9F" w:rsidRPr="00C453CC" w:rsidRDefault="0098340E" w:rsidP="007C2A68">
      <w:pPr>
        <w:pStyle w:val="ListParagraph"/>
        <w:numPr>
          <w:ilvl w:val="2"/>
          <w:numId w:val="29"/>
        </w:numPr>
        <w:ind w:left="0" w:firstLine="0"/>
        <w:rPr>
          <w:highlight w:val="yellow"/>
        </w:rPr>
      </w:pPr>
      <w:r w:rsidRPr="00C453CC">
        <w:rPr>
          <w:highlight w:val="yellow"/>
        </w:rPr>
        <w:t xml:space="preserve">If </w:t>
      </w:r>
      <w:r w:rsidR="009A68EA" w:rsidRPr="00C453CC">
        <w:rPr>
          <w:highlight w:val="yellow"/>
        </w:rPr>
        <w:t>the intent is</w:t>
      </w:r>
      <w:r w:rsidRPr="00C453CC">
        <w:rPr>
          <w:highlight w:val="yellow"/>
        </w:rPr>
        <w:t xml:space="preserve"> to compare </w:t>
      </w:r>
      <w:r w:rsidR="00B664C7" w:rsidRPr="00C453CC">
        <w:rPr>
          <w:highlight w:val="yellow"/>
        </w:rPr>
        <w:t xml:space="preserve">the </w:t>
      </w:r>
      <w:r w:rsidRPr="00C453CC">
        <w:rPr>
          <w:highlight w:val="yellow"/>
        </w:rPr>
        <w:t>expression patterns between different enhancer reporter viruses, equalize the titers of all viruses to be compared by diluting all to match the least concentrated virus.</w:t>
      </w:r>
    </w:p>
    <w:p w14:paraId="4B459827" w14:textId="77777777" w:rsidR="00DA02C7" w:rsidRPr="00C453CC" w:rsidRDefault="00DA02C7" w:rsidP="007C2A68">
      <w:pPr>
        <w:rPr>
          <w:highlight w:val="yellow"/>
        </w:rPr>
      </w:pPr>
    </w:p>
    <w:p w14:paraId="0000008A" w14:textId="4C2CD83A" w:rsidR="005B0A9F" w:rsidRPr="00C453CC" w:rsidRDefault="0098340E" w:rsidP="007C2A68">
      <w:pPr>
        <w:pStyle w:val="ListParagraph"/>
        <w:numPr>
          <w:ilvl w:val="2"/>
          <w:numId w:val="29"/>
        </w:numPr>
        <w:ind w:left="0" w:firstLine="0"/>
        <w:rPr>
          <w:i/>
          <w:iCs/>
          <w:highlight w:val="yellow"/>
        </w:rPr>
      </w:pPr>
      <w:proofErr w:type="gramStart"/>
      <w:r w:rsidRPr="00C453CC">
        <w:rPr>
          <w:highlight w:val="yellow"/>
        </w:rPr>
        <w:t>Mix together</w:t>
      </w:r>
      <w:proofErr w:type="gramEnd"/>
      <w:r w:rsidRPr="00C453CC">
        <w:rPr>
          <w:highlight w:val="yellow"/>
        </w:rPr>
        <w:t xml:space="preserve"> a 2:1 or 3:1 ratio of enhancer reporter virus and constitutively expressed control reporter virus and add a small amount (0.06% final concentration) of Fast Green dye.</w:t>
      </w:r>
      <w:bookmarkStart w:id="9" w:name="_Hlk84342458"/>
      <w:r w:rsidR="00B4536C" w:rsidRPr="00C453CC">
        <w:rPr>
          <w:i/>
          <w:iCs/>
          <w:highlight w:val="yellow"/>
        </w:rPr>
        <w:t xml:space="preserve"> </w:t>
      </w:r>
    </w:p>
    <w:p w14:paraId="2826DE76" w14:textId="77777777" w:rsidR="00DA02C7" w:rsidRPr="00C453CC" w:rsidRDefault="00DA02C7" w:rsidP="007C2A68">
      <w:pPr>
        <w:rPr>
          <w:i/>
          <w:highlight w:val="yellow"/>
        </w:rPr>
      </w:pPr>
    </w:p>
    <w:p w14:paraId="61FC158A" w14:textId="2AA14647" w:rsidR="009B4B36" w:rsidRPr="00C453CC" w:rsidRDefault="00B4536C" w:rsidP="007C2A68">
      <w:r w:rsidRPr="00C453CC">
        <w:t xml:space="preserve">NOTE: Fast Green is a dye that is used widely </w:t>
      </w:r>
      <w:r w:rsidR="005123ED" w:rsidRPr="00C453CC">
        <w:t>in</w:t>
      </w:r>
      <w:r w:rsidRPr="00C453CC">
        <w:t xml:space="preserve"> injections</w:t>
      </w:r>
      <w:r w:rsidR="005123ED" w:rsidRPr="00C453CC">
        <w:t xml:space="preserve"> of experimental animals</w:t>
      </w:r>
      <w:r w:rsidRPr="00C453CC">
        <w:t xml:space="preserve">, including with AAV, to visualize the injection </w:t>
      </w:r>
      <w:r w:rsidR="005123ED" w:rsidRPr="00C453CC">
        <w:t xml:space="preserve">site </w:t>
      </w:r>
      <w:r w:rsidRPr="00C453CC">
        <w:t>during and immediately after the procedure</w:t>
      </w:r>
      <w:r w:rsidR="00E15E9C" w:rsidRPr="00C453CC">
        <w:rPr>
          <w:vertAlign w:val="superscript"/>
        </w:rPr>
        <w:t>45–48</w:t>
      </w:r>
      <w:r w:rsidRPr="00C453CC">
        <w:rPr>
          <w:i/>
          <w:iCs/>
        </w:rPr>
        <w:t>.</w:t>
      </w:r>
      <w:r w:rsidRPr="00C453CC">
        <w:t xml:space="preserve"> While this</w:t>
      </w:r>
      <w:r w:rsidR="005123ED" w:rsidRPr="00C453CC">
        <w:t xml:space="preserve"> is</w:t>
      </w:r>
      <w:r w:rsidRPr="00C453CC">
        <w:t xml:space="preserve"> an important quality </w:t>
      </w:r>
      <w:r w:rsidR="005123ED" w:rsidRPr="00C453CC">
        <w:t>assurance</w:t>
      </w:r>
      <w:r w:rsidRPr="00C453CC">
        <w:t xml:space="preserve"> step, it is possible that the addition of dye could interfere with transduction. Reconsidering the use of injection dye may be important for protocol optimization in certain cases.</w:t>
      </w:r>
      <w:bookmarkEnd w:id="9"/>
      <w:r w:rsidR="00FF750A" w:rsidRPr="00C453CC">
        <w:t xml:space="preserve"> </w:t>
      </w:r>
      <w:r w:rsidR="009A68EA" w:rsidRPr="00C453CC">
        <w:t xml:space="preserve">The constitutively driven control virus is </w:t>
      </w:r>
      <w:proofErr w:type="gramStart"/>
      <w:r w:rsidR="009A68EA" w:rsidRPr="00C453CC">
        <w:t>absolutely critical</w:t>
      </w:r>
      <w:proofErr w:type="gramEnd"/>
      <w:r w:rsidR="009A68EA" w:rsidRPr="00C453CC">
        <w:t xml:space="preserve"> for comparing independent injections. Virus injections will vary in location and extent of transduction from animal to animal. The constitutive control will enable excluding failed injections from analysis and provide a standard for normalization of variation in virus delivery.</w:t>
      </w:r>
    </w:p>
    <w:p w14:paraId="09F01321" w14:textId="77777777" w:rsidR="00DA02C7" w:rsidRPr="00C453CC" w:rsidRDefault="00DA02C7" w:rsidP="007C2A68">
      <w:pPr>
        <w:rPr>
          <w:i/>
          <w:highlight w:val="yellow"/>
        </w:rPr>
      </w:pPr>
    </w:p>
    <w:p w14:paraId="0000008B" w14:textId="2BFFDF60" w:rsidR="005B0A9F" w:rsidRPr="00C453CC" w:rsidRDefault="0098340E" w:rsidP="007C2A68">
      <w:pPr>
        <w:pStyle w:val="ListParagraph"/>
        <w:numPr>
          <w:ilvl w:val="2"/>
          <w:numId w:val="29"/>
        </w:numPr>
        <w:ind w:left="0" w:firstLine="0"/>
        <w:rPr>
          <w:highlight w:val="yellow"/>
        </w:rPr>
      </w:pPr>
      <w:r w:rsidRPr="00C453CC">
        <w:rPr>
          <w:highlight w:val="yellow"/>
        </w:rPr>
        <w:t xml:space="preserve">Break the tip of a pulled glass pipette made from a µL-graduated capillary tube by using </w:t>
      </w:r>
      <w:r w:rsidRPr="00C453CC">
        <w:rPr>
          <w:highlight w:val="yellow"/>
        </w:rPr>
        <w:lastRenderedPageBreak/>
        <w:t xml:space="preserve">it to gently pierce a </w:t>
      </w:r>
      <w:r w:rsidR="009A68EA" w:rsidRPr="00C453CC">
        <w:rPr>
          <w:highlight w:val="yellow"/>
        </w:rPr>
        <w:t xml:space="preserve">delicate </w:t>
      </w:r>
      <w:r w:rsidR="00FF750A" w:rsidRPr="00C453CC">
        <w:rPr>
          <w:highlight w:val="yellow"/>
        </w:rPr>
        <w:t xml:space="preserve">lint-free </w:t>
      </w:r>
      <w:r w:rsidRPr="00C453CC">
        <w:rPr>
          <w:highlight w:val="yellow"/>
        </w:rPr>
        <w:t>wipe</w:t>
      </w:r>
      <w:r w:rsidR="00FF750A" w:rsidRPr="00C453CC">
        <w:rPr>
          <w:highlight w:val="yellow"/>
        </w:rPr>
        <w:t>.</w:t>
      </w:r>
      <w:r w:rsidRPr="00C453CC">
        <w:rPr>
          <w:highlight w:val="yellow"/>
        </w:rPr>
        <w:t xml:space="preserve"> </w:t>
      </w:r>
      <w:r w:rsidR="00FF750A" w:rsidRPr="00C453CC">
        <w:rPr>
          <w:highlight w:val="yellow"/>
        </w:rPr>
        <w:t>T</w:t>
      </w:r>
      <w:r w:rsidRPr="00C453CC">
        <w:rPr>
          <w:highlight w:val="yellow"/>
        </w:rPr>
        <w:t>hen insert the pulled glass pipette into the aspirator assembly</w:t>
      </w:r>
      <w:r w:rsidR="009A68EA" w:rsidRPr="00C453CC">
        <w:rPr>
          <w:highlight w:val="yellow"/>
        </w:rPr>
        <w:t xml:space="preserve"> consisting of a </w:t>
      </w:r>
      <w:r w:rsidR="00DA17E1" w:rsidRPr="00C453CC">
        <w:rPr>
          <w:highlight w:val="yellow"/>
        </w:rPr>
        <w:t>device for applying pressure</w:t>
      </w:r>
      <w:r w:rsidR="009A68EA" w:rsidRPr="00C453CC">
        <w:rPr>
          <w:highlight w:val="yellow"/>
        </w:rPr>
        <w:t xml:space="preserve"> connected to </w:t>
      </w:r>
      <w:proofErr w:type="gramStart"/>
      <w:r w:rsidR="009A68EA" w:rsidRPr="00C453CC">
        <w:rPr>
          <w:highlight w:val="yellow"/>
        </w:rPr>
        <w:t>15-inch long</w:t>
      </w:r>
      <w:proofErr w:type="gramEnd"/>
      <w:r w:rsidR="009A68EA" w:rsidRPr="00C453CC">
        <w:rPr>
          <w:highlight w:val="yellow"/>
        </w:rPr>
        <w:t xml:space="preserve"> rubber tubing ending with a rubber gasket for holding a micro-capillary pipette</w:t>
      </w:r>
      <w:r w:rsidRPr="00C453CC">
        <w:rPr>
          <w:highlight w:val="yellow"/>
        </w:rPr>
        <w:t>.</w:t>
      </w:r>
    </w:p>
    <w:p w14:paraId="474278BB" w14:textId="77777777" w:rsidR="00DA02C7" w:rsidRPr="00C453CC" w:rsidRDefault="00DA02C7" w:rsidP="007C2A68">
      <w:pPr>
        <w:rPr>
          <w:highlight w:val="yellow"/>
        </w:rPr>
      </w:pPr>
    </w:p>
    <w:p w14:paraId="005F0AF6" w14:textId="4E09FBDD" w:rsidR="00DA17E1" w:rsidRPr="00C453CC" w:rsidRDefault="00DA17E1" w:rsidP="007C2A68">
      <w:r w:rsidRPr="00C453CC">
        <w:t>NOTE: The “device for applying pressure” may be a syringe or a mouthpiece. If a syringe is to be used, a second person will be required to apply pressure through the syringe while the experimenter manipulates the pipette in one hand and the animal in the other. If using a mouthpiece, enabling the experimenter fine control over both the positions of the animal and pipette and the pressure applied to the syringe, extra care to avoid virus contamination is required.</w:t>
      </w:r>
    </w:p>
    <w:p w14:paraId="70103BF4" w14:textId="77777777" w:rsidR="00DA02C7" w:rsidRPr="00C453CC" w:rsidRDefault="00DA02C7" w:rsidP="007C2A68">
      <w:pPr>
        <w:rPr>
          <w:i/>
          <w:iCs/>
          <w:highlight w:val="yellow"/>
        </w:rPr>
      </w:pPr>
    </w:p>
    <w:p w14:paraId="462B359C" w14:textId="508A232A" w:rsidR="009B4B36" w:rsidRPr="00C453CC" w:rsidRDefault="00DA17E1" w:rsidP="007C2A68">
      <w:pPr>
        <w:pStyle w:val="ListParagraph"/>
        <w:numPr>
          <w:ilvl w:val="2"/>
          <w:numId w:val="29"/>
        </w:numPr>
        <w:ind w:left="0" w:firstLine="0"/>
        <w:rPr>
          <w:highlight w:val="yellow"/>
        </w:rPr>
      </w:pPr>
      <w:bookmarkStart w:id="10" w:name="_Hlk84338820"/>
      <w:r w:rsidRPr="00C453CC">
        <w:rPr>
          <w:highlight w:val="yellow"/>
        </w:rPr>
        <w:t>Apply</w:t>
      </w:r>
      <w:r w:rsidR="0098340E" w:rsidRPr="00C453CC">
        <w:rPr>
          <w:highlight w:val="yellow"/>
        </w:rPr>
        <w:t xml:space="preserve"> negative pressure through the aspirator assembly</w:t>
      </w:r>
      <w:r w:rsidRPr="00C453CC">
        <w:rPr>
          <w:highlight w:val="yellow"/>
        </w:rPr>
        <w:t xml:space="preserve"> to</w:t>
      </w:r>
      <w:r w:rsidR="0098340E" w:rsidRPr="00C453CC">
        <w:rPr>
          <w:highlight w:val="yellow"/>
        </w:rPr>
        <w:t xml:space="preserve"> draw a small volume (~0.2</w:t>
      </w:r>
      <w:r w:rsidR="00FF750A" w:rsidRPr="00C453CC">
        <w:rPr>
          <w:highlight w:val="yellow"/>
        </w:rPr>
        <w:t>–</w:t>
      </w:r>
      <w:r w:rsidR="0098340E" w:rsidRPr="00C453CC">
        <w:rPr>
          <w:highlight w:val="yellow"/>
        </w:rPr>
        <w:t xml:space="preserve">0.5 µL) of mineral oil into the glass pipette. </w:t>
      </w:r>
    </w:p>
    <w:p w14:paraId="55C7C726" w14:textId="77777777" w:rsidR="00DA02C7" w:rsidRPr="00C453CC" w:rsidRDefault="00DA02C7" w:rsidP="007C2A68">
      <w:pPr>
        <w:rPr>
          <w:highlight w:val="yellow"/>
        </w:rPr>
      </w:pPr>
    </w:p>
    <w:p w14:paraId="0000008C" w14:textId="6B7A90F4" w:rsidR="005B0A9F" w:rsidRPr="00C453CC" w:rsidRDefault="0089284C" w:rsidP="007C2A68">
      <w:pPr>
        <w:rPr>
          <w:iCs/>
        </w:rPr>
      </w:pPr>
      <w:r w:rsidRPr="00C453CC">
        <w:rPr>
          <w:iCs/>
        </w:rPr>
        <w:t>NOTE</w:t>
      </w:r>
      <w:r w:rsidR="009A68EA" w:rsidRPr="00C453CC">
        <w:rPr>
          <w:iCs/>
        </w:rPr>
        <w:t xml:space="preserve">: </w:t>
      </w:r>
      <w:r w:rsidR="0098340E" w:rsidRPr="00C453CC">
        <w:rPr>
          <w:iCs/>
        </w:rPr>
        <w:t xml:space="preserve">This </w:t>
      </w:r>
      <w:r w:rsidR="009A68EA" w:rsidRPr="00C453CC">
        <w:rPr>
          <w:iCs/>
        </w:rPr>
        <w:t>step is very important to</w:t>
      </w:r>
      <w:r w:rsidR="0098340E" w:rsidRPr="00C453CC">
        <w:rPr>
          <w:iCs/>
        </w:rPr>
        <w:t xml:space="preserve"> provide a barrier to prevent aerosolized viral particles from contaminating the aspirator assembly.</w:t>
      </w:r>
    </w:p>
    <w:p w14:paraId="5817BFB9" w14:textId="77777777" w:rsidR="00DA02C7" w:rsidRPr="00C453CC" w:rsidRDefault="00DA02C7" w:rsidP="007C2A68">
      <w:pPr>
        <w:rPr>
          <w:i/>
          <w:highlight w:val="yellow"/>
        </w:rPr>
      </w:pPr>
    </w:p>
    <w:bookmarkEnd w:id="10"/>
    <w:p w14:paraId="0000008D" w14:textId="5E73E550" w:rsidR="005B0A9F" w:rsidRPr="00C453CC" w:rsidRDefault="0098340E" w:rsidP="007C2A68">
      <w:pPr>
        <w:pStyle w:val="ListParagraph"/>
        <w:numPr>
          <w:ilvl w:val="2"/>
          <w:numId w:val="29"/>
        </w:numPr>
        <w:ind w:left="0" w:firstLine="0"/>
        <w:rPr>
          <w:highlight w:val="yellow"/>
        </w:rPr>
      </w:pPr>
      <w:r w:rsidRPr="00C453CC">
        <w:rPr>
          <w:highlight w:val="yellow"/>
        </w:rPr>
        <w:t xml:space="preserve">Set </w:t>
      </w:r>
      <w:r w:rsidR="00FF750A" w:rsidRPr="00C453CC">
        <w:rPr>
          <w:highlight w:val="yellow"/>
        </w:rPr>
        <w:t xml:space="preserve">the </w:t>
      </w:r>
      <w:r w:rsidRPr="00C453CC">
        <w:rPr>
          <w:highlight w:val="yellow"/>
        </w:rPr>
        <w:t xml:space="preserve">prepared aspirator assembly aside and keep </w:t>
      </w:r>
      <w:r w:rsidR="00FF750A" w:rsidRPr="00C453CC">
        <w:rPr>
          <w:highlight w:val="yellow"/>
        </w:rPr>
        <w:t xml:space="preserve">the </w:t>
      </w:r>
      <w:r w:rsidRPr="00C453CC">
        <w:rPr>
          <w:highlight w:val="yellow"/>
        </w:rPr>
        <w:t>virus on ice until ready to inject.</w:t>
      </w:r>
    </w:p>
    <w:p w14:paraId="5D76587E" w14:textId="77777777" w:rsidR="0009568F" w:rsidRPr="00C453CC" w:rsidRDefault="0009568F" w:rsidP="007C2A68">
      <w:pPr>
        <w:pStyle w:val="ListParagraph"/>
        <w:ind w:left="0"/>
        <w:rPr>
          <w:highlight w:val="yellow"/>
        </w:rPr>
      </w:pPr>
    </w:p>
    <w:p w14:paraId="0000008E" w14:textId="1F310CD9" w:rsidR="005B0A9F" w:rsidRPr="00C453CC" w:rsidRDefault="0098340E" w:rsidP="007C2A68">
      <w:pPr>
        <w:pStyle w:val="ListParagraph"/>
        <w:numPr>
          <w:ilvl w:val="1"/>
          <w:numId w:val="29"/>
        </w:numPr>
        <w:ind w:left="0" w:firstLine="0"/>
        <w:rPr>
          <w:highlight w:val="yellow"/>
        </w:rPr>
      </w:pPr>
      <w:r w:rsidRPr="00C453CC">
        <w:rPr>
          <w:highlight w:val="yellow"/>
        </w:rPr>
        <w:t>Cryo-anesthetize the neonatal mice in a dry plastic dish partially submerged in ice until the cessation of the pedal withdrawal reflex (~5 min).</w:t>
      </w:r>
    </w:p>
    <w:p w14:paraId="369F0D50" w14:textId="77777777" w:rsidR="0009568F" w:rsidRPr="00C453CC" w:rsidRDefault="0009568F" w:rsidP="007C2A68">
      <w:pPr>
        <w:pStyle w:val="ListParagraph"/>
        <w:ind w:left="0"/>
        <w:rPr>
          <w:highlight w:val="yellow"/>
        </w:rPr>
      </w:pPr>
    </w:p>
    <w:p w14:paraId="0000008F" w14:textId="37C6B20E" w:rsidR="005B0A9F" w:rsidRPr="00C453CC" w:rsidRDefault="009A68EA" w:rsidP="007C2A68">
      <w:pPr>
        <w:pStyle w:val="ListParagraph"/>
        <w:numPr>
          <w:ilvl w:val="1"/>
          <w:numId w:val="29"/>
        </w:numPr>
        <w:ind w:left="0" w:firstLine="0"/>
        <w:rPr>
          <w:highlight w:val="yellow"/>
        </w:rPr>
      </w:pPr>
      <w:r w:rsidRPr="00C453CC">
        <w:rPr>
          <w:highlight w:val="yellow"/>
        </w:rPr>
        <w:t>Use</w:t>
      </w:r>
      <w:r w:rsidR="0098340E" w:rsidRPr="00C453CC">
        <w:rPr>
          <w:highlight w:val="yellow"/>
        </w:rPr>
        <w:t xml:space="preserve"> negative pressure through the aspirator assembly to draw </w:t>
      </w:r>
      <w:r w:rsidRPr="00C453CC">
        <w:rPr>
          <w:highlight w:val="yellow"/>
        </w:rPr>
        <w:t>the</w:t>
      </w:r>
      <w:r w:rsidR="0098340E" w:rsidRPr="00C453CC">
        <w:rPr>
          <w:highlight w:val="yellow"/>
        </w:rPr>
        <w:t xml:space="preserve"> virus mixture into the pulled glass pipette until the meniscus passes the 2 µL tick mark.</w:t>
      </w:r>
    </w:p>
    <w:p w14:paraId="51BCD389" w14:textId="77777777" w:rsidR="0009568F" w:rsidRPr="00C453CC" w:rsidRDefault="0009568F" w:rsidP="007C2A68">
      <w:pPr>
        <w:rPr>
          <w:highlight w:val="yellow"/>
        </w:rPr>
      </w:pPr>
    </w:p>
    <w:p w14:paraId="6D68D006" w14:textId="7160887E" w:rsidR="0009568F" w:rsidRPr="00C453CC" w:rsidRDefault="0098340E" w:rsidP="007C2A68">
      <w:pPr>
        <w:pStyle w:val="ListParagraph"/>
        <w:numPr>
          <w:ilvl w:val="1"/>
          <w:numId w:val="29"/>
        </w:numPr>
        <w:ind w:left="0" w:firstLine="0"/>
        <w:rPr>
          <w:highlight w:val="yellow"/>
        </w:rPr>
      </w:pPr>
      <w:r w:rsidRPr="00C453CC">
        <w:rPr>
          <w:highlight w:val="yellow"/>
        </w:rPr>
        <w:t xml:space="preserve">Remove the mouse from the cold chamber and position </w:t>
      </w:r>
      <w:r w:rsidR="00FF750A" w:rsidRPr="00C453CC">
        <w:rPr>
          <w:highlight w:val="yellow"/>
        </w:rPr>
        <w:t xml:space="preserve">it </w:t>
      </w:r>
      <w:r w:rsidRPr="00C453CC">
        <w:rPr>
          <w:highlight w:val="yellow"/>
        </w:rPr>
        <w:t>on the benchtop. Locate the bilateral injection sites midway between lambda and bregma and midway between the sagittal suture and each eye. Sanitize both areas with an alcohol wipe.</w:t>
      </w:r>
    </w:p>
    <w:p w14:paraId="520130A2" w14:textId="77777777" w:rsidR="0009568F" w:rsidRPr="00C453CC" w:rsidRDefault="0009568F" w:rsidP="007C2A68">
      <w:pPr>
        <w:rPr>
          <w:highlight w:val="yellow"/>
        </w:rPr>
      </w:pPr>
    </w:p>
    <w:p w14:paraId="00000091" w14:textId="5DDB6071" w:rsidR="005B0A9F" w:rsidRPr="00C453CC" w:rsidRDefault="00B664C7" w:rsidP="007C2A68">
      <w:pPr>
        <w:pStyle w:val="ListParagraph"/>
        <w:numPr>
          <w:ilvl w:val="1"/>
          <w:numId w:val="29"/>
        </w:numPr>
        <w:ind w:left="0" w:firstLine="0"/>
        <w:rPr>
          <w:highlight w:val="yellow"/>
        </w:rPr>
      </w:pPr>
      <w:r w:rsidRPr="00C453CC">
        <w:rPr>
          <w:highlight w:val="yellow"/>
        </w:rPr>
        <w:t>Use the pulled glass pipette to p</w:t>
      </w:r>
      <w:r w:rsidR="0098340E" w:rsidRPr="00C453CC">
        <w:rPr>
          <w:highlight w:val="yellow"/>
        </w:rPr>
        <w:t>ierce the skull</w:t>
      </w:r>
      <w:r w:rsidR="00FF750A" w:rsidRPr="00C453CC">
        <w:rPr>
          <w:highlight w:val="yellow"/>
        </w:rPr>
        <w:t xml:space="preserve"> of the neonatal mice</w:t>
      </w:r>
      <w:r w:rsidR="0098340E" w:rsidRPr="00C453CC">
        <w:rPr>
          <w:highlight w:val="yellow"/>
        </w:rPr>
        <w:t xml:space="preserve"> and gently apply positive pressure through the aspirator assembly as the needle enters the brain. </w:t>
      </w:r>
      <w:r w:rsidR="0098340E" w:rsidRPr="00C453CC">
        <w:t xml:space="preserve">Watch the meniscus of the virus mixture. Resistance to the pressure </w:t>
      </w:r>
      <w:r w:rsidR="009A68EA" w:rsidRPr="00C453CC">
        <w:t>applied</w:t>
      </w:r>
      <w:r w:rsidR="0098340E" w:rsidRPr="00C453CC">
        <w:t xml:space="preserve"> will decrease when the tip of the pipette reaches the lateral ventricle. </w:t>
      </w:r>
      <w:r w:rsidR="0098340E" w:rsidRPr="00C453CC">
        <w:rPr>
          <w:highlight w:val="yellow"/>
        </w:rPr>
        <w:t xml:space="preserve">Dispense 1 µL of </w:t>
      </w:r>
      <w:r w:rsidR="00FF750A" w:rsidRPr="00C453CC">
        <w:rPr>
          <w:highlight w:val="yellow"/>
        </w:rPr>
        <w:t xml:space="preserve">the </w:t>
      </w:r>
      <w:r w:rsidR="0098340E" w:rsidRPr="00C453CC">
        <w:rPr>
          <w:highlight w:val="yellow"/>
        </w:rPr>
        <w:t>virus, withdraw the pipette, and repeat for the other lateral ventricle.</w:t>
      </w:r>
    </w:p>
    <w:p w14:paraId="437CCCF5" w14:textId="77777777" w:rsidR="0009568F" w:rsidRPr="00C453CC" w:rsidRDefault="0009568F" w:rsidP="007C2A68">
      <w:pPr>
        <w:pStyle w:val="ListParagraph"/>
        <w:ind w:left="0"/>
        <w:rPr>
          <w:highlight w:val="yellow"/>
        </w:rPr>
      </w:pPr>
    </w:p>
    <w:p w14:paraId="00000092" w14:textId="6FED29C2" w:rsidR="005B0A9F" w:rsidRPr="00C453CC" w:rsidRDefault="0098340E" w:rsidP="007C2A68">
      <w:pPr>
        <w:pStyle w:val="ListParagraph"/>
        <w:numPr>
          <w:ilvl w:val="1"/>
          <w:numId w:val="29"/>
        </w:numPr>
        <w:ind w:left="0" w:firstLine="0"/>
        <w:rPr>
          <w:highlight w:val="yellow"/>
        </w:rPr>
      </w:pPr>
      <w:r w:rsidRPr="00C453CC">
        <w:rPr>
          <w:highlight w:val="yellow"/>
        </w:rPr>
        <w:t>Place the mouse on a heating pad or a warming chamber to recover. Once awake and active, return the animal to its home cage.</w:t>
      </w:r>
    </w:p>
    <w:p w14:paraId="07CC82EE" w14:textId="77777777" w:rsidR="0009568F" w:rsidRPr="00C453CC" w:rsidRDefault="0009568F" w:rsidP="007C2A68">
      <w:pPr>
        <w:rPr>
          <w:highlight w:val="yellow"/>
        </w:rPr>
      </w:pPr>
    </w:p>
    <w:p w14:paraId="00000093" w14:textId="7867E7DE" w:rsidR="005B0A9F" w:rsidRPr="00C453CC" w:rsidRDefault="0098340E" w:rsidP="007C2A68">
      <w:pPr>
        <w:pStyle w:val="ListParagraph"/>
        <w:numPr>
          <w:ilvl w:val="0"/>
          <w:numId w:val="29"/>
        </w:numPr>
        <w:ind w:left="0" w:firstLine="0"/>
        <w:rPr>
          <w:b/>
        </w:rPr>
      </w:pPr>
      <w:r w:rsidRPr="00C453CC">
        <w:rPr>
          <w:b/>
        </w:rPr>
        <w:t>Collect tissue and perform immunohistochemistry.</w:t>
      </w:r>
    </w:p>
    <w:p w14:paraId="00C71864" w14:textId="77777777" w:rsidR="0009568F" w:rsidRPr="00C453CC" w:rsidRDefault="0009568F" w:rsidP="007C2A68">
      <w:pPr>
        <w:pStyle w:val="ListParagraph"/>
        <w:ind w:left="0"/>
        <w:rPr>
          <w:b/>
          <w:u w:val="single"/>
        </w:rPr>
      </w:pPr>
    </w:p>
    <w:p w14:paraId="00000094" w14:textId="45371B2C" w:rsidR="005B0A9F" w:rsidRPr="00C453CC" w:rsidRDefault="0098340E" w:rsidP="007C2A68">
      <w:pPr>
        <w:pStyle w:val="ListParagraph"/>
        <w:numPr>
          <w:ilvl w:val="1"/>
          <w:numId w:val="29"/>
        </w:numPr>
        <w:ind w:left="0" w:firstLine="0"/>
      </w:pPr>
      <w:r w:rsidRPr="00C453CC">
        <w:t xml:space="preserve">After sufficient time </w:t>
      </w:r>
      <w:r w:rsidR="00B85C3E" w:rsidRPr="00C453CC">
        <w:t>following virus transduction</w:t>
      </w:r>
      <w:r w:rsidR="009A68EA" w:rsidRPr="00C453CC">
        <w:t>,</w:t>
      </w:r>
      <w:r w:rsidRPr="00C453CC">
        <w:t xml:space="preserve"> anesthetize the mice and sacrifice by </w:t>
      </w:r>
      <w:proofErr w:type="spellStart"/>
      <w:r w:rsidRPr="00C453CC">
        <w:t>transcardial</w:t>
      </w:r>
      <w:proofErr w:type="spellEnd"/>
      <w:r w:rsidRPr="00C453CC">
        <w:t xml:space="preserve"> perfusion.</w:t>
      </w:r>
    </w:p>
    <w:p w14:paraId="627AB880" w14:textId="77777777" w:rsidR="0009568F" w:rsidRPr="00C453CC" w:rsidRDefault="0009568F" w:rsidP="007C2A68">
      <w:pPr>
        <w:pStyle w:val="ListParagraph"/>
        <w:ind w:left="0"/>
      </w:pPr>
    </w:p>
    <w:p w14:paraId="0D8A36AD" w14:textId="6E1A33A2" w:rsidR="009B4B36" w:rsidRPr="00C453CC" w:rsidRDefault="0089284C" w:rsidP="007C2A68">
      <w:pPr>
        <w:rPr>
          <w:iCs/>
        </w:rPr>
      </w:pPr>
      <w:r w:rsidRPr="00C453CC">
        <w:rPr>
          <w:iCs/>
        </w:rPr>
        <w:t>NOTE</w:t>
      </w:r>
      <w:r w:rsidR="009A68EA" w:rsidRPr="00C453CC">
        <w:rPr>
          <w:iCs/>
        </w:rPr>
        <w:t xml:space="preserve">: Many experiments, including the representative results shown here, </w:t>
      </w:r>
      <w:r w:rsidR="00B85C3E" w:rsidRPr="00C453CC">
        <w:rPr>
          <w:iCs/>
        </w:rPr>
        <w:t>allow a</w:t>
      </w:r>
      <w:r w:rsidR="009A68EA" w:rsidRPr="00C453CC">
        <w:rPr>
          <w:iCs/>
        </w:rPr>
        <w:t xml:space="preserve"> period of </w:t>
      </w:r>
      <w:r w:rsidR="00FF750A" w:rsidRPr="00C453CC">
        <w:rPr>
          <w:iCs/>
        </w:rPr>
        <w:t xml:space="preserve">4 </w:t>
      </w:r>
      <w:r w:rsidR="009A68EA" w:rsidRPr="00C453CC">
        <w:rPr>
          <w:iCs/>
        </w:rPr>
        <w:lastRenderedPageBreak/>
        <w:t>weeks or longer</w:t>
      </w:r>
      <w:r w:rsidR="00B85C3E" w:rsidRPr="00C453CC">
        <w:rPr>
          <w:iCs/>
        </w:rPr>
        <w:t xml:space="preserve"> for the virus to transduce</w:t>
      </w:r>
      <w:r w:rsidR="009A68EA" w:rsidRPr="00C453CC">
        <w:rPr>
          <w:iCs/>
        </w:rPr>
        <w:t>. However, self-complementary AAVs can show strong expression as early as 7 days</w:t>
      </w:r>
      <w:r w:rsidR="00034781" w:rsidRPr="00C453CC">
        <w:rPr>
          <w:iCs/>
          <w:vertAlign w:val="superscript"/>
        </w:rPr>
        <w:t>12</w:t>
      </w:r>
      <w:r w:rsidR="009A68EA" w:rsidRPr="00C453CC">
        <w:rPr>
          <w:iCs/>
        </w:rPr>
        <w:t>. The desired incubation period may need to be optimized depending on specific experimental techniques and goals.</w:t>
      </w:r>
    </w:p>
    <w:p w14:paraId="4A6376D5" w14:textId="77777777" w:rsidR="0009568F" w:rsidRPr="00C453CC" w:rsidRDefault="0009568F" w:rsidP="007C2A68">
      <w:pPr>
        <w:rPr>
          <w:i/>
        </w:rPr>
      </w:pPr>
    </w:p>
    <w:p w14:paraId="00000095" w14:textId="7E3BC715" w:rsidR="005B0A9F" w:rsidRPr="00C453CC" w:rsidRDefault="0098340E" w:rsidP="007C2A68">
      <w:pPr>
        <w:pStyle w:val="ListParagraph"/>
        <w:numPr>
          <w:ilvl w:val="2"/>
          <w:numId w:val="29"/>
        </w:numPr>
        <w:ind w:left="0" w:firstLine="0"/>
      </w:pPr>
      <w:r w:rsidRPr="00C453CC">
        <w:t xml:space="preserve">Prepare a peristaltic pump with intravenous infusion tubing and </w:t>
      </w:r>
      <w:r w:rsidR="00FF750A" w:rsidRPr="00C453CC">
        <w:t xml:space="preserve">a </w:t>
      </w:r>
      <w:r w:rsidRPr="00C453CC">
        <w:t>25</w:t>
      </w:r>
      <w:r w:rsidR="00FF750A" w:rsidRPr="00C453CC">
        <w:t xml:space="preserve"> </w:t>
      </w:r>
      <w:r w:rsidRPr="00C453CC">
        <w:t xml:space="preserve">G </w:t>
      </w:r>
      <w:r w:rsidR="009A68EA" w:rsidRPr="00C453CC">
        <w:t>needle.</w:t>
      </w:r>
    </w:p>
    <w:p w14:paraId="0B9E09EC" w14:textId="77777777" w:rsidR="0009568F" w:rsidRPr="00C453CC" w:rsidRDefault="0009568F" w:rsidP="007C2A68">
      <w:pPr>
        <w:pStyle w:val="ListParagraph"/>
        <w:ind w:left="0"/>
      </w:pPr>
    </w:p>
    <w:p w14:paraId="00000096" w14:textId="56516CEF" w:rsidR="005B0A9F" w:rsidRPr="00C453CC" w:rsidRDefault="0098340E" w:rsidP="007C2A68">
      <w:pPr>
        <w:pStyle w:val="ListParagraph"/>
        <w:numPr>
          <w:ilvl w:val="2"/>
          <w:numId w:val="29"/>
        </w:numPr>
        <w:ind w:left="0" w:firstLine="0"/>
      </w:pPr>
      <w:r w:rsidRPr="00C453CC">
        <w:t xml:space="preserve">Prepare 1x PBS and 4% paraformaldehyde (PFA) and place </w:t>
      </w:r>
      <w:r w:rsidR="00FF750A" w:rsidRPr="00C453CC">
        <w:t xml:space="preserve">them </w:t>
      </w:r>
      <w:r w:rsidRPr="00C453CC">
        <w:t>on ice.</w:t>
      </w:r>
    </w:p>
    <w:p w14:paraId="5ACCE043" w14:textId="77777777" w:rsidR="0009568F" w:rsidRPr="00C453CC" w:rsidRDefault="0009568F" w:rsidP="007C2A68"/>
    <w:p w14:paraId="00000097" w14:textId="2DB3C2AB" w:rsidR="005B0A9F" w:rsidRPr="00C453CC" w:rsidRDefault="0098340E" w:rsidP="007C2A68">
      <w:pPr>
        <w:pStyle w:val="ListParagraph"/>
        <w:numPr>
          <w:ilvl w:val="2"/>
          <w:numId w:val="29"/>
        </w:numPr>
        <w:ind w:left="0" w:firstLine="0"/>
      </w:pPr>
      <w:r w:rsidRPr="00C453CC">
        <w:t xml:space="preserve">Place the intake end of the tubing in the </w:t>
      </w:r>
      <w:r w:rsidR="00FF750A" w:rsidRPr="00C453CC">
        <w:t>ice-</w:t>
      </w:r>
      <w:r w:rsidRPr="00C453CC">
        <w:t>cold 1x PBS</w:t>
      </w:r>
      <w:r w:rsidR="009A68EA" w:rsidRPr="00C453CC">
        <w:t>. Set the flow rate (2.5 mL/min for P7 mice, 3.5 mL/min for P28 mice)</w:t>
      </w:r>
      <w:r w:rsidRPr="00C453CC">
        <w:t xml:space="preserve"> and run the pump until </w:t>
      </w:r>
      <w:r w:rsidR="00FF750A" w:rsidRPr="00C453CC">
        <w:t xml:space="preserve">the </w:t>
      </w:r>
      <w:r w:rsidRPr="00C453CC">
        <w:t>buffer is drawn all the way through the tubing and is cleared of bubbles. Set the needle aside until ready for perfusion.</w:t>
      </w:r>
    </w:p>
    <w:p w14:paraId="78C97631" w14:textId="77777777" w:rsidR="0009568F" w:rsidRPr="00C453CC" w:rsidRDefault="0009568F" w:rsidP="007C2A68"/>
    <w:p w14:paraId="00000098" w14:textId="684C57EB" w:rsidR="005B0A9F" w:rsidRPr="00C453CC" w:rsidRDefault="0098340E" w:rsidP="007C2A68">
      <w:pPr>
        <w:pStyle w:val="ListParagraph"/>
        <w:numPr>
          <w:ilvl w:val="2"/>
          <w:numId w:val="29"/>
        </w:numPr>
        <w:ind w:left="0" w:firstLine="0"/>
      </w:pPr>
      <w:r w:rsidRPr="00C453CC">
        <w:t>Place the previously injected mouse in a drop jar chamber with a small volume of isoflurane and seal the chamber</w:t>
      </w:r>
      <w:r w:rsidR="00FF750A" w:rsidRPr="00C453CC">
        <w:t xml:space="preserve"> to </w:t>
      </w:r>
      <w:r w:rsidRPr="00C453CC">
        <w:t>anesthetize the mouse. Wait</w:t>
      </w:r>
      <w:r w:rsidR="00FF750A" w:rsidRPr="00C453CC">
        <w:t xml:space="preserve"> for</w:t>
      </w:r>
      <w:r w:rsidRPr="00C453CC">
        <w:t xml:space="preserve"> ~5 min and then open the chamber and check for a pedal withdrawal reflex. Proceed once the animal is unconscious.</w:t>
      </w:r>
    </w:p>
    <w:p w14:paraId="319F2E1F" w14:textId="77777777" w:rsidR="0009568F" w:rsidRPr="00C453CC" w:rsidRDefault="0009568F" w:rsidP="007C2A68"/>
    <w:p w14:paraId="18A22E1B" w14:textId="53D5CA08" w:rsidR="009B4B36" w:rsidRPr="00C453CC" w:rsidRDefault="0089284C" w:rsidP="007C2A68">
      <w:pPr>
        <w:rPr>
          <w:iCs/>
        </w:rPr>
      </w:pPr>
      <w:r w:rsidRPr="00C453CC">
        <w:rPr>
          <w:iCs/>
        </w:rPr>
        <w:t>NOTE</w:t>
      </w:r>
      <w:r w:rsidR="009A68EA" w:rsidRPr="00C453CC">
        <w:rPr>
          <w:iCs/>
        </w:rPr>
        <w:t xml:space="preserve">: Throughout the perfusion, it is important to keep extra isoflurane on hand in case the mouse starts to </w:t>
      </w:r>
      <w:r w:rsidR="00B85C3E" w:rsidRPr="00C453CC">
        <w:rPr>
          <w:iCs/>
        </w:rPr>
        <w:t>re</w:t>
      </w:r>
      <w:r w:rsidR="009A68EA" w:rsidRPr="00C453CC">
        <w:rPr>
          <w:iCs/>
        </w:rPr>
        <w:t>gain consciousness. If this occurs, a small amount of isoflurane may be deposited on a delicate</w:t>
      </w:r>
      <w:r w:rsidR="00FF750A" w:rsidRPr="00C453CC">
        <w:rPr>
          <w:iCs/>
        </w:rPr>
        <w:t xml:space="preserve"> lint-free</w:t>
      </w:r>
      <w:r w:rsidR="009A68EA" w:rsidRPr="00C453CC">
        <w:rPr>
          <w:iCs/>
        </w:rPr>
        <w:t xml:space="preserve"> wipe and placed over the mouse’s face for a few seconds until the animal is </w:t>
      </w:r>
      <w:r w:rsidR="00B85C3E" w:rsidRPr="00C453CC">
        <w:rPr>
          <w:iCs/>
        </w:rPr>
        <w:t xml:space="preserve">again fully </w:t>
      </w:r>
      <w:r w:rsidR="009A68EA" w:rsidRPr="00C453CC">
        <w:rPr>
          <w:iCs/>
        </w:rPr>
        <w:t>unconscious.</w:t>
      </w:r>
    </w:p>
    <w:p w14:paraId="4CEBE592" w14:textId="77777777" w:rsidR="0009568F" w:rsidRPr="00C453CC" w:rsidRDefault="0009568F" w:rsidP="007C2A68">
      <w:pPr>
        <w:rPr>
          <w:i/>
        </w:rPr>
      </w:pPr>
    </w:p>
    <w:p w14:paraId="00000099" w14:textId="4BB471D1" w:rsidR="005B0A9F" w:rsidRPr="00C453CC" w:rsidRDefault="0098340E" w:rsidP="007C2A68">
      <w:pPr>
        <w:pStyle w:val="ListParagraph"/>
        <w:numPr>
          <w:ilvl w:val="2"/>
          <w:numId w:val="29"/>
        </w:numPr>
        <w:ind w:left="0" w:firstLine="0"/>
      </w:pPr>
      <w:r w:rsidRPr="00C453CC">
        <w:t xml:space="preserve">Use surgical scissors to open the abdomen and chest of the mouse, remove the rib cage and expose the heart. </w:t>
      </w:r>
    </w:p>
    <w:p w14:paraId="623433D5" w14:textId="77777777" w:rsidR="0009568F" w:rsidRPr="00C453CC" w:rsidRDefault="0009568F" w:rsidP="007C2A68"/>
    <w:p w14:paraId="0000009A" w14:textId="647F41C1" w:rsidR="005B0A9F" w:rsidRPr="00C453CC" w:rsidRDefault="0098340E" w:rsidP="007C2A68">
      <w:pPr>
        <w:pStyle w:val="ListParagraph"/>
        <w:numPr>
          <w:ilvl w:val="2"/>
          <w:numId w:val="29"/>
        </w:numPr>
        <w:ind w:left="0" w:firstLine="0"/>
      </w:pPr>
      <w:r w:rsidRPr="00C453CC">
        <w:t>Use a pair of iris micro scissors to make a small incision in the mouse’s right atrium, insert the IV needle into the left ventricle, and activate the peristaltic pump.</w:t>
      </w:r>
    </w:p>
    <w:p w14:paraId="697DF1E0" w14:textId="77777777" w:rsidR="0009568F" w:rsidRPr="00C453CC" w:rsidRDefault="0009568F" w:rsidP="007C2A68"/>
    <w:p w14:paraId="0000009B" w14:textId="09DE75A6" w:rsidR="005B0A9F" w:rsidRPr="00C453CC" w:rsidRDefault="0098340E" w:rsidP="007C2A68">
      <w:pPr>
        <w:pStyle w:val="ListParagraph"/>
        <w:numPr>
          <w:ilvl w:val="2"/>
          <w:numId w:val="29"/>
        </w:numPr>
        <w:ind w:left="0" w:firstLine="0"/>
      </w:pPr>
      <w:r w:rsidRPr="00C453CC">
        <w:t xml:space="preserve">Perfuse the animal with </w:t>
      </w:r>
      <w:r w:rsidR="00FF750A" w:rsidRPr="00C453CC">
        <w:t>ice-</w:t>
      </w:r>
      <w:r w:rsidRPr="00C453CC">
        <w:t xml:space="preserve">cold 1x PBS until the blood flushing out of the incision in the right atrium runs clear. Clearing the tissue of blood is very important because </w:t>
      </w:r>
      <w:r w:rsidR="009A68EA" w:rsidRPr="00C453CC">
        <w:t>red</w:t>
      </w:r>
      <w:r w:rsidRPr="00C453CC">
        <w:t xml:space="preserve"> blood </w:t>
      </w:r>
      <w:r w:rsidR="009A68EA" w:rsidRPr="00C453CC">
        <w:t>cells have autofluorescence</w:t>
      </w:r>
      <w:r w:rsidR="00FF750A" w:rsidRPr="00C453CC">
        <w:t>,</w:t>
      </w:r>
      <w:r w:rsidRPr="00C453CC">
        <w:t xml:space="preserve"> and blood vessels may impair </w:t>
      </w:r>
      <w:r w:rsidR="00FF750A" w:rsidRPr="00C453CC">
        <w:t xml:space="preserve">the </w:t>
      </w:r>
      <w:r w:rsidRPr="00C453CC">
        <w:t>ability to image reporter-expressing cells.</w:t>
      </w:r>
    </w:p>
    <w:p w14:paraId="00E607D3" w14:textId="77777777" w:rsidR="0009568F" w:rsidRPr="00C453CC" w:rsidRDefault="0009568F" w:rsidP="007C2A68"/>
    <w:p w14:paraId="754B2160" w14:textId="36540FC3" w:rsidR="00FF750A" w:rsidRPr="00C453CC" w:rsidRDefault="0098340E">
      <w:pPr>
        <w:pStyle w:val="ListParagraph"/>
        <w:numPr>
          <w:ilvl w:val="2"/>
          <w:numId w:val="29"/>
        </w:numPr>
        <w:ind w:left="0" w:firstLine="0"/>
      </w:pPr>
      <w:r w:rsidRPr="00C453CC">
        <w:t xml:space="preserve">Pause the peristaltic pump and move the intake tubing from the PBS to the 4% PFA. Reactivate the pump and perfuse 1 mL/g of body weight, ~25 mL for an adult mouse. </w:t>
      </w:r>
    </w:p>
    <w:p w14:paraId="19C4A615" w14:textId="77777777" w:rsidR="00FF750A" w:rsidRPr="00C453CC" w:rsidRDefault="00FF750A" w:rsidP="007C2A68">
      <w:pPr>
        <w:pStyle w:val="ListParagraph"/>
      </w:pPr>
    </w:p>
    <w:p w14:paraId="0000009C" w14:textId="4583F81C" w:rsidR="005B0A9F" w:rsidRPr="00C453CC" w:rsidRDefault="00FF750A" w:rsidP="007C2A68">
      <w:pPr>
        <w:pStyle w:val="ListParagraph"/>
        <w:ind w:left="0"/>
      </w:pPr>
      <w:r w:rsidRPr="00C453CC">
        <w:t xml:space="preserve">NOTE: </w:t>
      </w:r>
      <w:r w:rsidR="009A68EA" w:rsidRPr="00C453CC">
        <w:t>Fixation</w:t>
      </w:r>
      <w:r w:rsidR="0098340E" w:rsidRPr="00C453CC">
        <w:t xml:space="preserve"> tremors </w:t>
      </w:r>
      <w:r w:rsidR="009A68EA" w:rsidRPr="00C453CC">
        <w:t>should be observable</w:t>
      </w:r>
      <w:r w:rsidRPr="00C453CC">
        <w:t>,</w:t>
      </w:r>
      <w:r w:rsidR="0098340E" w:rsidRPr="00C453CC">
        <w:t xml:space="preserve"> and the body of the mouse should stiffen.</w:t>
      </w:r>
    </w:p>
    <w:p w14:paraId="52CCC880" w14:textId="77777777" w:rsidR="0009568F" w:rsidRPr="00C453CC" w:rsidRDefault="0009568F" w:rsidP="007C2A68"/>
    <w:p w14:paraId="0000009D" w14:textId="1FB40B6B" w:rsidR="005B0A9F" w:rsidRPr="00C453CC" w:rsidRDefault="0098340E" w:rsidP="007C2A68">
      <w:pPr>
        <w:pStyle w:val="ListParagraph"/>
        <w:numPr>
          <w:ilvl w:val="1"/>
          <w:numId w:val="29"/>
        </w:numPr>
        <w:ind w:left="0" w:firstLine="0"/>
      </w:pPr>
      <w:r w:rsidRPr="00C453CC">
        <w:t>Dissect and post-fix the brain.</w:t>
      </w:r>
    </w:p>
    <w:p w14:paraId="7FD87457" w14:textId="77777777" w:rsidR="0009568F" w:rsidRPr="00C453CC" w:rsidRDefault="0009568F" w:rsidP="007C2A68">
      <w:pPr>
        <w:pStyle w:val="ListParagraph"/>
        <w:ind w:left="0"/>
      </w:pPr>
    </w:p>
    <w:p w14:paraId="0000009E" w14:textId="5926D412" w:rsidR="005B0A9F" w:rsidRPr="00C453CC" w:rsidRDefault="0098340E" w:rsidP="007C2A68">
      <w:pPr>
        <w:pStyle w:val="ListParagraph"/>
        <w:numPr>
          <w:ilvl w:val="2"/>
          <w:numId w:val="29"/>
        </w:numPr>
        <w:ind w:left="0" w:firstLine="0"/>
      </w:pPr>
      <w:r w:rsidRPr="00C453CC">
        <w:t>Remove the mouse’s head with surgical scissors.</w:t>
      </w:r>
    </w:p>
    <w:p w14:paraId="19D5BED0" w14:textId="77777777" w:rsidR="0009568F" w:rsidRPr="00C453CC" w:rsidRDefault="0009568F" w:rsidP="007C2A68">
      <w:pPr>
        <w:pStyle w:val="ListParagraph"/>
        <w:ind w:left="0"/>
      </w:pPr>
    </w:p>
    <w:p w14:paraId="0000009F" w14:textId="41A2AC54" w:rsidR="005B0A9F" w:rsidRPr="00C453CC" w:rsidRDefault="009A68EA" w:rsidP="007C2A68">
      <w:pPr>
        <w:pStyle w:val="ListParagraph"/>
        <w:numPr>
          <w:ilvl w:val="2"/>
          <w:numId w:val="29"/>
        </w:numPr>
        <w:ind w:left="0" w:firstLine="0"/>
      </w:pPr>
      <w:r w:rsidRPr="00C453CC">
        <w:t>Using small surgical scissors, start at the base of the skull and make</w:t>
      </w:r>
      <w:r w:rsidR="0098340E" w:rsidRPr="00C453CC">
        <w:t xml:space="preserve"> an incision along the midline of the head and pull back the skin and underlying tissue to expose the skull.</w:t>
      </w:r>
    </w:p>
    <w:p w14:paraId="57B88DC4" w14:textId="77777777" w:rsidR="0009568F" w:rsidRPr="00C453CC" w:rsidRDefault="0009568F" w:rsidP="007C2A68"/>
    <w:p w14:paraId="000000A0" w14:textId="18B9DAAD" w:rsidR="005B0A9F" w:rsidRPr="00C453CC" w:rsidRDefault="0098340E" w:rsidP="007C2A68">
      <w:pPr>
        <w:pStyle w:val="ListParagraph"/>
        <w:numPr>
          <w:ilvl w:val="2"/>
          <w:numId w:val="29"/>
        </w:numPr>
        <w:ind w:left="0" w:firstLine="0"/>
      </w:pPr>
      <w:r w:rsidRPr="00C453CC">
        <w:t>Using iris scissors, carefully cut the back of the skull</w:t>
      </w:r>
      <w:r w:rsidR="00FF750A" w:rsidRPr="00C453CC">
        <w:t>,</w:t>
      </w:r>
      <w:r w:rsidRPr="00C453CC">
        <w:t xml:space="preserve"> starting at the foramen </w:t>
      </w:r>
      <w:proofErr w:type="gramStart"/>
      <w:r w:rsidRPr="00C453CC">
        <w:t>magnum</w:t>
      </w:r>
      <w:proofErr w:type="gramEnd"/>
      <w:r w:rsidRPr="00C453CC">
        <w:t xml:space="preserve"> and </w:t>
      </w:r>
      <w:r w:rsidRPr="00C453CC">
        <w:lastRenderedPageBreak/>
        <w:t>continuing up toward and along the sagittal suture until the olfactory bulbs</w:t>
      </w:r>
      <w:r w:rsidR="009A68EA" w:rsidRPr="00C453CC">
        <w:t xml:space="preserve"> are passed</w:t>
      </w:r>
      <w:r w:rsidRPr="00C453CC">
        <w:t>.</w:t>
      </w:r>
    </w:p>
    <w:p w14:paraId="20988BC1" w14:textId="77777777" w:rsidR="0009568F" w:rsidRPr="00C453CC" w:rsidRDefault="0009568F" w:rsidP="007C2A68"/>
    <w:p w14:paraId="43E4E703" w14:textId="2D06CF41" w:rsidR="00FF750A" w:rsidRPr="00C453CC" w:rsidRDefault="0098340E">
      <w:pPr>
        <w:pStyle w:val="ListParagraph"/>
        <w:numPr>
          <w:ilvl w:val="2"/>
          <w:numId w:val="29"/>
        </w:numPr>
        <w:ind w:left="0" w:firstLine="0"/>
      </w:pPr>
      <w:r w:rsidRPr="00C453CC">
        <w:t xml:space="preserve">Insert the scissors into the skull over the olfactory bulbs and make two horizontal cuts in the skull. Make a similar pair of horizontal cuts in the occipital bone. </w:t>
      </w:r>
      <w:r w:rsidR="009C5F81" w:rsidRPr="00C453CC">
        <w:t xml:space="preserve">The horizontal and midline cuts create a pair of door-like flaps in the top of the skull. </w:t>
      </w:r>
    </w:p>
    <w:p w14:paraId="34D04AD9" w14:textId="77777777" w:rsidR="00FF750A" w:rsidRPr="00C453CC" w:rsidRDefault="00FF750A" w:rsidP="007C2A68">
      <w:pPr>
        <w:pStyle w:val="ListParagraph"/>
      </w:pPr>
    </w:p>
    <w:p w14:paraId="000000A1" w14:textId="2F9F7D28" w:rsidR="005B0A9F" w:rsidRPr="00C453CC" w:rsidRDefault="009C5F81" w:rsidP="007C2A68">
      <w:pPr>
        <w:pStyle w:val="ListParagraph"/>
        <w:numPr>
          <w:ilvl w:val="2"/>
          <w:numId w:val="29"/>
        </w:numPr>
        <w:ind w:left="0" w:firstLine="0"/>
      </w:pPr>
      <w:r w:rsidRPr="00C453CC">
        <w:t xml:space="preserve">Peel back the flaps of </w:t>
      </w:r>
      <w:r w:rsidR="00FF750A" w:rsidRPr="00C453CC">
        <w:t xml:space="preserve">the </w:t>
      </w:r>
      <w:r w:rsidRPr="00C453CC">
        <w:t>skull to</w:t>
      </w:r>
      <w:r w:rsidR="0098340E" w:rsidRPr="00C453CC">
        <w:t xml:space="preserve"> fully expose the brain.</w:t>
      </w:r>
      <w:r w:rsidR="00FF750A" w:rsidRPr="00C453CC">
        <w:t xml:space="preserve"> Use a pair of tweezers to sever the olfactory bulbs from the skull and to cut the cranial nerves, freeing the brain from the skull.</w:t>
      </w:r>
    </w:p>
    <w:p w14:paraId="3FFEC699" w14:textId="4DA2EB55" w:rsidR="0009568F" w:rsidRPr="00C453CC" w:rsidRDefault="0009568F" w:rsidP="007C2A68">
      <w:pPr>
        <w:pStyle w:val="ListParagraph"/>
        <w:ind w:left="0"/>
      </w:pPr>
    </w:p>
    <w:p w14:paraId="000000A3" w14:textId="1564595F" w:rsidR="005B0A9F" w:rsidRPr="00C453CC" w:rsidRDefault="0098340E" w:rsidP="007C2A68">
      <w:pPr>
        <w:pStyle w:val="ListParagraph"/>
        <w:numPr>
          <w:ilvl w:val="2"/>
          <w:numId w:val="29"/>
        </w:numPr>
        <w:ind w:left="0" w:firstLine="0"/>
        <w:rPr>
          <w:i/>
        </w:rPr>
      </w:pPr>
      <w:r w:rsidRPr="00C453CC">
        <w:t>Drop the brain into a 15 mL conical tube with 3</w:t>
      </w:r>
      <w:r w:rsidR="00FF750A" w:rsidRPr="00C453CC">
        <w:t>–</w:t>
      </w:r>
      <w:r w:rsidRPr="00C453CC">
        <w:t xml:space="preserve">5 mL of 4% PFA in PBS. Post-fix 6 h to overnight. </w:t>
      </w:r>
      <w:r w:rsidRPr="00C453CC">
        <w:rPr>
          <w:iCs/>
        </w:rPr>
        <w:t>Do not over-fix the tissue.</w:t>
      </w:r>
      <w:r w:rsidRPr="00C453CC">
        <w:rPr>
          <w:i/>
        </w:rPr>
        <w:t xml:space="preserve"> </w:t>
      </w:r>
    </w:p>
    <w:p w14:paraId="546499B5" w14:textId="77777777" w:rsidR="0009568F" w:rsidRPr="00C453CC" w:rsidRDefault="0009568F" w:rsidP="007C2A68">
      <w:pPr>
        <w:rPr>
          <w:i/>
        </w:rPr>
      </w:pPr>
    </w:p>
    <w:p w14:paraId="000000A4" w14:textId="45C544EA" w:rsidR="005B0A9F" w:rsidRPr="00C453CC" w:rsidRDefault="0098340E" w:rsidP="007C2A68">
      <w:pPr>
        <w:pStyle w:val="ListParagraph"/>
        <w:numPr>
          <w:ilvl w:val="1"/>
          <w:numId w:val="29"/>
        </w:numPr>
        <w:ind w:left="0" w:firstLine="0"/>
      </w:pPr>
      <w:r w:rsidRPr="00C453CC">
        <w:t xml:space="preserve">Prepare the brains for </w:t>
      </w:r>
      <w:proofErr w:type="spellStart"/>
      <w:r w:rsidRPr="00C453CC">
        <w:t>cryosectioning</w:t>
      </w:r>
      <w:proofErr w:type="spellEnd"/>
      <w:r w:rsidRPr="00C453CC">
        <w:t>.</w:t>
      </w:r>
    </w:p>
    <w:p w14:paraId="4EC159E2" w14:textId="77777777" w:rsidR="0009568F" w:rsidRPr="00C453CC" w:rsidRDefault="0009568F" w:rsidP="007C2A68">
      <w:pPr>
        <w:pStyle w:val="ListParagraph"/>
        <w:ind w:left="0"/>
      </w:pPr>
    </w:p>
    <w:p w14:paraId="7A1FCC85" w14:textId="0627EC58" w:rsidR="0009568F" w:rsidRPr="00C453CC" w:rsidRDefault="0098340E" w:rsidP="007C2A68">
      <w:pPr>
        <w:pStyle w:val="ListParagraph"/>
        <w:numPr>
          <w:ilvl w:val="2"/>
          <w:numId w:val="29"/>
        </w:numPr>
        <w:ind w:left="0" w:firstLine="0"/>
      </w:pPr>
      <w:r w:rsidRPr="00C453CC">
        <w:t>Transfer the fixed brain to a new 15 mL conical tube with 12</w:t>
      </w:r>
      <w:r w:rsidR="00FF750A" w:rsidRPr="00C453CC">
        <w:t>–</w:t>
      </w:r>
      <w:r w:rsidRPr="00C453CC">
        <w:t>14 mL of 30% sucrose in PBS for dehydration. Incubate at 4 °C until the brain sinks to the bottom of the tube (2</w:t>
      </w:r>
      <w:r w:rsidR="00FF750A" w:rsidRPr="00C453CC">
        <w:t>–</w:t>
      </w:r>
      <w:r w:rsidRPr="00C453CC">
        <w:t>3 days).</w:t>
      </w:r>
    </w:p>
    <w:p w14:paraId="13C6AF90" w14:textId="77777777" w:rsidR="0009568F" w:rsidRPr="00C453CC" w:rsidRDefault="0009568F" w:rsidP="007C2A68">
      <w:pPr>
        <w:pStyle w:val="ListParagraph"/>
        <w:ind w:left="0"/>
      </w:pPr>
    </w:p>
    <w:p w14:paraId="000000A6" w14:textId="44A294E1" w:rsidR="005B0A9F" w:rsidRPr="00C453CC" w:rsidRDefault="0098340E" w:rsidP="007C2A68">
      <w:pPr>
        <w:pStyle w:val="ListParagraph"/>
        <w:numPr>
          <w:ilvl w:val="2"/>
          <w:numId w:val="29"/>
        </w:numPr>
        <w:ind w:left="0" w:firstLine="0"/>
      </w:pPr>
      <w:r w:rsidRPr="00C453CC">
        <w:t xml:space="preserve">Submerge the fixed and dehydrated brain in optimum cutting temperature (OCT) compound in a 15 mm x 15 mm x 5 mm cryomold. Add OCT until </w:t>
      </w:r>
      <w:r w:rsidR="00FF750A" w:rsidRPr="00C453CC">
        <w:t xml:space="preserve">the </w:t>
      </w:r>
      <w:r w:rsidRPr="00C453CC">
        <w:t>brain is fully covered.</w:t>
      </w:r>
    </w:p>
    <w:p w14:paraId="767CD1A1" w14:textId="77777777" w:rsidR="0009568F" w:rsidRPr="00C453CC" w:rsidRDefault="0009568F" w:rsidP="007C2A68"/>
    <w:p w14:paraId="092918D3" w14:textId="2C365C53" w:rsidR="0009568F" w:rsidRPr="00C453CC" w:rsidRDefault="0098340E" w:rsidP="007C2A68">
      <w:pPr>
        <w:pStyle w:val="ListParagraph"/>
        <w:numPr>
          <w:ilvl w:val="2"/>
          <w:numId w:val="29"/>
        </w:numPr>
        <w:ind w:left="0" w:firstLine="0"/>
      </w:pPr>
      <w:r w:rsidRPr="00C453CC">
        <w:t xml:space="preserve">Place cryomold on a block of dry ice and freeze </w:t>
      </w:r>
      <w:r w:rsidR="00FF750A" w:rsidRPr="00C453CC">
        <w:t xml:space="preserve">the </w:t>
      </w:r>
      <w:r w:rsidRPr="00C453CC">
        <w:t xml:space="preserve">sample in a solid block of OCT (~ </w:t>
      </w:r>
      <w:r w:rsidR="009A68EA" w:rsidRPr="00C453CC">
        <w:t>5 min</w:t>
      </w:r>
      <w:r w:rsidRPr="00C453CC">
        <w:t>).</w:t>
      </w:r>
    </w:p>
    <w:p w14:paraId="17FDF9E9" w14:textId="77777777" w:rsidR="0009568F" w:rsidRPr="00C453CC" w:rsidRDefault="0009568F" w:rsidP="007C2A68"/>
    <w:p w14:paraId="000000A8" w14:textId="72E3E808" w:rsidR="005B0A9F" w:rsidRPr="00C453CC" w:rsidRDefault="0089284C" w:rsidP="007C2A68">
      <w:pPr>
        <w:rPr>
          <w:iCs/>
        </w:rPr>
      </w:pPr>
      <w:r w:rsidRPr="00C453CC">
        <w:rPr>
          <w:iCs/>
        </w:rPr>
        <w:t>NOTE</w:t>
      </w:r>
      <w:r w:rsidR="009A68EA" w:rsidRPr="00C453CC">
        <w:rPr>
          <w:iCs/>
        </w:rPr>
        <w:t>:</w:t>
      </w:r>
      <w:r w:rsidR="0098340E" w:rsidRPr="00C453CC">
        <w:rPr>
          <w:iCs/>
        </w:rPr>
        <w:t xml:space="preserve"> OCT blocks</w:t>
      </w:r>
      <w:r w:rsidR="009A68EA" w:rsidRPr="00C453CC">
        <w:rPr>
          <w:iCs/>
        </w:rPr>
        <w:t xml:space="preserve"> can be stored</w:t>
      </w:r>
      <w:r w:rsidR="0098340E" w:rsidRPr="00C453CC">
        <w:rPr>
          <w:iCs/>
        </w:rPr>
        <w:t xml:space="preserve"> at -80 °C for months to years.</w:t>
      </w:r>
    </w:p>
    <w:p w14:paraId="2C496767" w14:textId="77777777" w:rsidR="0009568F" w:rsidRPr="00C453CC" w:rsidRDefault="0009568F" w:rsidP="007C2A68"/>
    <w:p w14:paraId="000000A9" w14:textId="3C8094CC" w:rsidR="005B0A9F" w:rsidRPr="00C453CC" w:rsidRDefault="0098340E" w:rsidP="007C2A68">
      <w:pPr>
        <w:pStyle w:val="ListParagraph"/>
        <w:numPr>
          <w:ilvl w:val="2"/>
          <w:numId w:val="29"/>
        </w:numPr>
        <w:ind w:left="0" w:firstLine="0"/>
      </w:pPr>
      <w:r w:rsidRPr="00C453CC">
        <w:t>Label the cryomold with the sample name and the orientation of the brain.</w:t>
      </w:r>
    </w:p>
    <w:p w14:paraId="4A8F76D7" w14:textId="77777777" w:rsidR="0009568F" w:rsidRPr="00C453CC" w:rsidRDefault="0009568F" w:rsidP="007C2A68">
      <w:pPr>
        <w:pStyle w:val="ListParagraph"/>
        <w:ind w:left="0"/>
      </w:pPr>
    </w:p>
    <w:p w14:paraId="000000AA" w14:textId="2BD93C3D" w:rsidR="005B0A9F" w:rsidRPr="00C453CC" w:rsidRDefault="0098340E" w:rsidP="007C2A68">
      <w:pPr>
        <w:pStyle w:val="ListParagraph"/>
        <w:numPr>
          <w:ilvl w:val="1"/>
          <w:numId w:val="29"/>
        </w:numPr>
        <w:ind w:left="0" w:firstLine="0"/>
      </w:pPr>
      <w:r w:rsidRPr="00C453CC">
        <w:t>Obtain coronal sections using a cryostat microtome.</w:t>
      </w:r>
    </w:p>
    <w:p w14:paraId="5764712D" w14:textId="77777777" w:rsidR="0009568F" w:rsidRPr="00C453CC" w:rsidRDefault="0009568F" w:rsidP="007C2A68">
      <w:pPr>
        <w:pStyle w:val="ListParagraph"/>
        <w:ind w:left="0"/>
      </w:pPr>
    </w:p>
    <w:p w14:paraId="000000AB" w14:textId="47E8B9BD" w:rsidR="005B0A9F" w:rsidRPr="00C453CC" w:rsidRDefault="0098340E" w:rsidP="007C2A68">
      <w:pPr>
        <w:pStyle w:val="ListParagraph"/>
        <w:numPr>
          <w:ilvl w:val="2"/>
          <w:numId w:val="29"/>
        </w:numPr>
        <w:ind w:left="0" w:firstLine="0"/>
      </w:pPr>
      <w:r w:rsidRPr="00C453CC">
        <w:t>Mark the orientation of the brain on the OCT block in pencil and remove the block from the cryomold inside the cryostat.</w:t>
      </w:r>
    </w:p>
    <w:p w14:paraId="0794DD0E" w14:textId="77777777" w:rsidR="0009568F" w:rsidRPr="00C453CC" w:rsidRDefault="0009568F" w:rsidP="007C2A68"/>
    <w:p w14:paraId="000000AC" w14:textId="462A6FBC" w:rsidR="005B0A9F" w:rsidRPr="00C453CC" w:rsidRDefault="0098340E" w:rsidP="007C2A68">
      <w:pPr>
        <w:pStyle w:val="ListParagraph"/>
        <w:numPr>
          <w:ilvl w:val="2"/>
          <w:numId w:val="29"/>
        </w:numPr>
        <w:ind w:left="0" w:firstLine="0"/>
      </w:pPr>
      <w:r w:rsidRPr="00C453CC">
        <w:t>Position the OCT block so that the brain is oriented with the olfactory bulbs facing the blade of the cryostat and adhere the block to the object holder of the cryostat with some fresh OCT.</w:t>
      </w:r>
    </w:p>
    <w:p w14:paraId="4ED2B027" w14:textId="77777777" w:rsidR="0009568F" w:rsidRPr="00C453CC" w:rsidRDefault="0009568F" w:rsidP="007C2A68"/>
    <w:p w14:paraId="000000AD" w14:textId="4DD93199" w:rsidR="005B0A9F" w:rsidRPr="00C453CC" w:rsidRDefault="0098340E" w:rsidP="007C2A68">
      <w:pPr>
        <w:pStyle w:val="ListParagraph"/>
        <w:numPr>
          <w:ilvl w:val="2"/>
          <w:numId w:val="29"/>
        </w:numPr>
        <w:ind w:left="0" w:firstLine="0"/>
      </w:pPr>
      <w:r w:rsidRPr="00C453CC">
        <w:t>Once frozen in place, begin cutting 50 µm sections through the block</w:t>
      </w:r>
      <w:r w:rsidR="00FF750A" w:rsidRPr="00C453CC">
        <w:t xml:space="preserve"> following steps 4.4.4–4.4.6.</w:t>
      </w:r>
    </w:p>
    <w:p w14:paraId="395775CA" w14:textId="77777777" w:rsidR="0009568F" w:rsidRPr="00C453CC" w:rsidRDefault="0009568F" w:rsidP="007C2A68"/>
    <w:p w14:paraId="000000AE" w14:textId="5188404E" w:rsidR="005B0A9F" w:rsidRPr="00C453CC" w:rsidRDefault="0098340E" w:rsidP="007C2A68">
      <w:pPr>
        <w:pStyle w:val="ListParagraph"/>
        <w:numPr>
          <w:ilvl w:val="2"/>
          <w:numId w:val="29"/>
        </w:numPr>
        <w:ind w:left="0" w:firstLine="0"/>
      </w:pPr>
      <w:r w:rsidRPr="00C453CC">
        <w:t xml:space="preserve">Do not use the anti-roll plate. Sections will curl into tight rolls as </w:t>
      </w:r>
      <w:r w:rsidR="009A68EA" w:rsidRPr="00C453CC">
        <w:t>they are</w:t>
      </w:r>
      <w:r w:rsidRPr="00C453CC">
        <w:t xml:space="preserve"> cut and</w:t>
      </w:r>
      <w:r w:rsidR="009A68EA" w:rsidRPr="00C453CC">
        <w:t xml:space="preserve"> will</w:t>
      </w:r>
      <w:r w:rsidRPr="00C453CC">
        <w:t xml:space="preserve"> collect either on top of the block or fall below into a collection tray. </w:t>
      </w:r>
    </w:p>
    <w:p w14:paraId="4FF2469B" w14:textId="77777777" w:rsidR="0009568F" w:rsidRPr="00C453CC" w:rsidRDefault="0009568F" w:rsidP="007C2A68"/>
    <w:p w14:paraId="000000AF" w14:textId="7317E0BA" w:rsidR="005B0A9F" w:rsidRPr="00C453CC" w:rsidRDefault="0098340E" w:rsidP="007C2A68">
      <w:pPr>
        <w:pStyle w:val="ListParagraph"/>
        <w:numPr>
          <w:ilvl w:val="2"/>
          <w:numId w:val="29"/>
        </w:numPr>
        <w:ind w:left="0" w:firstLine="0"/>
      </w:pPr>
      <w:r w:rsidRPr="00C453CC">
        <w:t xml:space="preserve">Watch the shape of the block in the first few cuts </w:t>
      </w:r>
      <w:r w:rsidR="009A68EA" w:rsidRPr="00C453CC">
        <w:t>that are made. Make</w:t>
      </w:r>
      <w:r w:rsidRPr="00C453CC">
        <w:t xml:space="preserve"> vertical cuts through the block, producing an even face when </w:t>
      </w:r>
      <w:r w:rsidR="009A68EA" w:rsidRPr="00C453CC">
        <w:t>beginning</w:t>
      </w:r>
      <w:r w:rsidRPr="00C453CC">
        <w:t xml:space="preserve"> to cut. Adjust </w:t>
      </w:r>
      <w:r w:rsidR="009A68EA" w:rsidRPr="00C453CC">
        <w:t>the</w:t>
      </w:r>
      <w:r w:rsidRPr="00C453CC">
        <w:t xml:space="preserve"> angle using the </w:t>
      </w:r>
      <w:r w:rsidRPr="00C453CC">
        <w:lastRenderedPageBreak/>
        <w:t>sample adjustment arms if needed.</w:t>
      </w:r>
    </w:p>
    <w:p w14:paraId="44188BBA" w14:textId="77777777" w:rsidR="0009568F" w:rsidRPr="00C453CC" w:rsidRDefault="0009568F" w:rsidP="007C2A68"/>
    <w:p w14:paraId="000000B0" w14:textId="76152B17" w:rsidR="005B0A9F" w:rsidRPr="00C453CC" w:rsidRDefault="0098340E" w:rsidP="007C2A68">
      <w:pPr>
        <w:pStyle w:val="ListParagraph"/>
        <w:numPr>
          <w:ilvl w:val="2"/>
          <w:numId w:val="29"/>
        </w:numPr>
        <w:ind w:left="0" w:firstLine="0"/>
      </w:pPr>
      <w:r w:rsidRPr="00C453CC">
        <w:t>When the olfactory bulbs</w:t>
      </w:r>
      <w:r w:rsidR="009A68EA" w:rsidRPr="00C453CC">
        <w:t xml:space="preserve"> are visible</w:t>
      </w:r>
      <w:r w:rsidRPr="00C453CC">
        <w:t xml:space="preserve">, pay close attention to the shape of the sections. If one appears larger than the other, </w:t>
      </w:r>
      <w:r w:rsidR="009A68EA" w:rsidRPr="00C453CC">
        <w:t>the cuts</w:t>
      </w:r>
      <w:r w:rsidRPr="00C453CC">
        <w:t xml:space="preserve"> are at an angle relative to the brain, and </w:t>
      </w:r>
      <w:r w:rsidR="009A68EA" w:rsidRPr="00C453CC">
        <w:t>it is necessary</w:t>
      </w:r>
      <w:r w:rsidRPr="00C453CC">
        <w:t xml:space="preserve"> to straighten the orientation of the brain against the blade using the sample adjustment arms.</w:t>
      </w:r>
    </w:p>
    <w:p w14:paraId="10A646E8" w14:textId="77777777" w:rsidR="0009568F" w:rsidRPr="00C453CC" w:rsidRDefault="0009568F" w:rsidP="007C2A68"/>
    <w:p w14:paraId="000000B1" w14:textId="29D23018" w:rsidR="005B0A9F" w:rsidRPr="00C453CC" w:rsidRDefault="0089284C" w:rsidP="007C2A68">
      <w:pPr>
        <w:rPr>
          <w:iCs/>
        </w:rPr>
      </w:pPr>
      <w:r w:rsidRPr="00C453CC">
        <w:rPr>
          <w:iCs/>
        </w:rPr>
        <w:t>NOTE</w:t>
      </w:r>
      <w:r w:rsidR="009A68EA" w:rsidRPr="00C453CC">
        <w:rPr>
          <w:iCs/>
        </w:rPr>
        <w:t>:</w:t>
      </w:r>
      <w:r w:rsidR="0098340E" w:rsidRPr="00C453CC">
        <w:rPr>
          <w:iCs/>
        </w:rPr>
        <w:t xml:space="preserve"> If cutting straight, the cortex should begin to appear above each olfactory bulb at the same time.</w:t>
      </w:r>
    </w:p>
    <w:p w14:paraId="7F8BCEA0" w14:textId="77777777" w:rsidR="0009568F" w:rsidRPr="00C453CC" w:rsidRDefault="0009568F" w:rsidP="007C2A68">
      <w:pPr>
        <w:rPr>
          <w:i/>
        </w:rPr>
      </w:pPr>
    </w:p>
    <w:p w14:paraId="000000B2" w14:textId="76333871" w:rsidR="005B0A9F" w:rsidRPr="00C453CC" w:rsidRDefault="0098340E" w:rsidP="007C2A68">
      <w:pPr>
        <w:pStyle w:val="ListParagraph"/>
        <w:numPr>
          <w:ilvl w:val="2"/>
          <w:numId w:val="29"/>
        </w:numPr>
        <w:ind w:left="0" w:firstLine="0"/>
      </w:pPr>
      <w:r w:rsidRPr="00C453CC">
        <w:t xml:space="preserve">Once the olfactory bulb </w:t>
      </w:r>
      <w:r w:rsidR="009A68EA" w:rsidRPr="00C453CC">
        <w:t xml:space="preserve">has been sectioned </w:t>
      </w:r>
      <w:r w:rsidRPr="00C453CC">
        <w:t>and rostral brain tissue</w:t>
      </w:r>
      <w:r w:rsidR="009A68EA" w:rsidRPr="00C453CC">
        <w:t xml:space="preserve"> is visible</w:t>
      </w:r>
      <w:r w:rsidRPr="00C453CC">
        <w:t xml:space="preserve">, reduce </w:t>
      </w:r>
      <w:r w:rsidR="009A68EA" w:rsidRPr="00C453CC">
        <w:t>the</w:t>
      </w:r>
      <w:r w:rsidRPr="00C453CC">
        <w:t xml:space="preserve"> cutting thickness to 30</w:t>
      </w:r>
      <w:r w:rsidR="00FF750A" w:rsidRPr="00C453CC">
        <w:t>–</w:t>
      </w:r>
      <w:r w:rsidRPr="00C453CC">
        <w:t>35 µm and begin</w:t>
      </w:r>
      <w:r w:rsidR="00FF750A" w:rsidRPr="00C453CC">
        <w:t xml:space="preserve"> to</w:t>
      </w:r>
      <w:r w:rsidRPr="00C453CC">
        <w:t xml:space="preserve"> collect</w:t>
      </w:r>
      <w:r w:rsidR="00FF750A" w:rsidRPr="00C453CC">
        <w:t xml:space="preserve"> the</w:t>
      </w:r>
      <w:r w:rsidRPr="00C453CC">
        <w:t xml:space="preserve"> floating sections.</w:t>
      </w:r>
      <w:r w:rsidR="00FF750A" w:rsidRPr="00C453CC">
        <w:t xml:space="preserve"> Follow steps 4.4.8–4.4.13 for sectioning the brain.</w:t>
      </w:r>
    </w:p>
    <w:p w14:paraId="4D663DFF" w14:textId="77777777" w:rsidR="0009568F" w:rsidRPr="00C453CC" w:rsidRDefault="0009568F" w:rsidP="007C2A68"/>
    <w:p w14:paraId="000000B3" w14:textId="4C409199" w:rsidR="005B0A9F" w:rsidRPr="00C453CC" w:rsidRDefault="0098340E" w:rsidP="007C2A68">
      <w:pPr>
        <w:pStyle w:val="ListParagraph"/>
        <w:numPr>
          <w:ilvl w:val="2"/>
          <w:numId w:val="29"/>
        </w:numPr>
        <w:ind w:left="0" w:firstLine="0"/>
      </w:pPr>
      <w:r w:rsidRPr="00C453CC">
        <w:t xml:space="preserve">Brush all previous sections </w:t>
      </w:r>
      <w:proofErr w:type="gramStart"/>
      <w:r w:rsidRPr="00C453CC">
        <w:t>off of</w:t>
      </w:r>
      <w:proofErr w:type="gramEnd"/>
      <w:r w:rsidRPr="00C453CC">
        <w:t xml:space="preserve"> the block and object holder so that they fall into the collecting tray. Brush them off to one side of the tray and keep them separate. If the pile is too big, then empty the tray.</w:t>
      </w:r>
    </w:p>
    <w:p w14:paraId="29845874" w14:textId="77777777" w:rsidR="0009568F" w:rsidRPr="00C453CC" w:rsidRDefault="0009568F" w:rsidP="007C2A68"/>
    <w:p w14:paraId="000000B4" w14:textId="763780D2" w:rsidR="005B0A9F" w:rsidRPr="00C453CC" w:rsidRDefault="0098340E" w:rsidP="007C2A68">
      <w:pPr>
        <w:pStyle w:val="ListParagraph"/>
        <w:numPr>
          <w:ilvl w:val="2"/>
          <w:numId w:val="29"/>
        </w:numPr>
        <w:ind w:left="0" w:firstLine="0"/>
      </w:pPr>
      <w:r w:rsidRPr="00C453CC">
        <w:t>Dispense 1 mL of PBS into each well of a 24 well plate. Label 1 row for each brain.</w:t>
      </w:r>
    </w:p>
    <w:p w14:paraId="2208A890" w14:textId="77777777" w:rsidR="0009568F" w:rsidRPr="00C453CC" w:rsidRDefault="0009568F" w:rsidP="007C2A68"/>
    <w:p w14:paraId="000000B5" w14:textId="4A55ED1A" w:rsidR="005B0A9F" w:rsidRPr="00C453CC" w:rsidRDefault="0098340E" w:rsidP="007C2A68">
      <w:pPr>
        <w:pStyle w:val="ListParagraph"/>
        <w:numPr>
          <w:ilvl w:val="2"/>
          <w:numId w:val="29"/>
        </w:numPr>
        <w:ind w:left="0" w:firstLine="0"/>
      </w:pPr>
      <w:r w:rsidRPr="00C453CC">
        <w:t>Cut 6 coronal sections. Retrieve the sections using cold tweezers and arrange them on the cryostat stage. Repeat this step 2 or 3 times, keeping the groups of 6 sections separate.</w:t>
      </w:r>
    </w:p>
    <w:p w14:paraId="397109F1" w14:textId="77777777" w:rsidR="0009568F" w:rsidRPr="00C453CC" w:rsidRDefault="0009568F" w:rsidP="007C2A68"/>
    <w:p w14:paraId="000000B6" w14:textId="0DFFAE4C" w:rsidR="005B0A9F" w:rsidRPr="00C453CC" w:rsidRDefault="0098340E" w:rsidP="007C2A68">
      <w:pPr>
        <w:pStyle w:val="ListParagraph"/>
        <w:numPr>
          <w:ilvl w:val="2"/>
          <w:numId w:val="29"/>
        </w:numPr>
        <w:ind w:left="0" w:firstLine="0"/>
      </w:pPr>
      <w:r w:rsidRPr="00C453CC">
        <w:t>Wet</w:t>
      </w:r>
      <w:r w:rsidR="00FF750A" w:rsidRPr="00C453CC">
        <w:t xml:space="preserve"> </w:t>
      </w:r>
      <w:r w:rsidRPr="00C453CC">
        <w:t xml:space="preserve">a size 000 paintbrush with PBS and dab </w:t>
      </w:r>
      <w:r w:rsidR="009A68EA" w:rsidRPr="00C453CC">
        <w:t>away excess liquid on a lint-free tissue or paper towel.</w:t>
      </w:r>
      <w:r w:rsidRPr="00C453CC">
        <w:t xml:space="preserve"> Use the paintbrush to gently pick up each section, one at a time, and place </w:t>
      </w:r>
      <w:r w:rsidR="00FF750A" w:rsidRPr="00C453CC">
        <w:t xml:space="preserve">it </w:t>
      </w:r>
      <w:r w:rsidRPr="00C453CC">
        <w:t>in the appropriate wells of the 24 well plate.</w:t>
      </w:r>
    </w:p>
    <w:p w14:paraId="2246A267" w14:textId="77777777" w:rsidR="0009568F" w:rsidRPr="00C453CC" w:rsidRDefault="0009568F" w:rsidP="007C2A68"/>
    <w:p w14:paraId="000000B7" w14:textId="51728595" w:rsidR="005B0A9F" w:rsidRPr="00C453CC" w:rsidRDefault="009A68EA" w:rsidP="007C2A68">
      <w:pPr>
        <w:pStyle w:val="ListParagraph"/>
        <w:numPr>
          <w:ilvl w:val="2"/>
          <w:numId w:val="29"/>
        </w:numPr>
        <w:ind w:left="0" w:firstLine="0"/>
      </w:pPr>
      <w:r w:rsidRPr="00C453CC">
        <w:t>Place</w:t>
      </w:r>
      <w:r w:rsidR="0098340E" w:rsidRPr="00C453CC">
        <w:t xml:space="preserve"> one of the </w:t>
      </w:r>
      <w:r w:rsidR="00FF750A" w:rsidRPr="00C453CC">
        <w:t xml:space="preserve">6 </w:t>
      </w:r>
      <w:r w:rsidR="0098340E" w:rsidRPr="00C453CC">
        <w:t xml:space="preserve">sections from </w:t>
      </w:r>
      <w:r w:rsidRPr="00C453CC">
        <w:t xml:space="preserve">the group of slices into </w:t>
      </w:r>
      <w:r w:rsidR="0098340E" w:rsidRPr="00C453CC">
        <w:t xml:space="preserve">each </w:t>
      </w:r>
      <w:r w:rsidRPr="00C453CC">
        <w:t xml:space="preserve">of the </w:t>
      </w:r>
      <w:r w:rsidR="00FF750A" w:rsidRPr="00C453CC">
        <w:t>6</w:t>
      </w:r>
      <w:r w:rsidRPr="00C453CC">
        <w:t xml:space="preserve"> wells in a row of the 24 well plate</w:t>
      </w:r>
      <w:r w:rsidR="0098340E" w:rsidRPr="00C453CC">
        <w:t>. This ensures that each well contains representative sections that span the sectioned area of the brain.</w:t>
      </w:r>
    </w:p>
    <w:p w14:paraId="2080B9D3" w14:textId="77777777" w:rsidR="0009568F" w:rsidRPr="00C453CC" w:rsidRDefault="0009568F" w:rsidP="007C2A68"/>
    <w:p w14:paraId="000000B8" w14:textId="317B9765" w:rsidR="005B0A9F" w:rsidRPr="00C453CC" w:rsidRDefault="0098340E" w:rsidP="007C2A68">
      <w:pPr>
        <w:pStyle w:val="ListParagraph"/>
        <w:numPr>
          <w:ilvl w:val="2"/>
          <w:numId w:val="29"/>
        </w:numPr>
        <w:ind w:left="0" w:firstLine="0"/>
      </w:pPr>
      <w:r w:rsidRPr="00C453CC">
        <w:t>Continue sectioning in groups of 6 until the caudal end of the cerebral cortex</w:t>
      </w:r>
      <w:r w:rsidR="009A68EA" w:rsidRPr="00C453CC">
        <w:t xml:space="preserve"> has been sectioned</w:t>
      </w:r>
      <w:r w:rsidRPr="00C453CC">
        <w:t>.</w:t>
      </w:r>
    </w:p>
    <w:p w14:paraId="6EDE5456" w14:textId="77777777" w:rsidR="0009568F" w:rsidRPr="00C453CC" w:rsidRDefault="0009568F" w:rsidP="007C2A68"/>
    <w:p w14:paraId="6989A54A" w14:textId="6D6BD79A" w:rsidR="009B4B36" w:rsidRPr="00C453CC" w:rsidRDefault="009A68EA" w:rsidP="007C2A68">
      <w:pPr>
        <w:pStyle w:val="ListParagraph"/>
        <w:numPr>
          <w:ilvl w:val="2"/>
          <w:numId w:val="29"/>
        </w:numPr>
        <w:ind w:left="0" w:firstLine="0"/>
      </w:pPr>
      <w:r w:rsidRPr="00C453CC">
        <w:t>For storage,</w:t>
      </w:r>
      <w:r w:rsidR="0098340E" w:rsidRPr="00C453CC">
        <w:t xml:space="preserve"> seal the 24 well plate with parafilm and store at 4 °C.</w:t>
      </w:r>
    </w:p>
    <w:p w14:paraId="54F372EB" w14:textId="77777777" w:rsidR="0009568F" w:rsidRPr="00C453CC" w:rsidRDefault="0009568F" w:rsidP="007C2A68"/>
    <w:p w14:paraId="000000B9" w14:textId="563EF093" w:rsidR="005B0A9F" w:rsidRPr="00C453CC" w:rsidRDefault="0089284C" w:rsidP="007C2A68">
      <w:pPr>
        <w:rPr>
          <w:iCs/>
        </w:rPr>
      </w:pPr>
      <w:r w:rsidRPr="00C453CC">
        <w:rPr>
          <w:iCs/>
        </w:rPr>
        <w:t>NOTE</w:t>
      </w:r>
      <w:r w:rsidR="009A68EA" w:rsidRPr="00C453CC">
        <w:rPr>
          <w:iCs/>
        </w:rPr>
        <w:t>: Sections are stable for 1-2 months at 4 °C.</w:t>
      </w:r>
      <w:r w:rsidR="0098340E" w:rsidRPr="00C453CC">
        <w:rPr>
          <w:iCs/>
        </w:rPr>
        <w:t xml:space="preserve"> </w:t>
      </w:r>
      <w:r w:rsidR="009A68EA" w:rsidRPr="00C453CC">
        <w:rPr>
          <w:iCs/>
        </w:rPr>
        <w:t xml:space="preserve">A PBS solution with 0.1% Sodium </w:t>
      </w:r>
      <w:proofErr w:type="spellStart"/>
      <w:r w:rsidR="009A68EA" w:rsidRPr="00C453CC">
        <w:rPr>
          <w:iCs/>
        </w:rPr>
        <w:t>azide</w:t>
      </w:r>
      <w:proofErr w:type="spellEnd"/>
      <w:r w:rsidR="009A68EA" w:rsidRPr="00C453CC">
        <w:rPr>
          <w:iCs/>
        </w:rPr>
        <w:t xml:space="preserve"> may be used to inhibit bacterial growth and prolong the shelf life of</w:t>
      </w:r>
      <w:r w:rsidR="0098340E" w:rsidRPr="00C453CC">
        <w:rPr>
          <w:iCs/>
        </w:rPr>
        <w:t xml:space="preserve"> the sections</w:t>
      </w:r>
      <w:r w:rsidR="009A68EA" w:rsidRPr="00C453CC">
        <w:rPr>
          <w:iCs/>
        </w:rPr>
        <w:t>. However, if the sections are to be stored</w:t>
      </w:r>
      <w:r w:rsidR="0098340E" w:rsidRPr="00C453CC">
        <w:rPr>
          <w:iCs/>
        </w:rPr>
        <w:t xml:space="preserve"> for longer than 2 months, </w:t>
      </w:r>
      <w:r w:rsidR="009A68EA" w:rsidRPr="00C453CC">
        <w:rPr>
          <w:iCs/>
        </w:rPr>
        <w:t>they should be placed</w:t>
      </w:r>
      <w:r w:rsidR="0098340E" w:rsidRPr="00C453CC">
        <w:rPr>
          <w:iCs/>
        </w:rPr>
        <w:t xml:space="preserve"> in cryoprotectant solution and </w:t>
      </w:r>
      <w:r w:rsidR="009A68EA" w:rsidRPr="00C453CC">
        <w:rPr>
          <w:iCs/>
        </w:rPr>
        <w:t>frozen</w:t>
      </w:r>
      <w:r w:rsidR="0098340E" w:rsidRPr="00C453CC">
        <w:rPr>
          <w:iCs/>
        </w:rPr>
        <w:t xml:space="preserve"> at -20 °C</w:t>
      </w:r>
      <w:r w:rsidR="009A68EA" w:rsidRPr="00C453CC">
        <w:rPr>
          <w:iCs/>
        </w:rPr>
        <w:t xml:space="preserve"> for best results</w:t>
      </w:r>
      <w:r w:rsidR="0098340E" w:rsidRPr="00C453CC">
        <w:rPr>
          <w:iCs/>
        </w:rPr>
        <w:t>.</w:t>
      </w:r>
    </w:p>
    <w:p w14:paraId="47A02CF7" w14:textId="77777777" w:rsidR="0009568F" w:rsidRPr="00C453CC" w:rsidRDefault="0009568F" w:rsidP="007C2A68">
      <w:pPr>
        <w:rPr>
          <w:i/>
          <w:highlight w:val="yellow"/>
        </w:rPr>
      </w:pPr>
    </w:p>
    <w:p w14:paraId="000000BA" w14:textId="5D3B2DF3" w:rsidR="005B0A9F" w:rsidRPr="00C453CC" w:rsidRDefault="0098340E" w:rsidP="007C2A68">
      <w:pPr>
        <w:pStyle w:val="ListParagraph"/>
        <w:numPr>
          <w:ilvl w:val="1"/>
          <w:numId w:val="29"/>
        </w:numPr>
        <w:ind w:left="0" w:firstLine="0"/>
      </w:pPr>
      <w:r w:rsidRPr="00C453CC">
        <w:t>Perform immunohistochemistry for reporter gene signal amplification.</w:t>
      </w:r>
    </w:p>
    <w:p w14:paraId="767DC876" w14:textId="77777777" w:rsidR="0009568F" w:rsidRPr="00C453CC" w:rsidRDefault="0009568F" w:rsidP="007C2A68">
      <w:pPr>
        <w:pStyle w:val="ListParagraph"/>
        <w:ind w:left="0"/>
      </w:pPr>
    </w:p>
    <w:p w14:paraId="000000BD" w14:textId="4211E154" w:rsidR="005B0A9F" w:rsidRPr="00C453CC" w:rsidRDefault="0098340E" w:rsidP="007C2A68">
      <w:pPr>
        <w:rPr>
          <w:iCs/>
        </w:rPr>
      </w:pPr>
      <w:r w:rsidRPr="00C453CC">
        <w:rPr>
          <w:iCs/>
        </w:rPr>
        <w:t xml:space="preserve">NOTE: All steps except antigen retrieval should be performed using gentle-to-moderate agitation (~100 RPM) on an orbital </w:t>
      </w:r>
      <w:proofErr w:type="spellStart"/>
      <w:proofErr w:type="gramStart"/>
      <w:r w:rsidRPr="00C453CC">
        <w:rPr>
          <w:iCs/>
        </w:rPr>
        <w:t>shaker.To</w:t>
      </w:r>
      <w:proofErr w:type="spellEnd"/>
      <w:proofErr w:type="gramEnd"/>
      <w:r w:rsidRPr="00C453CC">
        <w:rPr>
          <w:iCs/>
        </w:rPr>
        <w:t xml:space="preserve"> preserve native fluorescence of the control reporter </w:t>
      </w:r>
      <w:r w:rsidRPr="00C453CC">
        <w:rPr>
          <w:iCs/>
        </w:rPr>
        <w:lastRenderedPageBreak/>
        <w:t>(mRuby3), all steps should be protected from light as much as possible.</w:t>
      </w:r>
    </w:p>
    <w:p w14:paraId="3C9F74DF" w14:textId="77777777" w:rsidR="0009568F" w:rsidRPr="00C453CC" w:rsidRDefault="0009568F" w:rsidP="007C2A68">
      <w:pPr>
        <w:pBdr>
          <w:top w:val="nil"/>
          <w:left w:val="nil"/>
          <w:bottom w:val="nil"/>
          <w:right w:val="nil"/>
          <w:between w:val="nil"/>
        </w:pBdr>
        <w:rPr>
          <w:i/>
        </w:rPr>
      </w:pPr>
    </w:p>
    <w:p w14:paraId="000000BE" w14:textId="26094130" w:rsidR="005B0A9F" w:rsidRPr="00C453CC" w:rsidRDefault="0098340E" w:rsidP="007C2A68">
      <w:pPr>
        <w:pStyle w:val="ListParagraph"/>
        <w:numPr>
          <w:ilvl w:val="2"/>
          <w:numId w:val="29"/>
        </w:numPr>
        <w:ind w:left="0" w:firstLine="0"/>
      </w:pPr>
      <w:r w:rsidRPr="00C453CC">
        <w:t>Prepare necessary buffers</w:t>
      </w:r>
      <w:r w:rsidR="000828BE" w:rsidRPr="00C453CC">
        <w:t xml:space="preserve"> as described in </w:t>
      </w:r>
      <w:r w:rsidR="000828BE" w:rsidRPr="00C453CC">
        <w:rPr>
          <w:b/>
          <w:bCs/>
        </w:rPr>
        <w:t>Table 3</w:t>
      </w:r>
      <w:r w:rsidR="000828BE" w:rsidRPr="00C453CC">
        <w:t>.</w:t>
      </w:r>
    </w:p>
    <w:p w14:paraId="4C49C164" w14:textId="77777777" w:rsidR="0009568F" w:rsidRPr="00C453CC" w:rsidRDefault="0009568F" w:rsidP="007C2A68">
      <w:pPr>
        <w:pBdr>
          <w:top w:val="nil"/>
          <w:left w:val="nil"/>
          <w:bottom w:val="nil"/>
          <w:right w:val="nil"/>
          <w:between w:val="nil"/>
        </w:pBdr>
      </w:pPr>
    </w:p>
    <w:p w14:paraId="000000C4" w14:textId="2E9CF105" w:rsidR="005B0A9F" w:rsidRPr="00C453CC" w:rsidRDefault="0098340E" w:rsidP="007C2A68">
      <w:pPr>
        <w:pStyle w:val="ListParagraph"/>
        <w:numPr>
          <w:ilvl w:val="2"/>
          <w:numId w:val="29"/>
        </w:numPr>
        <w:ind w:left="0" w:firstLine="0"/>
      </w:pPr>
      <w:r w:rsidRPr="00C453CC">
        <w:t xml:space="preserve">Prepare a new 24 well plate with </w:t>
      </w:r>
      <w:r w:rsidR="00A3226C" w:rsidRPr="00C453CC">
        <w:t>one row</w:t>
      </w:r>
      <w:r w:rsidR="009A68EA" w:rsidRPr="00C453CC">
        <w:t xml:space="preserve"> </w:t>
      </w:r>
      <w:r w:rsidRPr="00C453CC">
        <w:t xml:space="preserve">for each brain </w:t>
      </w:r>
      <w:r w:rsidR="009A68EA" w:rsidRPr="00C453CC">
        <w:t xml:space="preserve">being stained. </w:t>
      </w:r>
      <w:r w:rsidR="00A3226C" w:rsidRPr="00C453CC">
        <w:t xml:space="preserve">In the first column of wells, add 1 mL of PBS </w:t>
      </w:r>
      <w:r w:rsidRPr="00C453CC">
        <w:t xml:space="preserve">to </w:t>
      </w:r>
      <w:r w:rsidR="00A3226C" w:rsidRPr="00C453CC">
        <w:t>each well.</w:t>
      </w:r>
    </w:p>
    <w:p w14:paraId="6843B524" w14:textId="77777777" w:rsidR="0009568F" w:rsidRPr="00C453CC" w:rsidRDefault="0009568F" w:rsidP="007C2A68">
      <w:pPr>
        <w:pStyle w:val="ListParagraph"/>
        <w:ind w:left="0"/>
      </w:pPr>
    </w:p>
    <w:p w14:paraId="000000C5" w14:textId="55D72C0D" w:rsidR="005B0A9F" w:rsidRPr="00C453CC" w:rsidRDefault="0098340E" w:rsidP="007C2A68">
      <w:pPr>
        <w:pStyle w:val="ListParagraph"/>
        <w:numPr>
          <w:ilvl w:val="2"/>
          <w:numId w:val="29"/>
        </w:numPr>
        <w:ind w:left="0" w:firstLine="0"/>
      </w:pPr>
      <w:r w:rsidRPr="00C453CC">
        <w:t>Using a size 000 paintbrush, gently transfer 1 well of sections from the original collection well to the fresh PBS in the new 24 well plate for a quick rinse to remove residual OCT compound.</w:t>
      </w:r>
    </w:p>
    <w:p w14:paraId="6CA5D6A0" w14:textId="77777777" w:rsidR="0009568F" w:rsidRPr="00C453CC" w:rsidRDefault="0009568F" w:rsidP="007C2A68"/>
    <w:p w14:paraId="000000C6" w14:textId="3AC1C364" w:rsidR="005B0A9F" w:rsidRPr="00C453CC" w:rsidRDefault="0098340E" w:rsidP="007C2A68">
      <w:pPr>
        <w:pStyle w:val="ListParagraph"/>
        <w:numPr>
          <w:ilvl w:val="2"/>
          <w:numId w:val="29"/>
        </w:numPr>
        <w:ind w:left="0" w:firstLine="0"/>
      </w:pPr>
      <w:r w:rsidRPr="00C453CC">
        <w:t xml:space="preserve">Add 1 mL </w:t>
      </w:r>
      <w:r w:rsidR="00FF750A" w:rsidRPr="00C453CC">
        <w:t xml:space="preserve">of </w:t>
      </w:r>
      <w:r w:rsidRPr="00C453CC">
        <w:t>ARB to the next well in the 24 well plate and transfer sections to this well. Incubate in an oven at 60 °C for 1 h.</w:t>
      </w:r>
    </w:p>
    <w:p w14:paraId="0A774510" w14:textId="77777777" w:rsidR="0009568F" w:rsidRPr="00C453CC" w:rsidRDefault="0009568F" w:rsidP="007C2A68"/>
    <w:p w14:paraId="000000C7" w14:textId="3671B6E9" w:rsidR="005B0A9F" w:rsidRPr="00C453CC" w:rsidRDefault="0098340E" w:rsidP="007C2A68">
      <w:pPr>
        <w:pStyle w:val="ListParagraph"/>
        <w:numPr>
          <w:ilvl w:val="2"/>
          <w:numId w:val="29"/>
        </w:numPr>
        <w:ind w:left="0" w:firstLine="0"/>
      </w:pPr>
      <w:r w:rsidRPr="00C453CC">
        <w:t xml:space="preserve">Allow </w:t>
      </w:r>
      <w:r w:rsidR="00FF750A" w:rsidRPr="00C453CC">
        <w:t xml:space="preserve">the </w:t>
      </w:r>
      <w:r w:rsidRPr="00C453CC">
        <w:t>plate to cool at room temperature</w:t>
      </w:r>
      <w:r w:rsidR="00FF750A" w:rsidRPr="00C453CC">
        <w:t xml:space="preserve"> (RT)</w:t>
      </w:r>
      <w:r w:rsidRPr="00C453CC">
        <w:t xml:space="preserve"> for 20 min.</w:t>
      </w:r>
    </w:p>
    <w:p w14:paraId="3832AEDD" w14:textId="77777777" w:rsidR="0009568F" w:rsidRPr="00C453CC" w:rsidRDefault="0009568F" w:rsidP="007C2A68"/>
    <w:p w14:paraId="000000C8" w14:textId="0BC5086D" w:rsidR="005B0A9F" w:rsidRPr="00C453CC" w:rsidRDefault="0098340E" w:rsidP="007C2A68">
      <w:pPr>
        <w:pStyle w:val="ListParagraph"/>
        <w:numPr>
          <w:ilvl w:val="2"/>
          <w:numId w:val="29"/>
        </w:numPr>
        <w:ind w:left="0" w:firstLine="0"/>
      </w:pPr>
      <w:r w:rsidRPr="00C453CC">
        <w:t xml:space="preserve">Add 1 mL </w:t>
      </w:r>
      <w:r w:rsidR="00FF750A" w:rsidRPr="00C453CC">
        <w:t xml:space="preserve">of </w:t>
      </w:r>
      <w:r w:rsidRPr="00C453CC">
        <w:t xml:space="preserve">PB to the next well and transfer the sections to this well. Incubate at </w:t>
      </w:r>
      <w:r w:rsidR="00FF750A" w:rsidRPr="00C453CC">
        <w:t>RT</w:t>
      </w:r>
      <w:r w:rsidRPr="00C453CC">
        <w:t xml:space="preserve"> for 20 min.</w:t>
      </w:r>
    </w:p>
    <w:p w14:paraId="5D101C81" w14:textId="77777777" w:rsidR="0009568F" w:rsidRPr="00C453CC" w:rsidRDefault="0009568F" w:rsidP="007C2A68"/>
    <w:p w14:paraId="000000C9" w14:textId="705C59C5" w:rsidR="005B0A9F" w:rsidRPr="00C453CC" w:rsidRDefault="0098340E" w:rsidP="007C2A68">
      <w:pPr>
        <w:pStyle w:val="ListParagraph"/>
        <w:numPr>
          <w:ilvl w:val="2"/>
          <w:numId w:val="29"/>
        </w:numPr>
        <w:ind w:left="0" w:firstLine="0"/>
      </w:pPr>
      <w:r w:rsidRPr="00C453CC">
        <w:t xml:space="preserve">Add 500 µL </w:t>
      </w:r>
      <w:r w:rsidR="00FF750A" w:rsidRPr="00C453CC">
        <w:t xml:space="preserve">of </w:t>
      </w:r>
      <w:r w:rsidRPr="00C453CC">
        <w:t xml:space="preserve">BB to the next well and transfer the sections to this well. Incubate at </w:t>
      </w:r>
      <w:r w:rsidR="00FF750A" w:rsidRPr="00C453CC">
        <w:t>RT</w:t>
      </w:r>
      <w:r w:rsidRPr="00C453CC">
        <w:t xml:space="preserve"> for 1 h.</w:t>
      </w:r>
    </w:p>
    <w:p w14:paraId="6F93794A" w14:textId="77777777" w:rsidR="0009568F" w:rsidRPr="00C453CC" w:rsidRDefault="0009568F" w:rsidP="007C2A68"/>
    <w:p w14:paraId="000000CA" w14:textId="7C2976EF" w:rsidR="005B0A9F" w:rsidRPr="00C453CC" w:rsidRDefault="0098340E" w:rsidP="007C2A68">
      <w:pPr>
        <w:pStyle w:val="ListParagraph"/>
        <w:numPr>
          <w:ilvl w:val="2"/>
          <w:numId w:val="29"/>
        </w:numPr>
        <w:ind w:left="0" w:firstLine="0"/>
      </w:pPr>
      <w:r w:rsidRPr="00C453CC">
        <w:t>Add 2 mL of WB to the BB and then pipet</w:t>
      </w:r>
      <w:r w:rsidR="00FF750A" w:rsidRPr="00C453CC">
        <w:t xml:space="preserve">te out </w:t>
      </w:r>
      <w:r w:rsidRPr="00C453CC">
        <w:t xml:space="preserve">~2 mL of solution and discard, leaving a diluted BB solution in the well. Repeat until </w:t>
      </w:r>
      <w:r w:rsidR="009A68EA" w:rsidRPr="00C453CC">
        <w:t>the</w:t>
      </w:r>
      <w:r w:rsidRPr="00C453CC">
        <w:t xml:space="preserve"> sections</w:t>
      </w:r>
      <w:r w:rsidR="009A68EA" w:rsidRPr="00C453CC">
        <w:t xml:space="preserve"> are clearly visible</w:t>
      </w:r>
      <w:r w:rsidRPr="00C453CC">
        <w:t>.</w:t>
      </w:r>
    </w:p>
    <w:p w14:paraId="265E42AA" w14:textId="77777777" w:rsidR="0009568F" w:rsidRPr="00C453CC" w:rsidRDefault="0009568F" w:rsidP="007C2A68"/>
    <w:p w14:paraId="000000CB" w14:textId="5C28408C" w:rsidR="005B0A9F" w:rsidRPr="00C453CC" w:rsidRDefault="0098340E" w:rsidP="007C2A68">
      <w:pPr>
        <w:pStyle w:val="ListParagraph"/>
        <w:numPr>
          <w:ilvl w:val="2"/>
          <w:numId w:val="29"/>
        </w:numPr>
        <w:ind w:left="0" w:firstLine="0"/>
      </w:pPr>
      <w:r w:rsidRPr="00C453CC">
        <w:t xml:space="preserve">Dilute </w:t>
      </w:r>
      <w:r w:rsidR="00FF750A" w:rsidRPr="00C453CC">
        <w:t xml:space="preserve">the </w:t>
      </w:r>
      <w:r w:rsidRPr="00C453CC">
        <w:t xml:space="preserve">primary antibody (Chicken </w:t>
      </w:r>
      <w:proofErr w:type="spellStart"/>
      <w:r w:rsidRPr="00C453CC">
        <w:t>IgY</w:t>
      </w:r>
      <w:proofErr w:type="spellEnd"/>
      <w:r w:rsidRPr="00C453CC">
        <w:t xml:space="preserve"> anti-GFP, 1:1000) in BB. Add 350</w:t>
      </w:r>
      <w:r w:rsidR="00FF750A" w:rsidRPr="00C453CC">
        <w:t>–</w:t>
      </w:r>
      <w:r w:rsidRPr="00C453CC">
        <w:t xml:space="preserve">500 µL of primary antibody solution to the next well and transfer </w:t>
      </w:r>
      <w:r w:rsidR="009A68EA" w:rsidRPr="00C453CC">
        <w:t>the</w:t>
      </w:r>
      <w:r w:rsidRPr="00C453CC">
        <w:t xml:space="preserve"> sections to this well. Seal the plate with parafilm and incubate at 4 °C overnight.</w:t>
      </w:r>
    </w:p>
    <w:p w14:paraId="66E55604" w14:textId="77777777" w:rsidR="0009568F" w:rsidRPr="00C453CC" w:rsidRDefault="0009568F" w:rsidP="007C2A68"/>
    <w:p w14:paraId="000000CC" w14:textId="0F413525" w:rsidR="005B0A9F" w:rsidRPr="00C453CC" w:rsidRDefault="0098340E" w:rsidP="007C2A68">
      <w:pPr>
        <w:pStyle w:val="ListParagraph"/>
        <w:numPr>
          <w:ilvl w:val="2"/>
          <w:numId w:val="29"/>
        </w:numPr>
        <w:ind w:left="0" w:firstLine="0"/>
      </w:pPr>
      <w:r w:rsidRPr="00C453CC">
        <w:t xml:space="preserve">Dilute BB with WB as </w:t>
      </w:r>
      <w:r w:rsidR="009A68EA" w:rsidRPr="00C453CC">
        <w:t>done</w:t>
      </w:r>
      <w:r w:rsidRPr="00C453CC">
        <w:t xml:space="preserve"> previously until </w:t>
      </w:r>
      <w:r w:rsidR="009A68EA" w:rsidRPr="00C453CC">
        <w:t>the</w:t>
      </w:r>
      <w:r w:rsidRPr="00C453CC">
        <w:t xml:space="preserve"> sections</w:t>
      </w:r>
      <w:r w:rsidR="009A68EA" w:rsidRPr="00C453CC">
        <w:t xml:space="preserve"> are clearly visible</w:t>
      </w:r>
      <w:r w:rsidRPr="00C453CC">
        <w:t>.</w:t>
      </w:r>
    </w:p>
    <w:p w14:paraId="3077488B" w14:textId="77777777" w:rsidR="0009568F" w:rsidRPr="00C453CC" w:rsidRDefault="0009568F" w:rsidP="007C2A68"/>
    <w:p w14:paraId="000000CD" w14:textId="51DC0F13" w:rsidR="005B0A9F" w:rsidRPr="00C453CC" w:rsidRDefault="0098340E" w:rsidP="007C2A68">
      <w:pPr>
        <w:pStyle w:val="ListParagraph"/>
        <w:numPr>
          <w:ilvl w:val="2"/>
          <w:numId w:val="29"/>
        </w:numPr>
        <w:ind w:left="0" w:firstLine="0"/>
      </w:pPr>
      <w:r w:rsidRPr="00C453CC">
        <w:t xml:space="preserve">Add 1 mL of WB to the next well and transfer </w:t>
      </w:r>
      <w:r w:rsidR="009A68EA" w:rsidRPr="00C453CC">
        <w:t>the</w:t>
      </w:r>
      <w:r w:rsidRPr="00C453CC">
        <w:t xml:space="preserve"> sections to this well. Incubate at </w:t>
      </w:r>
      <w:r w:rsidR="00FF750A" w:rsidRPr="00C453CC">
        <w:t>RT</w:t>
      </w:r>
      <w:r w:rsidRPr="00C453CC">
        <w:t xml:space="preserve"> for 20 min.</w:t>
      </w:r>
    </w:p>
    <w:p w14:paraId="39F29519" w14:textId="77777777" w:rsidR="0009568F" w:rsidRPr="00C453CC" w:rsidRDefault="0009568F" w:rsidP="007C2A68"/>
    <w:p w14:paraId="000000CE" w14:textId="31B6809C" w:rsidR="005B0A9F" w:rsidRPr="00C453CC" w:rsidRDefault="0098340E" w:rsidP="007C2A68">
      <w:pPr>
        <w:pStyle w:val="ListParagraph"/>
        <w:numPr>
          <w:ilvl w:val="2"/>
          <w:numId w:val="29"/>
        </w:numPr>
        <w:ind w:left="0" w:firstLine="0"/>
      </w:pPr>
      <w:r w:rsidRPr="00C453CC">
        <w:t>Remove ~800</w:t>
      </w:r>
      <w:r w:rsidR="00FF750A" w:rsidRPr="00C453CC">
        <w:t>–</w:t>
      </w:r>
      <w:r w:rsidRPr="00C453CC">
        <w:t xml:space="preserve">900 µL of buffer and discard. Add 1 mL fresh WB and incubate 20 min. Replace 1 mL </w:t>
      </w:r>
      <w:r w:rsidR="00FF750A" w:rsidRPr="00C453CC">
        <w:t xml:space="preserve">of </w:t>
      </w:r>
      <w:r w:rsidRPr="00C453CC">
        <w:t>wash buffer 4 more times for a total of 5</w:t>
      </w:r>
      <w:r w:rsidR="00FF750A" w:rsidRPr="00C453CC">
        <w:t>,</w:t>
      </w:r>
      <w:r w:rsidRPr="00C453CC">
        <w:t xml:space="preserve"> 20 min washes. </w:t>
      </w:r>
    </w:p>
    <w:p w14:paraId="53BD20C3" w14:textId="77777777" w:rsidR="0009568F" w:rsidRPr="00C453CC" w:rsidRDefault="0009568F" w:rsidP="007C2A68"/>
    <w:p w14:paraId="000000CF" w14:textId="2D201117" w:rsidR="005B0A9F" w:rsidRPr="00C453CC" w:rsidRDefault="0098340E" w:rsidP="007C2A68">
      <w:pPr>
        <w:pStyle w:val="ListParagraph"/>
        <w:numPr>
          <w:ilvl w:val="2"/>
          <w:numId w:val="29"/>
        </w:numPr>
        <w:ind w:left="0" w:firstLine="0"/>
      </w:pPr>
      <w:r w:rsidRPr="00C453CC">
        <w:t>Dilute</w:t>
      </w:r>
      <w:r w:rsidR="00FF750A" w:rsidRPr="00C453CC">
        <w:t xml:space="preserve"> the</w:t>
      </w:r>
      <w:r w:rsidRPr="00C453CC">
        <w:t xml:space="preserve"> secondary antibody (Donkey anti-chicken Alexa Fluor 488 conjugated, 1:500) in BB. Add 350</w:t>
      </w:r>
      <w:r w:rsidR="00FF750A" w:rsidRPr="00C453CC">
        <w:t>–</w:t>
      </w:r>
      <w:r w:rsidRPr="00C453CC">
        <w:t xml:space="preserve">500 µL of </w:t>
      </w:r>
      <w:r w:rsidR="00FF750A" w:rsidRPr="00C453CC">
        <w:t xml:space="preserve">the </w:t>
      </w:r>
      <w:r w:rsidRPr="00C453CC">
        <w:t xml:space="preserve">secondary antibody solution to a new well. Incubate at </w:t>
      </w:r>
      <w:r w:rsidR="00FF750A" w:rsidRPr="00C453CC">
        <w:t>RT</w:t>
      </w:r>
      <w:r w:rsidRPr="00C453CC">
        <w:t xml:space="preserve"> for 45 min to 1 h.</w:t>
      </w:r>
    </w:p>
    <w:p w14:paraId="5A5D850C" w14:textId="77777777" w:rsidR="0009568F" w:rsidRPr="00C453CC" w:rsidRDefault="0009568F" w:rsidP="007C2A68"/>
    <w:p w14:paraId="000000D0" w14:textId="61A330D5" w:rsidR="005B0A9F" w:rsidRPr="00C453CC" w:rsidRDefault="0098340E" w:rsidP="007C2A68">
      <w:pPr>
        <w:rPr>
          <w:iCs/>
        </w:rPr>
      </w:pPr>
      <w:r w:rsidRPr="00C453CC">
        <w:rPr>
          <w:iCs/>
        </w:rPr>
        <w:t>NOTE: This is the seventh well, so if staining sections from more than 2 brains, a new plate</w:t>
      </w:r>
      <w:r w:rsidR="009A68EA" w:rsidRPr="00C453CC">
        <w:rPr>
          <w:iCs/>
        </w:rPr>
        <w:t xml:space="preserve"> will be needed</w:t>
      </w:r>
      <w:r w:rsidRPr="00C453CC">
        <w:rPr>
          <w:iCs/>
        </w:rPr>
        <w:t xml:space="preserve"> at this point.</w:t>
      </w:r>
    </w:p>
    <w:p w14:paraId="4C954E18" w14:textId="77777777" w:rsidR="0009568F" w:rsidRPr="00C453CC" w:rsidRDefault="0009568F" w:rsidP="007C2A68">
      <w:pPr>
        <w:rPr>
          <w:i/>
        </w:rPr>
      </w:pPr>
    </w:p>
    <w:p w14:paraId="000000D1" w14:textId="423C7BE4" w:rsidR="005B0A9F" w:rsidRPr="00C453CC" w:rsidRDefault="0098340E" w:rsidP="007C2A68">
      <w:pPr>
        <w:pStyle w:val="ListParagraph"/>
        <w:numPr>
          <w:ilvl w:val="2"/>
          <w:numId w:val="29"/>
        </w:numPr>
        <w:ind w:left="0" w:firstLine="0"/>
      </w:pPr>
      <w:r w:rsidRPr="00C453CC">
        <w:t xml:space="preserve">Dilute BB with WB as previously and transfer </w:t>
      </w:r>
      <w:r w:rsidR="009A68EA" w:rsidRPr="00C453CC">
        <w:t>the</w:t>
      </w:r>
      <w:r w:rsidRPr="00C453CC">
        <w:t xml:space="preserve"> sections to a new well filled with 1 mL </w:t>
      </w:r>
      <w:r w:rsidRPr="00C453CC">
        <w:lastRenderedPageBreak/>
        <w:t xml:space="preserve">of WB. Wash the sections as </w:t>
      </w:r>
      <w:r w:rsidR="009A68EA" w:rsidRPr="00C453CC">
        <w:t>done</w:t>
      </w:r>
      <w:r w:rsidRPr="00C453CC">
        <w:t xml:space="preserve"> previously for 20 min 3 times.</w:t>
      </w:r>
    </w:p>
    <w:p w14:paraId="170863F2" w14:textId="77777777" w:rsidR="0009568F" w:rsidRPr="00C453CC" w:rsidRDefault="0009568F" w:rsidP="007C2A68"/>
    <w:p w14:paraId="000000D2" w14:textId="1566BE39" w:rsidR="005B0A9F" w:rsidRPr="00C453CC" w:rsidRDefault="0098340E" w:rsidP="007C2A68">
      <w:pPr>
        <w:pStyle w:val="ListParagraph"/>
        <w:numPr>
          <w:ilvl w:val="2"/>
          <w:numId w:val="29"/>
        </w:numPr>
        <w:ind w:left="0" w:firstLine="0"/>
      </w:pPr>
      <w:r w:rsidRPr="00C453CC">
        <w:t>Prepare a working solution of DAPI in PBS (final concentration 0.04</w:t>
      </w:r>
      <w:r w:rsidR="00A85350" w:rsidRPr="00C453CC">
        <w:t>–</w:t>
      </w:r>
      <w:r w:rsidRPr="00C453CC">
        <w:t>0.8 µg/mL). Protect solution from light.</w:t>
      </w:r>
    </w:p>
    <w:p w14:paraId="51187C0C" w14:textId="77777777" w:rsidR="0009568F" w:rsidRPr="00C453CC" w:rsidRDefault="0009568F" w:rsidP="007C2A68"/>
    <w:p w14:paraId="000000D3" w14:textId="12FBF0E1" w:rsidR="005B0A9F" w:rsidRPr="00C453CC" w:rsidRDefault="0098340E" w:rsidP="007C2A68">
      <w:pPr>
        <w:pStyle w:val="ListParagraph"/>
        <w:numPr>
          <w:ilvl w:val="2"/>
          <w:numId w:val="29"/>
        </w:numPr>
        <w:ind w:left="0" w:firstLine="0"/>
      </w:pPr>
      <w:r w:rsidRPr="00C453CC">
        <w:t xml:space="preserve">Add 1 mL DAPI solution to the next well and transfer </w:t>
      </w:r>
      <w:r w:rsidR="009A68EA" w:rsidRPr="00C453CC">
        <w:t>the</w:t>
      </w:r>
      <w:r w:rsidRPr="00C453CC">
        <w:t xml:space="preserve"> sections to this well. Incubate at </w:t>
      </w:r>
      <w:r w:rsidR="00FF750A" w:rsidRPr="00C453CC">
        <w:t>RT</w:t>
      </w:r>
      <w:r w:rsidRPr="00C453CC">
        <w:t xml:space="preserve"> for ~5 min.</w:t>
      </w:r>
    </w:p>
    <w:p w14:paraId="4252CAA9" w14:textId="77777777" w:rsidR="0009568F" w:rsidRPr="00C453CC" w:rsidRDefault="0009568F" w:rsidP="007C2A68"/>
    <w:p w14:paraId="000000D4" w14:textId="6654A7CD" w:rsidR="005B0A9F" w:rsidRPr="00C453CC" w:rsidRDefault="0098340E" w:rsidP="007C2A68">
      <w:pPr>
        <w:pStyle w:val="ListParagraph"/>
        <w:numPr>
          <w:ilvl w:val="2"/>
          <w:numId w:val="29"/>
        </w:numPr>
        <w:ind w:left="0" w:firstLine="0"/>
      </w:pPr>
      <w:r w:rsidRPr="00C453CC">
        <w:t xml:space="preserve">Transfer the sections back to WB and gently mount on microscope slides using a size 000 paintbrush. Allow </w:t>
      </w:r>
      <w:r w:rsidR="00FF750A" w:rsidRPr="00C453CC">
        <w:t xml:space="preserve">the </w:t>
      </w:r>
      <w:r w:rsidRPr="00C453CC">
        <w:t>slides to air dry.</w:t>
      </w:r>
    </w:p>
    <w:p w14:paraId="1E87DAAE" w14:textId="77777777" w:rsidR="0009568F" w:rsidRPr="00C453CC" w:rsidRDefault="0009568F" w:rsidP="007C2A68"/>
    <w:p w14:paraId="000000D5" w14:textId="641883B0" w:rsidR="005B0A9F" w:rsidRPr="00C453CC" w:rsidRDefault="0098340E" w:rsidP="007C2A68">
      <w:pPr>
        <w:pStyle w:val="ListParagraph"/>
        <w:numPr>
          <w:ilvl w:val="2"/>
          <w:numId w:val="29"/>
        </w:numPr>
        <w:ind w:left="0" w:firstLine="0"/>
      </w:pPr>
      <w:r w:rsidRPr="00C453CC">
        <w:t xml:space="preserve">Apply coverslips with an appropriate mounting media. Allow slides to cure at </w:t>
      </w:r>
      <w:r w:rsidR="00FF750A" w:rsidRPr="00C453CC">
        <w:t>RT</w:t>
      </w:r>
      <w:r w:rsidRPr="00C453CC">
        <w:t xml:space="preserve"> in the dark overnight.</w:t>
      </w:r>
    </w:p>
    <w:p w14:paraId="6C97518D" w14:textId="77777777" w:rsidR="0009568F" w:rsidRPr="00C453CC" w:rsidRDefault="0009568F" w:rsidP="007C2A68"/>
    <w:p w14:paraId="000000D6" w14:textId="7CC7EC4C" w:rsidR="005B0A9F" w:rsidRPr="00C453CC" w:rsidRDefault="00B664C7" w:rsidP="007C2A68">
      <w:pPr>
        <w:pStyle w:val="ListParagraph"/>
        <w:numPr>
          <w:ilvl w:val="0"/>
          <w:numId w:val="29"/>
        </w:numPr>
        <w:ind w:left="0" w:firstLine="0"/>
        <w:rPr>
          <w:b/>
          <w:highlight w:val="yellow"/>
        </w:rPr>
      </w:pPr>
      <w:r w:rsidRPr="00C453CC">
        <w:rPr>
          <w:b/>
          <w:highlight w:val="yellow"/>
        </w:rPr>
        <w:t>I</w:t>
      </w:r>
      <w:r w:rsidR="009A68EA" w:rsidRPr="00C453CC">
        <w:rPr>
          <w:b/>
          <w:highlight w:val="yellow"/>
        </w:rPr>
        <w:t>mag</w:t>
      </w:r>
      <w:r w:rsidRPr="00C453CC">
        <w:rPr>
          <w:b/>
          <w:highlight w:val="yellow"/>
        </w:rPr>
        <w:t>e</w:t>
      </w:r>
      <w:r w:rsidR="0098340E" w:rsidRPr="00C453CC">
        <w:rPr>
          <w:b/>
          <w:highlight w:val="yellow"/>
        </w:rPr>
        <w:t xml:space="preserve"> and </w:t>
      </w:r>
      <w:r w:rsidRPr="00C453CC">
        <w:rPr>
          <w:b/>
          <w:highlight w:val="yellow"/>
        </w:rPr>
        <w:t xml:space="preserve">analyze </w:t>
      </w:r>
      <w:r w:rsidR="0098340E" w:rsidRPr="00C453CC">
        <w:rPr>
          <w:b/>
          <w:highlight w:val="yellow"/>
        </w:rPr>
        <w:t>brain tissue sections for enhancer activity.</w:t>
      </w:r>
    </w:p>
    <w:p w14:paraId="2FEE511D" w14:textId="77777777" w:rsidR="0009568F" w:rsidRPr="00C453CC" w:rsidRDefault="0009568F" w:rsidP="007C2A68">
      <w:pPr>
        <w:pStyle w:val="ListParagraph"/>
        <w:ind w:left="0"/>
        <w:rPr>
          <w:highlight w:val="yellow"/>
        </w:rPr>
      </w:pPr>
    </w:p>
    <w:p w14:paraId="000000D7" w14:textId="3529F335" w:rsidR="005B0A9F" w:rsidRPr="00C453CC" w:rsidRDefault="0098340E" w:rsidP="007C2A68">
      <w:pPr>
        <w:pStyle w:val="ListParagraph"/>
        <w:numPr>
          <w:ilvl w:val="1"/>
          <w:numId w:val="29"/>
        </w:numPr>
        <w:ind w:left="0" w:firstLine="0"/>
        <w:rPr>
          <w:highlight w:val="yellow"/>
        </w:rPr>
      </w:pPr>
      <w:r w:rsidRPr="00C453CC">
        <w:rPr>
          <w:highlight w:val="yellow"/>
        </w:rPr>
        <w:t>Use a low magnification</w:t>
      </w:r>
      <w:r w:rsidR="009A68EA" w:rsidRPr="00C453CC">
        <w:rPr>
          <w:highlight w:val="yellow"/>
        </w:rPr>
        <w:t xml:space="preserve"> (5x)</w:t>
      </w:r>
      <w:r w:rsidRPr="00C453CC">
        <w:rPr>
          <w:highlight w:val="yellow"/>
        </w:rPr>
        <w:t xml:space="preserve"> objective lens to record fluorescence images that span the brain section.</w:t>
      </w:r>
    </w:p>
    <w:p w14:paraId="1810C6AF" w14:textId="77777777" w:rsidR="0009568F" w:rsidRPr="00C453CC" w:rsidRDefault="0009568F" w:rsidP="007C2A68">
      <w:pPr>
        <w:pStyle w:val="ListParagraph"/>
        <w:ind w:left="0"/>
        <w:rPr>
          <w:highlight w:val="yellow"/>
        </w:rPr>
      </w:pPr>
    </w:p>
    <w:p w14:paraId="000000D8" w14:textId="2563FA91" w:rsidR="005B0A9F" w:rsidRPr="00C453CC" w:rsidRDefault="0098340E" w:rsidP="007C2A68">
      <w:pPr>
        <w:pStyle w:val="ListParagraph"/>
        <w:numPr>
          <w:ilvl w:val="1"/>
          <w:numId w:val="29"/>
        </w:numPr>
        <w:ind w:left="0" w:firstLine="0"/>
        <w:rPr>
          <w:highlight w:val="yellow"/>
        </w:rPr>
      </w:pPr>
      <w:r w:rsidRPr="00C453CC">
        <w:rPr>
          <w:highlight w:val="yellow"/>
        </w:rPr>
        <w:t xml:space="preserve">Locate the injection site and evaluate the extent of the virus transduction based on the density and intensity of red fluorescent cells. </w:t>
      </w:r>
      <w:r w:rsidR="009A68EA" w:rsidRPr="00C453CC">
        <w:rPr>
          <w:highlight w:val="yellow"/>
        </w:rPr>
        <w:t>Take</w:t>
      </w:r>
      <w:r w:rsidRPr="00C453CC">
        <w:rPr>
          <w:highlight w:val="yellow"/>
        </w:rPr>
        <w:t xml:space="preserve"> care to compare animals that were transduced similarly.</w:t>
      </w:r>
    </w:p>
    <w:p w14:paraId="566514B8" w14:textId="77777777" w:rsidR="0009568F" w:rsidRPr="00C453CC" w:rsidRDefault="0009568F" w:rsidP="007C2A68">
      <w:pPr>
        <w:rPr>
          <w:highlight w:val="yellow"/>
        </w:rPr>
      </w:pPr>
    </w:p>
    <w:p w14:paraId="000000D9" w14:textId="07905D01" w:rsidR="005B0A9F" w:rsidRPr="00C453CC" w:rsidRDefault="0098340E" w:rsidP="007C2A68">
      <w:pPr>
        <w:pStyle w:val="ListParagraph"/>
        <w:numPr>
          <w:ilvl w:val="1"/>
          <w:numId w:val="29"/>
        </w:numPr>
        <w:ind w:left="0" w:firstLine="0"/>
        <w:rPr>
          <w:highlight w:val="yellow"/>
        </w:rPr>
      </w:pPr>
      <w:r w:rsidRPr="00C453CC">
        <w:rPr>
          <w:highlight w:val="yellow"/>
        </w:rPr>
        <w:t xml:space="preserve">Record detailed fluorescent images with a higher magnification objective lens </w:t>
      </w:r>
      <w:r w:rsidR="009A68EA" w:rsidRPr="00C453CC">
        <w:rPr>
          <w:highlight w:val="yellow"/>
        </w:rPr>
        <w:t xml:space="preserve">(≥25x) </w:t>
      </w:r>
      <w:r w:rsidRPr="00C453CC">
        <w:rPr>
          <w:highlight w:val="yellow"/>
        </w:rPr>
        <w:t>if desired.</w:t>
      </w:r>
    </w:p>
    <w:p w14:paraId="3F0308EA" w14:textId="77777777" w:rsidR="0009568F" w:rsidRPr="00C453CC" w:rsidRDefault="0009568F" w:rsidP="007C2A68"/>
    <w:p w14:paraId="000000DA" w14:textId="1AABB68F" w:rsidR="005B0A9F" w:rsidRPr="00C453CC" w:rsidRDefault="0089284C" w:rsidP="007C2A68">
      <w:pPr>
        <w:rPr>
          <w:iCs/>
        </w:rPr>
      </w:pPr>
      <w:r w:rsidRPr="00C453CC">
        <w:rPr>
          <w:iCs/>
        </w:rPr>
        <w:t>NOTE</w:t>
      </w:r>
      <w:r w:rsidR="009A68EA" w:rsidRPr="00C453CC">
        <w:rPr>
          <w:iCs/>
        </w:rPr>
        <w:t>:</w:t>
      </w:r>
      <w:r w:rsidR="0098340E" w:rsidRPr="00C453CC">
        <w:rPr>
          <w:iCs/>
        </w:rPr>
        <w:t xml:space="preserve"> Always be sure to use the same settings for acquisition parameters such as excitation light intensity, filters, and exposure time between samples that are to be compared.</w:t>
      </w:r>
    </w:p>
    <w:p w14:paraId="48875D52" w14:textId="77777777" w:rsidR="0009568F" w:rsidRPr="00C453CC" w:rsidRDefault="0009568F" w:rsidP="007C2A68">
      <w:pPr>
        <w:rPr>
          <w:i/>
          <w:highlight w:val="yellow"/>
        </w:rPr>
      </w:pPr>
    </w:p>
    <w:p w14:paraId="000000DB" w14:textId="484C980D" w:rsidR="005B0A9F" w:rsidRPr="00C453CC" w:rsidRDefault="0098340E" w:rsidP="007C2A68">
      <w:pPr>
        <w:pStyle w:val="ListParagraph"/>
        <w:numPr>
          <w:ilvl w:val="1"/>
          <w:numId w:val="29"/>
        </w:numPr>
        <w:ind w:left="0" w:firstLine="0"/>
        <w:rPr>
          <w:highlight w:val="yellow"/>
        </w:rPr>
      </w:pPr>
      <w:r w:rsidRPr="00C453CC">
        <w:rPr>
          <w:highlight w:val="yellow"/>
        </w:rPr>
        <w:t>Process the images using image analysis software.</w:t>
      </w:r>
    </w:p>
    <w:p w14:paraId="382E9094" w14:textId="77777777" w:rsidR="0009568F" w:rsidRPr="00C453CC" w:rsidRDefault="0009568F" w:rsidP="007C2A68">
      <w:pPr>
        <w:pStyle w:val="ListParagraph"/>
        <w:ind w:left="0"/>
      </w:pPr>
    </w:p>
    <w:p w14:paraId="000000DC" w14:textId="1CC11087" w:rsidR="005B0A9F" w:rsidRPr="00C453CC" w:rsidRDefault="0098340E" w:rsidP="007C2A68">
      <w:pPr>
        <w:rPr>
          <w:iCs/>
        </w:rPr>
      </w:pPr>
      <w:r w:rsidRPr="00FC2803">
        <w:rPr>
          <w:iCs/>
        </w:rPr>
        <w:t>NOTE:</w:t>
      </w:r>
      <w:r w:rsidRPr="00C453CC">
        <w:rPr>
          <w:iCs/>
        </w:rPr>
        <w:t xml:space="preserve"> </w:t>
      </w:r>
      <w:r w:rsidR="009A68EA" w:rsidRPr="00C453CC">
        <w:rPr>
          <w:iCs/>
        </w:rPr>
        <w:t>Processing may be done in any image analysis software package. The following steps are suggestions for determining whether a sequence acts as an enhancer in the reporter construct context (a yes or no question)</w:t>
      </w:r>
      <w:r w:rsidR="003019C1" w:rsidRPr="00C453CC">
        <w:rPr>
          <w:iCs/>
        </w:rPr>
        <w:t xml:space="preserve"> using the </w:t>
      </w:r>
      <w:r w:rsidR="00B664C7" w:rsidRPr="00C453CC">
        <w:rPr>
          <w:iCs/>
        </w:rPr>
        <w:t>open-</w:t>
      </w:r>
      <w:r w:rsidR="003019C1" w:rsidRPr="00C453CC">
        <w:rPr>
          <w:iCs/>
        </w:rPr>
        <w:t>source FIJI distribution of ImageJ</w:t>
      </w:r>
      <w:r w:rsidR="009A68EA" w:rsidRPr="00C453CC">
        <w:rPr>
          <w:iCs/>
        </w:rPr>
        <w:t xml:space="preserve">. More in-depth photometry may be appropriate when comparing degrees of activity between enhancer variants. </w:t>
      </w:r>
      <w:r w:rsidRPr="00C453CC">
        <w:rPr>
          <w:iCs/>
        </w:rPr>
        <w:t xml:space="preserve">Images from different samples should </w:t>
      </w:r>
      <w:r w:rsidR="009A68EA" w:rsidRPr="00C453CC">
        <w:rPr>
          <w:iCs/>
        </w:rPr>
        <w:t xml:space="preserve">always </w:t>
      </w:r>
      <w:r w:rsidRPr="00C453CC">
        <w:rPr>
          <w:iCs/>
        </w:rPr>
        <w:t xml:space="preserve">be processed consistently </w:t>
      </w:r>
      <w:proofErr w:type="gramStart"/>
      <w:r w:rsidRPr="00C453CC">
        <w:rPr>
          <w:iCs/>
        </w:rPr>
        <w:t>in order to</w:t>
      </w:r>
      <w:proofErr w:type="gramEnd"/>
      <w:r w:rsidRPr="00C453CC">
        <w:rPr>
          <w:iCs/>
        </w:rPr>
        <w:t xml:space="preserve"> be compared.</w:t>
      </w:r>
    </w:p>
    <w:p w14:paraId="3D2FB07F" w14:textId="77777777" w:rsidR="0009568F" w:rsidRPr="00C453CC" w:rsidRDefault="0009568F" w:rsidP="007C2A68">
      <w:pPr>
        <w:rPr>
          <w:i/>
          <w:highlight w:val="yellow"/>
        </w:rPr>
      </w:pPr>
    </w:p>
    <w:p w14:paraId="000000DD" w14:textId="3D71F667" w:rsidR="005B0A9F" w:rsidRPr="002F6129" w:rsidRDefault="0098340E" w:rsidP="007C2A68">
      <w:pPr>
        <w:pStyle w:val="ListParagraph"/>
        <w:numPr>
          <w:ilvl w:val="2"/>
          <w:numId w:val="29"/>
        </w:numPr>
        <w:ind w:left="0" w:firstLine="0"/>
        <w:rPr>
          <w:highlight w:val="yellow"/>
        </w:rPr>
      </w:pPr>
      <w:r w:rsidRPr="00C453CC">
        <w:rPr>
          <w:highlight w:val="yellow"/>
        </w:rPr>
        <w:t>Apply filters to reduce noise.</w:t>
      </w:r>
      <w:r w:rsidR="00FF750A" w:rsidRPr="002F6129">
        <w:rPr>
          <w:highlight w:val="yellow"/>
        </w:rPr>
        <w:t xml:space="preserve"> In Fiji </w:t>
      </w:r>
      <w:r w:rsidR="00FF750A" w:rsidRPr="00C453CC">
        <w:rPr>
          <w:highlight w:val="yellow"/>
        </w:rPr>
        <w:t xml:space="preserve">select the </w:t>
      </w:r>
      <w:proofErr w:type="spellStart"/>
      <w:r w:rsidR="00FF750A" w:rsidRPr="00C453CC">
        <w:rPr>
          <w:b/>
          <w:bCs/>
          <w:highlight w:val="yellow"/>
        </w:rPr>
        <w:t>Despeckle</w:t>
      </w:r>
      <w:proofErr w:type="spellEnd"/>
      <w:r w:rsidR="00FF750A" w:rsidRPr="00C453CC">
        <w:rPr>
          <w:b/>
          <w:bCs/>
          <w:highlight w:val="yellow"/>
        </w:rPr>
        <w:t xml:space="preserve"> </w:t>
      </w:r>
      <w:r w:rsidR="00FF750A" w:rsidRPr="00C453CC">
        <w:rPr>
          <w:highlight w:val="yellow"/>
        </w:rPr>
        <w:t xml:space="preserve">option under the </w:t>
      </w:r>
      <w:r w:rsidR="00FF750A" w:rsidRPr="00C453CC">
        <w:rPr>
          <w:b/>
          <w:bCs/>
          <w:highlight w:val="yellow"/>
        </w:rPr>
        <w:t>Process</w:t>
      </w:r>
      <w:r w:rsidR="00FF750A" w:rsidRPr="00C453CC">
        <w:rPr>
          <w:highlight w:val="yellow"/>
        </w:rPr>
        <w:t xml:space="preserve"> &gt; </w:t>
      </w:r>
      <w:r w:rsidR="00FF750A" w:rsidRPr="00C453CC">
        <w:rPr>
          <w:b/>
          <w:bCs/>
          <w:highlight w:val="yellow"/>
        </w:rPr>
        <w:t>Noise</w:t>
      </w:r>
      <w:r w:rsidR="00FF750A" w:rsidRPr="00C453CC">
        <w:rPr>
          <w:highlight w:val="yellow"/>
        </w:rPr>
        <w:t xml:space="preserve"> menu</w:t>
      </w:r>
    </w:p>
    <w:p w14:paraId="4A575645" w14:textId="50137B32" w:rsidR="0009568F" w:rsidRPr="00C453CC" w:rsidRDefault="0009568F" w:rsidP="007C2A68">
      <w:pPr>
        <w:pStyle w:val="ListParagraph"/>
        <w:ind w:left="0"/>
        <w:rPr>
          <w:highlight w:val="yellow"/>
        </w:rPr>
      </w:pPr>
    </w:p>
    <w:p w14:paraId="27DDFA97" w14:textId="76B4F9DA" w:rsidR="003019C1" w:rsidRPr="00C453CC" w:rsidRDefault="003019C1" w:rsidP="007C2A68">
      <w:r w:rsidRPr="00C453CC">
        <w:t>NOTE: This is a 3</w:t>
      </w:r>
      <w:r w:rsidR="000F26DB" w:rsidRPr="00C453CC">
        <w:t xml:space="preserve"> </w:t>
      </w:r>
      <w:r w:rsidRPr="00C453CC">
        <w:t>x</w:t>
      </w:r>
      <w:r w:rsidR="000F26DB" w:rsidRPr="00C453CC">
        <w:t xml:space="preserve"> </w:t>
      </w:r>
      <w:r w:rsidRPr="00C453CC">
        <w:t>3 median filter.</w:t>
      </w:r>
    </w:p>
    <w:p w14:paraId="050EC632" w14:textId="77777777" w:rsidR="0009568F" w:rsidRPr="00C453CC" w:rsidRDefault="0009568F" w:rsidP="007C2A68">
      <w:pPr>
        <w:rPr>
          <w:i/>
          <w:iCs/>
          <w:highlight w:val="yellow"/>
        </w:rPr>
      </w:pPr>
    </w:p>
    <w:p w14:paraId="09E32EF4" w14:textId="7F532F33" w:rsidR="009B4B36" w:rsidRPr="00C453CC" w:rsidRDefault="009A68EA" w:rsidP="007C2A68">
      <w:pPr>
        <w:pStyle w:val="ListParagraph"/>
        <w:numPr>
          <w:ilvl w:val="2"/>
          <w:numId w:val="29"/>
        </w:numPr>
        <w:ind w:left="0" w:firstLine="0"/>
        <w:rPr>
          <w:highlight w:val="yellow"/>
        </w:rPr>
      </w:pPr>
      <w:r w:rsidRPr="00C453CC">
        <w:rPr>
          <w:highlight w:val="yellow"/>
        </w:rPr>
        <w:t>Subtract background fluorescence</w:t>
      </w:r>
      <w:r w:rsidR="00FF750A" w:rsidRPr="00C453CC">
        <w:rPr>
          <w:highlight w:val="yellow"/>
        </w:rPr>
        <w:t xml:space="preserve"> following steps 5.4.3–5.4.6.</w:t>
      </w:r>
    </w:p>
    <w:p w14:paraId="2D0934F1" w14:textId="77777777" w:rsidR="0009568F" w:rsidRPr="00C453CC" w:rsidRDefault="0009568F" w:rsidP="007C2A68">
      <w:pPr>
        <w:pStyle w:val="ListParagraph"/>
        <w:ind w:left="0"/>
        <w:rPr>
          <w:highlight w:val="yellow"/>
        </w:rPr>
      </w:pPr>
    </w:p>
    <w:p w14:paraId="0CE66A95" w14:textId="1024E927" w:rsidR="003019C1" w:rsidRPr="00C453CC" w:rsidRDefault="003A2988" w:rsidP="007C2A68">
      <w:pPr>
        <w:pStyle w:val="ListParagraph"/>
        <w:numPr>
          <w:ilvl w:val="2"/>
          <w:numId w:val="29"/>
        </w:numPr>
        <w:ind w:left="0" w:firstLine="0"/>
        <w:rPr>
          <w:highlight w:val="yellow"/>
        </w:rPr>
      </w:pPr>
      <w:r w:rsidRPr="00C453CC">
        <w:rPr>
          <w:highlight w:val="yellow"/>
        </w:rPr>
        <w:lastRenderedPageBreak/>
        <w:t>S</w:t>
      </w:r>
      <w:r w:rsidR="003019C1" w:rsidRPr="00C453CC">
        <w:rPr>
          <w:highlight w:val="yellow"/>
        </w:rPr>
        <w:t xml:space="preserve">eparate </w:t>
      </w:r>
      <w:r w:rsidR="00FF750A" w:rsidRPr="00C453CC">
        <w:rPr>
          <w:highlight w:val="yellow"/>
        </w:rPr>
        <w:t xml:space="preserve">the </w:t>
      </w:r>
      <w:r w:rsidR="003019C1" w:rsidRPr="00C453CC">
        <w:rPr>
          <w:highlight w:val="yellow"/>
        </w:rPr>
        <w:t xml:space="preserve">channels </w:t>
      </w:r>
      <w:r w:rsidR="000272DA" w:rsidRPr="00C453CC">
        <w:rPr>
          <w:highlight w:val="yellow"/>
        </w:rPr>
        <w:t>of</w:t>
      </w:r>
      <w:r w:rsidR="003019C1" w:rsidRPr="00C453CC">
        <w:rPr>
          <w:highlight w:val="yellow"/>
        </w:rPr>
        <w:t xml:space="preserve"> a multichannel image</w:t>
      </w:r>
      <w:r w:rsidRPr="00C453CC">
        <w:rPr>
          <w:highlight w:val="yellow"/>
        </w:rPr>
        <w:t xml:space="preserve">. In Fiji, select the option </w:t>
      </w:r>
      <w:r w:rsidRPr="00C453CC">
        <w:rPr>
          <w:b/>
          <w:bCs/>
          <w:highlight w:val="yellow"/>
        </w:rPr>
        <w:t xml:space="preserve">Split </w:t>
      </w:r>
      <w:r w:rsidR="00F340F7" w:rsidRPr="00C453CC">
        <w:rPr>
          <w:b/>
          <w:bCs/>
          <w:highlight w:val="yellow"/>
        </w:rPr>
        <w:t>C</w:t>
      </w:r>
      <w:r w:rsidRPr="00C453CC">
        <w:rPr>
          <w:b/>
          <w:bCs/>
          <w:highlight w:val="yellow"/>
        </w:rPr>
        <w:t xml:space="preserve">hannels </w:t>
      </w:r>
      <w:r w:rsidRPr="00C453CC">
        <w:rPr>
          <w:highlight w:val="yellow"/>
        </w:rPr>
        <w:t xml:space="preserve">under the </w:t>
      </w:r>
      <w:r w:rsidRPr="00C453CC">
        <w:rPr>
          <w:b/>
          <w:bCs/>
          <w:highlight w:val="yellow"/>
        </w:rPr>
        <w:t>Image</w:t>
      </w:r>
      <w:r w:rsidR="00FF750A" w:rsidRPr="00C453CC">
        <w:rPr>
          <w:highlight w:val="yellow"/>
        </w:rPr>
        <w:t xml:space="preserve"> &gt; </w:t>
      </w:r>
      <w:r w:rsidRPr="00C453CC">
        <w:rPr>
          <w:b/>
          <w:bCs/>
          <w:highlight w:val="yellow"/>
        </w:rPr>
        <w:t xml:space="preserve">Color </w:t>
      </w:r>
      <w:r w:rsidRPr="00C453CC">
        <w:rPr>
          <w:highlight w:val="yellow"/>
        </w:rPr>
        <w:t>menu.</w:t>
      </w:r>
    </w:p>
    <w:p w14:paraId="49461D59" w14:textId="77777777" w:rsidR="0009568F" w:rsidRPr="00C453CC" w:rsidRDefault="0009568F" w:rsidP="007C2A68">
      <w:pPr>
        <w:pStyle w:val="ListParagraph"/>
        <w:ind w:left="0"/>
        <w:rPr>
          <w:highlight w:val="yellow"/>
        </w:rPr>
      </w:pPr>
    </w:p>
    <w:p w14:paraId="7E938C86" w14:textId="2011FB5C" w:rsidR="003A2988" w:rsidRPr="00C453CC" w:rsidRDefault="003A2988" w:rsidP="007C2A68">
      <w:pPr>
        <w:pStyle w:val="ListParagraph"/>
        <w:numPr>
          <w:ilvl w:val="2"/>
          <w:numId w:val="29"/>
        </w:numPr>
        <w:ind w:left="0" w:firstLine="0"/>
        <w:rPr>
          <w:highlight w:val="yellow"/>
        </w:rPr>
      </w:pPr>
      <w:r w:rsidRPr="00C453CC">
        <w:rPr>
          <w:highlight w:val="yellow"/>
        </w:rPr>
        <w:t xml:space="preserve">Use the rectangle or circle selection tool to draw a small shape in an area of the image that does not have any fluorescent cells and measure the average pixel intensity of the background using </w:t>
      </w:r>
      <w:proofErr w:type="spellStart"/>
      <w:r w:rsidRPr="00C453CC">
        <w:rPr>
          <w:b/>
          <w:bCs/>
          <w:highlight w:val="yellow"/>
        </w:rPr>
        <w:t>Analyse</w:t>
      </w:r>
      <w:proofErr w:type="spellEnd"/>
      <w:r w:rsidR="00FF750A" w:rsidRPr="00C453CC">
        <w:rPr>
          <w:highlight w:val="yellow"/>
        </w:rPr>
        <w:t xml:space="preserve"> &gt; </w:t>
      </w:r>
      <w:r w:rsidRPr="00C453CC">
        <w:rPr>
          <w:b/>
          <w:bCs/>
          <w:highlight w:val="yellow"/>
        </w:rPr>
        <w:t>Measure</w:t>
      </w:r>
      <w:r w:rsidRPr="00C453CC">
        <w:rPr>
          <w:highlight w:val="yellow"/>
        </w:rPr>
        <w:t xml:space="preserve">. Repeat </w:t>
      </w:r>
      <w:r w:rsidR="00FF750A" w:rsidRPr="00C453CC">
        <w:rPr>
          <w:highlight w:val="yellow"/>
        </w:rPr>
        <w:t xml:space="preserve">to sample </w:t>
      </w:r>
      <w:r w:rsidRPr="00C453CC">
        <w:rPr>
          <w:highlight w:val="yellow"/>
        </w:rPr>
        <w:t xml:space="preserve">multiple areas. </w:t>
      </w:r>
    </w:p>
    <w:p w14:paraId="1D573780" w14:textId="77777777" w:rsidR="0009568F" w:rsidRPr="00C453CC" w:rsidRDefault="0009568F" w:rsidP="007C2A68">
      <w:pPr>
        <w:rPr>
          <w:highlight w:val="yellow"/>
        </w:rPr>
      </w:pPr>
    </w:p>
    <w:p w14:paraId="7D82EBEF" w14:textId="5BEAF114" w:rsidR="003A2988" w:rsidRPr="00C453CC" w:rsidRDefault="003A2988" w:rsidP="007C2A68">
      <w:pPr>
        <w:rPr>
          <w:highlight w:val="yellow"/>
        </w:rPr>
      </w:pPr>
      <w:r w:rsidRPr="00C453CC">
        <w:rPr>
          <w:highlight w:val="yellow"/>
        </w:rPr>
        <w:t xml:space="preserve">NOTE: Make sure </w:t>
      </w:r>
      <w:r w:rsidRPr="00C453CC">
        <w:rPr>
          <w:b/>
          <w:bCs/>
          <w:highlight w:val="yellow"/>
        </w:rPr>
        <w:t xml:space="preserve">Mean </w:t>
      </w:r>
      <w:r w:rsidR="00FF750A" w:rsidRPr="00C453CC">
        <w:rPr>
          <w:b/>
          <w:bCs/>
          <w:highlight w:val="yellow"/>
        </w:rPr>
        <w:t>Gray Value</w:t>
      </w:r>
      <w:r w:rsidR="00FF750A" w:rsidRPr="00C453CC">
        <w:rPr>
          <w:highlight w:val="yellow"/>
        </w:rPr>
        <w:t xml:space="preserve"> </w:t>
      </w:r>
      <w:r w:rsidRPr="00C453CC">
        <w:rPr>
          <w:highlight w:val="yellow"/>
        </w:rPr>
        <w:t xml:space="preserve">is selected in the </w:t>
      </w:r>
      <w:r w:rsidRPr="00C453CC">
        <w:rPr>
          <w:b/>
          <w:bCs/>
          <w:highlight w:val="yellow"/>
        </w:rPr>
        <w:t>Analyze</w:t>
      </w:r>
      <w:r w:rsidR="00B664C7" w:rsidRPr="00C453CC">
        <w:rPr>
          <w:b/>
          <w:bCs/>
          <w:highlight w:val="yellow"/>
        </w:rPr>
        <w:t xml:space="preserve"> </w:t>
      </w:r>
      <w:r w:rsidR="00FF750A" w:rsidRPr="00C453CC">
        <w:rPr>
          <w:highlight w:val="yellow"/>
        </w:rPr>
        <w:t xml:space="preserve">&gt; </w:t>
      </w:r>
      <w:r w:rsidRPr="00C453CC">
        <w:rPr>
          <w:b/>
          <w:bCs/>
          <w:highlight w:val="yellow"/>
        </w:rPr>
        <w:t>Set Measurements</w:t>
      </w:r>
    </w:p>
    <w:p w14:paraId="635B40D9" w14:textId="77777777" w:rsidR="0009568F" w:rsidRPr="00C453CC" w:rsidRDefault="0009568F" w:rsidP="007C2A68">
      <w:pPr>
        <w:rPr>
          <w:highlight w:val="yellow"/>
        </w:rPr>
      </w:pPr>
    </w:p>
    <w:p w14:paraId="22A22863" w14:textId="0B30BB99" w:rsidR="003A2988" w:rsidRPr="00C453CC" w:rsidRDefault="000272DA" w:rsidP="007C2A68">
      <w:pPr>
        <w:pStyle w:val="ListParagraph"/>
        <w:numPr>
          <w:ilvl w:val="2"/>
          <w:numId w:val="29"/>
        </w:numPr>
        <w:ind w:left="0" w:firstLine="0"/>
        <w:rPr>
          <w:highlight w:val="yellow"/>
        </w:rPr>
      </w:pPr>
      <w:r w:rsidRPr="00C453CC">
        <w:rPr>
          <w:highlight w:val="yellow"/>
        </w:rPr>
        <w:t>Average the mean gray value from 5</w:t>
      </w:r>
      <w:r w:rsidR="00FF750A" w:rsidRPr="00C453CC">
        <w:rPr>
          <w:highlight w:val="yellow"/>
        </w:rPr>
        <w:t>–</w:t>
      </w:r>
      <w:r w:rsidRPr="00C453CC">
        <w:rPr>
          <w:highlight w:val="yellow"/>
        </w:rPr>
        <w:t xml:space="preserve">8 areas of background and drop the decimal point. Subtract this value from each pixel in the image using </w:t>
      </w:r>
      <w:r w:rsidRPr="00C453CC">
        <w:rPr>
          <w:b/>
          <w:bCs/>
          <w:highlight w:val="yellow"/>
        </w:rPr>
        <w:t>Process</w:t>
      </w:r>
      <w:r w:rsidR="00FF750A" w:rsidRPr="00C453CC">
        <w:rPr>
          <w:highlight w:val="yellow"/>
        </w:rPr>
        <w:t xml:space="preserve"> &gt; </w:t>
      </w:r>
      <w:r w:rsidRPr="00C453CC">
        <w:rPr>
          <w:b/>
          <w:bCs/>
          <w:highlight w:val="yellow"/>
        </w:rPr>
        <w:t>Math</w:t>
      </w:r>
      <w:r w:rsidR="00FF750A" w:rsidRPr="00C453CC">
        <w:rPr>
          <w:highlight w:val="yellow"/>
        </w:rPr>
        <w:t xml:space="preserve"> &gt; </w:t>
      </w:r>
      <w:r w:rsidRPr="00C453CC">
        <w:rPr>
          <w:b/>
          <w:bCs/>
          <w:highlight w:val="yellow"/>
        </w:rPr>
        <w:t>Subtract</w:t>
      </w:r>
      <w:r w:rsidR="00FF750A" w:rsidRPr="00C453CC">
        <w:rPr>
          <w:highlight w:val="yellow"/>
        </w:rPr>
        <w:t>.</w:t>
      </w:r>
    </w:p>
    <w:p w14:paraId="3B58B750" w14:textId="77777777" w:rsidR="0009568F" w:rsidRPr="00C453CC" w:rsidRDefault="0009568F" w:rsidP="007C2A68">
      <w:pPr>
        <w:pStyle w:val="ListParagraph"/>
        <w:ind w:left="0"/>
        <w:rPr>
          <w:highlight w:val="yellow"/>
        </w:rPr>
      </w:pPr>
    </w:p>
    <w:p w14:paraId="41F41B7B" w14:textId="0C4AFFA2" w:rsidR="000272DA" w:rsidRPr="00C453CC" w:rsidRDefault="000272DA" w:rsidP="007C2A68">
      <w:pPr>
        <w:rPr>
          <w:iCs/>
        </w:rPr>
      </w:pPr>
      <w:r w:rsidRPr="00C453CC">
        <w:rPr>
          <w:iCs/>
        </w:rPr>
        <w:t>NOTE: Rounding to the nearest whole number could over-estimate the background to subtract. It is more conservative to simply drop the decimal point. For example, 6.4 would be rounded down to 6, but 6.5 should also be rounded down to 6 to avoid the risk of subtracting 0.5 units of real signal from each pixel.</w:t>
      </w:r>
    </w:p>
    <w:p w14:paraId="343DA45F" w14:textId="77777777" w:rsidR="0009568F" w:rsidRPr="00C453CC" w:rsidRDefault="0009568F" w:rsidP="007C2A68">
      <w:pPr>
        <w:rPr>
          <w:i/>
          <w:highlight w:val="yellow"/>
        </w:rPr>
      </w:pPr>
    </w:p>
    <w:p w14:paraId="4CCF1C64" w14:textId="214350E9" w:rsidR="000272DA" w:rsidRPr="00C453CC" w:rsidRDefault="00F340F7" w:rsidP="007C2A68">
      <w:pPr>
        <w:pStyle w:val="ListParagraph"/>
        <w:numPr>
          <w:ilvl w:val="2"/>
          <w:numId w:val="29"/>
        </w:numPr>
        <w:ind w:left="0" w:firstLine="0"/>
        <w:rPr>
          <w:iCs/>
          <w:highlight w:val="yellow"/>
        </w:rPr>
      </w:pPr>
      <w:r w:rsidRPr="00C453CC">
        <w:rPr>
          <w:iCs/>
          <w:highlight w:val="yellow"/>
        </w:rPr>
        <w:t xml:space="preserve">If desired, merge </w:t>
      </w:r>
      <w:r w:rsidR="00FF750A" w:rsidRPr="00C453CC">
        <w:rPr>
          <w:iCs/>
          <w:highlight w:val="yellow"/>
        </w:rPr>
        <w:t xml:space="preserve">the </w:t>
      </w:r>
      <w:r w:rsidRPr="00C453CC">
        <w:rPr>
          <w:iCs/>
          <w:highlight w:val="yellow"/>
        </w:rPr>
        <w:t xml:space="preserve">channels back into a multichannel image. In Fiji, </w:t>
      </w:r>
      <w:r w:rsidR="00F50FCE" w:rsidRPr="00C453CC">
        <w:rPr>
          <w:iCs/>
          <w:highlight w:val="yellow"/>
        </w:rPr>
        <w:t xml:space="preserve">use </w:t>
      </w:r>
      <w:r w:rsidRPr="00C453CC">
        <w:rPr>
          <w:b/>
          <w:bCs/>
          <w:iCs/>
          <w:highlight w:val="yellow"/>
        </w:rPr>
        <w:t>Image</w:t>
      </w:r>
      <w:r w:rsidR="00FF750A" w:rsidRPr="00C453CC">
        <w:rPr>
          <w:highlight w:val="yellow"/>
        </w:rPr>
        <w:t xml:space="preserve"> &gt; </w:t>
      </w:r>
      <w:r w:rsidRPr="00C453CC">
        <w:rPr>
          <w:b/>
          <w:bCs/>
          <w:iCs/>
          <w:highlight w:val="yellow"/>
        </w:rPr>
        <w:t>Color</w:t>
      </w:r>
      <w:r w:rsidR="00FF750A" w:rsidRPr="00C453CC">
        <w:rPr>
          <w:highlight w:val="yellow"/>
        </w:rPr>
        <w:t xml:space="preserve"> &gt; </w:t>
      </w:r>
      <w:r w:rsidRPr="00C453CC">
        <w:rPr>
          <w:b/>
          <w:bCs/>
          <w:iCs/>
          <w:highlight w:val="yellow"/>
        </w:rPr>
        <w:t>Merge Channels</w:t>
      </w:r>
      <w:r w:rsidR="00FF750A" w:rsidRPr="00C453CC">
        <w:rPr>
          <w:iCs/>
          <w:highlight w:val="yellow"/>
        </w:rPr>
        <w:t>.</w:t>
      </w:r>
    </w:p>
    <w:p w14:paraId="7B823DF5" w14:textId="77777777" w:rsidR="0009568F" w:rsidRPr="00C453CC" w:rsidRDefault="0009568F" w:rsidP="007C2A68">
      <w:pPr>
        <w:pStyle w:val="ListParagraph"/>
        <w:ind w:left="0"/>
        <w:rPr>
          <w:iCs/>
          <w:highlight w:val="yellow"/>
        </w:rPr>
      </w:pPr>
    </w:p>
    <w:p w14:paraId="000000DE" w14:textId="2E83B803" w:rsidR="005B0A9F" w:rsidRPr="00C453CC" w:rsidRDefault="0098340E" w:rsidP="007C2A68">
      <w:pPr>
        <w:pStyle w:val="ListParagraph"/>
        <w:numPr>
          <w:ilvl w:val="2"/>
          <w:numId w:val="29"/>
        </w:numPr>
        <w:ind w:left="0" w:firstLine="0"/>
        <w:rPr>
          <w:highlight w:val="yellow"/>
        </w:rPr>
      </w:pPr>
      <w:r w:rsidRPr="00C453CC">
        <w:rPr>
          <w:highlight w:val="yellow"/>
        </w:rPr>
        <w:t xml:space="preserve">Stitch </w:t>
      </w:r>
      <w:r w:rsidR="00FF750A" w:rsidRPr="00C453CC">
        <w:rPr>
          <w:highlight w:val="yellow"/>
        </w:rPr>
        <w:t xml:space="preserve">the </w:t>
      </w:r>
      <w:r w:rsidRPr="00C453CC">
        <w:rPr>
          <w:highlight w:val="yellow"/>
        </w:rPr>
        <w:t>overlapping images together.</w:t>
      </w:r>
    </w:p>
    <w:p w14:paraId="1FD1983A" w14:textId="77777777" w:rsidR="0009568F" w:rsidRPr="00C453CC" w:rsidRDefault="0009568F" w:rsidP="007C2A68">
      <w:pPr>
        <w:pStyle w:val="ListParagraph"/>
        <w:ind w:left="0"/>
        <w:rPr>
          <w:highlight w:val="yellow"/>
        </w:rPr>
      </w:pPr>
    </w:p>
    <w:p w14:paraId="000000DF" w14:textId="54F64DA9" w:rsidR="005B0A9F" w:rsidRPr="00C453CC" w:rsidRDefault="0098340E" w:rsidP="007C2A68">
      <w:pPr>
        <w:pStyle w:val="ListParagraph"/>
        <w:numPr>
          <w:ilvl w:val="2"/>
          <w:numId w:val="29"/>
        </w:numPr>
        <w:ind w:left="0" w:firstLine="0"/>
        <w:rPr>
          <w:highlight w:val="yellow"/>
        </w:rPr>
      </w:pPr>
      <w:r w:rsidRPr="00C453CC">
        <w:rPr>
          <w:highlight w:val="yellow"/>
        </w:rPr>
        <w:t>Adjust brightness and contrast.</w:t>
      </w:r>
      <w:r w:rsidR="00F50FCE" w:rsidRPr="00C453CC">
        <w:rPr>
          <w:highlight w:val="yellow"/>
        </w:rPr>
        <w:t xml:space="preserve"> In Fiji, use </w:t>
      </w:r>
      <w:r w:rsidR="00F50FCE" w:rsidRPr="00C453CC">
        <w:rPr>
          <w:b/>
          <w:bCs/>
          <w:highlight w:val="yellow"/>
        </w:rPr>
        <w:t>Image</w:t>
      </w:r>
      <w:r w:rsidR="00FF750A" w:rsidRPr="00C453CC">
        <w:rPr>
          <w:highlight w:val="yellow"/>
        </w:rPr>
        <w:t xml:space="preserve"> &gt; </w:t>
      </w:r>
      <w:r w:rsidR="00F50FCE" w:rsidRPr="00C453CC">
        <w:rPr>
          <w:b/>
          <w:bCs/>
          <w:highlight w:val="yellow"/>
        </w:rPr>
        <w:t>Adjust</w:t>
      </w:r>
      <w:r w:rsidR="00FF750A" w:rsidRPr="00C453CC">
        <w:rPr>
          <w:highlight w:val="yellow"/>
        </w:rPr>
        <w:t xml:space="preserve"> &gt; </w:t>
      </w:r>
      <w:r w:rsidR="00F50FCE" w:rsidRPr="00C453CC">
        <w:rPr>
          <w:b/>
          <w:bCs/>
          <w:highlight w:val="yellow"/>
        </w:rPr>
        <w:t>Brightness</w:t>
      </w:r>
      <w:r w:rsidR="00F50FCE" w:rsidRPr="00C453CC">
        <w:rPr>
          <w:highlight w:val="yellow"/>
        </w:rPr>
        <w:t>/</w:t>
      </w:r>
      <w:r w:rsidR="00F50FCE" w:rsidRPr="00C453CC">
        <w:rPr>
          <w:b/>
          <w:bCs/>
          <w:highlight w:val="yellow"/>
        </w:rPr>
        <w:t>Contrast</w:t>
      </w:r>
      <w:r w:rsidR="00FF750A" w:rsidRPr="00C453CC">
        <w:rPr>
          <w:highlight w:val="yellow"/>
        </w:rPr>
        <w:t>.</w:t>
      </w:r>
    </w:p>
    <w:p w14:paraId="38BE3DAF" w14:textId="77777777" w:rsidR="0009568F" w:rsidRPr="00C453CC" w:rsidRDefault="0009568F" w:rsidP="007C2A68">
      <w:pPr>
        <w:rPr>
          <w:highlight w:val="yellow"/>
        </w:rPr>
      </w:pPr>
    </w:p>
    <w:p w14:paraId="1A741C15" w14:textId="5E6F0B8A" w:rsidR="00F50FCE" w:rsidRPr="00C453CC" w:rsidRDefault="00F50FCE" w:rsidP="007C2A68">
      <w:r w:rsidRPr="00C453CC">
        <w:t>NOTE: Always use the same minimum and maximum values for each image to be compared.</w:t>
      </w:r>
    </w:p>
    <w:p w14:paraId="651A9309" w14:textId="77777777" w:rsidR="0009568F" w:rsidRPr="00C453CC" w:rsidRDefault="0009568F" w:rsidP="007C2A68">
      <w:pPr>
        <w:rPr>
          <w:i/>
          <w:iCs/>
          <w:highlight w:val="yellow"/>
        </w:rPr>
      </w:pPr>
    </w:p>
    <w:p w14:paraId="000000E1" w14:textId="0AB73092" w:rsidR="005B0A9F" w:rsidRPr="00C453CC" w:rsidRDefault="0098340E" w:rsidP="007C2A68">
      <w:pPr>
        <w:pStyle w:val="ListParagraph"/>
        <w:numPr>
          <w:ilvl w:val="2"/>
          <w:numId w:val="29"/>
        </w:numPr>
        <w:ind w:left="0" w:firstLine="0"/>
      </w:pPr>
      <w:r w:rsidRPr="00C453CC">
        <w:rPr>
          <w:highlight w:val="yellow"/>
        </w:rPr>
        <w:t xml:space="preserve">Count the number of </w:t>
      </w:r>
      <w:proofErr w:type="gramStart"/>
      <w:r w:rsidRPr="00C453CC">
        <w:rPr>
          <w:highlight w:val="yellow"/>
        </w:rPr>
        <w:t>green fluorescent</w:t>
      </w:r>
      <w:proofErr w:type="gramEnd"/>
      <w:r w:rsidRPr="00C453CC">
        <w:rPr>
          <w:highlight w:val="yellow"/>
        </w:rPr>
        <w:t xml:space="preserve"> cells</w:t>
      </w:r>
      <w:r w:rsidR="00FF750A" w:rsidRPr="00C453CC">
        <w:rPr>
          <w:highlight w:val="yellow"/>
        </w:rPr>
        <w:t xml:space="preserve"> following steps 5.4.10–5.4.12</w:t>
      </w:r>
      <w:r w:rsidR="009A68EA" w:rsidRPr="00C453CC">
        <w:rPr>
          <w:highlight w:val="yellow"/>
        </w:rPr>
        <w:t xml:space="preserve">. </w:t>
      </w:r>
      <w:r w:rsidR="009A68EA" w:rsidRPr="00C453CC">
        <w:t>These</w:t>
      </w:r>
      <w:r w:rsidRPr="00C453CC">
        <w:t xml:space="preserve"> are </w:t>
      </w:r>
      <w:r w:rsidR="009A68EA" w:rsidRPr="00C453CC">
        <w:t xml:space="preserve">the </w:t>
      </w:r>
      <w:r w:rsidRPr="00C453CC">
        <w:t xml:space="preserve">cells in which </w:t>
      </w:r>
      <w:r w:rsidR="009A68EA" w:rsidRPr="00C453CC">
        <w:t>the</w:t>
      </w:r>
      <w:r w:rsidRPr="00C453CC">
        <w:t xml:space="preserve"> candidate enhancer sequence was able to drive reporter expression.</w:t>
      </w:r>
    </w:p>
    <w:p w14:paraId="38FDB339" w14:textId="77777777" w:rsidR="0009568F" w:rsidRPr="00C453CC" w:rsidRDefault="0009568F" w:rsidP="007C2A68">
      <w:pPr>
        <w:pStyle w:val="ListParagraph"/>
        <w:ind w:left="0"/>
      </w:pPr>
    </w:p>
    <w:p w14:paraId="19D21FCB" w14:textId="472CB456" w:rsidR="00F50FCE" w:rsidRPr="00C453CC" w:rsidRDefault="002213B8" w:rsidP="007C2A68">
      <w:pPr>
        <w:pStyle w:val="ListParagraph"/>
        <w:numPr>
          <w:ilvl w:val="2"/>
          <w:numId w:val="29"/>
        </w:numPr>
        <w:ind w:left="0" w:firstLine="0"/>
        <w:rPr>
          <w:highlight w:val="yellow"/>
        </w:rPr>
      </w:pPr>
      <w:r w:rsidRPr="00C453CC">
        <w:rPr>
          <w:highlight w:val="yellow"/>
        </w:rPr>
        <w:t xml:space="preserve">Start by hiding the green channel and use the freeform selection tool to draw a shape around the region of the brain that expresses red fluorescence. </w:t>
      </w:r>
      <w:r w:rsidR="00AE0930" w:rsidRPr="00C453CC">
        <w:rPr>
          <w:highlight w:val="yellow"/>
        </w:rPr>
        <w:t xml:space="preserve">Using the </w:t>
      </w:r>
      <w:r w:rsidR="00A85350" w:rsidRPr="00C453CC">
        <w:rPr>
          <w:b/>
          <w:bCs/>
          <w:highlight w:val="yellow"/>
        </w:rPr>
        <w:t>M</w:t>
      </w:r>
      <w:r w:rsidR="00AE0930" w:rsidRPr="00C453CC">
        <w:rPr>
          <w:b/>
          <w:bCs/>
          <w:highlight w:val="yellow"/>
        </w:rPr>
        <w:t>easure</w:t>
      </w:r>
      <w:r w:rsidR="00AE0930" w:rsidRPr="00C453CC">
        <w:rPr>
          <w:highlight w:val="yellow"/>
        </w:rPr>
        <w:t xml:space="preserve"> function in Fiji, m</w:t>
      </w:r>
      <w:r w:rsidRPr="00C453CC">
        <w:rPr>
          <w:highlight w:val="yellow"/>
        </w:rPr>
        <w:t>easure the area, integrated density, and mean gray value of the red channel in this zone.</w:t>
      </w:r>
    </w:p>
    <w:p w14:paraId="1C1605AB" w14:textId="77777777" w:rsidR="0009568F" w:rsidRPr="00C453CC" w:rsidRDefault="0009568F" w:rsidP="007C2A68">
      <w:pPr>
        <w:pStyle w:val="ListParagraph"/>
        <w:ind w:left="0"/>
        <w:rPr>
          <w:highlight w:val="yellow"/>
        </w:rPr>
      </w:pPr>
    </w:p>
    <w:p w14:paraId="2D1A5C9B" w14:textId="115A48B7" w:rsidR="002213B8" w:rsidRPr="00C453CC" w:rsidRDefault="002213B8" w:rsidP="007C2A68">
      <w:pPr>
        <w:pStyle w:val="ListParagraph"/>
        <w:numPr>
          <w:ilvl w:val="2"/>
          <w:numId w:val="29"/>
        </w:numPr>
        <w:ind w:left="0" w:firstLine="0"/>
        <w:rPr>
          <w:highlight w:val="yellow"/>
        </w:rPr>
      </w:pPr>
      <w:r w:rsidRPr="00C453CC">
        <w:rPr>
          <w:highlight w:val="yellow"/>
        </w:rPr>
        <w:t>Using the multi-point selection tool, count the number of green cells in this zone.</w:t>
      </w:r>
    </w:p>
    <w:p w14:paraId="54265E67" w14:textId="77777777" w:rsidR="0009568F" w:rsidRPr="00C453CC" w:rsidRDefault="0009568F" w:rsidP="007C2A68">
      <w:pPr>
        <w:rPr>
          <w:highlight w:val="yellow"/>
        </w:rPr>
      </w:pPr>
    </w:p>
    <w:p w14:paraId="31E1931A" w14:textId="6BDF59E2" w:rsidR="0009568F" w:rsidRPr="00C453CC" w:rsidRDefault="002213B8" w:rsidP="007C2A68">
      <w:pPr>
        <w:pStyle w:val="ListParagraph"/>
        <w:numPr>
          <w:ilvl w:val="2"/>
          <w:numId w:val="29"/>
        </w:numPr>
        <w:ind w:left="0" w:firstLine="0"/>
      </w:pPr>
      <w:r w:rsidRPr="00C453CC">
        <w:rPr>
          <w:highlight w:val="yellow"/>
        </w:rPr>
        <w:t xml:space="preserve">Normalize the number of green cells by the integrated density of the red channel. </w:t>
      </w:r>
      <w:r w:rsidRPr="00C453CC">
        <w:t xml:space="preserve">The local red channel brightness is a proxy measure for the magnitude of virus exposure, enabling </w:t>
      </w:r>
      <w:r w:rsidR="00FF750A" w:rsidRPr="00C453CC">
        <w:t xml:space="preserve">the </w:t>
      </w:r>
      <w:r w:rsidRPr="00C453CC">
        <w:t>comparison of enhancer activity between different transduced animals.</w:t>
      </w:r>
    </w:p>
    <w:bookmarkEnd w:id="3"/>
    <w:bookmarkEnd w:id="4"/>
    <w:p w14:paraId="000000E2" w14:textId="77777777" w:rsidR="005B0A9F" w:rsidRPr="00C453CC" w:rsidRDefault="005B0A9F" w:rsidP="001612BE">
      <w:pPr>
        <w:pBdr>
          <w:top w:val="nil"/>
          <w:left w:val="nil"/>
          <w:bottom w:val="nil"/>
          <w:right w:val="nil"/>
          <w:between w:val="nil"/>
        </w:pBdr>
        <w:rPr>
          <w:b/>
        </w:rPr>
      </w:pPr>
    </w:p>
    <w:p w14:paraId="000000E4" w14:textId="35ED3D13" w:rsidR="005B0A9F" w:rsidRPr="00C453CC" w:rsidRDefault="0098340E" w:rsidP="001612BE">
      <w:pPr>
        <w:pBdr>
          <w:top w:val="nil"/>
          <w:left w:val="nil"/>
          <w:bottom w:val="nil"/>
          <w:right w:val="nil"/>
          <w:between w:val="nil"/>
        </w:pBdr>
      </w:pPr>
      <w:r w:rsidRPr="00C453CC">
        <w:rPr>
          <w:b/>
        </w:rPr>
        <w:t>REPRESENTATIVE RESULTS:</w:t>
      </w:r>
    </w:p>
    <w:p w14:paraId="000000E5" w14:textId="79B68C8A" w:rsidR="005B0A9F" w:rsidRPr="00C453CC" w:rsidRDefault="0098340E" w:rsidP="001612BE">
      <w:r w:rsidRPr="00C453CC">
        <w:t xml:space="preserve">Using these methods, a </w:t>
      </w:r>
      <w:r w:rsidR="009A68EA" w:rsidRPr="00C453CC">
        <w:t>9</w:t>
      </w:r>
      <w:r w:rsidR="003415C5" w:rsidRPr="00C453CC">
        <w:t>15</w:t>
      </w:r>
      <w:r w:rsidRPr="00C453CC">
        <w:t xml:space="preserve"> bp sequence in the psychiatric risk-associated third intron of the gene </w:t>
      </w:r>
      <w:r w:rsidR="009A68EA" w:rsidRPr="00C453CC">
        <w:rPr>
          <w:i/>
        </w:rPr>
        <w:t>CACNA1C</w:t>
      </w:r>
      <w:r w:rsidR="008D34E1" w:rsidRPr="00C453CC">
        <w:rPr>
          <w:vertAlign w:val="superscript"/>
        </w:rPr>
        <w:t>19,49</w:t>
      </w:r>
      <w:r w:rsidR="00E15E9C" w:rsidRPr="00C453CC">
        <w:rPr>
          <w:vertAlign w:val="superscript"/>
        </w:rPr>
        <w:t>,50</w:t>
      </w:r>
      <w:r w:rsidR="009A68EA" w:rsidRPr="00C453CC">
        <w:rPr>
          <w:i/>
        </w:rPr>
        <w:t xml:space="preserve"> </w:t>
      </w:r>
      <w:r w:rsidR="009A68EA" w:rsidRPr="00C453CC">
        <w:t xml:space="preserve">was tested </w:t>
      </w:r>
      <w:r w:rsidRPr="00C453CC">
        <w:t xml:space="preserve">for enhancer activity in </w:t>
      </w:r>
      <w:r w:rsidR="00B664C7" w:rsidRPr="00C453CC">
        <w:t xml:space="preserve">the </w:t>
      </w:r>
      <w:r w:rsidRPr="00C453CC">
        <w:t xml:space="preserve">postnatal mouse brain. </w:t>
      </w:r>
      <w:r w:rsidR="009A68EA" w:rsidRPr="00C453CC">
        <w:t>This sequence was</w:t>
      </w:r>
      <w:r w:rsidRPr="00C453CC">
        <w:t xml:space="preserve"> discovered in an MPRA of </w:t>
      </w:r>
      <w:r w:rsidR="003415C5" w:rsidRPr="00C453CC">
        <w:t>345</w:t>
      </w:r>
      <w:r w:rsidRPr="00C453CC">
        <w:t xml:space="preserve"> candidate enhancer sequences centered on psychiatric and neurological risk </w:t>
      </w:r>
      <w:r w:rsidR="009A68EA" w:rsidRPr="00C453CC">
        <w:t>SNPs</w:t>
      </w:r>
      <w:r w:rsidR="009A68EA" w:rsidRPr="00C453CC">
        <w:rPr>
          <w:vertAlign w:val="superscript"/>
        </w:rPr>
        <w:t>12</w:t>
      </w:r>
      <w:r w:rsidRPr="00C453CC">
        <w:t xml:space="preserve"> and </w:t>
      </w:r>
      <w:r w:rsidR="003B59F9" w:rsidRPr="00C453CC">
        <w:t>characterization</w:t>
      </w:r>
      <w:r w:rsidRPr="00C453CC">
        <w:t xml:space="preserve"> experiments </w:t>
      </w:r>
      <w:r w:rsidR="009A68EA" w:rsidRPr="00C453CC">
        <w:t xml:space="preserve">are described </w:t>
      </w:r>
      <w:r w:rsidRPr="00C453CC">
        <w:t>here</w:t>
      </w:r>
      <w:r w:rsidR="003B59F9" w:rsidRPr="00C453CC">
        <w:t xml:space="preserve"> as </w:t>
      </w:r>
      <w:r w:rsidR="003B59F9" w:rsidRPr="00C453CC">
        <w:lastRenderedPageBreak/>
        <w:t>a general example</w:t>
      </w:r>
      <w:r w:rsidR="009A68EA" w:rsidRPr="00C453CC">
        <w:t xml:space="preserve">. </w:t>
      </w:r>
      <w:r w:rsidRPr="00C453CC">
        <w:t xml:space="preserve">C57BL/6 mice </w:t>
      </w:r>
      <w:r w:rsidR="009A68EA" w:rsidRPr="00C453CC">
        <w:t xml:space="preserve">were injected </w:t>
      </w:r>
      <w:r w:rsidRPr="00C453CC">
        <w:t xml:space="preserve">at P0 with an AAV9 construct packaged as a self-complementary </w:t>
      </w:r>
      <w:r w:rsidR="009A68EA" w:rsidRPr="00C453CC">
        <w:t>vector</w:t>
      </w:r>
      <w:r w:rsidR="00E15E9C" w:rsidRPr="00C453CC">
        <w:rPr>
          <w:vertAlign w:val="superscript"/>
        </w:rPr>
        <w:t>51</w:t>
      </w:r>
      <w:r w:rsidRPr="00C453CC">
        <w:t xml:space="preserve"> containing EGFP under the control of the </w:t>
      </w:r>
      <w:r w:rsidR="009A68EA" w:rsidRPr="00C453CC">
        <w:t>Hsp68</w:t>
      </w:r>
      <w:r w:rsidR="003415C5" w:rsidRPr="00C453CC">
        <w:t xml:space="preserve"> </w:t>
      </w:r>
      <w:r w:rsidRPr="00C453CC">
        <w:t>minimal promoter and a single candidate enhancer sequence (</w:t>
      </w:r>
      <w:r w:rsidRPr="00C453CC">
        <w:rPr>
          <w:b/>
          <w:bCs/>
        </w:rPr>
        <w:t>Fig</w:t>
      </w:r>
      <w:r w:rsidR="00FF750A" w:rsidRPr="00C453CC">
        <w:rPr>
          <w:b/>
          <w:bCs/>
        </w:rPr>
        <w:t xml:space="preserve">ure </w:t>
      </w:r>
      <w:r w:rsidRPr="00C453CC">
        <w:rPr>
          <w:b/>
          <w:bCs/>
        </w:rPr>
        <w:t>3A</w:t>
      </w:r>
      <w:r w:rsidRPr="00C453CC">
        <w:t>). Additional mice were injected with constructs that contained a negative control sequence that was predicted to have no regulatory activity (</w:t>
      </w:r>
      <w:r w:rsidRPr="00C453CC">
        <w:rPr>
          <w:b/>
          <w:bCs/>
        </w:rPr>
        <w:t>Fig</w:t>
      </w:r>
      <w:r w:rsidR="00FF750A" w:rsidRPr="00C453CC">
        <w:rPr>
          <w:b/>
          <w:bCs/>
        </w:rPr>
        <w:t xml:space="preserve">ure </w:t>
      </w:r>
      <w:r w:rsidRPr="00C453CC">
        <w:rPr>
          <w:b/>
          <w:bCs/>
        </w:rPr>
        <w:t>3B</w:t>
      </w:r>
      <w:r w:rsidRPr="00C453CC">
        <w:t>). Viral titers for these constructs were normalized to 6.85 x 10</w:t>
      </w:r>
      <w:r w:rsidRPr="00C453CC">
        <w:rPr>
          <w:vertAlign w:val="superscript"/>
        </w:rPr>
        <w:t xml:space="preserve">10 </w:t>
      </w:r>
      <w:r w:rsidRPr="00C453CC">
        <w:t>vg/</w:t>
      </w:r>
      <w:proofErr w:type="spellStart"/>
      <w:r w:rsidRPr="00C453CC">
        <w:t>mL.</w:t>
      </w:r>
      <w:proofErr w:type="spellEnd"/>
      <w:r w:rsidRPr="00C453CC">
        <w:t xml:space="preserve"> All injected mice were co-injected with an AAV9-packaged construct containing mRuby3 under the control of the constitutive CAG promoter to visualize the area that was successfully transduced and control for potential variability in the site and spread of infection. Brains were collected at postnatal day (P)28 for immunohistochemistry and imaging. These experiments </w:t>
      </w:r>
      <w:r w:rsidR="009A68EA" w:rsidRPr="00C453CC">
        <w:t>confirmed</w:t>
      </w:r>
      <w:r w:rsidRPr="00C453CC">
        <w:t xml:space="preserve"> that this candidate enhancer region in </w:t>
      </w:r>
      <w:r w:rsidRPr="00C453CC">
        <w:rPr>
          <w:i/>
        </w:rPr>
        <w:t xml:space="preserve">CACNA1C </w:t>
      </w:r>
      <w:r w:rsidRPr="00C453CC">
        <w:t>drove expression of EGFP in P28 mouse brain (</w:t>
      </w:r>
      <w:r w:rsidRPr="00C453CC">
        <w:rPr>
          <w:b/>
          <w:bCs/>
        </w:rPr>
        <w:t>Fig</w:t>
      </w:r>
      <w:r w:rsidR="00FF750A" w:rsidRPr="00C453CC">
        <w:rPr>
          <w:b/>
          <w:bCs/>
        </w:rPr>
        <w:t xml:space="preserve">ure </w:t>
      </w:r>
      <w:r w:rsidRPr="00C453CC">
        <w:rPr>
          <w:b/>
          <w:bCs/>
        </w:rPr>
        <w:t>3A</w:t>
      </w:r>
      <w:r w:rsidRPr="00C453CC">
        <w:t>), while a negative control sequence did not (</w:t>
      </w:r>
      <w:r w:rsidRPr="00C453CC">
        <w:rPr>
          <w:b/>
          <w:bCs/>
        </w:rPr>
        <w:t>Fig</w:t>
      </w:r>
      <w:r w:rsidR="00FF750A" w:rsidRPr="00C453CC">
        <w:rPr>
          <w:b/>
          <w:bCs/>
        </w:rPr>
        <w:t xml:space="preserve">ure </w:t>
      </w:r>
      <w:r w:rsidRPr="00C453CC">
        <w:rPr>
          <w:b/>
          <w:bCs/>
        </w:rPr>
        <w:t>3B</w:t>
      </w:r>
      <w:r w:rsidRPr="00C453CC">
        <w:t xml:space="preserve">). These results demonstrate </w:t>
      </w:r>
      <w:r w:rsidR="00FF750A" w:rsidRPr="00C453CC">
        <w:t xml:space="preserve">the </w:t>
      </w:r>
      <w:r w:rsidRPr="00C453CC">
        <w:t xml:space="preserve">application of enhancer-reporter assays in </w:t>
      </w:r>
      <w:r w:rsidR="00FF750A" w:rsidRPr="00C453CC">
        <w:t xml:space="preserve">the </w:t>
      </w:r>
      <w:r w:rsidRPr="00C453CC">
        <w:t>mouse brain, enabling</w:t>
      </w:r>
      <w:r w:rsidRPr="00C453CC">
        <w:rPr>
          <w:i/>
        </w:rPr>
        <w:t xml:space="preserve"> in viv</w:t>
      </w:r>
      <w:r w:rsidRPr="00C453CC">
        <w:t>o study of enhancers during conditions that cannot be recapitulated using traditional</w:t>
      </w:r>
      <w:r w:rsidRPr="00C453CC">
        <w:rPr>
          <w:i/>
        </w:rPr>
        <w:t xml:space="preserve"> in vitro</w:t>
      </w:r>
      <w:r w:rsidRPr="00C453CC">
        <w:t xml:space="preserve"> models.</w:t>
      </w:r>
    </w:p>
    <w:p w14:paraId="000000E6" w14:textId="77777777" w:rsidR="005B0A9F" w:rsidRPr="00C453CC" w:rsidRDefault="005B0A9F" w:rsidP="001612BE"/>
    <w:p w14:paraId="000000E7" w14:textId="0F4C6C42" w:rsidR="005B0A9F" w:rsidRPr="00C453CC" w:rsidRDefault="0098340E" w:rsidP="001612BE">
      <w:r w:rsidRPr="00C453CC">
        <w:t xml:space="preserve">These methods can also be used to test libraries of candidate enhancer sequences for activity using AAV-based delivery methods, such as in MPRAs. </w:t>
      </w:r>
      <w:r w:rsidR="009A68EA" w:rsidRPr="00C453CC">
        <w:t>Representative</w:t>
      </w:r>
      <w:r w:rsidRPr="00C453CC">
        <w:t xml:space="preserve"> images of library-based reporter expression at different titers</w:t>
      </w:r>
      <w:r w:rsidR="009A68EA" w:rsidRPr="00C453CC">
        <w:t xml:space="preserve"> demonstrate</w:t>
      </w:r>
      <w:r w:rsidRPr="00C453CC">
        <w:t xml:space="preserve"> the flexibility of this assay and the effect of viral titer on transduction efficiency. High-titer (</w:t>
      </w:r>
      <w:r w:rsidRPr="00C453CC">
        <w:rPr>
          <w:b/>
          <w:bCs/>
        </w:rPr>
        <w:t>Fig</w:t>
      </w:r>
      <w:r w:rsidR="00FF750A" w:rsidRPr="00C453CC">
        <w:rPr>
          <w:b/>
          <w:bCs/>
        </w:rPr>
        <w:t xml:space="preserve">ure </w:t>
      </w:r>
      <w:r w:rsidRPr="00C453CC">
        <w:rPr>
          <w:b/>
          <w:bCs/>
        </w:rPr>
        <w:t>4A</w:t>
      </w:r>
      <w:r w:rsidRPr="00C453CC">
        <w:t>) versus low-titer (</w:t>
      </w:r>
      <w:r w:rsidRPr="00C453CC">
        <w:rPr>
          <w:b/>
          <w:bCs/>
        </w:rPr>
        <w:t>Fig</w:t>
      </w:r>
      <w:r w:rsidR="00FF750A" w:rsidRPr="00C453CC">
        <w:rPr>
          <w:b/>
          <w:bCs/>
        </w:rPr>
        <w:t xml:space="preserve">ure </w:t>
      </w:r>
      <w:r w:rsidRPr="00C453CC">
        <w:rPr>
          <w:b/>
          <w:bCs/>
        </w:rPr>
        <w:t>4B</w:t>
      </w:r>
      <w:r w:rsidRPr="00C453CC">
        <w:t xml:space="preserve">) viral preparations result in differences in the </w:t>
      </w:r>
      <w:proofErr w:type="gramStart"/>
      <w:r w:rsidRPr="00C453CC">
        <w:t>amount</w:t>
      </w:r>
      <w:proofErr w:type="gramEnd"/>
      <w:r w:rsidRPr="00C453CC">
        <w:t xml:space="preserve"> of transduced cells, as evidenced by both positive control mRuby3 expression driven by a CAG promoter and EGFP expression produced from the candidate enhancer libraries in postnatal mouse brain. There are situations where either high titer and broad transduction or low titer and sparse transduction may be preferred. </w:t>
      </w:r>
    </w:p>
    <w:p w14:paraId="000000E9" w14:textId="77777777" w:rsidR="005B0A9F" w:rsidRPr="00C453CC" w:rsidRDefault="005B0A9F" w:rsidP="001612BE"/>
    <w:p w14:paraId="1B8328D9" w14:textId="01E1C96B" w:rsidR="008A2169" w:rsidRPr="00C453CC" w:rsidRDefault="0098340E" w:rsidP="001612BE">
      <w:r w:rsidRPr="00C453CC">
        <w:rPr>
          <w:b/>
        </w:rPr>
        <w:t>FIGURE AND TABLE LEGENDS:</w:t>
      </w:r>
    </w:p>
    <w:p w14:paraId="000000EB" w14:textId="56AA60C0" w:rsidR="005B0A9F" w:rsidRPr="00C453CC" w:rsidRDefault="0098340E" w:rsidP="001612BE">
      <w:r w:rsidRPr="00C453CC">
        <w:rPr>
          <w:b/>
        </w:rPr>
        <w:t xml:space="preserve">Figure 1: Overview of </w:t>
      </w:r>
      <w:r w:rsidR="00FF750A" w:rsidRPr="00C453CC">
        <w:rPr>
          <w:b/>
        </w:rPr>
        <w:t xml:space="preserve">the </w:t>
      </w:r>
      <w:r w:rsidRPr="00C453CC">
        <w:rPr>
          <w:b/>
        </w:rPr>
        <w:t>protocol.</w:t>
      </w:r>
      <w:r w:rsidRPr="00C453CC">
        <w:t xml:space="preserve"> Key elements of this assay include a candidate enhancer element, a minimal promoter, a reporter gene, and, depending on assay design, a barcode sequence for unique tagging. These elements are cloned into an AAV plasmid backbone and packaged into AAV. The virus is delivered to the animal and left to incubate for </w:t>
      </w:r>
      <w:proofErr w:type="gramStart"/>
      <w:r w:rsidRPr="00C453CC">
        <w:t>a number of</w:t>
      </w:r>
      <w:proofErr w:type="gramEnd"/>
      <w:r w:rsidRPr="00C453CC">
        <w:t xml:space="preserve"> days or weeks. Finally, the tissue of interest is </w:t>
      </w:r>
      <w:proofErr w:type="gramStart"/>
      <w:r w:rsidRPr="00C453CC">
        <w:t>collected</w:t>
      </w:r>
      <w:proofErr w:type="gramEnd"/>
      <w:r w:rsidRPr="00C453CC">
        <w:t xml:space="preserve"> and enhancer activity is ascertained via imaging or sequencing. Enhancer-driven transgene expression can produce expression with cell-type, regional, and temporal specificity, in contrast to constitutive drivers.</w:t>
      </w:r>
    </w:p>
    <w:p w14:paraId="000000EC" w14:textId="77777777" w:rsidR="005B0A9F" w:rsidRPr="00C453CC" w:rsidRDefault="005B0A9F" w:rsidP="001612BE"/>
    <w:p w14:paraId="000000ED" w14:textId="4C930104" w:rsidR="005B0A9F" w:rsidRPr="00C453CC" w:rsidRDefault="0098340E" w:rsidP="001612BE">
      <w:r w:rsidRPr="00C453CC">
        <w:rPr>
          <w:b/>
        </w:rPr>
        <w:t>Figure 2: Flexibility in assay design.</w:t>
      </w:r>
      <w:r w:rsidRPr="00C453CC">
        <w:t xml:space="preserve"> </w:t>
      </w:r>
      <w:r w:rsidR="00FF750A" w:rsidRPr="00C453CC">
        <w:t>(</w:t>
      </w:r>
      <w:r w:rsidRPr="00C453CC">
        <w:rPr>
          <w:b/>
          <w:bCs/>
        </w:rPr>
        <w:t>A</w:t>
      </w:r>
      <w:r w:rsidRPr="00C453CC">
        <w:t>) Plasmid orientation can place the enhancer upstream of the minimal promoter or downstream of the reporter gene, as in STARR-</w:t>
      </w:r>
      <w:r w:rsidR="009A68EA" w:rsidRPr="00C453CC">
        <w:t>seq</w:t>
      </w:r>
      <w:r w:rsidR="00034781" w:rsidRPr="00C453CC">
        <w:rPr>
          <w:vertAlign w:val="superscript"/>
        </w:rPr>
        <w:t>28</w:t>
      </w:r>
      <w:r w:rsidR="009A68EA" w:rsidRPr="00C453CC">
        <w:t>.</w:t>
      </w:r>
      <w:r w:rsidRPr="00C453CC">
        <w:t xml:space="preserve"> For sequence-based readouts, a barcode is included downstream of the reporter gene, or the enhancer can serve as its own barcode in the second orientation. </w:t>
      </w:r>
      <w:r w:rsidR="00FF750A" w:rsidRPr="00C453CC">
        <w:t>(</w:t>
      </w:r>
      <w:r w:rsidRPr="00C453CC">
        <w:rPr>
          <w:b/>
          <w:bCs/>
        </w:rPr>
        <w:t>B</w:t>
      </w:r>
      <w:r w:rsidRPr="00C453CC">
        <w:t xml:space="preserve">) Common viral delivery techniques to </w:t>
      </w:r>
      <w:r w:rsidR="00FF750A" w:rsidRPr="00C453CC">
        <w:t xml:space="preserve">the </w:t>
      </w:r>
      <w:r w:rsidRPr="00C453CC">
        <w:t xml:space="preserve">brain include intracranial injections, retro-orbital injections, or tail-vein injections, which may result in different densities of transduced cells in different tissues. </w:t>
      </w:r>
      <w:r w:rsidR="00FF750A" w:rsidRPr="00C453CC">
        <w:t>(</w:t>
      </w:r>
      <w:r w:rsidRPr="00C453CC">
        <w:rPr>
          <w:b/>
          <w:bCs/>
        </w:rPr>
        <w:t>C</w:t>
      </w:r>
      <w:r w:rsidRPr="00C453CC">
        <w:t xml:space="preserve">) Readouts can be sequencing-based or imaging-based. In sequencing-based readouts, enhancer activity is defined by a relative increase of RNA sequence versus input DNA sequence (controlling for AAV delivery). In imaging readouts, expression of the reporter gene is increased where the enhancer is active. </w:t>
      </w:r>
      <w:r w:rsidR="00FF750A" w:rsidRPr="00C453CC">
        <w:t>(</w:t>
      </w:r>
      <w:r w:rsidRPr="00C453CC">
        <w:rPr>
          <w:b/>
          <w:bCs/>
        </w:rPr>
        <w:t>D</w:t>
      </w:r>
      <w:r w:rsidRPr="00C453CC">
        <w:t xml:space="preserve">) Potential intronic enhancers in the psychiatric risk-associated gene </w:t>
      </w:r>
      <w:r w:rsidRPr="00C453CC">
        <w:rPr>
          <w:i/>
        </w:rPr>
        <w:t>CACNA1C</w:t>
      </w:r>
      <w:r w:rsidRPr="00C453CC">
        <w:t xml:space="preserve"> are highlighted. In the top image, a broad region is selected that shows strong associations to GWAS-tested traits and interactions with the </w:t>
      </w:r>
      <w:r w:rsidRPr="00C453CC">
        <w:rPr>
          <w:i/>
        </w:rPr>
        <w:t>CACNA1C</w:t>
      </w:r>
      <w:r w:rsidRPr="00C453CC">
        <w:t xml:space="preserve"> promoter via PLAC-</w:t>
      </w:r>
      <w:r w:rsidR="009A68EA" w:rsidRPr="00C453CC">
        <w:t>seq</w:t>
      </w:r>
      <w:r w:rsidR="00D31F7E" w:rsidRPr="00C453CC">
        <w:rPr>
          <w:vertAlign w:val="superscript"/>
        </w:rPr>
        <w:t>20</w:t>
      </w:r>
      <w:r w:rsidR="009A68EA" w:rsidRPr="00C453CC">
        <w:t>.</w:t>
      </w:r>
      <w:r w:rsidRPr="00C453CC">
        <w:t xml:space="preserve"> In the inset, smaller candidate </w:t>
      </w:r>
      <w:r w:rsidRPr="00C453CC">
        <w:lastRenderedPageBreak/>
        <w:t>regions are identified that are evolutionarily conserved at the sequence level, are in areas of open chromatin, and show epigenetic marks indicative of enhancers.</w:t>
      </w:r>
    </w:p>
    <w:p w14:paraId="000000EE" w14:textId="77777777" w:rsidR="005B0A9F" w:rsidRPr="00C453CC" w:rsidRDefault="005B0A9F" w:rsidP="001612BE"/>
    <w:p w14:paraId="000000EF" w14:textId="4DF8AC24" w:rsidR="005B0A9F" w:rsidRPr="00C453CC" w:rsidRDefault="0098340E" w:rsidP="001612BE">
      <w:r w:rsidRPr="00C453CC">
        <w:rPr>
          <w:b/>
        </w:rPr>
        <w:t>Figure 3: Enhancer in CACNA1C drives EGFP expression in P28 mouse brain.</w:t>
      </w:r>
      <w:r w:rsidRPr="00C453CC">
        <w:t xml:space="preserve"> </w:t>
      </w:r>
      <w:r w:rsidR="00FF750A" w:rsidRPr="00C453CC">
        <w:t>(</w:t>
      </w:r>
      <w:r w:rsidRPr="00C453CC">
        <w:rPr>
          <w:b/>
          <w:bCs/>
        </w:rPr>
        <w:t>A</w:t>
      </w:r>
      <w:r w:rsidRPr="00C453CC">
        <w:t xml:space="preserve">) A mouse injected intracranially at P0 with an enhancer-reporter construct (scAAV9-Hsp68-EGFP-CACNA1C_3) and constitutively expressed injection control (AAV9-CAG-mRuby3) shows enhancer-driven EGFP expression </w:t>
      </w:r>
      <w:r w:rsidR="00146C28" w:rsidRPr="00C453CC">
        <w:t xml:space="preserve">in the middle-lower layers of the cortex </w:t>
      </w:r>
      <w:r w:rsidRPr="00C453CC">
        <w:t xml:space="preserve">at P28. </w:t>
      </w:r>
      <w:r w:rsidR="00FF750A" w:rsidRPr="00C453CC">
        <w:t>(</w:t>
      </w:r>
      <w:r w:rsidRPr="00C453CC">
        <w:rPr>
          <w:b/>
          <w:bCs/>
        </w:rPr>
        <w:t>B</w:t>
      </w:r>
      <w:r w:rsidRPr="00C453CC">
        <w:t>) A mouse injected at P0 with</w:t>
      </w:r>
      <w:r w:rsidR="009A68EA" w:rsidRPr="00C453CC">
        <w:t xml:space="preserve"> </w:t>
      </w:r>
      <w:r w:rsidR="00146C28" w:rsidRPr="00C453CC">
        <w:t>a</w:t>
      </w:r>
      <w:r w:rsidRPr="00C453CC">
        <w:t xml:space="preserve"> negative control construct (scAAV9-Hsp68-EGFP-NEG_4) and injection control does not show expression of EGFP at P28.</w:t>
      </w:r>
      <w:r w:rsidR="009A68EA" w:rsidRPr="00C453CC">
        <w:t xml:space="preserve"> Whole-brain images were taken at 5x magnification and insets </w:t>
      </w:r>
      <w:r w:rsidR="00146C28" w:rsidRPr="00C453CC">
        <w:t xml:space="preserve">show </w:t>
      </w:r>
      <w:r w:rsidR="00FF750A" w:rsidRPr="00C453CC">
        <w:t>zoomed-</w:t>
      </w:r>
      <w:r w:rsidR="00146C28" w:rsidRPr="00C453CC">
        <w:t xml:space="preserve">in view of </w:t>
      </w:r>
      <w:r w:rsidR="00FF750A" w:rsidRPr="00C453CC">
        <w:t xml:space="preserve">the </w:t>
      </w:r>
      <w:r w:rsidR="00146C28" w:rsidRPr="00C453CC">
        <w:t>boxed region</w:t>
      </w:r>
      <w:r w:rsidR="009A68EA" w:rsidRPr="00C453CC">
        <w:t>.</w:t>
      </w:r>
    </w:p>
    <w:p w14:paraId="000000F0" w14:textId="77777777" w:rsidR="005B0A9F" w:rsidRPr="00C453CC" w:rsidRDefault="005B0A9F" w:rsidP="001612BE"/>
    <w:p w14:paraId="000000F2" w14:textId="0F042D3D" w:rsidR="005B0A9F" w:rsidRDefault="0098340E" w:rsidP="001612BE">
      <w:bookmarkStart w:id="11" w:name="_Hlk84338990"/>
      <w:r w:rsidRPr="00C453CC">
        <w:rPr>
          <w:b/>
        </w:rPr>
        <w:t>Figure 4: AAV-delivered enhancer-reporter libraries of different titers show activity in mouse brain</w:t>
      </w:r>
      <w:r w:rsidR="009A68EA" w:rsidRPr="00C453CC">
        <w:rPr>
          <w:b/>
        </w:rPr>
        <w:t>.</w:t>
      </w:r>
      <w:r w:rsidRPr="00C453CC">
        <w:rPr>
          <w:b/>
        </w:rPr>
        <w:t xml:space="preserve"> </w:t>
      </w:r>
      <w:r w:rsidR="00FF750A" w:rsidRPr="00C453CC">
        <w:rPr>
          <w:b/>
        </w:rPr>
        <w:t>(</w:t>
      </w:r>
      <w:r w:rsidRPr="00C453CC">
        <w:rPr>
          <w:b/>
          <w:bCs/>
        </w:rPr>
        <w:t>A</w:t>
      </w:r>
      <w:r w:rsidRPr="00C453CC">
        <w:t xml:space="preserve">) </w:t>
      </w:r>
      <w:r w:rsidR="007F4AF9" w:rsidRPr="00C453CC">
        <w:t>Commercially packaged, h</w:t>
      </w:r>
      <w:r w:rsidR="009A68EA" w:rsidRPr="00C453CC">
        <w:t>igh</w:t>
      </w:r>
      <w:r w:rsidRPr="00C453CC">
        <w:t xml:space="preserve">-titer </w:t>
      </w:r>
      <w:r w:rsidR="007F4AF9" w:rsidRPr="00C453CC">
        <w:t>AAV</w:t>
      </w:r>
      <w:r w:rsidR="003D3EB4" w:rsidRPr="00C453CC">
        <w:t>-</w:t>
      </w:r>
      <w:proofErr w:type="spellStart"/>
      <w:r w:rsidRPr="00C453CC">
        <w:t>PHP.eB</w:t>
      </w:r>
      <w:proofErr w:type="spellEnd"/>
      <w:r w:rsidRPr="00C453CC">
        <w:t xml:space="preserve"> library of candidate enhancers drives broad EGFP expression in P7 mouse brain. </w:t>
      </w:r>
      <w:r w:rsidR="00FF750A" w:rsidRPr="00C453CC">
        <w:t>(</w:t>
      </w:r>
      <w:r w:rsidRPr="00C453CC">
        <w:rPr>
          <w:b/>
          <w:bCs/>
        </w:rPr>
        <w:t>B</w:t>
      </w:r>
      <w:r w:rsidRPr="00C453CC">
        <w:t xml:space="preserve">) </w:t>
      </w:r>
      <w:r w:rsidR="009A68EA" w:rsidRPr="00C453CC">
        <w:t>Low</w:t>
      </w:r>
      <w:r w:rsidR="003D3EB4" w:rsidRPr="00C453CC">
        <w:t>er</w:t>
      </w:r>
      <w:r w:rsidRPr="00C453CC">
        <w:t xml:space="preserve">-titer AAV9 library of candidate enhancers </w:t>
      </w:r>
      <w:r w:rsidR="003D3EB4" w:rsidRPr="00C453CC">
        <w:t xml:space="preserve">precipitated from conditioned media of the packaging cells </w:t>
      </w:r>
      <w:r w:rsidRPr="00C453CC">
        <w:t xml:space="preserve">drives sparse EGFP expression in P7 mouse brain. </w:t>
      </w:r>
      <w:r w:rsidR="009A68EA" w:rsidRPr="00C453CC">
        <w:t>Images</w:t>
      </w:r>
      <w:r w:rsidRPr="00C453CC">
        <w:t xml:space="preserve"> were </w:t>
      </w:r>
      <w:r w:rsidR="009A68EA" w:rsidRPr="00C453CC">
        <w:t>taken at 5x magnification.</w:t>
      </w:r>
      <w:bookmarkEnd w:id="11"/>
    </w:p>
    <w:p w14:paraId="2E483941" w14:textId="0E4645A1" w:rsidR="00B36F5C" w:rsidRDefault="00B36F5C" w:rsidP="001612BE"/>
    <w:p w14:paraId="38E9F201" w14:textId="03D25613" w:rsidR="00B36F5C" w:rsidRDefault="00B36F5C" w:rsidP="001612BE">
      <w:pPr>
        <w:rPr>
          <w:b/>
          <w:bCs/>
        </w:rPr>
      </w:pPr>
      <w:r w:rsidRPr="00B36F5C">
        <w:rPr>
          <w:b/>
          <w:bCs/>
        </w:rPr>
        <w:t>Table 1: PCR reaction mix and thermocycling conditions.</w:t>
      </w:r>
    </w:p>
    <w:p w14:paraId="373CDA1D" w14:textId="75BF7281" w:rsidR="00B36F5C" w:rsidRDefault="00B36F5C" w:rsidP="001612BE">
      <w:pPr>
        <w:rPr>
          <w:b/>
          <w:bCs/>
        </w:rPr>
      </w:pPr>
    </w:p>
    <w:p w14:paraId="4C98C2F6" w14:textId="6561A1DB" w:rsidR="00B36F5C" w:rsidRDefault="00B36F5C" w:rsidP="001612BE">
      <w:pPr>
        <w:rPr>
          <w:b/>
          <w:bCs/>
        </w:rPr>
      </w:pPr>
      <w:r>
        <w:rPr>
          <w:b/>
          <w:bCs/>
        </w:rPr>
        <w:t>Table 2: T</w:t>
      </w:r>
      <w:r w:rsidRPr="00767633">
        <w:rPr>
          <w:b/>
          <w:bCs/>
        </w:rPr>
        <w:t>hermocycling conditions</w:t>
      </w:r>
      <w:r>
        <w:rPr>
          <w:b/>
          <w:bCs/>
        </w:rPr>
        <w:t xml:space="preserve"> for colony PCR.</w:t>
      </w:r>
    </w:p>
    <w:p w14:paraId="7F58B72D" w14:textId="3E2E9274" w:rsidR="00B36F5C" w:rsidRDefault="00B36F5C" w:rsidP="001612BE">
      <w:pPr>
        <w:rPr>
          <w:b/>
          <w:bCs/>
        </w:rPr>
      </w:pPr>
    </w:p>
    <w:p w14:paraId="1BB537D2" w14:textId="4710138F" w:rsidR="00B36F5C" w:rsidRPr="00B36F5C" w:rsidRDefault="00B36F5C" w:rsidP="001612BE">
      <w:pPr>
        <w:rPr>
          <w:b/>
          <w:bCs/>
        </w:rPr>
      </w:pPr>
      <w:r>
        <w:rPr>
          <w:b/>
          <w:bCs/>
        </w:rPr>
        <w:t xml:space="preserve">Table 3:  </w:t>
      </w:r>
      <w:r w:rsidRPr="00B36F5C">
        <w:rPr>
          <w:b/>
          <w:bCs/>
        </w:rPr>
        <w:t>Buffers for immunohistochemistry</w:t>
      </w:r>
      <w:r>
        <w:rPr>
          <w:b/>
          <w:bCs/>
        </w:rPr>
        <w:t>.</w:t>
      </w:r>
    </w:p>
    <w:p w14:paraId="000000F3" w14:textId="77777777" w:rsidR="005B0A9F" w:rsidRPr="00C453CC" w:rsidRDefault="005B0A9F" w:rsidP="001612BE"/>
    <w:p w14:paraId="000000F5" w14:textId="286514A9" w:rsidR="005B0A9F" w:rsidRPr="00C453CC" w:rsidRDefault="0098340E" w:rsidP="001612BE">
      <w:pPr>
        <w:rPr>
          <w:b/>
        </w:rPr>
      </w:pPr>
      <w:r w:rsidRPr="00C453CC">
        <w:rPr>
          <w:b/>
        </w:rPr>
        <w:t xml:space="preserve">DISCUSSION: </w:t>
      </w:r>
    </w:p>
    <w:p w14:paraId="000000F6" w14:textId="32245F79" w:rsidR="005B0A9F" w:rsidRPr="00C453CC" w:rsidRDefault="009A68EA" w:rsidP="001612BE">
      <w:r w:rsidRPr="00C453CC">
        <w:rPr>
          <w:bCs/>
        </w:rPr>
        <w:t>This protocol</w:t>
      </w:r>
      <w:r w:rsidRPr="00C453CC">
        <w:rPr>
          <w:b/>
        </w:rPr>
        <w:t xml:space="preserve"> </w:t>
      </w:r>
      <w:r w:rsidRPr="00C453CC">
        <w:t>describes</w:t>
      </w:r>
      <w:r w:rsidR="0098340E" w:rsidRPr="00C453CC">
        <w:t xml:space="preserve"> an </w:t>
      </w:r>
      <w:proofErr w:type="spellStart"/>
      <w:r w:rsidR="0098340E" w:rsidRPr="00C453CC">
        <w:t>rAAV</w:t>
      </w:r>
      <w:proofErr w:type="spellEnd"/>
      <w:r w:rsidR="0098340E" w:rsidRPr="00C453CC">
        <w:t xml:space="preserve">-based </w:t>
      </w:r>
      <w:r w:rsidR="004864DC" w:rsidRPr="00C453CC">
        <w:t>method</w:t>
      </w:r>
      <w:r w:rsidR="0098340E" w:rsidRPr="00C453CC">
        <w:t xml:space="preserve"> for </w:t>
      </w:r>
      <w:r w:rsidR="00FF750A" w:rsidRPr="00C453CC">
        <w:t xml:space="preserve">the </w:t>
      </w:r>
      <w:r w:rsidR="0098340E" w:rsidRPr="00C453CC">
        <w:t xml:space="preserve">deployment of enhancer-driven transgenes in </w:t>
      </w:r>
      <w:r w:rsidR="00FF750A" w:rsidRPr="00C453CC">
        <w:t xml:space="preserve">the </w:t>
      </w:r>
      <w:r w:rsidR="0098340E" w:rsidRPr="00C453CC">
        <w:t xml:space="preserve">postnatal mouse brain. In this generalized protocol, a candidate enhancer, a minimal promoter, a reporter gene, and an optional barcode sequence are cloned into an AAV plasmid backbone. These experiments can be done with a single candidate enhancer sequence or with many sequences in parallel. The plasmid is packaged into an </w:t>
      </w:r>
      <w:proofErr w:type="spellStart"/>
      <w:r w:rsidR="0098340E" w:rsidRPr="00C453CC">
        <w:t>rAAV</w:t>
      </w:r>
      <w:proofErr w:type="spellEnd"/>
      <w:r w:rsidR="0098340E" w:rsidRPr="00C453CC">
        <w:t xml:space="preserve"> and delivered to </w:t>
      </w:r>
      <w:r w:rsidR="00FF750A" w:rsidRPr="00C453CC">
        <w:t xml:space="preserve">the </w:t>
      </w:r>
      <w:r w:rsidR="0098340E" w:rsidRPr="00C453CC">
        <w:t xml:space="preserve">postnatal mouse brain. After </w:t>
      </w:r>
      <w:proofErr w:type="gramStart"/>
      <w:r w:rsidR="0098340E" w:rsidRPr="00C453CC">
        <w:t xml:space="preserve">a period of </w:t>
      </w:r>
      <w:r w:rsidR="000E35B5" w:rsidRPr="00C453CC">
        <w:t>time</w:t>
      </w:r>
      <w:proofErr w:type="gramEnd"/>
      <w:r w:rsidR="000E35B5" w:rsidRPr="00C453CC">
        <w:t xml:space="preserve"> to allow for virus transduction</w:t>
      </w:r>
      <w:r w:rsidR="0098340E" w:rsidRPr="00C453CC">
        <w:t xml:space="preserve">, the brain is collected and imaged for reporter gene expression. </w:t>
      </w:r>
      <w:r w:rsidRPr="00C453CC">
        <w:t>A</w:t>
      </w:r>
      <w:r w:rsidR="0098340E" w:rsidRPr="00C453CC">
        <w:t xml:space="preserve"> constitutively expressed reporter virus (CAG-mRuby3) </w:t>
      </w:r>
      <w:r w:rsidRPr="00C453CC">
        <w:t xml:space="preserve">is included </w:t>
      </w:r>
      <w:r w:rsidR="0098340E" w:rsidRPr="00C453CC">
        <w:t xml:space="preserve">as an injection control. Using this assay, enhancer elements </w:t>
      </w:r>
      <w:r w:rsidRPr="00C453CC">
        <w:t xml:space="preserve">are shown to </w:t>
      </w:r>
      <w:r w:rsidR="0098340E" w:rsidRPr="00C453CC">
        <w:t xml:space="preserve">drive transcription of EGFP in </w:t>
      </w:r>
      <w:r w:rsidR="00FF750A" w:rsidRPr="00C453CC">
        <w:t xml:space="preserve">the </w:t>
      </w:r>
      <w:r w:rsidR="0098340E" w:rsidRPr="00C453CC">
        <w:t>mouse brain</w:t>
      </w:r>
      <w:r w:rsidR="000E35B5" w:rsidRPr="00C453CC">
        <w:t>, demonstrating</w:t>
      </w:r>
      <w:r w:rsidR="0098340E" w:rsidRPr="00C453CC">
        <w:t xml:space="preserve"> enhancer activity </w:t>
      </w:r>
      <w:r w:rsidR="0098340E" w:rsidRPr="00C453CC">
        <w:rPr>
          <w:i/>
        </w:rPr>
        <w:t>in vivo</w:t>
      </w:r>
      <w:r w:rsidR="0098340E" w:rsidRPr="00C453CC">
        <w:t>.</w:t>
      </w:r>
    </w:p>
    <w:p w14:paraId="000000F7" w14:textId="77777777" w:rsidR="005B0A9F" w:rsidRPr="00C453CC" w:rsidRDefault="005B0A9F" w:rsidP="001612BE"/>
    <w:p w14:paraId="000000F8" w14:textId="1574A361" w:rsidR="005B0A9F" w:rsidRPr="00C453CC" w:rsidRDefault="009A68EA" w:rsidP="001612BE">
      <w:r w:rsidRPr="00C453CC">
        <w:t>The</w:t>
      </w:r>
      <w:r w:rsidR="0098340E" w:rsidRPr="00C453CC">
        <w:t xml:space="preserve"> primary targets for troubleshooting and optimization of this assay include viral titer, injection technique, and </w:t>
      </w:r>
      <w:r w:rsidR="000E35B5" w:rsidRPr="00C453CC">
        <w:t>transduction time</w:t>
      </w:r>
      <w:r w:rsidR="00FF750A" w:rsidRPr="00C453CC">
        <w:t xml:space="preserve"> </w:t>
      </w:r>
      <w:r w:rsidR="000E35B5" w:rsidRPr="00C453CC">
        <w:t>frame</w:t>
      </w:r>
      <w:r w:rsidRPr="00C453CC">
        <w:t>. Different</w:t>
      </w:r>
      <w:r w:rsidR="0098340E" w:rsidRPr="00C453CC">
        <w:t xml:space="preserve"> viral titers can have a strong effect on the density of transduced cells. While a higher transduction efficiency is likely preferable for most research, the optimal </w:t>
      </w:r>
      <w:r w:rsidR="000E35B5" w:rsidRPr="00C453CC">
        <w:t>level of transduction</w:t>
      </w:r>
      <w:r w:rsidR="0098340E" w:rsidRPr="00C453CC">
        <w:t xml:space="preserve"> is highly dependent on experimental goals. Intracranial injections offer a high density of transduced </w:t>
      </w:r>
      <w:proofErr w:type="gramStart"/>
      <w:r w:rsidR="0098340E" w:rsidRPr="00C453CC">
        <w:t>cells, but</w:t>
      </w:r>
      <w:proofErr w:type="gramEnd"/>
      <w:r w:rsidR="0098340E" w:rsidRPr="00C453CC">
        <w:t xml:space="preserve"> are likely to be more focal at the site of injection</w:t>
      </w:r>
      <w:r w:rsidRPr="00C453CC">
        <w:t>, though the spread of infection may depend on viral serotype and age of the animal</w:t>
      </w:r>
      <w:r w:rsidR="00E15E9C" w:rsidRPr="00C453CC">
        <w:rPr>
          <w:vertAlign w:val="superscript"/>
        </w:rPr>
        <w:t>52</w:t>
      </w:r>
      <w:r w:rsidRPr="00C453CC">
        <w:t>.</w:t>
      </w:r>
      <w:r w:rsidR="0098340E" w:rsidRPr="00C453CC">
        <w:t xml:space="preserve"> Retro-orbital injections may show more even distribution of transduced cells throughout the brain but are less likely to give any area of high infection. Tail-vein injections can more effectively transduce other tissues in addition to the brain but will likely give </w:t>
      </w:r>
      <w:r w:rsidR="000E35B5" w:rsidRPr="00C453CC">
        <w:t>still</w:t>
      </w:r>
      <w:r w:rsidR="0098340E" w:rsidRPr="00C453CC">
        <w:t xml:space="preserve"> lower densities of transduced cells in the brain. Similarly, </w:t>
      </w:r>
      <w:r w:rsidR="000E35B5" w:rsidRPr="00C453CC">
        <w:t>a variety of time-frames for virus transduction</w:t>
      </w:r>
      <w:r w:rsidRPr="00C453CC">
        <w:t xml:space="preserve"> </w:t>
      </w:r>
      <w:r w:rsidR="0098340E" w:rsidRPr="00C453CC">
        <w:lastRenderedPageBreak/>
        <w:t xml:space="preserve">in the brain can serve different purposes. </w:t>
      </w:r>
      <w:r w:rsidRPr="00C453CC">
        <w:t>Robust</w:t>
      </w:r>
      <w:r w:rsidR="0098340E" w:rsidRPr="00C453CC">
        <w:t xml:space="preserve"> </w:t>
      </w:r>
      <w:proofErr w:type="spellStart"/>
      <w:r w:rsidR="0098340E" w:rsidRPr="00C453CC">
        <w:t>scAAV</w:t>
      </w:r>
      <w:proofErr w:type="spellEnd"/>
      <w:r w:rsidR="0098340E" w:rsidRPr="00C453CC">
        <w:t xml:space="preserve"> expression </w:t>
      </w:r>
      <w:r w:rsidRPr="00C453CC">
        <w:t xml:space="preserve">can occur </w:t>
      </w:r>
      <w:r w:rsidR="0098340E" w:rsidRPr="00C453CC">
        <w:t>in the brain as early as seven days after intracranial injection</w:t>
      </w:r>
      <w:r w:rsidRPr="00C453CC">
        <w:t>, though periods of</w:t>
      </w:r>
      <w:r w:rsidR="0098340E" w:rsidRPr="00C453CC">
        <w:t xml:space="preserve"> 28 days </w:t>
      </w:r>
      <w:r w:rsidRPr="00C453CC">
        <w:t>or longer are more typical</w:t>
      </w:r>
      <w:r w:rsidR="000E35B5" w:rsidRPr="00C453CC">
        <w:t>ly used</w:t>
      </w:r>
      <w:r w:rsidRPr="00C453CC">
        <w:t xml:space="preserve"> and </w:t>
      </w:r>
      <w:r w:rsidR="000E35B5" w:rsidRPr="00C453CC">
        <w:t>yield</w:t>
      </w:r>
      <w:r w:rsidR="0098340E" w:rsidRPr="00C453CC">
        <w:t xml:space="preserve"> strong expression. As enhancers can be temporally specific in their activity, it is important to consider </w:t>
      </w:r>
      <w:r w:rsidR="00FF750A" w:rsidRPr="00C453CC">
        <w:t xml:space="preserve">the </w:t>
      </w:r>
      <w:r w:rsidR="0098340E" w:rsidRPr="00C453CC">
        <w:t>predicted activity of the tested enhancers when determining study design.</w:t>
      </w:r>
    </w:p>
    <w:p w14:paraId="000000F9" w14:textId="77777777" w:rsidR="005B0A9F" w:rsidRPr="00C453CC" w:rsidRDefault="005B0A9F" w:rsidP="001612BE"/>
    <w:p w14:paraId="000000FA" w14:textId="2FD77421" w:rsidR="005B0A9F" w:rsidRPr="00C453CC" w:rsidRDefault="0098340E" w:rsidP="001612BE">
      <w:r w:rsidRPr="00C453CC">
        <w:t xml:space="preserve">There are some limitations associated with these methods that might make other options a more suitable choice, depending on experimental goals. </w:t>
      </w:r>
      <w:bookmarkStart w:id="12" w:name="_Hlk84340698"/>
      <w:r w:rsidRPr="00C453CC">
        <w:t xml:space="preserve">Since AAVs exhibit low integration into the genome, tissues are most effectively transduced when </w:t>
      </w:r>
      <w:r w:rsidR="009A68EA" w:rsidRPr="00C453CC">
        <w:t xml:space="preserve">they are mature and </w:t>
      </w:r>
      <w:r w:rsidRPr="00C453CC">
        <w:t>there is a high density of postmitotic cells</w:t>
      </w:r>
      <w:r w:rsidR="009A68EA" w:rsidRPr="00C453CC">
        <w:t>, as a large amount of continued cell divisions will lower the density of transgene-expressing cells.</w:t>
      </w:r>
      <w:r w:rsidRPr="00C453CC">
        <w:t xml:space="preserve"> For viral delivery of a transgene to a less mature model, </w:t>
      </w:r>
      <w:r w:rsidR="009A68EA" w:rsidRPr="00C453CC">
        <w:t xml:space="preserve">such as tissues that are still growing, </w:t>
      </w:r>
      <w:r w:rsidRPr="00C453CC">
        <w:t>lentiviruses may be a more appropriate choice</w:t>
      </w:r>
      <w:r w:rsidR="009A68EA" w:rsidRPr="00C453CC">
        <w:t xml:space="preserve">, as they integrate into the genome and will be inherited </w:t>
      </w:r>
      <w:r w:rsidR="00200C7C" w:rsidRPr="00C453CC">
        <w:t>by all daughter cells of a transduced proliferating cell</w:t>
      </w:r>
      <w:r w:rsidRPr="00C453CC">
        <w:t xml:space="preserve">. </w:t>
      </w:r>
      <w:bookmarkEnd w:id="12"/>
      <w:r w:rsidRPr="00C453CC">
        <w:t xml:space="preserve">Additionally, while the reporter assay described here is a widely used technique for </w:t>
      </w:r>
      <w:r w:rsidR="00FF750A" w:rsidRPr="00C453CC">
        <w:t xml:space="preserve">the </w:t>
      </w:r>
      <w:r w:rsidRPr="00C453CC">
        <w:t xml:space="preserve">functional study of </w:t>
      </w:r>
      <w:r w:rsidRPr="00C453CC">
        <w:rPr>
          <w:i/>
        </w:rPr>
        <w:t>cis</w:t>
      </w:r>
      <w:r w:rsidRPr="00C453CC">
        <w:t xml:space="preserve">-regulatory activity, it cannot provide a complete picture of how the regulatory element acts within its native context. For example, this assay does not provide information on what genes may be targeted by the regulatory element in the genome. </w:t>
      </w:r>
      <w:r w:rsidR="009A68EA" w:rsidRPr="00C453CC">
        <w:t xml:space="preserve">However, if the enhancer’s target genes are known, this information can be leveraged to determine if the cell types showing expression in this assay are the same as those known to express the enhancer’s targeted genes, which would lend high biological validity to </w:t>
      </w:r>
      <w:r w:rsidR="00FF750A" w:rsidRPr="00C453CC">
        <w:t xml:space="preserve">the </w:t>
      </w:r>
      <w:r w:rsidR="009A68EA" w:rsidRPr="00C453CC">
        <w:t xml:space="preserve">interpretation of results. The assay also </w:t>
      </w:r>
      <w:r w:rsidR="00840EA2" w:rsidRPr="00C453CC">
        <w:t>may not</w:t>
      </w:r>
      <w:r w:rsidRPr="00C453CC">
        <w:t xml:space="preserve"> completely recapitulate the effects that the surrounding genomic sequence or normal biological and behavioral activity of the animal may have on </w:t>
      </w:r>
      <w:r w:rsidR="00FF750A" w:rsidRPr="00C453CC">
        <w:t xml:space="preserve">the </w:t>
      </w:r>
      <w:r w:rsidRPr="00C453CC">
        <w:t>activity of the tested regulatory element</w:t>
      </w:r>
      <w:r w:rsidR="00840EA2" w:rsidRPr="00C453CC">
        <w:t>.</w:t>
      </w:r>
      <w:r w:rsidR="005C36CF" w:rsidRPr="00C453CC">
        <w:t xml:space="preserve"> Finally, this protocol describes the STARR-seq </w:t>
      </w:r>
      <w:r w:rsidR="003B3AC1" w:rsidRPr="00C453CC">
        <w:t>reporter assay</w:t>
      </w:r>
      <w:r w:rsidR="005C36CF" w:rsidRPr="00C453CC">
        <w:t xml:space="preserve"> design, in which the candidate enhancer element is cloned downstream of the reporter gene in the ORF, in contrast to upstream of the promoter, as in the conventional </w:t>
      </w:r>
      <w:r w:rsidR="006D232F" w:rsidRPr="00C453CC">
        <w:t>reporter assay cloning</w:t>
      </w:r>
      <w:r w:rsidR="005C36CF" w:rsidRPr="00C453CC">
        <w:t xml:space="preserve"> orientation. Including long variable sequences in the ORF of the reporter gene may cause reduced RNA stability due to factors such as RNA binding protein motifs, alternate splice sites, or variable GC content </w:t>
      </w:r>
      <w:r w:rsidR="00E15E9C" w:rsidRPr="00C453CC">
        <w:rPr>
          <w:vertAlign w:val="superscript"/>
        </w:rPr>
        <w:t>36,53</w:t>
      </w:r>
      <w:r w:rsidR="0060523D" w:rsidRPr="00C453CC">
        <w:t xml:space="preserve">, </w:t>
      </w:r>
      <w:r w:rsidR="005C36CF" w:rsidRPr="00C453CC">
        <w:t>and statistical methods have been developed to account for sequence-based biases when analyzing STARR-seq data</w:t>
      </w:r>
      <w:r w:rsidR="00E15E9C" w:rsidRPr="00C453CC">
        <w:rPr>
          <w:vertAlign w:val="superscript"/>
        </w:rPr>
        <w:t>54,55</w:t>
      </w:r>
      <w:r w:rsidR="005C36CF" w:rsidRPr="00C453CC">
        <w:t xml:space="preserve">. Despite these considerations, STARR-seq MPRAs have been widely used in recent years to successfully identify </w:t>
      </w:r>
      <w:r w:rsidR="005C36CF" w:rsidRPr="00C453CC">
        <w:rPr>
          <w:i/>
          <w:iCs/>
        </w:rPr>
        <w:t>cis</w:t>
      </w:r>
      <w:r w:rsidR="005C36CF" w:rsidRPr="00C453CC">
        <w:t>-regulatory elements</w:t>
      </w:r>
      <w:r w:rsidR="00E15E9C" w:rsidRPr="00C453CC">
        <w:rPr>
          <w:vertAlign w:val="superscript"/>
        </w:rPr>
        <w:t>56–59</w:t>
      </w:r>
      <w:r w:rsidR="005C36CF" w:rsidRPr="00C453CC">
        <w:t>. The methods described here can be easily adapted for use with the conventional MPRA orientation</w:t>
      </w:r>
      <w:r w:rsidRPr="00C453CC">
        <w:t>.</w:t>
      </w:r>
    </w:p>
    <w:p w14:paraId="000000FB" w14:textId="77777777" w:rsidR="005B0A9F" w:rsidRPr="00C453CC" w:rsidRDefault="005B0A9F" w:rsidP="001612BE"/>
    <w:p w14:paraId="000000FC" w14:textId="3DD634C1" w:rsidR="005B0A9F" w:rsidRPr="00C453CC" w:rsidRDefault="0098340E" w:rsidP="001612BE">
      <w:r w:rsidRPr="00C453CC">
        <w:t>The cell-type specificity of enhancers makes this assay a powerful tool in driving the cell-</w:t>
      </w:r>
      <w:r w:rsidR="00FF750A" w:rsidRPr="00C453CC">
        <w:t>type-</w:t>
      </w:r>
      <w:r w:rsidRPr="00C453CC">
        <w:t xml:space="preserve">specific expression of genes of interest </w:t>
      </w:r>
      <w:r w:rsidRPr="00C453CC">
        <w:rPr>
          <w:i/>
        </w:rPr>
        <w:t>in vivo</w:t>
      </w:r>
      <w:r w:rsidRPr="00C453CC">
        <w:t>. Current techniques for cell-</w:t>
      </w:r>
      <w:r w:rsidR="00FF750A" w:rsidRPr="00C453CC">
        <w:t>type-</w:t>
      </w:r>
      <w:r w:rsidRPr="00C453CC">
        <w:t xml:space="preserve">specific expression of a desired gene can be limited by </w:t>
      </w:r>
      <w:r w:rsidR="00FF750A" w:rsidRPr="00C453CC">
        <w:t xml:space="preserve">the </w:t>
      </w:r>
      <w:r w:rsidRPr="00C453CC">
        <w:t xml:space="preserve">availability of conditional expression constructs or require </w:t>
      </w:r>
      <w:r w:rsidR="00FF750A" w:rsidRPr="00C453CC">
        <w:t xml:space="preserve">the </w:t>
      </w:r>
      <w:r w:rsidRPr="00C453CC">
        <w:t xml:space="preserve">generation of new transgenic mouse lines. Using an </w:t>
      </w:r>
      <w:proofErr w:type="spellStart"/>
      <w:r w:rsidRPr="00C453CC">
        <w:t>rAAV</w:t>
      </w:r>
      <w:proofErr w:type="spellEnd"/>
      <w:r w:rsidRPr="00C453CC">
        <w:t>-based enhancer-driven system, a gene of interest can be expressed in a spatiotemporally specific manner by using validated cell-</w:t>
      </w:r>
      <w:r w:rsidR="00FF750A" w:rsidRPr="00C453CC">
        <w:t>type-</w:t>
      </w:r>
      <w:r w:rsidRPr="00C453CC">
        <w:t xml:space="preserve">specific enhancers or promoters to drive </w:t>
      </w:r>
      <w:r w:rsidR="009A68EA" w:rsidRPr="00C453CC">
        <w:t>expression</w:t>
      </w:r>
      <w:r w:rsidR="00B654E2" w:rsidRPr="00C453CC">
        <w:rPr>
          <w:vertAlign w:val="superscript"/>
        </w:rPr>
        <w:t>13–15</w:t>
      </w:r>
      <w:r w:rsidR="009A68EA" w:rsidRPr="00C453CC">
        <w:t>.</w:t>
      </w:r>
      <w:r w:rsidR="003E02C1" w:rsidRPr="00C453CC">
        <w:t xml:space="preserve"> Recent developments in this technology have shown that combining cell-</w:t>
      </w:r>
      <w:r w:rsidR="00FF750A" w:rsidRPr="00C453CC">
        <w:t>type-</w:t>
      </w:r>
      <w:r w:rsidR="003E02C1" w:rsidRPr="00C453CC">
        <w:t xml:space="preserve">specific enhancers with </w:t>
      </w:r>
      <w:proofErr w:type="spellStart"/>
      <w:r w:rsidR="003E02C1" w:rsidRPr="00C453CC">
        <w:t>rAAV</w:t>
      </w:r>
      <w:proofErr w:type="spellEnd"/>
      <w:r w:rsidR="003E02C1" w:rsidRPr="00C453CC">
        <w:t xml:space="preserve"> serotypes with tropisms for cells or tissues of interest can show similar specificity of transgene expression as </w:t>
      </w:r>
      <w:r w:rsidR="00431543" w:rsidRPr="00C453CC">
        <w:t xml:space="preserve">in </w:t>
      </w:r>
      <w:r w:rsidR="003E02C1" w:rsidRPr="00C453CC">
        <w:t>transgenic animal models</w:t>
      </w:r>
      <w:r w:rsidR="00E15E9C" w:rsidRPr="00C453CC">
        <w:rPr>
          <w:vertAlign w:val="superscript"/>
        </w:rPr>
        <w:t>60</w:t>
      </w:r>
      <w:r w:rsidR="003E02C1" w:rsidRPr="00C453CC">
        <w:t>.</w:t>
      </w:r>
      <w:r w:rsidRPr="00C453CC">
        <w:t xml:space="preserve"> This offers a cheap, fast, and potentially high-throughput method for sequence screening and specific induction of transgene expression </w:t>
      </w:r>
      <w:r w:rsidRPr="00C453CC">
        <w:rPr>
          <w:i/>
        </w:rPr>
        <w:t>in vivo</w:t>
      </w:r>
      <w:r w:rsidRPr="00C453CC">
        <w:t xml:space="preserve"> in animal models.</w:t>
      </w:r>
    </w:p>
    <w:p w14:paraId="000000FD" w14:textId="77777777" w:rsidR="005B0A9F" w:rsidRPr="00C453CC" w:rsidRDefault="005B0A9F" w:rsidP="001612BE"/>
    <w:p w14:paraId="000000FE" w14:textId="312EF4A1" w:rsidR="005B0A9F" w:rsidRPr="00C453CC" w:rsidRDefault="0098340E" w:rsidP="001612BE">
      <w:r w:rsidRPr="00C453CC">
        <w:lastRenderedPageBreak/>
        <w:t xml:space="preserve">This technology also has therapeutic potential. </w:t>
      </w:r>
      <w:r w:rsidR="002A57C4" w:rsidRPr="00C453CC">
        <w:t xml:space="preserve">Clinical studies have found that </w:t>
      </w:r>
      <w:proofErr w:type="spellStart"/>
      <w:r w:rsidRPr="00C453CC">
        <w:t>rAAV</w:t>
      </w:r>
      <w:proofErr w:type="spellEnd"/>
      <w:r w:rsidRPr="00C453CC">
        <w:t xml:space="preserve">-based delivery of a transgene </w:t>
      </w:r>
      <w:r w:rsidRPr="00C453CC">
        <w:rPr>
          <w:i/>
        </w:rPr>
        <w:t>in vivo</w:t>
      </w:r>
      <w:r w:rsidRPr="00C453CC">
        <w:t xml:space="preserve"> can induce </w:t>
      </w:r>
      <w:r w:rsidR="00FF750A" w:rsidRPr="00C453CC">
        <w:t xml:space="preserve">the </w:t>
      </w:r>
      <w:r w:rsidRPr="00C453CC">
        <w:t>expression of healthy copies of a gene in cases where only a defective copy is present</w:t>
      </w:r>
      <w:r w:rsidR="00FF750A" w:rsidRPr="00C453CC">
        <w:t>,</w:t>
      </w:r>
      <w:r w:rsidRPr="00C453CC">
        <w:t xml:space="preserve"> or the gene is not being transcribed at a sufficient </w:t>
      </w:r>
      <w:r w:rsidR="009A68EA" w:rsidRPr="00C453CC">
        <w:t>rate</w:t>
      </w:r>
      <w:r w:rsidR="00E15E9C" w:rsidRPr="00C453CC">
        <w:rPr>
          <w:vertAlign w:val="superscript"/>
        </w:rPr>
        <w:t>61–63</w:t>
      </w:r>
      <w:r w:rsidRPr="00C453CC">
        <w:t xml:space="preserve">. </w:t>
      </w:r>
      <w:r w:rsidR="00FF750A" w:rsidRPr="00C453CC">
        <w:t xml:space="preserve">The selection </w:t>
      </w:r>
      <w:r w:rsidRPr="00C453CC">
        <w:t>of a driving enhancer element has the potential to enable generalized delivery but expression induction in a cell-</w:t>
      </w:r>
      <w:r w:rsidR="00FF750A" w:rsidRPr="00C453CC">
        <w:t>type-</w:t>
      </w:r>
      <w:r w:rsidRPr="00C453CC">
        <w:t xml:space="preserve">specific manner. Finally, delivering the transgene via </w:t>
      </w:r>
      <w:proofErr w:type="spellStart"/>
      <w:r w:rsidRPr="00C453CC">
        <w:t>rAAV</w:t>
      </w:r>
      <w:proofErr w:type="spellEnd"/>
      <w:r w:rsidRPr="00C453CC">
        <w:t xml:space="preserve"> also confers significant benefits; AAVs </w:t>
      </w:r>
      <w:r w:rsidR="009A68EA" w:rsidRPr="00C453CC">
        <w:t>have lower immunogenicity than other viruses often used in transgene delivery</w:t>
      </w:r>
      <w:r w:rsidR="00E15E9C" w:rsidRPr="00C453CC">
        <w:rPr>
          <w:vertAlign w:val="superscript"/>
        </w:rPr>
        <w:t>64</w:t>
      </w:r>
      <w:r w:rsidR="009A68EA" w:rsidRPr="00C453CC">
        <w:t>,</w:t>
      </w:r>
      <w:r w:rsidRPr="00C453CC">
        <w:t xml:space="preserve"> making this a potentially safe viral vector to be employed for clinical use.</w:t>
      </w:r>
    </w:p>
    <w:p w14:paraId="000000FF" w14:textId="77777777" w:rsidR="005B0A9F" w:rsidRPr="00C453CC" w:rsidRDefault="005B0A9F" w:rsidP="001612BE"/>
    <w:p w14:paraId="00000100" w14:textId="1E86F749" w:rsidR="005B0A9F" w:rsidRPr="00C453CC" w:rsidRDefault="0098340E" w:rsidP="001612BE">
      <w:r w:rsidRPr="00C453CC">
        <w:t xml:space="preserve">Specific deployment of </w:t>
      </w:r>
      <w:r w:rsidRPr="00C453CC">
        <w:rPr>
          <w:i/>
        </w:rPr>
        <w:t>in vivo</w:t>
      </w:r>
      <w:r w:rsidRPr="00C453CC">
        <w:t xml:space="preserve"> </w:t>
      </w:r>
      <w:proofErr w:type="spellStart"/>
      <w:r w:rsidRPr="00C453CC">
        <w:t>rAAV</w:t>
      </w:r>
      <w:proofErr w:type="spellEnd"/>
      <w:r w:rsidRPr="00C453CC">
        <w:t xml:space="preserve">-based enhancer-reporter assays is customizable and can be modified to suit a range of experimental goals. Different tissues and cells can be targeted by selecting AAV serotypes or enhancers that have cell type or spatiotemporal specificity. Anywhere from one to thousands of enhancer-reporter constructs can be delivered </w:t>
      </w:r>
      <w:r w:rsidRPr="00C453CC">
        <w:rPr>
          <w:i/>
        </w:rPr>
        <w:t>in vivo</w:t>
      </w:r>
      <w:r w:rsidR="00B664C7" w:rsidRPr="00C453CC">
        <w:rPr>
          <w:i/>
        </w:rPr>
        <w:t>,</w:t>
      </w:r>
      <w:r w:rsidRPr="00C453CC">
        <w:t xml:space="preserve"> and activity can be assayed using </w:t>
      </w:r>
      <w:proofErr w:type="gramStart"/>
      <w:r w:rsidRPr="00C453CC">
        <w:t>a number of</w:t>
      </w:r>
      <w:proofErr w:type="gramEnd"/>
      <w:r w:rsidRPr="00C453CC">
        <w:t xml:space="preserve"> imaging- and sequencing-based readouts, as have been shown in an emerging set of studies using this </w:t>
      </w:r>
      <w:r w:rsidR="009A68EA" w:rsidRPr="00C453CC">
        <w:t>approach</w:t>
      </w:r>
      <w:r w:rsidR="008D34E1" w:rsidRPr="00C453CC">
        <w:rPr>
          <w:vertAlign w:val="superscript"/>
        </w:rPr>
        <w:t>15,16,</w:t>
      </w:r>
      <w:r w:rsidR="00E15E9C" w:rsidRPr="00C453CC">
        <w:rPr>
          <w:vertAlign w:val="superscript"/>
        </w:rPr>
        <w:t>65–68</w:t>
      </w:r>
      <w:r w:rsidR="009A68EA" w:rsidRPr="00C453CC">
        <w:t>.</w:t>
      </w:r>
      <w:r w:rsidRPr="00C453CC">
        <w:t xml:space="preserve"> The range of options for construct design and delivery enable</w:t>
      </w:r>
      <w:r w:rsidR="00FF750A" w:rsidRPr="00C453CC">
        <w:t>s</w:t>
      </w:r>
      <w:r w:rsidRPr="00C453CC">
        <w:t xml:space="preserve"> this technique to be modified for a variety of uses in both translational and basic science, making this a powerful new tool for genomics and neuroscience research.</w:t>
      </w:r>
    </w:p>
    <w:p w14:paraId="00000102" w14:textId="77777777" w:rsidR="005B0A9F" w:rsidRPr="00C453CC" w:rsidRDefault="005B0A9F" w:rsidP="001612BE"/>
    <w:p w14:paraId="00000103" w14:textId="77777777" w:rsidR="005B0A9F" w:rsidRPr="00C453CC" w:rsidRDefault="0098340E" w:rsidP="001612BE">
      <w:pPr>
        <w:pBdr>
          <w:top w:val="nil"/>
          <w:left w:val="nil"/>
          <w:bottom w:val="nil"/>
          <w:right w:val="nil"/>
          <w:between w:val="nil"/>
        </w:pBdr>
      </w:pPr>
      <w:r w:rsidRPr="00C453CC">
        <w:rPr>
          <w:b/>
        </w:rPr>
        <w:t>ACKNOWLEDGMENTS:</w:t>
      </w:r>
    </w:p>
    <w:p w14:paraId="00000104" w14:textId="77777777" w:rsidR="005B0A9F" w:rsidRPr="00C453CC" w:rsidRDefault="0098340E" w:rsidP="001612BE">
      <w:r w:rsidRPr="00C453CC">
        <w:t xml:space="preserve">Sequencing was performed at the UC Davis DNA Technologies Core. We thank the lab of Lin Tian at UC Davis for training on </w:t>
      </w:r>
      <w:proofErr w:type="spellStart"/>
      <w:r w:rsidRPr="00C453CC">
        <w:t>rAAV</w:t>
      </w:r>
      <w:proofErr w:type="spellEnd"/>
      <w:r w:rsidRPr="00C453CC">
        <w:t xml:space="preserve"> packaging and generously gifting us AAV helper and rep/cap plasmids. This work was supported by NIH/NIGMS R35GM119831.</w:t>
      </w:r>
    </w:p>
    <w:p w14:paraId="00000105" w14:textId="77777777" w:rsidR="005B0A9F" w:rsidRPr="00C453CC" w:rsidRDefault="005B0A9F" w:rsidP="001612BE">
      <w:pPr>
        <w:rPr>
          <w:b/>
        </w:rPr>
      </w:pPr>
    </w:p>
    <w:p w14:paraId="00000106" w14:textId="77777777" w:rsidR="005B0A9F" w:rsidRPr="00C453CC" w:rsidRDefault="0098340E" w:rsidP="001612BE">
      <w:pPr>
        <w:pBdr>
          <w:top w:val="nil"/>
          <w:left w:val="nil"/>
          <w:bottom w:val="nil"/>
          <w:right w:val="nil"/>
          <w:between w:val="nil"/>
        </w:pBdr>
      </w:pPr>
      <w:r w:rsidRPr="00C453CC">
        <w:rPr>
          <w:b/>
        </w:rPr>
        <w:t>DISCLOSURES:</w:t>
      </w:r>
    </w:p>
    <w:p w14:paraId="00000107" w14:textId="77777777" w:rsidR="005B0A9F" w:rsidRPr="00C453CC" w:rsidRDefault="0098340E" w:rsidP="001612BE">
      <w:r w:rsidRPr="00C453CC">
        <w:t>The authors declare no competing financial interests.</w:t>
      </w:r>
    </w:p>
    <w:p w14:paraId="00000108" w14:textId="77777777" w:rsidR="005B0A9F" w:rsidRPr="00C453CC" w:rsidRDefault="005B0A9F" w:rsidP="001612BE"/>
    <w:p w14:paraId="070964F2" w14:textId="276917E7" w:rsidR="008A2169" w:rsidRPr="00C453CC" w:rsidRDefault="0098340E" w:rsidP="001612BE">
      <w:pPr>
        <w:rPr>
          <w:lang w:val="es-ES"/>
        </w:rPr>
      </w:pPr>
      <w:r w:rsidRPr="00C453CC">
        <w:rPr>
          <w:b/>
          <w:lang w:val="es-ES"/>
        </w:rPr>
        <w:t>REFERENCES:</w:t>
      </w:r>
      <w:r w:rsidRPr="00C453CC">
        <w:rPr>
          <w:lang w:val="es-ES"/>
        </w:rPr>
        <w:t xml:space="preserve"> </w:t>
      </w:r>
    </w:p>
    <w:p w14:paraId="7319DE7D" w14:textId="3448D3EA" w:rsidR="005B0A9F" w:rsidRPr="00C453CC" w:rsidRDefault="008D34E1" w:rsidP="007C2A68">
      <w:pPr>
        <w:pStyle w:val="Bibliography"/>
        <w:tabs>
          <w:tab w:val="clear" w:pos="384"/>
          <w:tab w:val="left" w:pos="284"/>
        </w:tabs>
        <w:spacing w:line="240" w:lineRule="auto"/>
        <w:ind w:left="0" w:firstLine="0"/>
      </w:pPr>
      <w:r w:rsidRPr="00C453CC">
        <w:rPr>
          <w:lang w:val="es-US"/>
        </w:rPr>
        <w:t>1.</w:t>
      </w:r>
      <w:r w:rsidRPr="00C453CC">
        <w:rPr>
          <w:lang w:val="es-US"/>
        </w:rPr>
        <w:tab/>
      </w:r>
      <w:proofErr w:type="spellStart"/>
      <w:r w:rsidR="0098340E" w:rsidRPr="00C453CC">
        <w:rPr>
          <w:lang w:val="es-US"/>
        </w:rPr>
        <w:t>Pennacchio</w:t>
      </w:r>
      <w:proofErr w:type="spellEnd"/>
      <w:r w:rsidR="0098340E" w:rsidRPr="00C453CC">
        <w:rPr>
          <w:lang w:val="es-US"/>
        </w:rPr>
        <w:t xml:space="preserve">, L. A. </w:t>
      </w:r>
      <w:r w:rsidR="009F16C6" w:rsidRPr="00C453CC">
        <w:rPr>
          <w:lang w:val="es-US"/>
        </w:rPr>
        <w:t>et al</w:t>
      </w:r>
      <w:r w:rsidR="0098340E" w:rsidRPr="00C453CC">
        <w:rPr>
          <w:i/>
          <w:lang w:val="es-US"/>
        </w:rPr>
        <w:t>.</w:t>
      </w:r>
      <w:r w:rsidR="0098340E" w:rsidRPr="00C453CC">
        <w:rPr>
          <w:lang w:val="es-US"/>
        </w:rPr>
        <w:t xml:space="preserve"> </w:t>
      </w:r>
      <w:r w:rsidR="0098340E" w:rsidRPr="00C453CC">
        <w:t xml:space="preserve">In vivo enhancer analysis of human conserved non-coding sequences. </w:t>
      </w:r>
      <w:r w:rsidR="0098340E" w:rsidRPr="00C453CC">
        <w:rPr>
          <w:i/>
        </w:rPr>
        <w:t>Nature</w:t>
      </w:r>
      <w:r w:rsidR="009F16C6" w:rsidRPr="00C453CC">
        <w:t xml:space="preserve">. </w:t>
      </w:r>
      <w:r w:rsidR="009F16C6" w:rsidRPr="00C453CC">
        <w:rPr>
          <w:b/>
          <w:bCs/>
        </w:rPr>
        <w:t>444</w:t>
      </w:r>
      <w:r w:rsidR="009F16C6" w:rsidRPr="00C453CC">
        <w:t xml:space="preserve"> (7118), 499–502 (2006).</w:t>
      </w:r>
    </w:p>
    <w:p w14:paraId="41E840B8" w14:textId="52916E2E" w:rsidR="005B0A9F" w:rsidRPr="00C453CC" w:rsidRDefault="008D34E1" w:rsidP="007C2A68">
      <w:pPr>
        <w:pStyle w:val="Bibliography"/>
        <w:tabs>
          <w:tab w:val="clear" w:pos="384"/>
          <w:tab w:val="left" w:pos="284"/>
        </w:tabs>
        <w:spacing w:line="240" w:lineRule="auto"/>
        <w:ind w:left="0" w:firstLine="0"/>
      </w:pPr>
      <w:r w:rsidRPr="00C453CC">
        <w:t>2.</w:t>
      </w:r>
      <w:r w:rsidRPr="00C453CC">
        <w:tab/>
      </w:r>
      <w:r w:rsidR="0098340E" w:rsidRPr="00C453CC">
        <w:t xml:space="preserve">Nord, A. S. </w:t>
      </w:r>
      <w:r w:rsidR="009F16C6" w:rsidRPr="00C453CC">
        <w:t>et al</w:t>
      </w:r>
      <w:r w:rsidR="0098340E" w:rsidRPr="00C453CC">
        <w:rPr>
          <w:i/>
        </w:rPr>
        <w:t>.</w:t>
      </w:r>
      <w:r w:rsidR="0098340E" w:rsidRPr="00C453CC">
        <w:t xml:space="preserve"> Rapid and pervasive changes in genome-wide enhancer usage during mammalian development. </w:t>
      </w:r>
      <w:r w:rsidR="0098340E" w:rsidRPr="00C453CC">
        <w:rPr>
          <w:i/>
        </w:rPr>
        <w:t>Cell</w:t>
      </w:r>
      <w:r w:rsidR="009F16C6" w:rsidRPr="00C453CC">
        <w:rPr>
          <w:i/>
        </w:rPr>
        <w:t>.</w:t>
      </w:r>
      <w:r w:rsidR="0098340E" w:rsidRPr="00C453CC">
        <w:t xml:space="preserve"> </w:t>
      </w:r>
      <w:r w:rsidR="009F16C6" w:rsidRPr="00C453CC">
        <w:rPr>
          <w:b/>
          <w:bCs/>
        </w:rPr>
        <w:t>155</w:t>
      </w:r>
      <w:r w:rsidR="009F16C6" w:rsidRPr="00C453CC">
        <w:t xml:space="preserve"> (7), 1521–1531 </w:t>
      </w:r>
      <w:r w:rsidR="0098340E" w:rsidRPr="00C453CC">
        <w:t>(2013).</w:t>
      </w:r>
    </w:p>
    <w:p w14:paraId="00000115" w14:textId="7A9A1016" w:rsidR="005B0A9F" w:rsidRPr="00C453CC" w:rsidRDefault="008D34E1" w:rsidP="007C2A68">
      <w:pPr>
        <w:pStyle w:val="Bibliography"/>
        <w:tabs>
          <w:tab w:val="clear" w:pos="384"/>
          <w:tab w:val="left" w:pos="284"/>
        </w:tabs>
        <w:spacing w:line="240" w:lineRule="auto"/>
        <w:ind w:left="0" w:firstLine="0"/>
      </w:pPr>
      <w:r w:rsidRPr="00C453CC">
        <w:t>3.</w:t>
      </w:r>
      <w:r w:rsidRPr="00C453CC">
        <w:tab/>
      </w:r>
      <w:r w:rsidR="0098340E" w:rsidRPr="00C453CC">
        <w:t xml:space="preserve">Finucane, H. K. </w:t>
      </w:r>
      <w:r w:rsidR="009F16C6" w:rsidRPr="00C453CC">
        <w:t>et al</w:t>
      </w:r>
      <w:r w:rsidR="0098340E" w:rsidRPr="00C453CC">
        <w:rPr>
          <w:i/>
        </w:rPr>
        <w:t>.</w:t>
      </w:r>
      <w:r w:rsidR="0098340E" w:rsidRPr="00C453CC">
        <w:t xml:space="preserve"> Partitioning heritability by functional annotation using genome-wide association summary statistics. </w:t>
      </w:r>
      <w:r w:rsidR="0098340E" w:rsidRPr="00C453CC">
        <w:rPr>
          <w:i/>
        </w:rPr>
        <w:t>Nature Genetics</w:t>
      </w:r>
      <w:r w:rsidR="009F16C6" w:rsidRPr="00C453CC">
        <w:t>.</w:t>
      </w:r>
      <w:r w:rsidR="009F16C6" w:rsidRPr="00C453CC">
        <w:rPr>
          <w:b/>
          <w:bCs/>
        </w:rPr>
        <w:t xml:space="preserve"> 47</w:t>
      </w:r>
      <w:r w:rsidR="009F16C6" w:rsidRPr="00C453CC">
        <w:t xml:space="preserve"> (11), 1228–1235 </w:t>
      </w:r>
      <w:r w:rsidR="0098340E" w:rsidRPr="00C453CC">
        <w:t>(2015).</w:t>
      </w:r>
    </w:p>
    <w:p w14:paraId="00000123" w14:textId="78773294" w:rsidR="005B0A9F" w:rsidRPr="00C453CC" w:rsidRDefault="008D34E1" w:rsidP="007C2A68">
      <w:pPr>
        <w:pStyle w:val="Bibliography"/>
        <w:tabs>
          <w:tab w:val="clear" w:pos="384"/>
          <w:tab w:val="left" w:pos="284"/>
        </w:tabs>
        <w:spacing w:line="240" w:lineRule="auto"/>
        <w:ind w:left="0" w:firstLine="0"/>
      </w:pPr>
      <w:r w:rsidRPr="00C453CC">
        <w:t>4.</w:t>
      </w:r>
      <w:r w:rsidRPr="00C453CC">
        <w:tab/>
      </w:r>
      <w:r w:rsidR="0098340E" w:rsidRPr="00C453CC">
        <w:t>Nord, A. S.</w:t>
      </w:r>
      <w:r w:rsidR="00E27D2B" w:rsidRPr="00C453CC">
        <w:t>,</w:t>
      </w:r>
      <w:r w:rsidR="0098340E" w:rsidRPr="00C453CC">
        <w:t xml:space="preserve"> West, A. E. </w:t>
      </w:r>
      <w:r w:rsidR="0098340E" w:rsidRPr="00C453CC">
        <w:rPr>
          <w:iCs/>
        </w:rPr>
        <w:t>Neurobiological functions of transcriptional enhancers</w:t>
      </w:r>
      <w:r w:rsidR="0098340E" w:rsidRPr="00C453CC">
        <w:t xml:space="preserve">. </w:t>
      </w:r>
      <w:r w:rsidR="0098340E" w:rsidRPr="00C453CC">
        <w:rPr>
          <w:i/>
        </w:rPr>
        <w:t>Nature Neuroscience</w:t>
      </w:r>
      <w:r w:rsidR="00E27D2B" w:rsidRPr="00C453CC">
        <w:t xml:space="preserve">. </w:t>
      </w:r>
      <w:r w:rsidR="00E27D2B" w:rsidRPr="00C453CC">
        <w:rPr>
          <w:b/>
          <w:bCs/>
        </w:rPr>
        <w:t xml:space="preserve">23 </w:t>
      </w:r>
      <w:r w:rsidR="00E27D2B" w:rsidRPr="00C453CC">
        <w:t xml:space="preserve">(1), 5–14 </w:t>
      </w:r>
      <w:r w:rsidR="0098340E" w:rsidRPr="00C453CC">
        <w:t xml:space="preserve">(2020). </w:t>
      </w:r>
    </w:p>
    <w:p w14:paraId="450B3034" w14:textId="25E03BB0" w:rsidR="005B0A9F" w:rsidRPr="00C453CC" w:rsidRDefault="008D34E1" w:rsidP="007C2A68">
      <w:pPr>
        <w:pStyle w:val="Bibliography"/>
        <w:tabs>
          <w:tab w:val="clear" w:pos="384"/>
          <w:tab w:val="left" w:pos="284"/>
        </w:tabs>
        <w:spacing w:line="240" w:lineRule="auto"/>
        <w:ind w:left="0" w:firstLine="0"/>
      </w:pPr>
      <w:r w:rsidRPr="00C453CC">
        <w:t>5.</w:t>
      </w:r>
      <w:r w:rsidRPr="00C453CC">
        <w:tab/>
      </w:r>
      <w:proofErr w:type="spellStart"/>
      <w:r w:rsidR="0098340E" w:rsidRPr="00C453CC">
        <w:t>Hallikas</w:t>
      </w:r>
      <w:proofErr w:type="spellEnd"/>
      <w:r w:rsidR="0098340E" w:rsidRPr="00C453CC">
        <w:t xml:space="preserve">, O. </w:t>
      </w:r>
      <w:r w:rsidR="009F16C6" w:rsidRPr="00C453CC">
        <w:t>et al</w:t>
      </w:r>
      <w:r w:rsidR="0098340E" w:rsidRPr="00C453CC">
        <w:rPr>
          <w:i/>
        </w:rPr>
        <w:t>.</w:t>
      </w:r>
      <w:r w:rsidR="0098340E" w:rsidRPr="00C453CC">
        <w:t xml:space="preserve"> Genome-wide prediction of mammalian enhancers based on analysis of transcription-factor binding affinity. </w:t>
      </w:r>
      <w:r w:rsidR="0098340E" w:rsidRPr="00C453CC">
        <w:rPr>
          <w:i/>
        </w:rPr>
        <w:t>Cell</w:t>
      </w:r>
      <w:r w:rsidR="00E27D2B" w:rsidRPr="00C453CC">
        <w:t xml:space="preserve">. </w:t>
      </w:r>
      <w:r w:rsidR="00E27D2B" w:rsidRPr="00C453CC">
        <w:rPr>
          <w:b/>
          <w:bCs/>
        </w:rPr>
        <w:t>124</w:t>
      </w:r>
      <w:r w:rsidR="00E27D2B" w:rsidRPr="00C453CC">
        <w:t xml:space="preserve"> (1), 47–59 </w:t>
      </w:r>
      <w:r w:rsidR="0098340E" w:rsidRPr="00C453CC">
        <w:t>(2006)</w:t>
      </w:r>
      <w:r w:rsidR="00E27D2B" w:rsidRPr="00C453CC">
        <w:t>.</w:t>
      </w:r>
    </w:p>
    <w:p w14:paraId="2926EE4D" w14:textId="13DD6140" w:rsidR="005B0A9F" w:rsidRPr="00C453CC" w:rsidRDefault="008D34E1" w:rsidP="007C2A68">
      <w:pPr>
        <w:pStyle w:val="Bibliography"/>
        <w:tabs>
          <w:tab w:val="clear" w:pos="384"/>
          <w:tab w:val="left" w:pos="284"/>
        </w:tabs>
        <w:spacing w:line="240" w:lineRule="auto"/>
        <w:ind w:left="0" w:firstLine="0"/>
      </w:pPr>
      <w:r w:rsidRPr="00C453CC">
        <w:t>6.</w:t>
      </w:r>
      <w:r w:rsidRPr="00C453CC">
        <w:tab/>
      </w:r>
      <w:proofErr w:type="spellStart"/>
      <w:r w:rsidR="0098340E" w:rsidRPr="00C453CC">
        <w:t>Su</w:t>
      </w:r>
      <w:proofErr w:type="spellEnd"/>
      <w:r w:rsidR="0098340E" w:rsidRPr="00C453CC">
        <w:t xml:space="preserve">, J., </w:t>
      </w:r>
      <w:proofErr w:type="spellStart"/>
      <w:r w:rsidR="0098340E" w:rsidRPr="00C453CC">
        <w:t>Teichmann</w:t>
      </w:r>
      <w:proofErr w:type="spellEnd"/>
      <w:r w:rsidR="0098340E" w:rsidRPr="00C453CC">
        <w:t>, S. A.</w:t>
      </w:r>
      <w:r w:rsidR="00E27D2B" w:rsidRPr="00C453CC">
        <w:t>,</w:t>
      </w:r>
      <w:r w:rsidR="0098340E" w:rsidRPr="00C453CC">
        <w:t xml:space="preserve"> Down, T. A. Assessing computational methods of cis-regulatory module prediction. </w:t>
      </w:r>
      <w:proofErr w:type="spellStart"/>
      <w:r w:rsidR="0098340E" w:rsidRPr="00C453CC">
        <w:rPr>
          <w:i/>
        </w:rPr>
        <w:t>PLoS</w:t>
      </w:r>
      <w:proofErr w:type="spellEnd"/>
      <w:r w:rsidR="0098340E" w:rsidRPr="00C453CC">
        <w:rPr>
          <w:i/>
        </w:rPr>
        <w:t xml:space="preserve"> Computational Biology</w:t>
      </w:r>
      <w:r w:rsidR="00E27D2B" w:rsidRPr="00C453CC">
        <w:rPr>
          <w:i/>
        </w:rPr>
        <w:t>.</w:t>
      </w:r>
      <w:r w:rsidR="0098340E" w:rsidRPr="00C453CC">
        <w:t xml:space="preserve"> </w:t>
      </w:r>
      <w:r w:rsidR="00E27D2B" w:rsidRPr="00C453CC">
        <w:rPr>
          <w:b/>
          <w:bCs/>
        </w:rPr>
        <w:t>6</w:t>
      </w:r>
      <w:r w:rsidR="00E27D2B" w:rsidRPr="00C453CC">
        <w:t xml:space="preserve"> (12), e1001020 </w:t>
      </w:r>
      <w:r w:rsidR="0098340E" w:rsidRPr="00C453CC">
        <w:t>(2010)</w:t>
      </w:r>
      <w:r w:rsidR="00E27D2B" w:rsidRPr="00C453CC">
        <w:t>.</w:t>
      </w:r>
      <w:r w:rsidR="0098340E" w:rsidRPr="00C453CC">
        <w:t xml:space="preserve"> </w:t>
      </w:r>
    </w:p>
    <w:p w14:paraId="3B8EAE18" w14:textId="03098E24" w:rsidR="008D34E1" w:rsidRPr="00C453CC" w:rsidRDefault="008D34E1" w:rsidP="007C2A68">
      <w:pPr>
        <w:pStyle w:val="Bibliography"/>
        <w:tabs>
          <w:tab w:val="clear" w:pos="384"/>
          <w:tab w:val="left" w:pos="284"/>
        </w:tabs>
        <w:spacing w:line="240" w:lineRule="auto"/>
        <w:ind w:left="0" w:firstLine="0"/>
      </w:pPr>
      <w:r w:rsidRPr="00C453CC">
        <w:t>7.</w:t>
      </w:r>
      <w:r w:rsidRPr="00C453CC">
        <w:tab/>
      </w:r>
      <w:proofErr w:type="spellStart"/>
      <w:r w:rsidRPr="00C453CC">
        <w:t>Visel</w:t>
      </w:r>
      <w:proofErr w:type="spellEnd"/>
      <w:r w:rsidRPr="00C453CC">
        <w:t>, A.</w:t>
      </w:r>
      <w:r w:rsidR="0098340E" w:rsidRPr="00C453CC">
        <w:t xml:space="preserve"> </w:t>
      </w:r>
      <w:r w:rsidR="009F16C6" w:rsidRPr="00C453CC">
        <w:t>et al</w:t>
      </w:r>
      <w:r w:rsidR="0098340E" w:rsidRPr="00C453CC">
        <w:rPr>
          <w:i/>
        </w:rPr>
        <w:t>.</w:t>
      </w:r>
      <w:r w:rsidR="0098340E" w:rsidRPr="00C453CC">
        <w:t xml:space="preserve"> </w:t>
      </w:r>
      <w:proofErr w:type="spellStart"/>
      <w:r w:rsidRPr="00C453CC">
        <w:t>ChIP</w:t>
      </w:r>
      <w:proofErr w:type="spellEnd"/>
      <w:r w:rsidRPr="00C453CC">
        <w:t xml:space="preserve">-seq accurately predicts tissue-specific activity of enhancers. </w:t>
      </w:r>
      <w:r w:rsidRPr="00C453CC">
        <w:rPr>
          <w:i/>
          <w:iCs/>
        </w:rPr>
        <w:t>Nature</w:t>
      </w:r>
      <w:r w:rsidR="00E27D2B" w:rsidRPr="00C453CC">
        <w:t>.</w:t>
      </w:r>
      <w:r w:rsidR="00E27D2B" w:rsidRPr="00C453CC">
        <w:rPr>
          <w:b/>
          <w:bCs/>
        </w:rPr>
        <w:t xml:space="preserve"> 457</w:t>
      </w:r>
      <w:r w:rsidR="00E27D2B" w:rsidRPr="00C453CC">
        <w:t xml:space="preserve"> (7231), 854–858 </w:t>
      </w:r>
      <w:r w:rsidRPr="00C453CC">
        <w:t>(2009)</w:t>
      </w:r>
      <w:r w:rsidR="00E27D2B" w:rsidRPr="00C453CC">
        <w:t>.</w:t>
      </w:r>
    </w:p>
    <w:p w14:paraId="00000125" w14:textId="4C0DE569" w:rsidR="005B0A9F" w:rsidRPr="00C453CC" w:rsidRDefault="008D34E1" w:rsidP="007C2A68">
      <w:pPr>
        <w:pStyle w:val="Bibliography"/>
        <w:tabs>
          <w:tab w:val="clear" w:pos="384"/>
          <w:tab w:val="left" w:pos="284"/>
        </w:tabs>
        <w:spacing w:line="240" w:lineRule="auto"/>
        <w:ind w:left="0" w:firstLine="0"/>
      </w:pPr>
      <w:r w:rsidRPr="00C453CC">
        <w:t>8.</w:t>
      </w:r>
      <w:r w:rsidRPr="00C453CC">
        <w:tab/>
      </w:r>
      <w:proofErr w:type="spellStart"/>
      <w:r w:rsidRPr="00C453CC">
        <w:t>Kvon</w:t>
      </w:r>
      <w:proofErr w:type="spellEnd"/>
      <w:r w:rsidRPr="00C453CC">
        <w:t xml:space="preserve">, E. Z. </w:t>
      </w:r>
      <w:r w:rsidR="009F16C6" w:rsidRPr="00C453CC">
        <w:rPr>
          <w:iCs/>
        </w:rPr>
        <w:t>et al</w:t>
      </w:r>
      <w:r w:rsidRPr="00C453CC">
        <w:rPr>
          <w:i/>
          <w:iCs/>
        </w:rPr>
        <w:t>.</w:t>
      </w:r>
      <w:r w:rsidRPr="00C453CC">
        <w:t xml:space="preserve"> Genome-scale </w:t>
      </w:r>
      <w:r w:rsidR="0098340E" w:rsidRPr="00C453CC">
        <w:t xml:space="preserve">functional </w:t>
      </w:r>
      <w:r w:rsidRPr="00C453CC">
        <w:t>characterization of Drosophila developmental</w:t>
      </w:r>
      <w:r w:rsidR="0098340E" w:rsidRPr="00C453CC">
        <w:t xml:space="preserve"> enhancers in vivo. </w:t>
      </w:r>
      <w:r w:rsidR="0098340E" w:rsidRPr="00C453CC">
        <w:rPr>
          <w:i/>
        </w:rPr>
        <w:t>Nature</w:t>
      </w:r>
      <w:r w:rsidR="00E27D2B" w:rsidRPr="00C453CC">
        <w:t xml:space="preserve">. </w:t>
      </w:r>
      <w:r w:rsidR="00E27D2B" w:rsidRPr="00C453CC">
        <w:rPr>
          <w:b/>
          <w:bCs/>
        </w:rPr>
        <w:t>512</w:t>
      </w:r>
      <w:r w:rsidR="00E27D2B" w:rsidRPr="00C453CC">
        <w:t xml:space="preserve"> (7512), 91–95 </w:t>
      </w:r>
      <w:r w:rsidRPr="00C453CC">
        <w:t>(2014</w:t>
      </w:r>
      <w:r w:rsidR="0098340E" w:rsidRPr="00C453CC">
        <w:t>)</w:t>
      </w:r>
      <w:r w:rsidR="00E27D2B" w:rsidRPr="00C453CC">
        <w:t>.</w:t>
      </w:r>
      <w:r w:rsidR="0098340E" w:rsidRPr="00C453CC">
        <w:t xml:space="preserve"> </w:t>
      </w:r>
    </w:p>
    <w:p w14:paraId="5D514763" w14:textId="752735B8" w:rsidR="008D34E1" w:rsidRPr="00C453CC" w:rsidRDefault="008D34E1" w:rsidP="007C2A68">
      <w:pPr>
        <w:pStyle w:val="Bibliography"/>
        <w:tabs>
          <w:tab w:val="clear" w:pos="384"/>
          <w:tab w:val="left" w:pos="284"/>
        </w:tabs>
        <w:spacing w:line="240" w:lineRule="auto"/>
        <w:ind w:left="0" w:firstLine="0"/>
      </w:pPr>
      <w:r w:rsidRPr="00C453CC">
        <w:t>9.</w:t>
      </w:r>
      <w:r w:rsidRPr="00C453CC">
        <w:tab/>
      </w:r>
      <w:proofErr w:type="spellStart"/>
      <w:r w:rsidRPr="00C453CC">
        <w:t>Yáñez</w:t>
      </w:r>
      <w:proofErr w:type="spellEnd"/>
      <w:r w:rsidRPr="00C453CC">
        <w:t xml:space="preserve">-Cuna, J. O. </w:t>
      </w:r>
      <w:r w:rsidR="009F16C6" w:rsidRPr="00C453CC">
        <w:rPr>
          <w:iCs/>
        </w:rPr>
        <w:t>et al</w:t>
      </w:r>
      <w:r w:rsidRPr="00C453CC">
        <w:rPr>
          <w:i/>
          <w:iCs/>
        </w:rPr>
        <w:t>.</w:t>
      </w:r>
      <w:r w:rsidRPr="00C453CC">
        <w:t xml:space="preserve"> Dissection of thousands of cell type-specific enhancers identifies dinucleotide repeat motifs as general enhancer features. </w:t>
      </w:r>
      <w:r w:rsidRPr="00C453CC">
        <w:rPr>
          <w:i/>
          <w:iCs/>
        </w:rPr>
        <w:t>Genome Research</w:t>
      </w:r>
      <w:r w:rsidR="00D54DE7" w:rsidRPr="00C453CC">
        <w:t xml:space="preserve">. </w:t>
      </w:r>
      <w:r w:rsidR="00D54DE7" w:rsidRPr="00C453CC">
        <w:rPr>
          <w:b/>
          <w:bCs/>
        </w:rPr>
        <w:t>24</w:t>
      </w:r>
      <w:r w:rsidR="00D54DE7" w:rsidRPr="00C453CC">
        <w:t xml:space="preserve"> (7), 1147–1156 </w:t>
      </w:r>
      <w:r w:rsidRPr="00C453CC">
        <w:lastRenderedPageBreak/>
        <w:t>(2014</w:t>
      </w:r>
      <w:r w:rsidR="00D54DE7" w:rsidRPr="00C453CC">
        <w:t>)</w:t>
      </w:r>
      <w:r w:rsidRPr="00C453CC">
        <w:t>.</w:t>
      </w:r>
    </w:p>
    <w:p w14:paraId="5DA60FBB" w14:textId="1D7CF96F" w:rsidR="008D34E1" w:rsidRPr="00C453CC" w:rsidRDefault="008D34E1" w:rsidP="007C2A68">
      <w:pPr>
        <w:pStyle w:val="Bibliography"/>
        <w:tabs>
          <w:tab w:val="clear" w:pos="384"/>
          <w:tab w:val="left" w:pos="284"/>
        </w:tabs>
        <w:spacing w:line="240" w:lineRule="auto"/>
        <w:ind w:left="0" w:firstLine="0"/>
      </w:pPr>
      <w:r w:rsidRPr="00C453CC">
        <w:t>10.</w:t>
      </w:r>
      <w:r w:rsidRPr="00C453CC">
        <w:tab/>
      </w:r>
      <w:proofErr w:type="spellStart"/>
      <w:r w:rsidR="0098340E" w:rsidRPr="00C453CC">
        <w:t>Zincarelli</w:t>
      </w:r>
      <w:proofErr w:type="spellEnd"/>
      <w:r w:rsidR="0098340E" w:rsidRPr="00C453CC">
        <w:t xml:space="preserve">, C., </w:t>
      </w:r>
      <w:proofErr w:type="spellStart"/>
      <w:r w:rsidR="0098340E" w:rsidRPr="00C453CC">
        <w:t>Soltys</w:t>
      </w:r>
      <w:proofErr w:type="spellEnd"/>
      <w:r w:rsidR="0098340E" w:rsidRPr="00C453CC">
        <w:t>, S., Rengo, G.</w:t>
      </w:r>
      <w:r w:rsidR="00D54DE7" w:rsidRPr="00C453CC">
        <w:t>,</w:t>
      </w:r>
      <w:r w:rsidR="0098340E" w:rsidRPr="00C453CC">
        <w:t xml:space="preserve"> Rabinowitz, J. E. Analysis of AAV serotypes 1-9 mediated gene expression and tropism in mice after systemic injection. </w:t>
      </w:r>
      <w:r w:rsidR="0098340E" w:rsidRPr="00C453CC">
        <w:rPr>
          <w:i/>
        </w:rPr>
        <w:t>Molecular Therapy</w:t>
      </w:r>
      <w:r w:rsidR="00D54DE7" w:rsidRPr="00C453CC">
        <w:t xml:space="preserve">. </w:t>
      </w:r>
      <w:r w:rsidR="00D54DE7" w:rsidRPr="00C453CC">
        <w:rPr>
          <w:b/>
          <w:bCs/>
        </w:rPr>
        <w:t>16</w:t>
      </w:r>
      <w:r w:rsidR="00D54DE7" w:rsidRPr="00C453CC">
        <w:t xml:space="preserve"> (6), 1073–1080 </w:t>
      </w:r>
      <w:r w:rsidR="0098340E" w:rsidRPr="00C453CC">
        <w:t>(2008)</w:t>
      </w:r>
      <w:r w:rsidR="00D54DE7" w:rsidRPr="00C453CC">
        <w:t>.</w:t>
      </w:r>
      <w:r w:rsidR="0098340E" w:rsidRPr="00C453CC">
        <w:t xml:space="preserve"> </w:t>
      </w:r>
    </w:p>
    <w:p w14:paraId="46B6685A" w14:textId="0ABC2577" w:rsidR="008D34E1" w:rsidRPr="00C453CC" w:rsidRDefault="008D34E1" w:rsidP="007C2A68">
      <w:pPr>
        <w:pStyle w:val="Bibliography"/>
        <w:tabs>
          <w:tab w:val="clear" w:pos="384"/>
          <w:tab w:val="left" w:pos="284"/>
        </w:tabs>
        <w:spacing w:line="240" w:lineRule="auto"/>
        <w:ind w:left="0" w:firstLine="0"/>
      </w:pPr>
      <w:r w:rsidRPr="00C453CC">
        <w:t>11.</w:t>
      </w:r>
      <w:r w:rsidRPr="00C453CC">
        <w:tab/>
      </w:r>
      <w:proofErr w:type="spellStart"/>
      <w:r w:rsidRPr="00C453CC">
        <w:t>Gisselbrecht</w:t>
      </w:r>
      <w:proofErr w:type="spellEnd"/>
      <w:r w:rsidRPr="00C453CC">
        <w:t xml:space="preserve">, S. S. </w:t>
      </w:r>
      <w:r w:rsidR="009F16C6" w:rsidRPr="00C453CC">
        <w:rPr>
          <w:iCs/>
        </w:rPr>
        <w:t>et al</w:t>
      </w:r>
      <w:r w:rsidRPr="00C453CC">
        <w:rPr>
          <w:i/>
          <w:iCs/>
        </w:rPr>
        <w:t>.</w:t>
      </w:r>
      <w:r w:rsidRPr="00C453CC">
        <w:t xml:space="preserve"> Highly parallel assays of tissue-specific enhancers in whole Drosophila embryos. </w:t>
      </w:r>
      <w:r w:rsidRPr="00C453CC">
        <w:rPr>
          <w:i/>
          <w:iCs/>
        </w:rPr>
        <w:t>Nature Methods</w:t>
      </w:r>
      <w:r w:rsidR="00D54DE7" w:rsidRPr="00C453CC">
        <w:t xml:space="preserve">. </w:t>
      </w:r>
      <w:r w:rsidR="00D54DE7" w:rsidRPr="00C453CC">
        <w:rPr>
          <w:b/>
          <w:bCs/>
        </w:rPr>
        <w:t>10</w:t>
      </w:r>
      <w:r w:rsidR="00D54DE7" w:rsidRPr="00C453CC">
        <w:t xml:space="preserve"> (8), 774–780 </w:t>
      </w:r>
      <w:r w:rsidRPr="00C453CC">
        <w:t>(2013).</w:t>
      </w:r>
    </w:p>
    <w:p w14:paraId="348F435E" w14:textId="6EF5EEB1" w:rsidR="008D34E1" w:rsidRPr="00C453CC" w:rsidRDefault="008D34E1" w:rsidP="007C2A68">
      <w:pPr>
        <w:pStyle w:val="Bibliography"/>
        <w:tabs>
          <w:tab w:val="clear" w:pos="384"/>
          <w:tab w:val="left" w:pos="284"/>
        </w:tabs>
        <w:spacing w:line="240" w:lineRule="auto"/>
        <w:ind w:left="0" w:firstLine="0"/>
      </w:pPr>
      <w:r w:rsidRPr="00C453CC">
        <w:t>12.</w:t>
      </w:r>
      <w:r w:rsidRPr="00C453CC">
        <w:tab/>
      </w:r>
      <w:r w:rsidR="008A2169" w:rsidRPr="00C453CC">
        <w:t xml:space="preserve">Lambert, J. T. </w:t>
      </w:r>
      <w:r w:rsidR="009F16C6" w:rsidRPr="00C453CC">
        <w:t>et al</w:t>
      </w:r>
      <w:r w:rsidR="008A2169" w:rsidRPr="00C453CC">
        <w:rPr>
          <w:i/>
        </w:rPr>
        <w:t>.</w:t>
      </w:r>
      <w:r w:rsidR="008A2169" w:rsidRPr="00C453CC">
        <w:t xml:space="preserve"> Parallel functional testing identifies enhancers active in early postnatal mouse brain. </w:t>
      </w:r>
      <w:proofErr w:type="spellStart"/>
      <w:r w:rsidRPr="00C453CC">
        <w:rPr>
          <w:i/>
          <w:iCs/>
        </w:rPr>
        <w:t>eLife</w:t>
      </w:r>
      <w:proofErr w:type="spellEnd"/>
      <w:r w:rsidR="00D54DE7" w:rsidRPr="00C453CC">
        <w:rPr>
          <w:i/>
          <w:iCs/>
        </w:rPr>
        <w:t>.</w:t>
      </w:r>
      <w:r w:rsidRPr="00C453CC">
        <w:t xml:space="preserve"> </w:t>
      </w:r>
      <w:r w:rsidRPr="00C453CC">
        <w:rPr>
          <w:b/>
          <w:bCs/>
        </w:rPr>
        <w:t>10</w:t>
      </w:r>
      <w:r w:rsidRPr="00C453CC">
        <w:t>, e69479 (</w:t>
      </w:r>
      <w:r w:rsidR="0098340E" w:rsidRPr="00C453CC">
        <w:t>2021).</w:t>
      </w:r>
    </w:p>
    <w:p w14:paraId="77182A36" w14:textId="6BD2F06E" w:rsidR="008D34E1" w:rsidRPr="00C453CC" w:rsidRDefault="008D34E1" w:rsidP="007C2A68">
      <w:pPr>
        <w:pStyle w:val="Bibliography"/>
        <w:tabs>
          <w:tab w:val="clear" w:pos="384"/>
          <w:tab w:val="left" w:pos="284"/>
        </w:tabs>
        <w:spacing w:line="240" w:lineRule="auto"/>
        <w:ind w:left="0" w:firstLine="0"/>
      </w:pPr>
      <w:r w:rsidRPr="00C453CC">
        <w:t>13.</w:t>
      </w:r>
      <w:r w:rsidRPr="00C453CC">
        <w:tab/>
        <w:t>Chen, Y.</w:t>
      </w:r>
      <w:r w:rsidR="00D54DE7" w:rsidRPr="00C453CC">
        <w:t xml:space="preserve"> </w:t>
      </w:r>
      <w:r w:rsidRPr="00C453CC">
        <w:t xml:space="preserve">-J. J. </w:t>
      </w:r>
      <w:r w:rsidR="009F16C6" w:rsidRPr="00C453CC">
        <w:rPr>
          <w:iCs/>
        </w:rPr>
        <w:t>et al</w:t>
      </w:r>
      <w:r w:rsidRPr="00C453CC">
        <w:rPr>
          <w:i/>
          <w:iCs/>
        </w:rPr>
        <w:t>.</w:t>
      </w:r>
      <w:r w:rsidRPr="00C453CC">
        <w:t xml:space="preserve"> Use of “MGE Enhancers” </w:t>
      </w:r>
      <w:r w:rsidR="00D54DE7" w:rsidRPr="00C453CC">
        <w:t>for labeling and selection of embryonic stem cell-derived medial ganglionic eminence</w:t>
      </w:r>
      <w:r w:rsidRPr="00C453CC">
        <w:t xml:space="preserve"> (MGE) </w:t>
      </w:r>
      <w:r w:rsidR="00D54DE7" w:rsidRPr="00C453CC">
        <w:t>progenitors and neurons</w:t>
      </w:r>
      <w:r w:rsidRPr="00C453CC">
        <w:t xml:space="preserve">. </w:t>
      </w:r>
      <w:proofErr w:type="spellStart"/>
      <w:r w:rsidRPr="00C453CC">
        <w:rPr>
          <w:i/>
          <w:iCs/>
        </w:rPr>
        <w:t>PLoS</w:t>
      </w:r>
      <w:proofErr w:type="spellEnd"/>
      <w:r w:rsidRPr="00C453CC">
        <w:rPr>
          <w:i/>
          <w:iCs/>
        </w:rPr>
        <w:t xml:space="preserve"> ONE</w:t>
      </w:r>
      <w:r w:rsidR="00D54DE7" w:rsidRPr="00C453CC">
        <w:rPr>
          <w:i/>
          <w:iCs/>
        </w:rPr>
        <w:t>.</w:t>
      </w:r>
      <w:r w:rsidRPr="00C453CC">
        <w:t xml:space="preserve"> </w:t>
      </w:r>
      <w:r w:rsidRPr="00C453CC">
        <w:rPr>
          <w:b/>
          <w:bCs/>
        </w:rPr>
        <w:t>8</w:t>
      </w:r>
      <w:r w:rsidRPr="00C453CC">
        <w:t>, e61956 (2013).</w:t>
      </w:r>
    </w:p>
    <w:p w14:paraId="75185B3D" w14:textId="3E81464F" w:rsidR="008D34E1" w:rsidRPr="00C453CC" w:rsidRDefault="008D34E1" w:rsidP="007C2A68">
      <w:pPr>
        <w:pStyle w:val="Bibliography"/>
        <w:tabs>
          <w:tab w:val="clear" w:pos="384"/>
          <w:tab w:val="left" w:pos="284"/>
        </w:tabs>
        <w:spacing w:line="240" w:lineRule="auto"/>
        <w:ind w:left="0" w:firstLine="0"/>
      </w:pPr>
      <w:r w:rsidRPr="00C453CC">
        <w:t>14.</w:t>
      </w:r>
      <w:r w:rsidRPr="00C453CC">
        <w:tab/>
      </w:r>
      <w:proofErr w:type="spellStart"/>
      <w:r w:rsidRPr="00C453CC">
        <w:t>Graybuck</w:t>
      </w:r>
      <w:proofErr w:type="spellEnd"/>
      <w:r w:rsidRPr="00C453CC">
        <w:t xml:space="preserve">, L. T. </w:t>
      </w:r>
      <w:r w:rsidR="009F16C6" w:rsidRPr="00C453CC">
        <w:rPr>
          <w:iCs/>
        </w:rPr>
        <w:t>et al</w:t>
      </w:r>
      <w:r w:rsidRPr="00C453CC">
        <w:rPr>
          <w:i/>
          <w:iCs/>
        </w:rPr>
        <w:t>.</w:t>
      </w:r>
      <w:r w:rsidRPr="00C453CC">
        <w:t xml:space="preserve"> Enhancer viruses and a transgenic platform for combinatorial cell subclass-specific labeling. </w:t>
      </w:r>
      <w:proofErr w:type="spellStart"/>
      <w:r w:rsidRPr="00C453CC">
        <w:rPr>
          <w:i/>
          <w:iCs/>
        </w:rPr>
        <w:t>bio</w:t>
      </w:r>
      <w:r w:rsidR="00555815" w:rsidRPr="00C453CC">
        <w:rPr>
          <w:i/>
          <w:iCs/>
        </w:rPr>
        <w:t>R</w:t>
      </w:r>
      <w:r w:rsidRPr="00C453CC">
        <w:rPr>
          <w:i/>
          <w:iCs/>
        </w:rPr>
        <w:t>xiv</w:t>
      </w:r>
      <w:proofErr w:type="spellEnd"/>
      <w:r w:rsidRPr="00C453CC">
        <w:t xml:space="preserve">. </w:t>
      </w:r>
      <w:proofErr w:type="spellStart"/>
      <w:r w:rsidR="00387C30" w:rsidRPr="00C453CC">
        <w:t>bioRxiv</w:t>
      </w:r>
      <w:proofErr w:type="spellEnd"/>
      <w:r w:rsidR="00387C30" w:rsidRPr="00C453CC">
        <w:t xml:space="preserve"> 525014 </w:t>
      </w:r>
      <w:r w:rsidRPr="00C453CC">
        <w:t>(2019).</w:t>
      </w:r>
    </w:p>
    <w:p w14:paraId="2122B435" w14:textId="5A378088" w:rsidR="008D34E1" w:rsidRPr="00C453CC" w:rsidRDefault="008D34E1" w:rsidP="007C2A68">
      <w:pPr>
        <w:pStyle w:val="Bibliography"/>
        <w:tabs>
          <w:tab w:val="clear" w:pos="384"/>
          <w:tab w:val="left" w:pos="284"/>
        </w:tabs>
        <w:spacing w:line="240" w:lineRule="auto"/>
        <w:ind w:left="0" w:firstLine="0"/>
      </w:pPr>
      <w:r w:rsidRPr="00C453CC">
        <w:t>15.</w:t>
      </w:r>
      <w:r w:rsidRPr="00C453CC">
        <w:tab/>
      </w:r>
      <w:proofErr w:type="spellStart"/>
      <w:r w:rsidRPr="00C453CC">
        <w:t>Dimidschstein</w:t>
      </w:r>
      <w:proofErr w:type="spellEnd"/>
      <w:r w:rsidRPr="00C453CC">
        <w:t xml:space="preserve">, J. </w:t>
      </w:r>
      <w:r w:rsidR="009F16C6" w:rsidRPr="00C453CC">
        <w:rPr>
          <w:iCs/>
        </w:rPr>
        <w:t>et al</w:t>
      </w:r>
      <w:r w:rsidRPr="00C453CC">
        <w:rPr>
          <w:i/>
          <w:iCs/>
        </w:rPr>
        <w:t>.</w:t>
      </w:r>
      <w:r w:rsidR="0098340E" w:rsidRPr="00C453CC">
        <w:t xml:space="preserve"> A viral strategy for targeting and manipulating interneurons across vertebrate species. </w:t>
      </w:r>
      <w:r w:rsidRPr="00C453CC">
        <w:rPr>
          <w:i/>
          <w:iCs/>
        </w:rPr>
        <w:t>Nature Neuroscience</w:t>
      </w:r>
      <w:r w:rsidR="00387C30" w:rsidRPr="00C453CC">
        <w:rPr>
          <w:i/>
          <w:iCs/>
        </w:rPr>
        <w:t>.</w:t>
      </w:r>
      <w:r w:rsidRPr="00C453CC">
        <w:t xml:space="preserve"> </w:t>
      </w:r>
      <w:r w:rsidR="00387C30" w:rsidRPr="00C453CC">
        <w:rPr>
          <w:b/>
          <w:bCs/>
        </w:rPr>
        <w:t>19</w:t>
      </w:r>
      <w:r w:rsidR="00387C30" w:rsidRPr="00C453CC">
        <w:t xml:space="preserve"> (12), 1743–1749 </w:t>
      </w:r>
      <w:r w:rsidRPr="00C453CC">
        <w:t>(2016).</w:t>
      </w:r>
    </w:p>
    <w:p w14:paraId="00000127" w14:textId="1E4AD360" w:rsidR="005B0A9F" w:rsidRPr="00C453CC" w:rsidRDefault="008D34E1" w:rsidP="007C2A68">
      <w:pPr>
        <w:pStyle w:val="Bibliography"/>
        <w:tabs>
          <w:tab w:val="clear" w:pos="384"/>
          <w:tab w:val="left" w:pos="284"/>
        </w:tabs>
        <w:spacing w:line="240" w:lineRule="auto"/>
        <w:ind w:left="0" w:firstLine="0"/>
      </w:pPr>
      <w:r w:rsidRPr="00C453CC">
        <w:t>16.</w:t>
      </w:r>
      <w:r w:rsidRPr="00C453CC">
        <w:tab/>
        <w:t>Rubin,</w:t>
      </w:r>
      <w:r w:rsidR="0098340E" w:rsidRPr="00C453CC">
        <w:t xml:space="preserve"> A. </w:t>
      </w:r>
      <w:r w:rsidRPr="00C453CC">
        <w:t xml:space="preserve">N. </w:t>
      </w:r>
      <w:r w:rsidR="009F16C6" w:rsidRPr="00C453CC">
        <w:rPr>
          <w:iCs/>
        </w:rPr>
        <w:t>et al</w:t>
      </w:r>
      <w:r w:rsidRPr="00C453CC">
        <w:rPr>
          <w:i/>
          <w:iCs/>
        </w:rPr>
        <w:t>.</w:t>
      </w:r>
      <w:r w:rsidR="0098340E" w:rsidRPr="00C453CC">
        <w:t xml:space="preserve"> Regulatory </w:t>
      </w:r>
      <w:r w:rsidR="00387C30" w:rsidRPr="00C453CC">
        <w:t xml:space="preserve">elements inserted into </w:t>
      </w:r>
      <w:r w:rsidR="0098340E" w:rsidRPr="00C453CC">
        <w:t xml:space="preserve">AAVs </w:t>
      </w:r>
      <w:r w:rsidR="00387C30" w:rsidRPr="00C453CC">
        <w:t>confer preferential activity in cortical interneuro</w:t>
      </w:r>
      <w:r w:rsidR="0098340E" w:rsidRPr="00C453CC">
        <w:t xml:space="preserve">ns. </w:t>
      </w:r>
      <w:proofErr w:type="spellStart"/>
      <w:r w:rsidR="0098340E" w:rsidRPr="00C453CC">
        <w:rPr>
          <w:i/>
        </w:rPr>
        <w:t>eNeuro</w:t>
      </w:r>
      <w:proofErr w:type="spellEnd"/>
      <w:r w:rsidR="00387C30" w:rsidRPr="00C453CC">
        <w:rPr>
          <w:i/>
        </w:rPr>
        <w:t>.</w:t>
      </w:r>
      <w:r w:rsidRPr="00C453CC">
        <w:t xml:space="preserve"> </w:t>
      </w:r>
      <w:r w:rsidR="0098340E" w:rsidRPr="00C453CC">
        <w:rPr>
          <w:b/>
        </w:rPr>
        <w:t>7</w:t>
      </w:r>
      <w:r w:rsidRPr="00C453CC">
        <w:t xml:space="preserve">, </w:t>
      </w:r>
      <w:r w:rsidR="0098340E" w:rsidRPr="00C453CC">
        <w:t>ENEURO.0211-20.2020</w:t>
      </w:r>
      <w:r w:rsidRPr="00C453CC">
        <w:t xml:space="preserve"> (2020).</w:t>
      </w:r>
    </w:p>
    <w:p w14:paraId="32666397" w14:textId="6E514521" w:rsidR="005B0A9F" w:rsidRPr="00C453CC" w:rsidRDefault="008D34E1" w:rsidP="007C2A68">
      <w:pPr>
        <w:pStyle w:val="Bibliography"/>
        <w:tabs>
          <w:tab w:val="clear" w:pos="384"/>
          <w:tab w:val="left" w:pos="284"/>
        </w:tabs>
        <w:spacing w:line="240" w:lineRule="auto"/>
        <w:ind w:left="0" w:firstLine="0"/>
      </w:pPr>
      <w:r w:rsidRPr="00C453CC">
        <w:t>17.</w:t>
      </w:r>
      <w:r w:rsidRPr="00C453CC">
        <w:tab/>
      </w:r>
      <w:proofErr w:type="spellStart"/>
      <w:r w:rsidR="0098340E" w:rsidRPr="00C453CC">
        <w:t>Hindorff</w:t>
      </w:r>
      <w:proofErr w:type="spellEnd"/>
      <w:r w:rsidR="0098340E" w:rsidRPr="00C453CC">
        <w:t xml:space="preserve">, L. A. </w:t>
      </w:r>
      <w:r w:rsidR="009F16C6" w:rsidRPr="00C453CC">
        <w:t>et al</w:t>
      </w:r>
      <w:r w:rsidR="0098340E" w:rsidRPr="00C453CC">
        <w:rPr>
          <w:i/>
        </w:rPr>
        <w:t>.</w:t>
      </w:r>
      <w:r w:rsidR="0098340E" w:rsidRPr="00C453CC">
        <w:t xml:space="preserve"> Potential etiologic and functional implications of genome-wide association loci for human diseases and traits. </w:t>
      </w:r>
      <w:r w:rsidR="0098340E" w:rsidRPr="00C453CC">
        <w:rPr>
          <w:i/>
        </w:rPr>
        <w:t>Proceedings of the National Academy of Sciences of the United States of America</w:t>
      </w:r>
      <w:r w:rsidR="00387C30" w:rsidRPr="00C453CC">
        <w:rPr>
          <w:i/>
        </w:rPr>
        <w:t>.</w:t>
      </w:r>
      <w:r w:rsidR="0098340E" w:rsidRPr="00C453CC">
        <w:t xml:space="preserve"> </w:t>
      </w:r>
      <w:r w:rsidR="00387C30" w:rsidRPr="00C453CC">
        <w:rPr>
          <w:b/>
          <w:bCs/>
        </w:rPr>
        <w:t>106</w:t>
      </w:r>
      <w:r w:rsidR="00387C30" w:rsidRPr="00C453CC">
        <w:t xml:space="preserve"> (23), 9362–9367 </w:t>
      </w:r>
      <w:r w:rsidR="0098340E" w:rsidRPr="00C453CC">
        <w:t>(2009)</w:t>
      </w:r>
      <w:r w:rsidR="00387C30" w:rsidRPr="00C453CC">
        <w:t>.</w:t>
      </w:r>
    </w:p>
    <w:p w14:paraId="79EC99F9" w14:textId="1E8579F2" w:rsidR="005B0A9F" w:rsidRPr="00C453CC" w:rsidRDefault="008D34E1" w:rsidP="007C2A68">
      <w:pPr>
        <w:pStyle w:val="Bibliography"/>
        <w:tabs>
          <w:tab w:val="clear" w:pos="384"/>
          <w:tab w:val="left" w:pos="284"/>
        </w:tabs>
        <w:spacing w:line="240" w:lineRule="auto"/>
        <w:ind w:left="0" w:firstLine="0"/>
      </w:pPr>
      <w:r w:rsidRPr="00C453CC">
        <w:t>18.</w:t>
      </w:r>
      <w:r w:rsidRPr="00C453CC">
        <w:tab/>
      </w:r>
      <w:proofErr w:type="spellStart"/>
      <w:r w:rsidR="0098340E" w:rsidRPr="00C453CC">
        <w:t>Maurano</w:t>
      </w:r>
      <w:proofErr w:type="spellEnd"/>
      <w:r w:rsidR="0098340E" w:rsidRPr="00C453CC">
        <w:t xml:space="preserve">, M. T. </w:t>
      </w:r>
      <w:r w:rsidR="009F16C6" w:rsidRPr="00C453CC">
        <w:t>et al</w:t>
      </w:r>
      <w:r w:rsidR="0098340E" w:rsidRPr="00C453CC">
        <w:rPr>
          <w:i/>
        </w:rPr>
        <w:t>.</w:t>
      </w:r>
      <w:r w:rsidR="0098340E" w:rsidRPr="00C453CC">
        <w:t xml:space="preserve"> Systematic localization of common disease-associated variation in regulatory DNA. </w:t>
      </w:r>
      <w:r w:rsidR="0098340E" w:rsidRPr="00C453CC">
        <w:rPr>
          <w:i/>
        </w:rPr>
        <w:t>Science</w:t>
      </w:r>
      <w:r w:rsidR="00387C30" w:rsidRPr="00C453CC">
        <w:t xml:space="preserve">. 337 (6099), 1190–1195 </w:t>
      </w:r>
      <w:r w:rsidR="0098340E" w:rsidRPr="00C453CC">
        <w:t>(2012)</w:t>
      </w:r>
      <w:r w:rsidR="00387C30" w:rsidRPr="00C453CC">
        <w:t>.</w:t>
      </w:r>
    </w:p>
    <w:p w14:paraId="00000128" w14:textId="0CAA1C39" w:rsidR="005B0A9F" w:rsidRPr="00C453CC" w:rsidRDefault="008D34E1" w:rsidP="007C2A68">
      <w:pPr>
        <w:pStyle w:val="Bibliography"/>
        <w:tabs>
          <w:tab w:val="clear" w:pos="384"/>
          <w:tab w:val="left" w:pos="284"/>
        </w:tabs>
        <w:spacing w:line="240" w:lineRule="auto"/>
        <w:ind w:left="0" w:firstLine="0"/>
      </w:pPr>
      <w:r w:rsidRPr="00C453CC">
        <w:t>19.</w:t>
      </w:r>
      <w:r w:rsidRPr="00C453CC">
        <w:tab/>
      </w:r>
      <w:proofErr w:type="spellStart"/>
      <w:r w:rsidR="0098340E" w:rsidRPr="00C453CC">
        <w:t>Ripke</w:t>
      </w:r>
      <w:proofErr w:type="spellEnd"/>
      <w:r w:rsidR="0098340E" w:rsidRPr="00C453CC">
        <w:t xml:space="preserve">, S. </w:t>
      </w:r>
      <w:r w:rsidR="009F16C6" w:rsidRPr="00C453CC">
        <w:t>et al</w:t>
      </w:r>
      <w:r w:rsidR="0098340E" w:rsidRPr="00C453CC">
        <w:rPr>
          <w:i/>
        </w:rPr>
        <w:t>.</w:t>
      </w:r>
      <w:r w:rsidR="0098340E" w:rsidRPr="00C453CC">
        <w:t xml:space="preserve"> </w:t>
      </w:r>
      <w:proofErr w:type="gramStart"/>
      <w:r w:rsidR="0098340E" w:rsidRPr="00C453CC">
        <w:t>Biological</w:t>
      </w:r>
      <w:proofErr w:type="gramEnd"/>
      <w:r w:rsidR="0098340E" w:rsidRPr="00C453CC">
        <w:t xml:space="preserve"> insights from 108 schizophrenia-associated genetic loci. </w:t>
      </w:r>
      <w:r w:rsidR="0098340E" w:rsidRPr="00C453CC">
        <w:rPr>
          <w:i/>
        </w:rPr>
        <w:t>Nature</w:t>
      </w:r>
      <w:r w:rsidR="00387C30" w:rsidRPr="00C453CC">
        <w:rPr>
          <w:i/>
        </w:rPr>
        <w:t>.</w:t>
      </w:r>
      <w:r w:rsidR="0098340E" w:rsidRPr="00C453CC">
        <w:t xml:space="preserve"> </w:t>
      </w:r>
      <w:r w:rsidR="00387C30" w:rsidRPr="00C453CC">
        <w:rPr>
          <w:b/>
          <w:bCs/>
        </w:rPr>
        <w:t xml:space="preserve">511 </w:t>
      </w:r>
      <w:r w:rsidR="00387C30" w:rsidRPr="00C453CC">
        <w:t xml:space="preserve">(7510), 421–427 </w:t>
      </w:r>
      <w:r w:rsidR="0098340E" w:rsidRPr="00C453CC">
        <w:t>(2014)</w:t>
      </w:r>
      <w:r w:rsidR="00387C30" w:rsidRPr="00C453CC">
        <w:t>.</w:t>
      </w:r>
      <w:r w:rsidR="0098340E" w:rsidRPr="00C453CC">
        <w:t xml:space="preserve"> </w:t>
      </w:r>
    </w:p>
    <w:p w14:paraId="7CC53385" w14:textId="0501ECD7" w:rsidR="005B0A9F" w:rsidRPr="00C453CC" w:rsidRDefault="008D34E1" w:rsidP="007C2A68">
      <w:pPr>
        <w:pStyle w:val="Bibliography"/>
        <w:tabs>
          <w:tab w:val="clear" w:pos="384"/>
          <w:tab w:val="left" w:pos="284"/>
        </w:tabs>
        <w:spacing w:line="240" w:lineRule="auto"/>
        <w:ind w:left="0" w:firstLine="0"/>
      </w:pPr>
      <w:r w:rsidRPr="00C453CC">
        <w:t>20.</w:t>
      </w:r>
      <w:r w:rsidRPr="00C453CC">
        <w:tab/>
      </w:r>
      <w:r w:rsidR="0098340E" w:rsidRPr="00C453CC">
        <w:t xml:space="preserve">Nott, A. </w:t>
      </w:r>
      <w:r w:rsidR="009F16C6" w:rsidRPr="00C453CC">
        <w:t>et al</w:t>
      </w:r>
      <w:r w:rsidR="0098340E" w:rsidRPr="00C453CC">
        <w:rPr>
          <w:i/>
        </w:rPr>
        <w:t>.</w:t>
      </w:r>
      <w:r w:rsidR="0098340E" w:rsidRPr="00C453CC">
        <w:t xml:space="preserve"> Brain cell type–specific enhancer–promoter interactome maps and disease-risk association. </w:t>
      </w:r>
      <w:r w:rsidR="0098340E" w:rsidRPr="00C453CC">
        <w:rPr>
          <w:i/>
        </w:rPr>
        <w:t>Science</w:t>
      </w:r>
      <w:r w:rsidR="00387C30" w:rsidRPr="00C453CC">
        <w:rPr>
          <w:i/>
        </w:rPr>
        <w:t>.</w:t>
      </w:r>
      <w:r w:rsidR="0098340E" w:rsidRPr="00C453CC">
        <w:t xml:space="preserve"> </w:t>
      </w:r>
      <w:r w:rsidR="00387C30" w:rsidRPr="00C453CC">
        <w:rPr>
          <w:b/>
          <w:bCs/>
        </w:rPr>
        <w:t xml:space="preserve">366 </w:t>
      </w:r>
      <w:r w:rsidR="00387C30" w:rsidRPr="00C453CC">
        <w:t xml:space="preserve">(6469), 1134–1139 </w:t>
      </w:r>
      <w:r w:rsidR="0098340E" w:rsidRPr="00C453CC">
        <w:t>(2019)</w:t>
      </w:r>
      <w:r w:rsidR="00387C30" w:rsidRPr="00C453CC">
        <w:t>.</w:t>
      </w:r>
    </w:p>
    <w:p w14:paraId="75431156" w14:textId="0DE53AF7" w:rsidR="008D34E1" w:rsidRPr="00C453CC" w:rsidRDefault="008D34E1" w:rsidP="007C2A68">
      <w:pPr>
        <w:pStyle w:val="Bibliography"/>
        <w:tabs>
          <w:tab w:val="clear" w:pos="384"/>
          <w:tab w:val="left" w:pos="284"/>
        </w:tabs>
        <w:spacing w:line="240" w:lineRule="auto"/>
        <w:ind w:left="0" w:firstLine="0"/>
      </w:pPr>
      <w:r w:rsidRPr="00C453CC">
        <w:t>21.</w:t>
      </w:r>
      <w:r w:rsidRPr="00C453CC">
        <w:tab/>
        <w:t xml:space="preserve">Lagunas, T. </w:t>
      </w:r>
      <w:r w:rsidR="009F16C6" w:rsidRPr="00C453CC">
        <w:rPr>
          <w:iCs/>
        </w:rPr>
        <w:t>et al</w:t>
      </w:r>
      <w:r w:rsidRPr="00C453CC">
        <w:rPr>
          <w:i/>
          <w:iCs/>
        </w:rPr>
        <w:t>.</w:t>
      </w:r>
      <w:r w:rsidRPr="00C453CC">
        <w:t xml:space="preserve"> A Cre-dependent massively parallel reporter assay allows for cell-type specific assessment of the functional effects of genetic variants in vivo. </w:t>
      </w:r>
      <w:bookmarkStart w:id="13" w:name="_Hlk85728292"/>
      <w:proofErr w:type="spellStart"/>
      <w:r w:rsidRPr="00C453CC">
        <w:rPr>
          <w:i/>
          <w:iCs/>
        </w:rPr>
        <w:t>bio</w:t>
      </w:r>
      <w:r w:rsidR="00555815" w:rsidRPr="00C453CC">
        <w:rPr>
          <w:i/>
          <w:iCs/>
        </w:rPr>
        <w:t>R</w:t>
      </w:r>
      <w:r w:rsidRPr="00C453CC">
        <w:rPr>
          <w:i/>
          <w:iCs/>
        </w:rPr>
        <w:t>xiv</w:t>
      </w:r>
      <w:bookmarkEnd w:id="13"/>
      <w:proofErr w:type="spellEnd"/>
      <w:r w:rsidR="00B65020" w:rsidRPr="00C453CC">
        <w:t>.</w:t>
      </w:r>
      <w:r w:rsidR="00B65020" w:rsidRPr="00C453CC" w:rsidDel="00B65020">
        <w:t xml:space="preserve"> </w:t>
      </w:r>
      <w:r w:rsidR="00555815" w:rsidRPr="00C453CC">
        <w:t>b</w:t>
      </w:r>
      <w:r w:rsidR="00B65020" w:rsidRPr="00C453CC">
        <w:t>iorxiv</w:t>
      </w:r>
      <w:r w:rsidRPr="00C453CC">
        <w:t>2021.05.17.444514 (2021)</w:t>
      </w:r>
      <w:r w:rsidR="00B65020" w:rsidRPr="00C453CC">
        <w:t>.</w:t>
      </w:r>
      <w:r w:rsidRPr="00C453CC">
        <w:t xml:space="preserve"> </w:t>
      </w:r>
    </w:p>
    <w:p w14:paraId="0F5E57E3" w14:textId="4917BC8B" w:rsidR="005B0A9F" w:rsidRPr="00C453CC" w:rsidRDefault="008D34E1" w:rsidP="007C2A68">
      <w:pPr>
        <w:pStyle w:val="Bibliography"/>
        <w:tabs>
          <w:tab w:val="clear" w:pos="384"/>
          <w:tab w:val="left" w:pos="284"/>
        </w:tabs>
        <w:spacing w:line="240" w:lineRule="auto"/>
        <w:ind w:left="0" w:firstLine="0"/>
      </w:pPr>
      <w:r w:rsidRPr="00C453CC">
        <w:t>22.</w:t>
      </w:r>
      <w:r w:rsidRPr="00C453CC">
        <w:tab/>
      </w:r>
      <w:r w:rsidR="0098340E" w:rsidRPr="00C453CC">
        <w:t xml:space="preserve">DeBoer, E., Antoniou, M., </w:t>
      </w:r>
      <w:proofErr w:type="spellStart"/>
      <w:r w:rsidR="0098340E" w:rsidRPr="00C453CC">
        <w:t>Mignotte</w:t>
      </w:r>
      <w:proofErr w:type="spellEnd"/>
      <w:r w:rsidR="0098340E" w:rsidRPr="00C453CC">
        <w:t>, V., Wall, L.</w:t>
      </w:r>
      <w:r w:rsidR="00B65020" w:rsidRPr="00C453CC">
        <w:t>,</w:t>
      </w:r>
      <w:r w:rsidR="0098340E" w:rsidRPr="00C453CC">
        <w:t xml:space="preserve"> </w:t>
      </w:r>
      <w:proofErr w:type="spellStart"/>
      <w:r w:rsidR="0098340E" w:rsidRPr="00C453CC">
        <w:t>Grosveld</w:t>
      </w:r>
      <w:proofErr w:type="spellEnd"/>
      <w:r w:rsidR="0098340E" w:rsidRPr="00C453CC">
        <w:t xml:space="preserve">, F. The human beta-globin promoter; nuclear protein factors and erythroid specific induction of transcription. </w:t>
      </w:r>
      <w:r w:rsidR="0098340E" w:rsidRPr="00C453CC">
        <w:rPr>
          <w:i/>
        </w:rPr>
        <w:t>The EMBO journal</w:t>
      </w:r>
      <w:r w:rsidR="00B65020" w:rsidRPr="00C453CC">
        <w:rPr>
          <w:i/>
        </w:rPr>
        <w:t>.</w:t>
      </w:r>
      <w:r w:rsidR="0098340E" w:rsidRPr="00C453CC">
        <w:t xml:space="preserve"> </w:t>
      </w:r>
      <w:r w:rsidR="00B65020" w:rsidRPr="00C453CC">
        <w:rPr>
          <w:b/>
          <w:bCs/>
        </w:rPr>
        <w:t>7</w:t>
      </w:r>
      <w:r w:rsidR="00B65020" w:rsidRPr="00C453CC">
        <w:t xml:space="preserve"> (13), 4203–4212 </w:t>
      </w:r>
      <w:r w:rsidR="0098340E" w:rsidRPr="00C453CC">
        <w:t>(1988)</w:t>
      </w:r>
      <w:r w:rsidR="00B65020" w:rsidRPr="00C453CC">
        <w:t>.</w:t>
      </w:r>
      <w:r w:rsidR="0098340E" w:rsidRPr="00C453CC">
        <w:t xml:space="preserve"> </w:t>
      </w:r>
    </w:p>
    <w:p w14:paraId="45410554" w14:textId="26AC237B" w:rsidR="005B0A9F" w:rsidRPr="00C453CC" w:rsidRDefault="008D34E1" w:rsidP="007C2A68">
      <w:pPr>
        <w:pStyle w:val="Bibliography"/>
        <w:tabs>
          <w:tab w:val="clear" w:pos="384"/>
          <w:tab w:val="left" w:pos="284"/>
        </w:tabs>
        <w:spacing w:line="240" w:lineRule="auto"/>
        <w:ind w:left="0" w:firstLine="0"/>
      </w:pPr>
      <w:r w:rsidRPr="00C453CC">
        <w:t>23.</w:t>
      </w:r>
      <w:r w:rsidRPr="00C453CC">
        <w:tab/>
      </w:r>
      <w:proofErr w:type="spellStart"/>
      <w:r w:rsidR="0098340E" w:rsidRPr="00C453CC">
        <w:t>Kothary</w:t>
      </w:r>
      <w:proofErr w:type="spellEnd"/>
      <w:r w:rsidR="0098340E" w:rsidRPr="00C453CC">
        <w:t xml:space="preserve">, R. </w:t>
      </w:r>
      <w:r w:rsidR="009F16C6" w:rsidRPr="00C453CC">
        <w:t>et al</w:t>
      </w:r>
      <w:r w:rsidR="0098340E" w:rsidRPr="00C453CC">
        <w:rPr>
          <w:i/>
        </w:rPr>
        <w:t>.</w:t>
      </w:r>
      <w:r w:rsidR="0098340E" w:rsidRPr="00C453CC">
        <w:t xml:space="preserve"> Inducible expression of an hsp68-lacZ hybrid gene in transgenic mice. </w:t>
      </w:r>
      <w:r w:rsidR="0098340E" w:rsidRPr="00C453CC">
        <w:rPr>
          <w:i/>
        </w:rPr>
        <w:t>Development</w:t>
      </w:r>
      <w:r w:rsidR="00B65020" w:rsidRPr="00C453CC">
        <w:t xml:space="preserve">. </w:t>
      </w:r>
      <w:r w:rsidR="00B65020" w:rsidRPr="00C453CC">
        <w:rPr>
          <w:b/>
          <w:bCs/>
        </w:rPr>
        <w:t>105</w:t>
      </w:r>
      <w:r w:rsidR="00B65020" w:rsidRPr="00C453CC">
        <w:t xml:space="preserve"> (4), 707–714 </w:t>
      </w:r>
      <w:r w:rsidR="0098340E" w:rsidRPr="00C453CC">
        <w:t>(1989).</w:t>
      </w:r>
    </w:p>
    <w:p w14:paraId="48A0D473" w14:textId="34D9EE71" w:rsidR="005B0A9F" w:rsidRPr="00C453CC" w:rsidRDefault="008D34E1" w:rsidP="007C2A68">
      <w:pPr>
        <w:pStyle w:val="Bibliography"/>
        <w:tabs>
          <w:tab w:val="clear" w:pos="384"/>
          <w:tab w:val="left" w:pos="284"/>
        </w:tabs>
        <w:spacing w:line="240" w:lineRule="auto"/>
        <w:ind w:left="0" w:firstLine="0"/>
      </w:pPr>
      <w:r w:rsidRPr="00C453CC">
        <w:t>24.</w:t>
      </w:r>
      <w:r w:rsidRPr="00C453CC">
        <w:tab/>
      </w:r>
      <w:proofErr w:type="spellStart"/>
      <w:r w:rsidR="0098340E" w:rsidRPr="00C453CC">
        <w:t>Niwa</w:t>
      </w:r>
      <w:proofErr w:type="spellEnd"/>
      <w:r w:rsidR="0098340E" w:rsidRPr="00C453CC">
        <w:t>, H., Yamamura, K.</w:t>
      </w:r>
      <w:r w:rsidR="00B65020" w:rsidRPr="00C453CC">
        <w:t>,</w:t>
      </w:r>
      <w:r w:rsidR="0098340E" w:rsidRPr="00C453CC">
        <w:t xml:space="preserve"> Miyazaki, J. Efficient selection for high-expression transfectants with a novel eukaryotic vector. </w:t>
      </w:r>
      <w:r w:rsidR="0098340E" w:rsidRPr="00C453CC">
        <w:rPr>
          <w:i/>
        </w:rPr>
        <w:t>Gene</w:t>
      </w:r>
      <w:r w:rsidR="00B65020" w:rsidRPr="00C453CC">
        <w:rPr>
          <w:i/>
        </w:rPr>
        <w:t>.</w:t>
      </w:r>
      <w:r w:rsidR="0098340E" w:rsidRPr="00C453CC">
        <w:t xml:space="preserve"> </w:t>
      </w:r>
      <w:r w:rsidR="00B65020" w:rsidRPr="00C453CC">
        <w:rPr>
          <w:b/>
          <w:bCs/>
        </w:rPr>
        <w:t>108</w:t>
      </w:r>
      <w:r w:rsidR="00B65020" w:rsidRPr="00C453CC">
        <w:t xml:space="preserve"> (2), 193–199 </w:t>
      </w:r>
      <w:r w:rsidR="0098340E" w:rsidRPr="00C453CC">
        <w:t>(1991).</w:t>
      </w:r>
    </w:p>
    <w:p w14:paraId="28721B84" w14:textId="218A7AFD" w:rsidR="005B0A9F" w:rsidRPr="00C453CC" w:rsidRDefault="008D34E1" w:rsidP="007C2A68">
      <w:pPr>
        <w:pStyle w:val="Bibliography"/>
        <w:tabs>
          <w:tab w:val="clear" w:pos="384"/>
          <w:tab w:val="left" w:pos="284"/>
        </w:tabs>
        <w:spacing w:line="240" w:lineRule="auto"/>
        <w:ind w:left="0" w:firstLine="0"/>
      </w:pPr>
      <w:r w:rsidRPr="00C453CC">
        <w:t>25.</w:t>
      </w:r>
      <w:r w:rsidRPr="00C453CC">
        <w:tab/>
      </w:r>
      <w:r w:rsidR="0098340E" w:rsidRPr="00C453CC">
        <w:t xml:space="preserve">Kim, D. W., </w:t>
      </w:r>
      <w:proofErr w:type="spellStart"/>
      <w:r w:rsidR="0098340E" w:rsidRPr="00C453CC">
        <w:t>Uetsuki</w:t>
      </w:r>
      <w:proofErr w:type="spellEnd"/>
      <w:r w:rsidR="0098340E" w:rsidRPr="00C453CC">
        <w:t xml:space="preserve">, T., </w:t>
      </w:r>
      <w:proofErr w:type="spellStart"/>
      <w:r w:rsidR="0098340E" w:rsidRPr="00C453CC">
        <w:t>Kaziro</w:t>
      </w:r>
      <w:proofErr w:type="spellEnd"/>
      <w:r w:rsidR="0098340E" w:rsidRPr="00C453CC">
        <w:t>, Y., Yamaguchi, N.</w:t>
      </w:r>
      <w:r w:rsidR="00B65020" w:rsidRPr="00C453CC">
        <w:t>,</w:t>
      </w:r>
      <w:r w:rsidR="0098340E" w:rsidRPr="00C453CC">
        <w:t xml:space="preserve"> Sugano, S. Use of the human elongation factor 1α promoter as a versatile and efficient expression system. </w:t>
      </w:r>
      <w:r w:rsidR="0098340E" w:rsidRPr="00C453CC">
        <w:rPr>
          <w:i/>
        </w:rPr>
        <w:t>Gene</w:t>
      </w:r>
      <w:r w:rsidR="00B65020" w:rsidRPr="00C453CC">
        <w:t xml:space="preserve">. </w:t>
      </w:r>
      <w:r w:rsidR="00B65020" w:rsidRPr="00C453CC">
        <w:rPr>
          <w:b/>
          <w:bCs/>
        </w:rPr>
        <w:t>91</w:t>
      </w:r>
      <w:r w:rsidR="00B65020" w:rsidRPr="00C453CC">
        <w:t xml:space="preserve"> (2), 217–223 </w:t>
      </w:r>
      <w:r w:rsidR="0098340E" w:rsidRPr="00C453CC">
        <w:t>(1990)</w:t>
      </w:r>
      <w:r w:rsidR="00B65020" w:rsidRPr="00C453CC">
        <w:t>.</w:t>
      </w:r>
    </w:p>
    <w:p w14:paraId="41524819" w14:textId="5EDCB91D" w:rsidR="005B0A9F" w:rsidRPr="00C453CC" w:rsidRDefault="008D34E1" w:rsidP="007C2A68">
      <w:pPr>
        <w:pStyle w:val="Bibliography"/>
        <w:tabs>
          <w:tab w:val="clear" w:pos="384"/>
          <w:tab w:val="left" w:pos="284"/>
        </w:tabs>
        <w:spacing w:line="240" w:lineRule="auto"/>
        <w:ind w:left="0" w:firstLine="0"/>
      </w:pPr>
      <w:r w:rsidRPr="00C453CC">
        <w:t>26.</w:t>
      </w:r>
      <w:r w:rsidRPr="00C453CC">
        <w:tab/>
      </w:r>
      <w:r w:rsidR="0098340E" w:rsidRPr="00C453CC">
        <w:t>Banerji, J., Rusconi, S.</w:t>
      </w:r>
      <w:r w:rsidR="00BC57D1" w:rsidRPr="00C453CC">
        <w:t>,</w:t>
      </w:r>
      <w:r w:rsidR="0098340E" w:rsidRPr="00C453CC">
        <w:t xml:space="preserve"> Schaffner, W. Expression of a β-globin gene is enhanced by remote SV40 DNA sequences. </w:t>
      </w:r>
      <w:r w:rsidR="0098340E" w:rsidRPr="00C453CC">
        <w:rPr>
          <w:i/>
        </w:rPr>
        <w:t>Cell</w:t>
      </w:r>
      <w:r w:rsidR="00BC57D1" w:rsidRPr="00C453CC">
        <w:t xml:space="preserve">. </w:t>
      </w:r>
      <w:r w:rsidR="00BC57D1" w:rsidRPr="00C453CC">
        <w:rPr>
          <w:b/>
          <w:bCs/>
        </w:rPr>
        <w:t>27</w:t>
      </w:r>
      <w:r w:rsidR="00BC57D1" w:rsidRPr="00C453CC">
        <w:t xml:space="preserve"> (2 Pt 1), 299–308 </w:t>
      </w:r>
      <w:r w:rsidR="0098340E" w:rsidRPr="00C453CC">
        <w:t>(1981)</w:t>
      </w:r>
      <w:r w:rsidR="00BC57D1" w:rsidRPr="00C453CC">
        <w:t xml:space="preserve">. </w:t>
      </w:r>
      <w:r w:rsidR="0098340E" w:rsidRPr="00C453CC">
        <w:t xml:space="preserve"> </w:t>
      </w:r>
    </w:p>
    <w:p w14:paraId="06C8E446" w14:textId="71C78CB6" w:rsidR="008D34E1" w:rsidRPr="00C453CC" w:rsidRDefault="008D34E1" w:rsidP="007C2A68">
      <w:pPr>
        <w:pStyle w:val="Bibliography"/>
        <w:tabs>
          <w:tab w:val="clear" w:pos="384"/>
          <w:tab w:val="left" w:pos="284"/>
        </w:tabs>
        <w:spacing w:line="240" w:lineRule="auto"/>
        <w:ind w:left="0" w:firstLine="0"/>
      </w:pPr>
      <w:r w:rsidRPr="00C453CC">
        <w:t>27.</w:t>
      </w:r>
      <w:r w:rsidRPr="00C453CC">
        <w:tab/>
      </w:r>
      <w:r w:rsidR="0098340E" w:rsidRPr="00C453CC">
        <w:t xml:space="preserve">Patwardhan, R. P. </w:t>
      </w:r>
      <w:r w:rsidR="009F16C6" w:rsidRPr="00C453CC">
        <w:t>et al</w:t>
      </w:r>
      <w:r w:rsidR="0098340E" w:rsidRPr="00C453CC">
        <w:rPr>
          <w:i/>
        </w:rPr>
        <w:t>.</w:t>
      </w:r>
      <w:r w:rsidR="0098340E" w:rsidRPr="00C453CC">
        <w:t xml:space="preserve"> </w:t>
      </w:r>
      <w:r w:rsidRPr="00C453CC">
        <w:t xml:space="preserve">High-resolution analysis of DNA regulatory elements by synthetic saturation mutagenesis. </w:t>
      </w:r>
      <w:r w:rsidRPr="00C453CC">
        <w:rPr>
          <w:i/>
          <w:iCs/>
        </w:rPr>
        <w:t>Nature Biotechnology</w:t>
      </w:r>
      <w:r w:rsidR="00BC57D1" w:rsidRPr="00C453CC">
        <w:t>.</w:t>
      </w:r>
      <w:r w:rsidR="00BC57D1" w:rsidRPr="00C453CC">
        <w:rPr>
          <w:b/>
          <w:bCs/>
        </w:rPr>
        <w:t xml:space="preserve"> 27 </w:t>
      </w:r>
      <w:r w:rsidR="00BC57D1" w:rsidRPr="00C453CC">
        <w:t xml:space="preserve">(12), 1173–1175 </w:t>
      </w:r>
      <w:r w:rsidRPr="00C453CC">
        <w:t>(2009)</w:t>
      </w:r>
      <w:r w:rsidR="00BC57D1" w:rsidRPr="00C453CC">
        <w:t>.</w:t>
      </w:r>
    </w:p>
    <w:p w14:paraId="2360AEBD" w14:textId="0E36131E" w:rsidR="005B0A9F" w:rsidRPr="00C453CC" w:rsidRDefault="008D34E1" w:rsidP="007C2A68">
      <w:pPr>
        <w:pStyle w:val="Bibliography"/>
        <w:tabs>
          <w:tab w:val="clear" w:pos="384"/>
          <w:tab w:val="left" w:pos="284"/>
        </w:tabs>
        <w:spacing w:line="240" w:lineRule="auto"/>
        <w:ind w:left="0" w:firstLine="0"/>
      </w:pPr>
      <w:r w:rsidRPr="00C453CC">
        <w:t>28.</w:t>
      </w:r>
      <w:r w:rsidRPr="00C453CC">
        <w:tab/>
      </w:r>
      <w:r w:rsidR="0098340E" w:rsidRPr="00C453CC">
        <w:t xml:space="preserve">Arnold, C. D. </w:t>
      </w:r>
      <w:r w:rsidR="009F16C6" w:rsidRPr="00C453CC">
        <w:t>et al</w:t>
      </w:r>
      <w:r w:rsidR="0098340E" w:rsidRPr="00C453CC">
        <w:rPr>
          <w:i/>
        </w:rPr>
        <w:t>.</w:t>
      </w:r>
      <w:r w:rsidR="0098340E" w:rsidRPr="00C453CC">
        <w:t xml:space="preserve"> Genome-wide quantitative enhancer activity maps identified by STARR-seq. </w:t>
      </w:r>
      <w:r w:rsidR="0098340E" w:rsidRPr="00C453CC">
        <w:rPr>
          <w:i/>
        </w:rPr>
        <w:t>Science</w:t>
      </w:r>
      <w:r w:rsidR="00BC57D1" w:rsidRPr="00C453CC">
        <w:t xml:space="preserve">. </w:t>
      </w:r>
      <w:r w:rsidR="00BC57D1" w:rsidRPr="00C453CC">
        <w:rPr>
          <w:b/>
          <w:bCs/>
        </w:rPr>
        <w:t>339</w:t>
      </w:r>
      <w:r w:rsidR="00BC57D1" w:rsidRPr="00C453CC">
        <w:t xml:space="preserve"> (6123), 1074–1077 </w:t>
      </w:r>
      <w:r w:rsidR="0098340E" w:rsidRPr="00C453CC">
        <w:t>(2013)</w:t>
      </w:r>
      <w:r w:rsidR="00BC57D1" w:rsidRPr="00C453CC">
        <w:t>.</w:t>
      </w:r>
      <w:r w:rsidR="0098340E" w:rsidRPr="00C453CC">
        <w:t xml:space="preserve"> </w:t>
      </w:r>
    </w:p>
    <w:p w14:paraId="0EC4FCA2" w14:textId="4B88133B" w:rsidR="008D34E1" w:rsidRPr="00C453CC" w:rsidRDefault="008D34E1" w:rsidP="007C2A68">
      <w:pPr>
        <w:pStyle w:val="Bibliography"/>
        <w:tabs>
          <w:tab w:val="clear" w:pos="384"/>
          <w:tab w:val="left" w:pos="284"/>
        </w:tabs>
        <w:spacing w:line="240" w:lineRule="auto"/>
        <w:ind w:left="0" w:firstLine="0"/>
      </w:pPr>
      <w:r w:rsidRPr="00C453CC">
        <w:lastRenderedPageBreak/>
        <w:t>29.</w:t>
      </w:r>
      <w:r w:rsidRPr="00C453CC">
        <w:tab/>
        <w:t xml:space="preserve">Melnikov, A. </w:t>
      </w:r>
      <w:r w:rsidR="009F16C6" w:rsidRPr="00C453CC">
        <w:rPr>
          <w:iCs/>
        </w:rPr>
        <w:t>et al</w:t>
      </w:r>
      <w:r w:rsidRPr="00C453CC">
        <w:rPr>
          <w:i/>
          <w:iCs/>
        </w:rPr>
        <w:t>.</w:t>
      </w:r>
      <w:r w:rsidRPr="00C453CC">
        <w:t xml:space="preserve"> Systematic dissection and optimization of inducible enhancers in human cells using a massively parallel reporter assay. </w:t>
      </w:r>
      <w:r w:rsidRPr="00C453CC">
        <w:rPr>
          <w:i/>
          <w:iCs/>
        </w:rPr>
        <w:t>Nat</w:t>
      </w:r>
      <w:r w:rsidR="00BC57D1" w:rsidRPr="00C453CC">
        <w:rPr>
          <w:i/>
          <w:iCs/>
        </w:rPr>
        <w:t>ure</w:t>
      </w:r>
      <w:r w:rsidRPr="00C453CC">
        <w:rPr>
          <w:i/>
          <w:iCs/>
        </w:rPr>
        <w:t xml:space="preserve"> Biotechnol</w:t>
      </w:r>
      <w:r w:rsidR="00BC57D1" w:rsidRPr="00C453CC">
        <w:rPr>
          <w:i/>
          <w:iCs/>
        </w:rPr>
        <w:t>ogy.</w:t>
      </w:r>
      <w:r w:rsidRPr="00C453CC">
        <w:t xml:space="preserve"> </w:t>
      </w:r>
      <w:r w:rsidRPr="00C453CC">
        <w:rPr>
          <w:b/>
          <w:bCs/>
        </w:rPr>
        <w:t>30</w:t>
      </w:r>
      <w:r w:rsidRPr="00C453CC">
        <w:t>, 271–277 (2012).</w:t>
      </w:r>
    </w:p>
    <w:p w14:paraId="34323D30" w14:textId="1A7E6E38" w:rsidR="008D34E1" w:rsidRPr="00C453CC" w:rsidRDefault="008D34E1" w:rsidP="007C2A68">
      <w:pPr>
        <w:pStyle w:val="Bibliography"/>
        <w:tabs>
          <w:tab w:val="clear" w:pos="384"/>
          <w:tab w:val="left" w:pos="284"/>
        </w:tabs>
        <w:spacing w:line="240" w:lineRule="auto"/>
        <w:ind w:left="0" w:firstLine="0"/>
      </w:pPr>
      <w:r w:rsidRPr="00C453CC">
        <w:t>30.</w:t>
      </w:r>
      <w:r w:rsidRPr="00C453CC">
        <w:tab/>
        <w:t xml:space="preserve">Kim, J.-Y., </w:t>
      </w:r>
      <w:proofErr w:type="spellStart"/>
      <w:r w:rsidRPr="00C453CC">
        <w:t>Grunke</w:t>
      </w:r>
      <w:proofErr w:type="spellEnd"/>
      <w:r w:rsidRPr="00C453CC">
        <w:t xml:space="preserve">, S. </w:t>
      </w:r>
      <w:r w:rsidR="0098340E" w:rsidRPr="00C453CC">
        <w:t xml:space="preserve">D., </w:t>
      </w:r>
      <w:r w:rsidRPr="00C453CC">
        <w:t xml:space="preserve">Levites, Y., </w:t>
      </w:r>
      <w:proofErr w:type="spellStart"/>
      <w:r w:rsidRPr="00C453CC">
        <w:t>Golde</w:t>
      </w:r>
      <w:proofErr w:type="spellEnd"/>
      <w:r w:rsidRPr="00C453CC">
        <w:t>, T. E.</w:t>
      </w:r>
      <w:r w:rsidR="00BC57D1" w:rsidRPr="00C453CC">
        <w:t>,</w:t>
      </w:r>
      <w:r w:rsidRPr="00C453CC">
        <w:t xml:space="preserve"> </w:t>
      </w:r>
      <w:proofErr w:type="spellStart"/>
      <w:r w:rsidRPr="00C453CC">
        <w:t>Jankowsky</w:t>
      </w:r>
      <w:proofErr w:type="spellEnd"/>
      <w:r w:rsidRPr="00C453CC">
        <w:t xml:space="preserve">, J. L. Intracerebroventricular </w:t>
      </w:r>
      <w:r w:rsidR="00BC57D1" w:rsidRPr="00C453CC">
        <w:t>viral injection of the neonatal mouse brain for persistent and widespread neuronal transduction</w:t>
      </w:r>
      <w:r w:rsidRPr="00C453CC">
        <w:t xml:space="preserve">. </w:t>
      </w:r>
      <w:r w:rsidRPr="00C453CC">
        <w:rPr>
          <w:i/>
          <w:iCs/>
        </w:rPr>
        <w:t>J</w:t>
      </w:r>
      <w:r w:rsidR="00BC57D1" w:rsidRPr="00C453CC">
        <w:rPr>
          <w:i/>
          <w:iCs/>
        </w:rPr>
        <w:t xml:space="preserve">ournal of Visualized Experiments: </w:t>
      </w:r>
      <w:proofErr w:type="spellStart"/>
      <w:r w:rsidR="00BC57D1" w:rsidRPr="00C453CC">
        <w:rPr>
          <w:i/>
          <w:iCs/>
        </w:rPr>
        <w:t>J</w:t>
      </w:r>
      <w:r w:rsidRPr="00C453CC">
        <w:rPr>
          <w:i/>
          <w:iCs/>
        </w:rPr>
        <w:t>oVE</w:t>
      </w:r>
      <w:proofErr w:type="spellEnd"/>
      <w:r w:rsidR="00BC57D1" w:rsidRPr="00C453CC">
        <w:rPr>
          <w:i/>
          <w:iCs/>
        </w:rPr>
        <w:t>.</w:t>
      </w:r>
      <w:r w:rsidRPr="00C453CC">
        <w:t xml:space="preserve"> </w:t>
      </w:r>
      <w:r w:rsidR="00BC57D1" w:rsidRPr="00C453CC">
        <w:rPr>
          <w:b/>
          <w:bCs/>
        </w:rPr>
        <w:t>91</w:t>
      </w:r>
      <w:r w:rsidR="00BC57D1" w:rsidRPr="00C453CC">
        <w:t xml:space="preserve">, </w:t>
      </w:r>
      <w:r w:rsidRPr="00C453CC">
        <w:t>51863 (2014)</w:t>
      </w:r>
      <w:r w:rsidR="00BC57D1" w:rsidRPr="00C453CC">
        <w:t>.</w:t>
      </w:r>
    </w:p>
    <w:p w14:paraId="06622E49" w14:textId="2B7C84A1" w:rsidR="008D34E1" w:rsidRPr="00C453CC" w:rsidRDefault="008D34E1" w:rsidP="007C2A68">
      <w:pPr>
        <w:pStyle w:val="Bibliography"/>
        <w:tabs>
          <w:tab w:val="clear" w:pos="384"/>
          <w:tab w:val="left" w:pos="284"/>
        </w:tabs>
        <w:spacing w:line="240" w:lineRule="auto"/>
        <w:ind w:left="0" w:firstLine="0"/>
      </w:pPr>
      <w:r w:rsidRPr="00C453CC">
        <w:t>31.</w:t>
      </w:r>
      <w:r w:rsidRPr="00C453CC">
        <w:tab/>
        <w:t>Liu, D., Zhu, M., Zhang, Y.</w:t>
      </w:r>
      <w:r w:rsidR="00BC57D1" w:rsidRPr="00C453CC">
        <w:t>,</w:t>
      </w:r>
      <w:r w:rsidRPr="00C453CC">
        <w:t xml:space="preserve"> </w:t>
      </w:r>
      <w:proofErr w:type="spellStart"/>
      <w:r w:rsidRPr="00C453CC">
        <w:t>Diao</w:t>
      </w:r>
      <w:proofErr w:type="spellEnd"/>
      <w:r w:rsidRPr="00C453CC">
        <w:t xml:space="preserve">, Y. Crossing the blood-brain barrier with AAV vectors. </w:t>
      </w:r>
      <w:r w:rsidRPr="00C453CC">
        <w:rPr>
          <w:i/>
          <w:iCs/>
        </w:rPr>
        <w:t>Metabolic Brain Disease</w:t>
      </w:r>
      <w:r w:rsidR="00357489" w:rsidRPr="00C453CC">
        <w:t xml:space="preserve">. </w:t>
      </w:r>
      <w:r w:rsidR="00357489" w:rsidRPr="00C453CC">
        <w:rPr>
          <w:b/>
          <w:bCs/>
        </w:rPr>
        <w:t>36</w:t>
      </w:r>
      <w:r w:rsidR="00357489" w:rsidRPr="00C453CC">
        <w:t xml:space="preserve"> (1), 45–52 </w:t>
      </w:r>
      <w:r w:rsidRPr="00C453CC">
        <w:t xml:space="preserve">(2021). </w:t>
      </w:r>
    </w:p>
    <w:p w14:paraId="7F9663CF" w14:textId="7F2FE879" w:rsidR="008D34E1" w:rsidRPr="00C453CC" w:rsidRDefault="008D34E1" w:rsidP="007C2A68">
      <w:pPr>
        <w:pStyle w:val="Bibliography"/>
        <w:tabs>
          <w:tab w:val="clear" w:pos="384"/>
          <w:tab w:val="left" w:pos="284"/>
        </w:tabs>
        <w:spacing w:line="240" w:lineRule="auto"/>
        <w:ind w:left="0" w:firstLine="0"/>
      </w:pPr>
      <w:r w:rsidRPr="00C453CC">
        <w:t>32.</w:t>
      </w:r>
      <w:r w:rsidRPr="00C453CC">
        <w:tab/>
        <w:t xml:space="preserve">Prabhakar, S., </w:t>
      </w:r>
      <w:proofErr w:type="spellStart"/>
      <w:r w:rsidRPr="00C453CC">
        <w:t>Lule</w:t>
      </w:r>
      <w:proofErr w:type="spellEnd"/>
      <w:r w:rsidRPr="00C453CC">
        <w:t xml:space="preserve">, S., DA Hora, C. C., </w:t>
      </w:r>
      <w:proofErr w:type="spellStart"/>
      <w:r w:rsidRPr="00C453CC">
        <w:t>Breakefield</w:t>
      </w:r>
      <w:proofErr w:type="spellEnd"/>
      <w:r w:rsidRPr="00C453CC">
        <w:t>, X. O.</w:t>
      </w:r>
      <w:r w:rsidR="00357489" w:rsidRPr="00C453CC">
        <w:t>,</w:t>
      </w:r>
      <w:r w:rsidRPr="00C453CC">
        <w:t xml:space="preserve"> Cheah, P. S. AAV9 transduction mediated by systemic delivery of vector via retro-orbital injection in newborn, neonatal and juvenile mice. </w:t>
      </w:r>
      <w:r w:rsidRPr="00C453CC">
        <w:rPr>
          <w:i/>
          <w:iCs/>
        </w:rPr>
        <w:t>Exp</w:t>
      </w:r>
      <w:r w:rsidR="00357489" w:rsidRPr="00C453CC">
        <w:rPr>
          <w:i/>
          <w:iCs/>
        </w:rPr>
        <w:t>erimental</w:t>
      </w:r>
      <w:r w:rsidRPr="00C453CC">
        <w:rPr>
          <w:i/>
          <w:iCs/>
        </w:rPr>
        <w:t xml:space="preserve"> Anim</w:t>
      </w:r>
      <w:r w:rsidR="00357489" w:rsidRPr="00C453CC">
        <w:rPr>
          <w:i/>
          <w:iCs/>
        </w:rPr>
        <w:t>als.</w:t>
      </w:r>
      <w:r w:rsidRPr="00C453CC">
        <w:t xml:space="preserve"> doi:10.1538/expanim.20-0186</w:t>
      </w:r>
      <w:r w:rsidR="00357489" w:rsidRPr="00C453CC">
        <w:t xml:space="preserve"> (2021)</w:t>
      </w:r>
      <w:r w:rsidRPr="00C453CC">
        <w:t>.</w:t>
      </w:r>
    </w:p>
    <w:p w14:paraId="119BA8D8" w14:textId="7285536E" w:rsidR="005B0A9F" w:rsidRPr="00C453CC" w:rsidRDefault="008D34E1" w:rsidP="007C2A68">
      <w:pPr>
        <w:pStyle w:val="Bibliography"/>
        <w:tabs>
          <w:tab w:val="clear" w:pos="384"/>
          <w:tab w:val="left" w:pos="284"/>
        </w:tabs>
        <w:spacing w:line="240" w:lineRule="auto"/>
        <w:ind w:left="0" w:firstLine="0"/>
      </w:pPr>
      <w:r w:rsidRPr="00C453CC">
        <w:t>33.</w:t>
      </w:r>
      <w:r w:rsidRPr="00C453CC">
        <w:tab/>
      </w:r>
      <w:proofErr w:type="spellStart"/>
      <w:r w:rsidR="0098340E" w:rsidRPr="00C453CC">
        <w:t>Gruntman</w:t>
      </w:r>
      <w:proofErr w:type="spellEnd"/>
      <w:r w:rsidR="0098340E" w:rsidRPr="00C453CC">
        <w:t xml:space="preserve">, A. M., </w:t>
      </w:r>
      <w:proofErr w:type="spellStart"/>
      <w:r w:rsidR="0098340E" w:rsidRPr="00C453CC">
        <w:t>Su</w:t>
      </w:r>
      <w:proofErr w:type="spellEnd"/>
      <w:r w:rsidR="0098340E" w:rsidRPr="00C453CC">
        <w:t>, L.</w:t>
      </w:r>
      <w:r w:rsidR="00357489" w:rsidRPr="00C453CC">
        <w:t>,</w:t>
      </w:r>
      <w:r w:rsidR="0098340E" w:rsidRPr="00C453CC">
        <w:t xml:space="preserve"> </w:t>
      </w:r>
      <w:proofErr w:type="spellStart"/>
      <w:r w:rsidR="0098340E" w:rsidRPr="00C453CC">
        <w:t>Flotte</w:t>
      </w:r>
      <w:proofErr w:type="spellEnd"/>
      <w:r w:rsidR="0098340E" w:rsidRPr="00C453CC">
        <w:t>, T. R. Retro-</w:t>
      </w:r>
      <w:r w:rsidR="00357489" w:rsidRPr="00C453CC">
        <w:t>orbital venous sinus delivery o</w:t>
      </w:r>
      <w:r w:rsidR="0098340E" w:rsidRPr="00C453CC">
        <w:t xml:space="preserve">f rAAV9 </w:t>
      </w:r>
      <w:r w:rsidR="00357489" w:rsidRPr="00C453CC">
        <w:t>mediates high-level transduction of brain and retina compared with temporal vein delivery in neonatal mouse pu</w:t>
      </w:r>
      <w:r w:rsidR="0098340E" w:rsidRPr="00C453CC">
        <w:t xml:space="preserve">ps. </w:t>
      </w:r>
      <w:r w:rsidR="0098340E" w:rsidRPr="00C453CC">
        <w:rPr>
          <w:i/>
        </w:rPr>
        <w:t>Human Gene Therapy</w:t>
      </w:r>
      <w:r w:rsidR="00357489" w:rsidRPr="00C453CC">
        <w:t xml:space="preserve">. </w:t>
      </w:r>
      <w:r w:rsidR="00357489" w:rsidRPr="00C453CC">
        <w:rPr>
          <w:b/>
          <w:bCs/>
        </w:rPr>
        <w:t xml:space="preserve">28 </w:t>
      </w:r>
      <w:r w:rsidR="00357489" w:rsidRPr="00C453CC">
        <w:t xml:space="preserve">(3), 228–230 </w:t>
      </w:r>
      <w:r w:rsidR="0098340E" w:rsidRPr="00C453CC">
        <w:t>(2017).</w:t>
      </w:r>
    </w:p>
    <w:p w14:paraId="423E001C" w14:textId="16C82664" w:rsidR="008D34E1" w:rsidRPr="00C453CC" w:rsidRDefault="008D34E1" w:rsidP="007C2A68">
      <w:pPr>
        <w:pStyle w:val="Bibliography"/>
        <w:tabs>
          <w:tab w:val="clear" w:pos="384"/>
          <w:tab w:val="left" w:pos="284"/>
        </w:tabs>
        <w:spacing w:line="240" w:lineRule="auto"/>
        <w:ind w:left="0" w:firstLine="0"/>
      </w:pPr>
      <w:r w:rsidRPr="00C453CC">
        <w:t>34.</w:t>
      </w:r>
      <w:r w:rsidRPr="00C453CC">
        <w:tab/>
        <w:t>Inoue, F.</w:t>
      </w:r>
      <w:proofErr w:type="gramStart"/>
      <w:r w:rsidR="00357489" w:rsidRPr="00C453CC">
        <w:t xml:space="preserve">, </w:t>
      </w:r>
      <w:r w:rsidRPr="00C453CC">
        <w:t xml:space="preserve"> </w:t>
      </w:r>
      <w:proofErr w:type="spellStart"/>
      <w:r w:rsidRPr="00C453CC">
        <w:t>Ahituv</w:t>
      </w:r>
      <w:proofErr w:type="spellEnd"/>
      <w:proofErr w:type="gramEnd"/>
      <w:r w:rsidRPr="00C453CC">
        <w:t xml:space="preserve">, N. Decoding enhancers using massively parallel reporter assays. </w:t>
      </w:r>
      <w:r w:rsidRPr="00C453CC">
        <w:rPr>
          <w:i/>
          <w:iCs/>
        </w:rPr>
        <w:t>Genomics</w:t>
      </w:r>
      <w:r w:rsidR="00357489" w:rsidRPr="00C453CC">
        <w:rPr>
          <w:i/>
          <w:iCs/>
        </w:rPr>
        <w:t>.</w:t>
      </w:r>
      <w:r w:rsidRPr="00C453CC">
        <w:t xml:space="preserve"> </w:t>
      </w:r>
      <w:r w:rsidR="00357489" w:rsidRPr="00C453CC">
        <w:rPr>
          <w:b/>
          <w:bCs/>
        </w:rPr>
        <w:t>106</w:t>
      </w:r>
      <w:r w:rsidR="00357489" w:rsidRPr="00C453CC">
        <w:t xml:space="preserve"> (3), 159–164 </w:t>
      </w:r>
      <w:r w:rsidRPr="00C453CC">
        <w:t xml:space="preserve">(2015). </w:t>
      </w:r>
    </w:p>
    <w:p w14:paraId="5F971706" w14:textId="657531BE" w:rsidR="008D34E1" w:rsidRPr="00C453CC" w:rsidRDefault="008D34E1" w:rsidP="007C2A68">
      <w:pPr>
        <w:pStyle w:val="Bibliography"/>
        <w:tabs>
          <w:tab w:val="clear" w:pos="384"/>
          <w:tab w:val="left" w:pos="284"/>
        </w:tabs>
        <w:spacing w:line="240" w:lineRule="auto"/>
        <w:ind w:left="0" w:firstLine="0"/>
      </w:pPr>
      <w:r w:rsidRPr="00C453CC">
        <w:t>35.</w:t>
      </w:r>
      <w:r w:rsidRPr="00C453CC">
        <w:tab/>
        <w:t xml:space="preserve">Gordon, M. G. </w:t>
      </w:r>
      <w:r w:rsidR="009F16C6" w:rsidRPr="00C453CC">
        <w:rPr>
          <w:iCs/>
        </w:rPr>
        <w:t>et al</w:t>
      </w:r>
      <w:r w:rsidRPr="00C453CC">
        <w:rPr>
          <w:i/>
          <w:iCs/>
        </w:rPr>
        <w:t>.</w:t>
      </w:r>
      <w:r w:rsidRPr="00C453CC">
        <w:t xml:space="preserve"> </w:t>
      </w:r>
      <w:proofErr w:type="spellStart"/>
      <w:r w:rsidRPr="00C453CC">
        <w:t>lentiMPRA</w:t>
      </w:r>
      <w:proofErr w:type="spellEnd"/>
      <w:r w:rsidRPr="00C453CC">
        <w:t xml:space="preserve"> and </w:t>
      </w:r>
      <w:proofErr w:type="spellStart"/>
      <w:r w:rsidRPr="00C453CC">
        <w:t>MPRAflow</w:t>
      </w:r>
      <w:proofErr w:type="spellEnd"/>
      <w:r w:rsidRPr="00C453CC">
        <w:t xml:space="preserve"> for high-throughput functional characterization of gene regulatory elements. </w:t>
      </w:r>
      <w:r w:rsidRPr="00C453CC">
        <w:rPr>
          <w:i/>
          <w:iCs/>
        </w:rPr>
        <w:t>Nature Protocols</w:t>
      </w:r>
      <w:r w:rsidR="00357489" w:rsidRPr="00C453CC">
        <w:t xml:space="preserve">. </w:t>
      </w:r>
      <w:r w:rsidR="00357489" w:rsidRPr="00C453CC">
        <w:rPr>
          <w:b/>
          <w:bCs/>
        </w:rPr>
        <w:t xml:space="preserve">15 </w:t>
      </w:r>
      <w:r w:rsidR="00357489" w:rsidRPr="00C453CC">
        <w:t xml:space="preserve">(8), 2387–2412 </w:t>
      </w:r>
      <w:r w:rsidRPr="00C453CC">
        <w:t>(2020)</w:t>
      </w:r>
      <w:r w:rsidR="00357489" w:rsidRPr="00C453CC">
        <w:t>.</w:t>
      </w:r>
      <w:r w:rsidRPr="00C453CC">
        <w:t xml:space="preserve"> </w:t>
      </w:r>
    </w:p>
    <w:p w14:paraId="425B2DC0" w14:textId="0A4B85FC" w:rsidR="008D34E1" w:rsidRPr="00C453CC" w:rsidRDefault="008D34E1" w:rsidP="007C2A68">
      <w:pPr>
        <w:pStyle w:val="Bibliography"/>
        <w:tabs>
          <w:tab w:val="clear" w:pos="384"/>
          <w:tab w:val="left" w:pos="284"/>
        </w:tabs>
        <w:spacing w:line="240" w:lineRule="auto"/>
        <w:ind w:left="0" w:firstLine="0"/>
      </w:pPr>
      <w:r w:rsidRPr="00C453CC">
        <w:t>36.</w:t>
      </w:r>
      <w:r w:rsidRPr="00C453CC">
        <w:tab/>
        <w:t xml:space="preserve">Klein, J. C. </w:t>
      </w:r>
      <w:r w:rsidR="009F16C6" w:rsidRPr="00C453CC">
        <w:rPr>
          <w:iCs/>
        </w:rPr>
        <w:t>et al</w:t>
      </w:r>
      <w:r w:rsidRPr="00C453CC">
        <w:rPr>
          <w:i/>
          <w:iCs/>
        </w:rPr>
        <w:t>.</w:t>
      </w:r>
      <w:r w:rsidRPr="00C453CC">
        <w:t xml:space="preserve"> A systematic evaluation of the design and context dependencies of massively parallel reporter assays. </w:t>
      </w:r>
      <w:r w:rsidRPr="00C453CC">
        <w:rPr>
          <w:i/>
          <w:iCs/>
        </w:rPr>
        <w:t>Nature Methods</w:t>
      </w:r>
      <w:r w:rsidR="00357489" w:rsidRPr="00C453CC">
        <w:t xml:space="preserve">. </w:t>
      </w:r>
      <w:r w:rsidR="00357489" w:rsidRPr="00C453CC">
        <w:rPr>
          <w:b/>
          <w:bCs/>
        </w:rPr>
        <w:t>17</w:t>
      </w:r>
      <w:r w:rsidR="00357489" w:rsidRPr="00C453CC">
        <w:t xml:space="preserve"> (11), 1083–1091 </w:t>
      </w:r>
      <w:r w:rsidRPr="00C453CC">
        <w:t>(2020)</w:t>
      </w:r>
      <w:r w:rsidR="00357489" w:rsidRPr="00C453CC">
        <w:t>.</w:t>
      </w:r>
      <w:r w:rsidRPr="00C453CC">
        <w:t xml:space="preserve"> </w:t>
      </w:r>
    </w:p>
    <w:p w14:paraId="24CDDD78" w14:textId="59D3546C" w:rsidR="005B0A9F" w:rsidRPr="00C453CC" w:rsidRDefault="008D34E1" w:rsidP="007C2A68">
      <w:pPr>
        <w:pStyle w:val="Bibliography"/>
        <w:tabs>
          <w:tab w:val="clear" w:pos="384"/>
          <w:tab w:val="left" w:pos="284"/>
        </w:tabs>
        <w:spacing w:line="240" w:lineRule="auto"/>
        <w:ind w:left="0" w:firstLine="0"/>
      </w:pPr>
      <w:r w:rsidRPr="00C453CC">
        <w:t>37.</w:t>
      </w:r>
      <w:r w:rsidRPr="00C453CC">
        <w:tab/>
      </w:r>
      <w:proofErr w:type="spellStart"/>
      <w:r w:rsidR="0098340E" w:rsidRPr="00C453CC">
        <w:t>Creyghton</w:t>
      </w:r>
      <w:proofErr w:type="spellEnd"/>
      <w:r w:rsidR="0098340E" w:rsidRPr="00C453CC">
        <w:t xml:space="preserve">, M. P. </w:t>
      </w:r>
      <w:r w:rsidR="009F16C6" w:rsidRPr="00C453CC">
        <w:t>et al</w:t>
      </w:r>
      <w:r w:rsidR="0098340E" w:rsidRPr="00C453CC">
        <w:rPr>
          <w:i/>
        </w:rPr>
        <w:t>.</w:t>
      </w:r>
      <w:r w:rsidR="0098340E" w:rsidRPr="00C453CC">
        <w:t xml:space="preserve"> Histone H3K27ac separates active from poised enhancers and predicts developmental state. </w:t>
      </w:r>
      <w:r w:rsidR="0098340E" w:rsidRPr="00C453CC">
        <w:rPr>
          <w:i/>
        </w:rPr>
        <w:t>Proceedings of the National Academy of Sciences of the United States of America</w:t>
      </w:r>
      <w:r w:rsidR="00357489" w:rsidRPr="00C453CC">
        <w:t xml:space="preserve">. </w:t>
      </w:r>
      <w:r w:rsidR="00357489" w:rsidRPr="00C453CC">
        <w:rPr>
          <w:b/>
          <w:bCs/>
        </w:rPr>
        <w:t xml:space="preserve">107 </w:t>
      </w:r>
      <w:r w:rsidR="00357489" w:rsidRPr="00C453CC">
        <w:t xml:space="preserve">(50), 21931–21936 </w:t>
      </w:r>
      <w:r w:rsidR="0098340E" w:rsidRPr="00C453CC">
        <w:t>(2010).</w:t>
      </w:r>
    </w:p>
    <w:p w14:paraId="00000129" w14:textId="7CFF76C4" w:rsidR="005B0A9F" w:rsidRPr="00C453CC" w:rsidRDefault="008D34E1" w:rsidP="007C2A68">
      <w:pPr>
        <w:pStyle w:val="Bibliography"/>
        <w:tabs>
          <w:tab w:val="clear" w:pos="384"/>
          <w:tab w:val="left" w:pos="284"/>
        </w:tabs>
        <w:spacing w:line="240" w:lineRule="auto"/>
        <w:ind w:left="0" w:firstLine="0"/>
      </w:pPr>
      <w:r w:rsidRPr="00C453CC">
        <w:t>38.</w:t>
      </w:r>
      <w:r w:rsidRPr="00C453CC">
        <w:tab/>
      </w:r>
      <w:r w:rsidR="0098340E" w:rsidRPr="00C453CC">
        <w:t>Song, L.</w:t>
      </w:r>
      <w:r w:rsidR="00804CF5" w:rsidRPr="00C453CC">
        <w:t>,</w:t>
      </w:r>
      <w:r w:rsidR="0098340E" w:rsidRPr="00C453CC">
        <w:t xml:space="preserve"> Crawford, G. E. DNase-seq: A high-resolution technique for mapping active gene regulatory elements across the genome from mammalian cells. </w:t>
      </w:r>
      <w:r w:rsidR="0098340E" w:rsidRPr="00C453CC">
        <w:rPr>
          <w:i/>
        </w:rPr>
        <w:t>Cold Spring Harbor Protocols</w:t>
      </w:r>
      <w:r w:rsidR="00804CF5" w:rsidRPr="00C453CC">
        <w:rPr>
          <w:i/>
        </w:rPr>
        <w:t>.</w:t>
      </w:r>
      <w:r w:rsidR="0098340E" w:rsidRPr="00C453CC">
        <w:t xml:space="preserve"> </w:t>
      </w:r>
      <w:r w:rsidR="00804CF5" w:rsidRPr="00C453CC">
        <w:rPr>
          <w:b/>
          <w:bCs/>
        </w:rPr>
        <w:t>2010</w:t>
      </w:r>
      <w:r w:rsidR="00804CF5" w:rsidRPr="00C453CC">
        <w:t xml:space="preserve"> (2), </w:t>
      </w:r>
      <w:proofErr w:type="gramStart"/>
      <w:r w:rsidR="00804CF5" w:rsidRPr="00C453CC">
        <w:t>pdb.prot</w:t>
      </w:r>
      <w:proofErr w:type="gramEnd"/>
      <w:r w:rsidR="00804CF5" w:rsidRPr="00C453CC">
        <w:t xml:space="preserve">5384 </w:t>
      </w:r>
      <w:r w:rsidR="0098340E" w:rsidRPr="00C453CC">
        <w:t>(2010)</w:t>
      </w:r>
      <w:r w:rsidR="00804CF5" w:rsidRPr="00C453CC">
        <w:t>.</w:t>
      </w:r>
    </w:p>
    <w:p w14:paraId="64896259" w14:textId="681769D0" w:rsidR="005B0A9F" w:rsidRPr="00C453CC" w:rsidRDefault="008D34E1" w:rsidP="007C2A68">
      <w:pPr>
        <w:pStyle w:val="Bibliography"/>
        <w:tabs>
          <w:tab w:val="clear" w:pos="384"/>
          <w:tab w:val="left" w:pos="284"/>
        </w:tabs>
        <w:spacing w:line="240" w:lineRule="auto"/>
        <w:ind w:left="0" w:firstLine="0"/>
      </w:pPr>
      <w:r w:rsidRPr="00C453CC">
        <w:t>39.</w:t>
      </w:r>
      <w:r w:rsidRPr="00C453CC">
        <w:tab/>
      </w:r>
      <w:r w:rsidR="0098340E" w:rsidRPr="00C453CC">
        <w:t xml:space="preserve">King, D. M. </w:t>
      </w:r>
      <w:r w:rsidR="009F16C6" w:rsidRPr="00C453CC">
        <w:t>et al</w:t>
      </w:r>
      <w:r w:rsidR="0098340E" w:rsidRPr="00C453CC">
        <w:rPr>
          <w:i/>
        </w:rPr>
        <w:t>.</w:t>
      </w:r>
      <w:r w:rsidR="0098340E" w:rsidRPr="00C453CC">
        <w:t xml:space="preserve"> Synthetic and genomic regulatory elements reveal aspects of Cis-regulatory grammar in mouse embryonic stem cells. </w:t>
      </w:r>
      <w:proofErr w:type="spellStart"/>
      <w:r w:rsidR="0098340E" w:rsidRPr="00C453CC">
        <w:rPr>
          <w:i/>
        </w:rPr>
        <w:t>eLife</w:t>
      </w:r>
      <w:proofErr w:type="spellEnd"/>
      <w:r w:rsidR="00804CF5" w:rsidRPr="00C453CC">
        <w:t xml:space="preserve">. </w:t>
      </w:r>
      <w:r w:rsidR="00804CF5" w:rsidRPr="00C453CC">
        <w:rPr>
          <w:b/>
          <w:bCs/>
        </w:rPr>
        <w:t>9</w:t>
      </w:r>
      <w:r w:rsidR="00804CF5" w:rsidRPr="00C453CC">
        <w:t xml:space="preserve">, e41279 </w:t>
      </w:r>
      <w:r w:rsidR="0098340E" w:rsidRPr="00C453CC">
        <w:t>(2020).</w:t>
      </w:r>
    </w:p>
    <w:p w14:paraId="058ECE99" w14:textId="6075F848" w:rsidR="008D34E1" w:rsidRPr="00C453CC" w:rsidRDefault="008D34E1" w:rsidP="007C2A68">
      <w:pPr>
        <w:pStyle w:val="Bibliography"/>
        <w:tabs>
          <w:tab w:val="clear" w:pos="384"/>
          <w:tab w:val="left" w:pos="284"/>
        </w:tabs>
        <w:spacing w:line="240" w:lineRule="auto"/>
        <w:ind w:left="0" w:firstLine="0"/>
      </w:pPr>
      <w:r w:rsidRPr="00C453CC">
        <w:t>40.</w:t>
      </w:r>
      <w:r w:rsidRPr="00C453CC">
        <w:tab/>
        <w:t>Amit, R., Garcia, H. G., Phillips, R.</w:t>
      </w:r>
      <w:r w:rsidR="00804CF5" w:rsidRPr="00C453CC">
        <w:t>,</w:t>
      </w:r>
      <w:r w:rsidRPr="00C453CC">
        <w:t xml:space="preserve"> Fraser, S. E. Building enhancers from the ground up: a synthetic biology approach. </w:t>
      </w:r>
      <w:r w:rsidRPr="00C453CC">
        <w:rPr>
          <w:i/>
          <w:iCs/>
        </w:rPr>
        <w:t>Cell</w:t>
      </w:r>
      <w:r w:rsidR="00804CF5" w:rsidRPr="00C453CC">
        <w:t xml:space="preserve">. </w:t>
      </w:r>
      <w:r w:rsidRPr="00C453CC">
        <w:rPr>
          <w:b/>
          <w:bCs/>
        </w:rPr>
        <w:t>146</w:t>
      </w:r>
      <w:r w:rsidRPr="00C453CC">
        <w:t>, 105–118 (2011).</w:t>
      </w:r>
    </w:p>
    <w:p w14:paraId="52986406" w14:textId="542E3ABA" w:rsidR="008D34E1" w:rsidRPr="00C453CC" w:rsidRDefault="008D34E1" w:rsidP="007C2A68">
      <w:pPr>
        <w:pStyle w:val="Bibliography"/>
        <w:tabs>
          <w:tab w:val="clear" w:pos="384"/>
          <w:tab w:val="left" w:pos="284"/>
        </w:tabs>
        <w:spacing w:line="240" w:lineRule="auto"/>
        <w:ind w:left="0" w:firstLine="0"/>
      </w:pPr>
      <w:r w:rsidRPr="00C453CC">
        <w:t>41.</w:t>
      </w:r>
      <w:r w:rsidRPr="00C453CC">
        <w:tab/>
        <w:t>Fan, M., Tsai, J., Chen, B., Fan, K.</w:t>
      </w:r>
      <w:r w:rsidR="00804CF5" w:rsidRPr="00C453CC">
        <w:t>,</w:t>
      </w:r>
      <w:r w:rsidRPr="00C453CC">
        <w:t xml:space="preserve"> </w:t>
      </w:r>
      <w:proofErr w:type="spellStart"/>
      <w:r w:rsidRPr="00C453CC">
        <w:t>LaBaer</w:t>
      </w:r>
      <w:proofErr w:type="spellEnd"/>
      <w:r w:rsidRPr="00C453CC">
        <w:t xml:space="preserve">, J. A central repository for published plasmids. </w:t>
      </w:r>
      <w:r w:rsidRPr="00C453CC">
        <w:rPr>
          <w:i/>
          <w:iCs/>
        </w:rPr>
        <w:t>Science</w:t>
      </w:r>
      <w:r w:rsidR="00804CF5" w:rsidRPr="00C453CC">
        <w:t xml:space="preserve">. </w:t>
      </w:r>
      <w:r w:rsidRPr="00C453CC">
        <w:rPr>
          <w:b/>
          <w:bCs/>
        </w:rPr>
        <w:t>307</w:t>
      </w:r>
      <w:r w:rsidRPr="00C453CC">
        <w:t>, 1877 (2005).</w:t>
      </w:r>
    </w:p>
    <w:p w14:paraId="6211AC95" w14:textId="47AE994F" w:rsidR="00E15E9C" w:rsidRPr="00C453CC" w:rsidRDefault="00E15E9C" w:rsidP="00FE4D67">
      <w:pPr>
        <w:pStyle w:val="Bibliography"/>
        <w:tabs>
          <w:tab w:val="clear" w:pos="384"/>
          <w:tab w:val="left" w:pos="0"/>
        </w:tabs>
        <w:spacing w:line="240" w:lineRule="auto"/>
        <w:ind w:left="0" w:firstLine="0"/>
      </w:pPr>
      <w:r w:rsidRPr="00C453CC">
        <w:t>42.</w:t>
      </w:r>
      <w:r w:rsidR="00D901E0" w:rsidRPr="00C453CC">
        <w:tab/>
      </w:r>
      <w:r w:rsidRPr="00C453CC">
        <w:t>Sanger, F.</w:t>
      </w:r>
      <w:r w:rsidR="00A85350" w:rsidRPr="00C453CC">
        <w:t>,</w:t>
      </w:r>
      <w:r w:rsidRPr="00C453CC">
        <w:t xml:space="preserve"> Coulson, A. R. A rapid method for determining sequences in DNA by primed synthesis with DNA polymerase. </w:t>
      </w:r>
      <w:r w:rsidRPr="00C453CC">
        <w:rPr>
          <w:i/>
          <w:iCs/>
        </w:rPr>
        <w:t>Journal of Molecular Biology</w:t>
      </w:r>
      <w:r w:rsidR="00D6656F" w:rsidRPr="00C453CC">
        <w:rPr>
          <w:i/>
          <w:iCs/>
        </w:rPr>
        <w:t>.</w:t>
      </w:r>
      <w:r w:rsidRPr="00C453CC">
        <w:t xml:space="preserve"> </w:t>
      </w:r>
      <w:r w:rsidRPr="00C453CC">
        <w:rPr>
          <w:b/>
          <w:bCs/>
        </w:rPr>
        <w:t>94</w:t>
      </w:r>
      <w:r w:rsidRPr="00C453CC">
        <w:t>, 441–448 (1975).</w:t>
      </w:r>
    </w:p>
    <w:p w14:paraId="3B422CF8" w14:textId="103C4E3C" w:rsidR="008D34E1" w:rsidRPr="00C453CC" w:rsidRDefault="00E15E9C" w:rsidP="007C2A68">
      <w:pPr>
        <w:pStyle w:val="Bibliography"/>
        <w:tabs>
          <w:tab w:val="clear" w:pos="384"/>
          <w:tab w:val="left" w:pos="284"/>
        </w:tabs>
        <w:spacing w:line="240" w:lineRule="auto"/>
        <w:ind w:left="0" w:firstLine="0"/>
      </w:pPr>
      <w:r w:rsidRPr="00C453CC">
        <w:t>43.</w:t>
      </w:r>
      <w:r w:rsidR="008D34E1" w:rsidRPr="00C453CC">
        <w:tab/>
        <w:t>Broussard, G. J., Unger, E. K., Liang, R., McGrew, B. P.</w:t>
      </w:r>
      <w:r w:rsidR="00804CF5" w:rsidRPr="00C453CC">
        <w:t>,</w:t>
      </w:r>
      <w:r w:rsidR="008D34E1" w:rsidRPr="00C453CC">
        <w:t xml:space="preserve"> Tian, L. Imaging </w:t>
      </w:r>
      <w:r w:rsidR="00804CF5" w:rsidRPr="00C453CC">
        <w:t>glutamate with genetically encoded fluorescent sensor</w:t>
      </w:r>
      <w:r w:rsidR="008D34E1" w:rsidRPr="00C453CC">
        <w:t xml:space="preserve">s. in </w:t>
      </w:r>
      <w:r w:rsidR="008D34E1" w:rsidRPr="00C453CC">
        <w:rPr>
          <w:i/>
          <w:iCs/>
        </w:rPr>
        <w:t>Biochemical Approaches for Glutamatergic Neurotransmission</w:t>
      </w:r>
      <w:r w:rsidR="008D34E1" w:rsidRPr="00C453CC">
        <w:t xml:space="preserve"> (eds. Parrot, S. &amp; </w:t>
      </w:r>
      <w:proofErr w:type="spellStart"/>
      <w:r w:rsidR="008D34E1" w:rsidRPr="00C453CC">
        <w:t>Denoroy</w:t>
      </w:r>
      <w:proofErr w:type="spellEnd"/>
      <w:r w:rsidR="008D34E1" w:rsidRPr="00C453CC">
        <w:t>, L.)</w:t>
      </w:r>
      <w:r w:rsidR="00804CF5" w:rsidRPr="00C453CC">
        <w:t xml:space="preserve">. </w:t>
      </w:r>
      <w:r w:rsidR="008D34E1" w:rsidRPr="00C453CC">
        <w:rPr>
          <w:b/>
          <w:bCs/>
        </w:rPr>
        <w:t>130</w:t>
      </w:r>
      <w:r w:rsidR="00804CF5" w:rsidRPr="00C453CC">
        <w:t xml:space="preserve">, </w:t>
      </w:r>
      <w:r w:rsidR="008D34E1" w:rsidRPr="00C453CC">
        <w:t>117–153</w:t>
      </w:r>
      <w:r w:rsidR="00804CF5" w:rsidRPr="00C453CC">
        <w:t xml:space="preserve">, </w:t>
      </w:r>
      <w:r w:rsidR="008D34E1" w:rsidRPr="00C453CC">
        <w:t>Springer</w:t>
      </w:r>
      <w:r w:rsidR="00804CF5" w:rsidRPr="00C453CC">
        <w:t xml:space="preserve">, </w:t>
      </w:r>
      <w:r w:rsidR="008D34E1" w:rsidRPr="00C453CC">
        <w:t xml:space="preserve">New York </w:t>
      </w:r>
      <w:r w:rsidR="00804CF5" w:rsidRPr="00C453CC">
        <w:t>(</w:t>
      </w:r>
      <w:r w:rsidR="008D34E1" w:rsidRPr="00C453CC">
        <w:t>2018).</w:t>
      </w:r>
    </w:p>
    <w:p w14:paraId="74C40A6B" w14:textId="749201CD" w:rsidR="008D34E1" w:rsidRPr="00C453CC" w:rsidRDefault="00E15E9C" w:rsidP="007C2A68">
      <w:pPr>
        <w:pStyle w:val="Bibliography"/>
        <w:tabs>
          <w:tab w:val="clear" w:pos="384"/>
          <w:tab w:val="left" w:pos="284"/>
        </w:tabs>
        <w:spacing w:line="240" w:lineRule="auto"/>
        <w:ind w:left="0" w:firstLine="0"/>
      </w:pPr>
      <w:r w:rsidRPr="00C453CC">
        <w:t>44</w:t>
      </w:r>
      <w:r w:rsidR="008D34E1" w:rsidRPr="00C453CC">
        <w:t>.</w:t>
      </w:r>
      <w:r w:rsidR="008D34E1" w:rsidRPr="00C453CC">
        <w:tab/>
        <w:t>Chen, Y. H., Keiser, M. S.</w:t>
      </w:r>
      <w:r w:rsidR="00804CF5" w:rsidRPr="00C453CC">
        <w:t>,</w:t>
      </w:r>
      <w:r w:rsidR="008D34E1" w:rsidRPr="00C453CC">
        <w:t xml:space="preserve"> Davidson, B. L. Adeno-</w:t>
      </w:r>
      <w:r w:rsidR="00804CF5" w:rsidRPr="00C453CC">
        <w:t xml:space="preserve">associated virus production, purification, and </w:t>
      </w:r>
      <w:proofErr w:type="spellStart"/>
      <w:r w:rsidR="00804CF5" w:rsidRPr="00C453CC">
        <w:t>titering</w:t>
      </w:r>
      <w:proofErr w:type="spellEnd"/>
      <w:r w:rsidR="008D34E1" w:rsidRPr="00C453CC">
        <w:t xml:space="preserve">. </w:t>
      </w:r>
      <w:r w:rsidR="008D34E1" w:rsidRPr="00C453CC">
        <w:rPr>
          <w:i/>
          <w:iCs/>
        </w:rPr>
        <w:t>Current Protocols in Mouse Biology</w:t>
      </w:r>
      <w:r w:rsidR="00804CF5" w:rsidRPr="00C453CC">
        <w:t xml:space="preserve">. </w:t>
      </w:r>
      <w:r w:rsidR="008D34E1" w:rsidRPr="00C453CC">
        <w:rPr>
          <w:b/>
          <w:bCs/>
        </w:rPr>
        <w:t>8</w:t>
      </w:r>
      <w:r w:rsidR="008D34E1" w:rsidRPr="00C453CC">
        <w:t>, e56 (2018).</w:t>
      </w:r>
    </w:p>
    <w:p w14:paraId="1FD0B365" w14:textId="205C038B" w:rsidR="008D34E1" w:rsidRPr="00C453CC" w:rsidRDefault="00E15E9C" w:rsidP="007C2A68">
      <w:pPr>
        <w:pStyle w:val="Bibliography"/>
        <w:tabs>
          <w:tab w:val="clear" w:pos="384"/>
          <w:tab w:val="left" w:pos="284"/>
        </w:tabs>
        <w:spacing w:line="240" w:lineRule="auto"/>
        <w:ind w:left="0" w:firstLine="0"/>
      </w:pPr>
      <w:r w:rsidRPr="00C453CC">
        <w:t>45</w:t>
      </w:r>
      <w:r w:rsidR="008D34E1" w:rsidRPr="00C453CC">
        <w:t>.</w:t>
      </w:r>
      <w:r w:rsidR="008D34E1" w:rsidRPr="00C453CC">
        <w:tab/>
        <w:t>He, C. X., Arroyo, E. D., Cantu, D. A., Goel, A.</w:t>
      </w:r>
      <w:r w:rsidR="00804CF5" w:rsidRPr="00C453CC">
        <w:t>,</w:t>
      </w:r>
      <w:r w:rsidR="008D34E1" w:rsidRPr="00C453CC">
        <w:t xml:space="preserve"> </w:t>
      </w:r>
      <w:proofErr w:type="spellStart"/>
      <w:r w:rsidR="008D34E1" w:rsidRPr="00C453CC">
        <w:t>Portera-Cailliau</w:t>
      </w:r>
      <w:proofErr w:type="spellEnd"/>
      <w:r w:rsidR="008D34E1" w:rsidRPr="00C453CC">
        <w:t xml:space="preserve">, C. A Versatile Method for Viral Transfection of Calcium Indicators in the Neonatal Mouse Brain. </w:t>
      </w:r>
      <w:r w:rsidR="008D34E1" w:rsidRPr="00C453CC">
        <w:rPr>
          <w:i/>
          <w:iCs/>
        </w:rPr>
        <w:t>Frontiers in Neural Circuits</w:t>
      </w:r>
      <w:r w:rsidR="00804CF5" w:rsidRPr="00C453CC">
        <w:rPr>
          <w:i/>
          <w:iCs/>
        </w:rPr>
        <w:t>.</w:t>
      </w:r>
      <w:r w:rsidR="008D34E1" w:rsidRPr="00C453CC">
        <w:t xml:space="preserve"> </w:t>
      </w:r>
      <w:r w:rsidR="008D34E1" w:rsidRPr="00C453CC">
        <w:rPr>
          <w:b/>
          <w:bCs/>
        </w:rPr>
        <w:t>12</w:t>
      </w:r>
      <w:r w:rsidR="008D34E1" w:rsidRPr="00C453CC">
        <w:t>, 56 (2018).</w:t>
      </w:r>
    </w:p>
    <w:p w14:paraId="247EDB5F" w14:textId="0500BEE5" w:rsidR="008D34E1" w:rsidRPr="00C453CC" w:rsidRDefault="00E15E9C" w:rsidP="007C2A68">
      <w:pPr>
        <w:pStyle w:val="Bibliography"/>
        <w:tabs>
          <w:tab w:val="clear" w:pos="384"/>
          <w:tab w:val="left" w:pos="284"/>
        </w:tabs>
        <w:spacing w:line="240" w:lineRule="auto"/>
        <w:ind w:left="0" w:firstLine="0"/>
      </w:pPr>
      <w:r w:rsidRPr="00C453CC">
        <w:t>46</w:t>
      </w:r>
      <w:r w:rsidR="008D34E1" w:rsidRPr="00C453CC">
        <w:t>.</w:t>
      </w:r>
      <w:r w:rsidR="008D34E1" w:rsidRPr="00C453CC">
        <w:tab/>
        <w:t>Chen, S.</w:t>
      </w:r>
      <w:r w:rsidR="00804CF5" w:rsidRPr="00C453CC">
        <w:t xml:space="preserve"> </w:t>
      </w:r>
      <w:r w:rsidR="008D34E1" w:rsidRPr="00C453CC">
        <w:t xml:space="preserve">-Y., </w:t>
      </w:r>
      <w:proofErr w:type="spellStart"/>
      <w:r w:rsidR="008D34E1" w:rsidRPr="00C453CC">
        <w:t>Kuo</w:t>
      </w:r>
      <w:proofErr w:type="spellEnd"/>
      <w:r w:rsidR="008D34E1" w:rsidRPr="00C453CC">
        <w:t>, H.</w:t>
      </w:r>
      <w:r w:rsidR="00804CF5" w:rsidRPr="00C453CC">
        <w:t xml:space="preserve"> </w:t>
      </w:r>
      <w:r w:rsidR="008D34E1" w:rsidRPr="00C453CC">
        <w:t>-Y.</w:t>
      </w:r>
      <w:r w:rsidR="00804CF5" w:rsidRPr="00C453CC">
        <w:t>,</w:t>
      </w:r>
      <w:r w:rsidR="008D34E1" w:rsidRPr="00C453CC">
        <w:t xml:space="preserve"> Liu, F.</w:t>
      </w:r>
      <w:r w:rsidR="00804CF5" w:rsidRPr="00C453CC">
        <w:t xml:space="preserve"> </w:t>
      </w:r>
      <w:r w:rsidR="008D34E1" w:rsidRPr="00C453CC">
        <w:t xml:space="preserve">-C. Stereotaxic </w:t>
      </w:r>
      <w:r w:rsidR="00804CF5" w:rsidRPr="00C453CC">
        <w:t>surgery for genetic manipulation in striatal cells of neonatal mouse br</w:t>
      </w:r>
      <w:r w:rsidR="008D34E1" w:rsidRPr="00C453CC">
        <w:t xml:space="preserve">ains. </w:t>
      </w:r>
      <w:r w:rsidR="008D34E1" w:rsidRPr="00C453CC">
        <w:rPr>
          <w:i/>
          <w:iCs/>
        </w:rPr>
        <w:t>Journal of Visualized Experiments</w:t>
      </w:r>
      <w:r w:rsidR="00804CF5" w:rsidRPr="00C453CC">
        <w:rPr>
          <w:i/>
          <w:iCs/>
        </w:rPr>
        <w:t xml:space="preserve">: </w:t>
      </w:r>
      <w:proofErr w:type="spellStart"/>
      <w:r w:rsidR="00804CF5" w:rsidRPr="00C453CC">
        <w:rPr>
          <w:i/>
          <w:iCs/>
        </w:rPr>
        <w:t>JoVE</w:t>
      </w:r>
      <w:proofErr w:type="spellEnd"/>
      <w:r w:rsidR="00804CF5" w:rsidRPr="00C453CC">
        <w:rPr>
          <w:i/>
          <w:iCs/>
        </w:rPr>
        <w:t>.</w:t>
      </w:r>
      <w:r w:rsidR="008D34E1" w:rsidRPr="00C453CC">
        <w:t xml:space="preserve"> </w:t>
      </w:r>
      <w:r w:rsidR="00804CF5" w:rsidRPr="00C453CC">
        <w:rPr>
          <w:b/>
          <w:bCs/>
        </w:rPr>
        <w:t>137</w:t>
      </w:r>
      <w:r w:rsidR="00804CF5" w:rsidRPr="00C453CC">
        <w:t xml:space="preserve">, </w:t>
      </w:r>
      <w:r w:rsidR="008D34E1" w:rsidRPr="00C453CC">
        <w:t>e57270 (2018)</w:t>
      </w:r>
      <w:r w:rsidR="00804CF5" w:rsidRPr="00C453CC">
        <w:t>.</w:t>
      </w:r>
    </w:p>
    <w:p w14:paraId="31B28F66" w14:textId="08A8110A" w:rsidR="008D34E1" w:rsidRPr="00C453CC" w:rsidRDefault="00E15E9C" w:rsidP="007C2A68">
      <w:pPr>
        <w:pStyle w:val="Bibliography"/>
        <w:tabs>
          <w:tab w:val="clear" w:pos="384"/>
          <w:tab w:val="left" w:pos="284"/>
        </w:tabs>
        <w:spacing w:line="240" w:lineRule="auto"/>
        <w:ind w:left="0" w:firstLine="0"/>
      </w:pPr>
      <w:r w:rsidRPr="00C453CC">
        <w:t>47</w:t>
      </w:r>
      <w:r w:rsidR="008D34E1" w:rsidRPr="00C453CC">
        <w:t>.</w:t>
      </w:r>
      <w:r w:rsidR="008D34E1" w:rsidRPr="00C453CC">
        <w:tab/>
      </w:r>
      <w:proofErr w:type="spellStart"/>
      <w:r w:rsidR="008D34E1" w:rsidRPr="00C453CC">
        <w:t>Brenowitz</w:t>
      </w:r>
      <w:proofErr w:type="spellEnd"/>
      <w:r w:rsidR="008D34E1" w:rsidRPr="00C453CC">
        <w:t>, S. D.</w:t>
      </w:r>
      <w:r w:rsidR="00804CF5" w:rsidRPr="00C453CC">
        <w:t>,</w:t>
      </w:r>
      <w:r w:rsidR="008D34E1" w:rsidRPr="00C453CC">
        <w:t xml:space="preserve"> </w:t>
      </w:r>
      <w:proofErr w:type="spellStart"/>
      <w:r w:rsidR="008D34E1" w:rsidRPr="00C453CC">
        <w:t>Regehr</w:t>
      </w:r>
      <w:proofErr w:type="spellEnd"/>
      <w:r w:rsidR="008D34E1" w:rsidRPr="00C453CC">
        <w:t xml:space="preserve">, W. G. Presynaptic </w:t>
      </w:r>
      <w:r w:rsidR="00804CF5" w:rsidRPr="00C453CC">
        <w:t xml:space="preserve">imaging of projection fibers by in vivo injection </w:t>
      </w:r>
      <w:r w:rsidR="00804CF5" w:rsidRPr="00C453CC">
        <w:lastRenderedPageBreak/>
        <w:t>of dextran-conjugated calcium indica</w:t>
      </w:r>
      <w:r w:rsidR="008D34E1" w:rsidRPr="00C453CC">
        <w:t xml:space="preserve">tors. </w:t>
      </w:r>
      <w:r w:rsidR="00804CF5" w:rsidRPr="00C453CC">
        <w:rPr>
          <w:i/>
        </w:rPr>
        <w:t>Cold Spring Harbor Protocols</w:t>
      </w:r>
      <w:r w:rsidR="00804CF5" w:rsidRPr="00C453CC">
        <w:rPr>
          <w:i/>
          <w:iCs/>
        </w:rPr>
        <w:t xml:space="preserve">. </w:t>
      </w:r>
      <w:r w:rsidR="008D34E1" w:rsidRPr="00C453CC">
        <w:rPr>
          <w:b/>
          <w:bCs/>
        </w:rPr>
        <w:t>2012</w:t>
      </w:r>
      <w:r w:rsidR="008D34E1" w:rsidRPr="00C453CC">
        <w:t xml:space="preserve">, </w:t>
      </w:r>
      <w:proofErr w:type="gramStart"/>
      <w:r w:rsidR="008D34E1" w:rsidRPr="00C453CC">
        <w:t>pdb.prot</w:t>
      </w:r>
      <w:proofErr w:type="gramEnd"/>
      <w:r w:rsidR="008D34E1" w:rsidRPr="00C453CC">
        <w:t>068551 (2012).</w:t>
      </w:r>
    </w:p>
    <w:p w14:paraId="2A340543" w14:textId="32A268CD" w:rsidR="008D34E1" w:rsidRPr="00C453CC" w:rsidRDefault="00E15E9C" w:rsidP="007C2A68">
      <w:pPr>
        <w:pStyle w:val="Bibliography"/>
        <w:tabs>
          <w:tab w:val="clear" w:pos="384"/>
          <w:tab w:val="left" w:pos="284"/>
        </w:tabs>
        <w:spacing w:line="240" w:lineRule="auto"/>
        <w:ind w:left="0" w:firstLine="0"/>
      </w:pPr>
      <w:r w:rsidRPr="00C453CC">
        <w:t>48</w:t>
      </w:r>
      <w:r w:rsidR="008D34E1" w:rsidRPr="00C453CC">
        <w:t>.</w:t>
      </w:r>
      <w:r w:rsidR="008D34E1" w:rsidRPr="00C453CC">
        <w:tab/>
        <w:t xml:space="preserve">Bosch, D., </w:t>
      </w:r>
      <w:proofErr w:type="spellStart"/>
      <w:r w:rsidR="008D34E1" w:rsidRPr="00C453CC">
        <w:t>Asede</w:t>
      </w:r>
      <w:proofErr w:type="spellEnd"/>
      <w:r w:rsidR="008D34E1" w:rsidRPr="00C453CC">
        <w:t>, D</w:t>
      </w:r>
      <w:r w:rsidR="00804CF5" w:rsidRPr="00C453CC">
        <w:t>.,</w:t>
      </w:r>
      <w:r w:rsidR="008D34E1" w:rsidRPr="00C453CC">
        <w:t xml:space="preserve"> Ehrlich, I. Ex </w:t>
      </w:r>
      <w:r w:rsidR="00804CF5" w:rsidRPr="00C453CC">
        <w:t>vivo optogenetic dissection of fear circuits in brain slices</w:t>
      </w:r>
      <w:r w:rsidR="008D34E1" w:rsidRPr="00C453CC">
        <w:t xml:space="preserve">. </w:t>
      </w:r>
      <w:r w:rsidR="008D34E1" w:rsidRPr="00C453CC">
        <w:rPr>
          <w:i/>
          <w:iCs/>
        </w:rPr>
        <w:t>Journal of Visualized Experiments</w:t>
      </w:r>
      <w:r w:rsidR="00804CF5" w:rsidRPr="00C453CC">
        <w:rPr>
          <w:i/>
          <w:iCs/>
        </w:rPr>
        <w:t xml:space="preserve">: </w:t>
      </w:r>
      <w:proofErr w:type="spellStart"/>
      <w:r w:rsidR="00804CF5" w:rsidRPr="00C453CC">
        <w:rPr>
          <w:i/>
          <w:iCs/>
        </w:rPr>
        <w:t>JoVE</w:t>
      </w:r>
      <w:proofErr w:type="spellEnd"/>
      <w:r w:rsidR="00804CF5" w:rsidRPr="00C453CC">
        <w:rPr>
          <w:i/>
          <w:iCs/>
        </w:rPr>
        <w:t>.</w:t>
      </w:r>
      <w:r w:rsidR="008D34E1" w:rsidRPr="00C453CC">
        <w:t xml:space="preserve"> </w:t>
      </w:r>
      <w:r w:rsidR="00960CD1" w:rsidRPr="00C453CC">
        <w:rPr>
          <w:b/>
          <w:bCs/>
        </w:rPr>
        <w:t>110</w:t>
      </w:r>
      <w:r w:rsidR="00960CD1" w:rsidRPr="00C453CC">
        <w:t xml:space="preserve">, </w:t>
      </w:r>
      <w:r w:rsidR="008D34E1" w:rsidRPr="00C453CC">
        <w:t>e53628 (2016)</w:t>
      </w:r>
      <w:r w:rsidR="00960CD1" w:rsidRPr="00C453CC">
        <w:t>.</w:t>
      </w:r>
    </w:p>
    <w:p w14:paraId="1AAEFAF3" w14:textId="1B9B54D8" w:rsidR="005B0A9F" w:rsidRPr="00C453CC" w:rsidRDefault="00E15E9C" w:rsidP="007C2A68">
      <w:pPr>
        <w:pStyle w:val="Bibliography"/>
        <w:tabs>
          <w:tab w:val="clear" w:pos="384"/>
          <w:tab w:val="left" w:pos="284"/>
        </w:tabs>
        <w:spacing w:line="240" w:lineRule="auto"/>
        <w:ind w:left="0" w:firstLine="0"/>
      </w:pPr>
      <w:r w:rsidRPr="00C453CC">
        <w:t>49</w:t>
      </w:r>
      <w:r w:rsidR="008D34E1" w:rsidRPr="00C453CC">
        <w:t>.</w:t>
      </w:r>
      <w:r w:rsidR="008D34E1" w:rsidRPr="00C453CC">
        <w:tab/>
      </w:r>
      <w:r w:rsidR="0098340E" w:rsidRPr="00C453CC">
        <w:t xml:space="preserve">Green, E. K. </w:t>
      </w:r>
      <w:r w:rsidR="009F16C6" w:rsidRPr="00C453CC">
        <w:t>et al</w:t>
      </w:r>
      <w:r w:rsidR="0098340E" w:rsidRPr="00C453CC">
        <w:rPr>
          <w:i/>
        </w:rPr>
        <w:t>.</w:t>
      </w:r>
      <w:r w:rsidR="0098340E" w:rsidRPr="00C453CC">
        <w:t xml:space="preserve"> The bipolar disorder risk allele at CACNA1C also confers risk of recurrent major depression and of schizophrenia. </w:t>
      </w:r>
      <w:r w:rsidR="0098340E" w:rsidRPr="00C453CC">
        <w:rPr>
          <w:i/>
        </w:rPr>
        <w:t>Molecular Psychiatry</w:t>
      </w:r>
      <w:r w:rsidR="00960CD1" w:rsidRPr="00C453CC">
        <w:t xml:space="preserve">. </w:t>
      </w:r>
      <w:r w:rsidR="00960CD1" w:rsidRPr="00C453CC">
        <w:rPr>
          <w:b/>
          <w:bCs/>
        </w:rPr>
        <w:t>15</w:t>
      </w:r>
      <w:r w:rsidR="00960CD1" w:rsidRPr="00C453CC">
        <w:t xml:space="preserve"> (10), 1016–1022 </w:t>
      </w:r>
      <w:r w:rsidR="0098340E" w:rsidRPr="00C453CC">
        <w:t>(2010)</w:t>
      </w:r>
      <w:r w:rsidR="00960CD1" w:rsidRPr="00C453CC">
        <w:t>.</w:t>
      </w:r>
    </w:p>
    <w:p w14:paraId="0000012B" w14:textId="3112AA2D" w:rsidR="005B0A9F" w:rsidRPr="00C453CC" w:rsidRDefault="00E15E9C" w:rsidP="007C2A68">
      <w:pPr>
        <w:pStyle w:val="Bibliography"/>
        <w:tabs>
          <w:tab w:val="clear" w:pos="384"/>
          <w:tab w:val="left" w:pos="284"/>
        </w:tabs>
        <w:spacing w:line="240" w:lineRule="auto"/>
        <w:ind w:left="0" w:firstLine="0"/>
      </w:pPr>
      <w:r w:rsidRPr="00C453CC">
        <w:t>50</w:t>
      </w:r>
      <w:r w:rsidR="008D34E1" w:rsidRPr="00C453CC">
        <w:t>.</w:t>
      </w:r>
      <w:r w:rsidR="008D34E1" w:rsidRPr="00C453CC">
        <w:tab/>
      </w:r>
      <w:r w:rsidR="0098340E" w:rsidRPr="00C453CC">
        <w:t xml:space="preserve">Takahashi, S., Glatt, S. J., Uchiyama, M., </w:t>
      </w:r>
      <w:proofErr w:type="spellStart"/>
      <w:r w:rsidR="0098340E" w:rsidRPr="00C453CC">
        <w:t>Faraone</w:t>
      </w:r>
      <w:proofErr w:type="spellEnd"/>
      <w:r w:rsidR="0098340E" w:rsidRPr="00C453CC">
        <w:t>, S. V.</w:t>
      </w:r>
      <w:r w:rsidR="00960CD1" w:rsidRPr="00C453CC">
        <w:t>,</w:t>
      </w:r>
      <w:r w:rsidR="0098340E" w:rsidRPr="00C453CC">
        <w:t xml:space="preserve"> </w:t>
      </w:r>
      <w:proofErr w:type="spellStart"/>
      <w:r w:rsidR="0098340E" w:rsidRPr="00C453CC">
        <w:t>Tsuang</w:t>
      </w:r>
      <w:proofErr w:type="spellEnd"/>
      <w:r w:rsidR="0098340E" w:rsidRPr="00C453CC">
        <w:t xml:space="preserve">, M. T. Meta-analysis of data from the Psychiatric Genomics Consortium and additional samples supports association of CACNA1C with risk for schizophrenia. </w:t>
      </w:r>
      <w:r w:rsidR="0098340E" w:rsidRPr="00C453CC">
        <w:rPr>
          <w:i/>
        </w:rPr>
        <w:t>Schizophrenia Research</w:t>
      </w:r>
      <w:r w:rsidR="00960CD1" w:rsidRPr="00C453CC">
        <w:t xml:space="preserve">. </w:t>
      </w:r>
      <w:r w:rsidR="00960CD1" w:rsidRPr="00C453CC">
        <w:rPr>
          <w:b/>
          <w:bCs/>
        </w:rPr>
        <w:t>168</w:t>
      </w:r>
      <w:r w:rsidR="00960CD1" w:rsidRPr="00C453CC">
        <w:t xml:space="preserve"> (1–2), 429–433 </w:t>
      </w:r>
      <w:r w:rsidR="0098340E" w:rsidRPr="00C453CC">
        <w:t>(2015)</w:t>
      </w:r>
      <w:r w:rsidR="00960CD1" w:rsidRPr="00C453CC">
        <w:t>.</w:t>
      </w:r>
    </w:p>
    <w:p w14:paraId="65CF15FD" w14:textId="341753AB" w:rsidR="008D34E1" w:rsidRPr="00C453CC" w:rsidRDefault="00E15E9C" w:rsidP="007C2A68">
      <w:pPr>
        <w:pStyle w:val="Bibliography"/>
        <w:tabs>
          <w:tab w:val="clear" w:pos="384"/>
          <w:tab w:val="left" w:pos="284"/>
        </w:tabs>
        <w:spacing w:line="240" w:lineRule="auto"/>
        <w:ind w:left="0" w:firstLine="0"/>
      </w:pPr>
      <w:r w:rsidRPr="00C453CC">
        <w:t>51</w:t>
      </w:r>
      <w:r w:rsidR="008D34E1" w:rsidRPr="00C453CC">
        <w:t>.</w:t>
      </w:r>
      <w:r w:rsidR="008D34E1" w:rsidRPr="00C453CC">
        <w:tab/>
        <w:t>McCarty, D. M.</w:t>
      </w:r>
      <w:r w:rsidR="0098340E" w:rsidRPr="00C453CC">
        <w:t xml:space="preserve"> </w:t>
      </w:r>
      <w:r w:rsidR="0098340E" w:rsidRPr="00C453CC">
        <w:rPr>
          <w:iCs/>
        </w:rPr>
        <w:t>Self-complementary AAV vectors; advances and applications.</w:t>
      </w:r>
      <w:r w:rsidR="0098340E" w:rsidRPr="00C453CC">
        <w:t xml:space="preserve"> </w:t>
      </w:r>
      <w:r w:rsidR="008D34E1" w:rsidRPr="00C453CC">
        <w:rPr>
          <w:i/>
          <w:iCs/>
        </w:rPr>
        <w:t>Molecular Therapy</w:t>
      </w:r>
      <w:r w:rsidR="00960CD1" w:rsidRPr="00C453CC">
        <w:t xml:space="preserve">. </w:t>
      </w:r>
      <w:r w:rsidR="00960CD1" w:rsidRPr="00C453CC">
        <w:rPr>
          <w:b/>
          <w:bCs/>
        </w:rPr>
        <w:t>16</w:t>
      </w:r>
      <w:r w:rsidR="00960CD1" w:rsidRPr="00C453CC">
        <w:t xml:space="preserve"> (10), 1648–1656 </w:t>
      </w:r>
      <w:r w:rsidR="008D34E1" w:rsidRPr="00C453CC">
        <w:t>(</w:t>
      </w:r>
      <w:r w:rsidR="0098340E" w:rsidRPr="00C453CC">
        <w:t>2008).</w:t>
      </w:r>
      <w:r w:rsidR="008D34E1" w:rsidRPr="00C453CC">
        <w:t xml:space="preserve"> </w:t>
      </w:r>
    </w:p>
    <w:p w14:paraId="08887B8F" w14:textId="7DF1A05B" w:rsidR="008D34E1" w:rsidRPr="00C453CC" w:rsidRDefault="00E15E9C" w:rsidP="007C2A68">
      <w:pPr>
        <w:pStyle w:val="Bibliography"/>
        <w:tabs>
          <w:tab w:val="clear" w:pos="384"/>
          <w:tab w:val="left" w:pos="284"/>
        </w:tabs>
        <w:spacing w:line="240" w:lineRule="auto"/>
        <w:ind w:left="0" w:firstLine="0"/>
      </w:pPr>
      <w:r w:rsidRPr="00C453CC">
        <w:t>52</w:t>
      </w:r>
      <w:r w:rsidR="008D34E1" w:rsidRPr="00C453CC">
        <w:t>.</w:t>
      </w:r>
      <w:r w:rsidR="008D34E1" w:rsidRPr="00C453CC">
        <w:tab/>
      </w:r>
      <w:proofErr w:type="spellStart"/>
      <w:r w:rsidR="008D34E1" w:rsidRPr="00C453CC">
        <w:t>Haery</w:t>
      </w:r>
      <w:proofErr w:type="spellEnd"/>
      <w:r w:rsidR="008D34E1" w:rsidRPr="00C453CC">
        <w:t>, L</w:t>
      </w:r>
      <w:r w:rsidR="0098340E" w:rsidRPr="00C453CC">
        <w:t xml:space="preserve">. </w:t>
      </w:r>
      <w:r w:rsidR="009F16C6" w:rsidRPr="00C453CC">
        <w:t>et al</w:t>
      </w:r>
      <w:r w:rsidR="0098340E" w:rsidRPr="00C453CC">
        <w:rPr>
          <w:iCs/>
        </w:rPr>
        <w:t>. Adeno-</w:t>
      </w:r>
      <w:r w:rsidR="00960CD1" w:rsidRPr="00C453CC">
        <w:rPr>
          <w:iCs/>
        </w:rPr>
        <w:t>associated virus technologies and methods for targeted neuronal manipulatio</w:t>
      </w:r>
      <w:r w:rsidR="008D34E1" w:rsidRPr="00C453CC">
        <w:rPr>
          <w:iCs/>
        </w:rPr>
        <w:t>n.</w:t>
      </w:r>
      <w:r w:rsidR="008D34E1" w:rsidRPr="00C453CC">
        <w:t xml:space="preserve"> </w:t>
      </w:r>
      <w:r w:rsidR="008D34E1" w:rsidRPr="00C453CC">
        <w:rPr>
          <w:i/>
          <w:iCs/>
        </w:rPr>
        <w:t>Frontiers in Neuroanatomy</w:t>
      </w:r>
      <w:r w:rsidR="00960CD1" w:rsidRPr="00C453CC">
        <w:t>.</w:t>
      </w:r>
      <w:r w:rsidR="00960CD1" w:rsidRPr="00C453CC">
        <w:rPr>
          <w:b/>
          <w:bCs/>
        </w:rPr>
        <w:t xml:space="preserve"> 13</w:t>
      </w:r>
      <w:r w:rsidR="00960CD1" w:rsidRPr="00C453CC">
        <w:t xml:space="preserve">, 93 </w:t>
      </w:r>
      <w:r w:rsidR="008D34E1" w:rsidRPr="00C453CC">
        <w:t>(</w:t>
      </w:r>
      <w:r w:rsidR="0098340E" w:rsidRPr="00C453CC">
        <w:t>2019).</w:t>
      </w:r>
    </w:p>
    <w:p w14:paraId="76F8C508" w14:textId="39A1D013" w:rsidR="008D34E1" w:rsidRPr="00C453CC" w:rsidRDefault="00E15E9C" w:rsidP="007C2A68">
      <w:pPr>
        <w:pStyle w:val="Bibliography"/>
        <w:tabs>
          <w:tab w:val="clear" w:pos="384"/>
          <w:tab w:val="left" w:pos="284"/>
        </w:tabs>
        <w:spacing w:line="240" w:lineRule="auto"/>
        <w:ind w:left="0" w:firstLine="0"/>
      </w:pPr>
      <w:r w:rsidRPr="00C453CC">
        <w:t>53</w:t>
      </w:r>
      <w:r w:rsidR="008D34E1" w:rsidRPr="00C453CC">
        <w:t>.</w:t>
      </w:r>
      <w:r w:rsidR="008D34E1" w:rsidRPr="00C453CC">
        <w:tab/>
      </w:r>
      <w:proofErr w:type="spellStart"/>
      <w:r w:rsidR="008D34E1" w:rsidRPr="00C453CC">
        <w:t>Rabani</w:t>
      </w:r>
      <w:proofErr w:type="spellEnd"/>
      <w:r w:rsidR="008D34E1" w:rsidRPr="00C453CC">
        <w:t>, M., Pieper, L., Chew, G.</w:t>
      </w:r>
      <w:r w:rsidR="00960CD1" w:rsidRPr="00C453CC">
        <w:t xml:space="preserve"> </w:t>
      </w:r>
      <w:r w:rsidR="008D34E1" w:rsidRPr="00C453CC">
        <w:t>-L.</w:t>
      </w:r>
      <w:r w:rsidR="00960CD1" w:rsidRPr="00C453CC">
        <w:t>,</w:t>
      </w:r>
      <w:r w:rsidR="008D34E1" w:rsidRPr="00C453CC">
        <w:t xml:space="preserve"> </w:t>
      </w:r>
      <w:proofErr w:type="spellStart"/>
      <w:r w:rsidR="008D34E1" w:rsidRPr="00C453CC">
        <w:t>Schier</w:t>
      </w:r>
      <w:proofErr w:type="spellEnd"/>
      <w:r w:rsidR="008D34E1" w:rsidRPr="00C453CC">
        <w:t xml:space="preserve">, A. F. A </w:t>
      </w:r>
      <w:r w:rsidR="00960CD1" w:rsidRPr="00C453CC">
        <w:t>massively parallel reporter assay</w:t>
      </w:r>
      <w:r w:rsidR="008D34E1" w:rsidRPr="00C453CC">
        <w:t xml:space="preserve"> of 3′ UTR </w:t>
      </w:r>
      <w:r w:rsidR="00960CD1" w:rsidRPr="00C453CC">
        <w:t xml:space="preserve">sequences identifies in vivo rules for </w:t>
      </w:r>
      <w:proofErr w:type="spellStart"/>
      <w:r w:rsidR="00960CD1" w:rsidRPr="00C453CC">
        <w:t>mrna</w:t>
      </w:r>
      <w:proofErr w:type="spellEnd"/>
      <w:r w:rsidR="00960CD1" w:rsidRPr="00C453CC">
        <w:t xml:space="preserve"> degradation</w:t>
      </w:r>
      <w:r w:rsidR="008D34E1" w:rsidRPr="00C453CC">
        <w:t xml:space="preserve">. </w:t>
      </w:r>
      <w:r w:rsidR="008D34E1" w:rsidRPr="00C453CC">
        <w:rPr>
          <w:i/>
          <w:iCs/>
        </w:rPr>
        <w:t>Molecular Cell</w:t>
      </w:r>
      <w:r w:rsidR="00960CD1" w:rsidRPr="00C453CC">
        <w:t xml:space="preserve">. </w:t>
      </w:r>
      <w:r w:rsidR="008D34E1" w:rsidRPr="00C453CC">
        <w:rPr>
          <w:b/>
          <w:bCs/>
        </w:rPr>
        <w:t>68</w:t>
      </w:r>
      <w:r w:rsidR="008D34E1" w:rsidRPr="00C453CC">
        <w:t>, 1083</w:t>
      </w:r>
      <w:r w:rsidR="00960CD1" w:rsidRPr="00C453CC">
        <w:t>–</w:t>
      </w:r>
      <w:r w:rsidR="008D34E1" w:rsidRPr="00C453CC">
        <w:t>1094.e5 (2017).</w:t>
      </w:r>
    </w:p>
    <w:p w14:paraId="40ABCAED" w14:textId="0FB83D0D" w:rsidR="008D34E1" w:rsidRPr="00C453CC" w:rsidRDefault="00E15E9C" w:rsidP="007C2A68">
      <w:pPr>
        <w:pStyle w:val="Bibliography"/>
        <w:tabs>
          <w:tab w:val="clear" w:pos="384"/>
          <w:tab w:val="left" w:pos="284"/>
        </w:tabs>
        <w:spacing w:line="240" w:lineRule="auto"/>
        <w:ind w:left="0" w:firstLine="0"/>
      </w:pPr>
      <w:r w:rsidRPr="00C453CC">
        <w:t>54</w:t>
      </w:r>
      <w:r w:rsidR="008D34E1" w:rsidRPr="00C453CC">
        <w:t>.</w:t>
      </w:r>
      <w:r w:rsidR="008D34E1" w:rsidRPr="00C453CC">
        <w:tab/>
        <w:t>Kim, Y.</w:t>
      </w:r>
      <w:r w:rsidR="00960CD1" w:rsidRPr="00C453CC">
        <w:t xml:space="preserve"> </w:t>
      </w:r>
      <w:r w:rsidR="008D34E1" w:rsidRPr="00C453CC">
        <w:t xml:space="preserve">-S. </w:t>
      </w:r>
      <w:r w:rsidR="009F16C6" w:rsidRPr="00C453CC">
        <w:rPr>
          <w:iCs/>
        </w:rPr>
        <w:t>et al</w:t>
      </w:r>
      <w:r w:rsidR="008D34E1" w:rsidRPr="00C453CC">
        <w:rPr>
          <w:i/>
          <w:iCs/>
        </w:rPr>
        <w:t>.</w:t>
      </w:r>
      <w:r w:rsidR="008D34E1" w:rsidRPr="00C453CC">
        <w:t xml:space="preserve"> Correcting signal biases and detecting regulatory elements in STARR-seq data. </w:t>
      </w:r>
      <w:r w:rsidR="008D34E1" w:rsidRPr="00C453CC">
        <w:rPr>
          <w:i/>
          <w:iCs/>
        </w:rPr>
        <w:t>Genome Res</w:t>
      </w:r>
      <w:r w:rsidR="00960CD1" w:rsidRPr="00C453CC">
        <w:rPr>
          <w:i/>
          <w:iCs/>
        </w:rPr>
        <w:t>earch</w:t>
      </w:r>
      <w:r w:rsidR="008D34E1" w:rsidRPr="00C453CC">
        <w:rPr>
          <w:i/>
          <w:iCs/>
        </w:rPr>
        <w:t>.</w:t>
      </w:r>
      <w:r w:rsidR="008D34E1" w:rsidRPr="00C453CC">
        <w:t xml:space="preserve"> </w:t>
      </w:r>
      <w:r w:rsidR="008D34E1" w:rsidRPr="00C453CC">
        <w:rPr>
          <w:b/>
          <w:bCs/>
        </w:rPr>
        <w:t>31</w:t>
      </w:r>
      <w:r w:rsidR="008D34E1" w:rsidRPr="00C453CC">
        <w:t>, 877–889 (2021).</w:t>
      </w:r>
    </w:p>
    <w:p w14:paraId="1994CC3A" w14:textId="2A0ACE87" w:rsidR="008D34E1" w:rsidRPr="00C453CC" w:rsidRDefault="00E15E9C" w:rsidP="007C2A68">
      <w:pPr>
        <w:pStyle w:val="Bibliography"/>
        <w:tabs>
          <w:tab w:val="clear" w:pos="384"/>
          <w:tab w:val="left" w:pos="284"/>
        </w:tabs>
        <w:spacing w:line="240" w:lineRule="auto"/>
        <w:ind w:left="0" w:firstLine="0"/>
      </w:pPr>
      <w:r w:rsidRPr="00C453CC">
        <w:t>55</w:t>
      </w:r>
      <w:r w:rsidR="008D34E1" w:rsidRPr="00C453CC">
        <w:t>.</w:t>
      </w:r>
      <w:r w:rsidR="008D34E1" w:rsidRPr="00C453CC">
        <w:tab/>
        <w:t xml:space="preserve">Lee, D. </w:t>
      </w:r>
      <w:r w:rsidR="009F16C6" w:rsidRPr="00C453CC">
        <w:rPr>
          <w:iCs/>
        </w:rPr>
        <w:t>et al</w:t>
      </w:r>
      <w:r w:rsidR="008D34E1" w:rsidRPr="00C453CC">
        <w:rPr>
          <w:i/>
          <w:iCs/>
        </w:rPr>
        <w:t>.</w:t>
      </w:r>
      <w:r w:rsidR="008D34E1" w:rsidRPr="00C453CC">
        <w:t xml:space="preserve"> </w:t>
      </w:r>
      <w:proofErr w:type="spellStart"/>
      <w:r w:rsidR="008D34E1" w:rsidRPr="00C453CC">
        <w:t>STARRPeaker</w:t>
      </w:r>
      <w:proofErr w:type="spellEnd"/>
      <w:r w:rsidR="008D34E1" w:rsidRPr="00C453CC">
        <w:t xml:space="preserve">: uniform processing and accurate identification of STARR-seq active regions. </w:t>
      </w:r>
      <w:r w:rsidR="008D34E1" w:rsidRPr="00C453CC">
        <w:rPr>
          <w:i/>
          <w:iCs/>
        </w:rPr>
        <w:t>Genome Biol</w:t>
      </w:r>
      <w:r w:rsidR="00960CD1" w:rsidRPr="00C453CC">
        <w:rPr>
          <w:i/>
          <w:iCs/>
        </w:rPr>
        <w:t>ogy.</w:t>
      </w:r>
      <w:r w:rsidR="008D34E1" w:rsidRPr="00C453CC">
        <w:t xml:space="preserve"> </w:t>
      </w:r>
      <w:r w:rsidR="008D34E1" w:rsidRPr="00C453CC">
        <w:rPr>
          <w:b/>
          <w:bCs/>
        </w:rPr>
        <w:t>21</w:t>
      </w:r>
      <w:r w:rsidR="008D34E1" w:rsidRPr="00C453CC">
        <w:t>, 298 (2020).</w:t>
      </w:r>
    </w:p>
    <w:p w14:paraId="7C6B96A6" w14:textId="7BA1CA5C" w:rsidR="008D34E1" w:rsidRPr="00C453CC" w:rsidRDefault="00E15E9C" w:rsidP="007C2A68">
      <w:pPr>
        <w:pStyle w:val="Bibliography"/>
        <w:tabs>
          <w:tab w:val="clear" w:pos="384"/>
          <w:tab w:val="left" w:pos="284"/>
        </w:tabs>
        <w:spacing w:line="240" w:lineRule="auto"/>
        <w:ind w:left="0" w:firstLine="0"/>
      </w:pPr>
      <w:r w:rsidRPr="00C453CC">
        <w:t>56</w:t>
      </w:r>
      <w:r w:rsidR="008D34E1" w:rsidRPr="00C453CC">
        <w:t>.</w:t>
      </w:r>
      <w:r w:rsidR="008D34E1" w:rsidRPr="00C453CC">
        <w:tab/>
      </w:r>
      <w:proofErr w:type="spellStart"/>
      <w:r w:rsidR="008D34E1" w:rsidRPr="00C453CC">
        <w:t>Doni</w:t>
      </w:r>
      <w:proofErr w:type="spellEnd"/>
      <w:r w:rsidR="008D34E1" w:rsidRPr="00C453CC">
        <w:t xml:space="preserve"> </w:t>
      </w:r>
      <w:proofErr w:type="spellStart"/>
      <w:r w:rsidR="008D34E1" w:rsidRPr="00C453CC">
        <w:t>Jayavelu</w:t>
      </w:r>
      <w:proofErr w:type="spellEnd"/>
      <w:r w:rsidR="008D34E1" w:rsidRPr="00C453CC">
        <w:t xml:space="preserve">, N., </w:t>
      </w:r>
      <w:proofErr w:type="spellStart"/>
      <w:r w:rsidR="008D34E1" w:rsidRPr="00C453CC">
        <w:t>Jajodia</w:t>
      </w:r>
      <w:proofErr w:type="spellEnd"/>
      <w:r w:rsidR="008D34E1" w:rsidRPr="00C453CC">
        <w:t>, A., Mishra, A.</w:t>
      </w:r>
      <w:r w:rsidR="00960CD1" w:rsidRPr="00C453CC">
        <w:t>,</w:t>
      </w:r>
      <w:r w:rsidR="008D34E1" w:rsidRPr="00C453CC">
        <w:t xml:space="preserve"> Hawkins, R. D. Candidate silencer elements for the human and mouse genomes. </w:t>
      </w:r>
      <w:r w:rsidR="008D34E1" w:rsidRPr="00C453CC">
        <w:rPr>
          <w:i/>
          <w:iCs/>
        </w:rPr>
        <w:t>Nat</w:t>
      </w:r>
      <w:r w:rsidR="00960CD1" w:rsidRPr="00C453CC">
        <w:rPr>
          <w:i/>
          <w:iCs/>
        </w:rPr>
        <w:t>ure</w:t>
      </w:r>
      <w:r w:rsidR="008D34E1" w:rsidRPr="00C453CC">
        <w:rPr>
          <w:i/>
          <w:iCs/>
        </w:rPr>
        <w:t xml:space="preserve"> Commun</w:t>
      </w:r>
      <w:r w:rsidR="00960CD1" w:rsidRPr="00C453CC">
        <w:rPr>
          <w:i/>
          <w:iCs/>
        </w:rPr>
        <w:t>ications.</w:t>
      </w:r>
      <w:r w:rsidR="008D34E1" w:rsidRPr="00C453CC">
        <w:t xml:space="preserve"> </w:t>
      </w:r>
      <w:r w:rsidR="008D34E1" w:rsidRPr="00C453CC">
        <w:rPr>
          <w:b/>
          <w:bCs/>
        </w:rPr>
        <w:t>11</w:t>
      </w:r>
      <w:r w:rsidR="008D34E1" w:rsidRPr="00C453CC">
        <w:t>, 1061 (2020).</w:t>
      </w:r>
    </w:p>
    <w:p w14:paraId="467F4661" w14:textId="08DD29E8" w:rsidR="008D34E1" w:rsidRPr="00C453CC" w:rsidRDefault="00E15E9C" w:rsidP="007C2A68">
      <w:pPr>
        <w:pStyle w:val="Bibliography"/>
        <w:tabs>
          <w:tab w:val="clear" w:pos="384"/>
          <w:tab w:val="left" w:pos="284"/>
        </w:tabs>
        <w:spacing w:line="240" w:lineRule="auto"/>
        <w:ind w:left="0" w:firstLine="0"/>
      </w:pPr>
      <w:r w:rsidRPr="00C453CC">
        <w:t>57</w:t>
      </w:r>
      <w:r w:rsidR="008D34E1" w:rsidRPr="00C453CC">
        <w:t>.</w:t>
      </w:r>
      <w:r w:rsidR="008D34E1" w:rsidRPr="00C453CC">
        <w:tab/>
        <w:t xml:space="preserve">Singh, G. </w:t>
      </w:r>
      <w:r w:rsidR="009F16C6" w:rsidRPr="00C453CC">
        <w:rPr>
          <w:iCs/>
        </w:rPr>
        <w:t>et al</w:t>
      </w:r>
      <w:r w:rsidR="008D34E1" w:rsidRPr="00C453CC">
        <w:rPr>
          <w:i/>
          <w:iCs/>
        </w:rPr>
        <w:t>.</w:t>
      </w:r>
      <w:r w:rsidR="008D34E1" w:rsidRPr="00C453CC">
        <w:t xml:space="preserve"> A flexible repertoire of transcription factor binding sites and a diversity threshold determines enhancer activity in embryonic stem cells. </w:t>
      </w:r>
      <w:r w:rsidR="008D34E1" w:rsidRPr="00C453CC">
        <w:rPr>
          <w:i/>
          <w:iCs/>
        </w:rPr>
        <w:t>Genome Res</w:t>
      </w:r>
      <w:r w:rsidR="00960CD1" w:rsidRPr="00C453CC">
        <w:rPr>
          <w:i/>
          <w:iCs/>
        </w:rPr>
        <w:t>earch</w:t>
      </w:r>
      <w:r w:rsidR="008D34E1" w:rsidRPr="00C453CC">
        <w:rPr>
          <w:i/>
          <w:iCs/>
        </w:rPr>
        <w:t>.</w:t>
      </w:r>
      <w:r w:rsidR="008D34E1" w:rsidRPr="00C453CC">
        <w:t xml:space="preserve"> </w:t>
      </w:r>
      <w:r w:rsidR="008D34E1" w:rsidRPr="00C453CC">
        <w:rPr>
          <w:b/>
          <w:bCs/>
        </w:rPr>
        <w:t>31</w:t>
      </w:r>
      <w:r w:rsidR="008D34E1" w:rsidRPr="00C453CC">
        <w:t>, 564–575 (2021).</w:t>
      </w:r>
    </w:p>
    <w:p w14:paraId="1BBBDC9E" w14:textId="279D4DC6" w:rsidR="008D34E1" w:rsidRPr="00C453CC" w:rsidRDefault="00E15E9C" w:rsidP="007C2A68">
      <w:pPr>
        <w:pStyle w:val="Bibliography"/>
        <w:tabs>
          <w:tab w:val="clear" w:pos="384"/>
          <w:tab w:val="left" w:pos="284"/>
        </w:tabs>
        <w:spacing w:line="240" w:lineRule="auto"/>
        <w:ind w:left="0" w:firstLine="0"/>
      </w:pPr>
      <w:r w:rsidRPr="00C453CC">
        <w:t>58</w:t>
      </w:r>
      <w:r w:rsidR="008D34E1" w:rsidRPr="00C453CC">
        <w:t>.</w:t>
      </w:r>
      <w:r w:rsidR="008D34E1" w:rsidRPr="00C453CC">
        <w:tab/>
        <w:t xml:space="preserve">Wang, X. </w:t>
      </w:r>
      <w:r w:rsidR="009F16C6" w:rsidRPr="00C453CC">
        <w:rPr>
          <w:iCs/>
        </w:rPr>
        <w:t>et al</w:t>
      </w:r>
      <w:r w:rsidR="008D34E1" w:rsidRPr="00C453CC">
        <w:rPr>
          <w:i/>
          <w:iCs/>
        </w:rPr>
        <w:t>.</w:t>
      </w:r>
      <w:r w:rsidR="008D34E1" w:rsidRPr="00C453CC">
        <w:t xml:space="preserve"> High-resolution genome-wide functional dissection of transcriptional regulatory regions and nucleotides in human. </w:t>
      </w:r>
      <w:r w:rsidR="008D34E1" w:rsidRPr="00C453CC">
        <w:rPr>
          <w:i/>
          <w:iCs/>
        </w:rPr>
        <w:t>Nat</w:t>
      </w:r>
      <w:r w:rsidR="00960CD1" w:rsidRPr="00C453CC">
        <w:rPr>
          <w:i/>
          <w:iCs/>
        </w:rPr>
        <w:t>ure</w:t>
      </w:r>
      <w:r w:rsidR="008D34E1" w:rsidRPr="00C453CC">
        <w:rPr>
          <w:i/>
          <w:iCs/>
        </w:rPr>
        <w:t xml:space="preserve"> Commun</w:t>
      </w:r>
      <w:r w:rsidR="00960CD1" w:rsidRPr="00C453CC">
        <w:rPr>
          <w:i/>
          <w:iCs/>
        </w:rPr>
        <w:t>ications.</w:t>
      </w:r>
      <w:r w:rsidR="008D34E1" w:rsidRPr="00C453CC">
        <w:t xml:space="preserve"> </w:t>
      </w:r>
      <w:r w:rsidR="008D34E1" w:rsidRPr="00C453CC">
        <w:rPr>
          <w:b/>
          <w:bCs/>
        </w:rPr>
        <w:t>9</w:t>
      </w:r>
      <w:r w:rsidR="008D34E1" w:rsidRPr="00C453CC">
        <w:t>, 5380 (2018).</w:t>
      </w:r>
    </w:p>
    <w:p w14:paraId="110B6A06" w14:textId="58BD6A03" w:rsidR="008D34E1" w:rsidRPr="00C453CC" w:rsidRDefault="00E15E9C" w:rsidP="007C2A68">
      <w:pPr>
        <w:pStyle w:val="Bibliography"/>
        <w:tabs>
          <w:tab w:val="clear" w:pos="384"/>
          <w:tab w:val="left" w:pos="284"/>
        </w:tabs>
        <w:spacing w:line="240" w:lineRule="auto"/>
        <w:ind w:left="0" w:firstLine="0"/>
      </w:pPr>
      <w:r w:rsidRPr="00C453CC">
        <w:t>59</w:t>
      </w:r>
      <w:r w:rsidR="008D34E1" w:rsidRPr="00C453CC">
        <w:t>.</w:t>
      </w:r>
      <w:r w:rsidR="008D34E1" w:rsidRPr="00C453CC">
        <w:tab/>
        <w:t xml:space="preserve">Peng, T. </w:t>
      </w:r>
      <w:r w:rsidR="009F16C6" w:rsidRPr="00C453CC">
        <w:rPr>
          <w:iCs/>
        </w:rPr>
        <w:t>et al</w:t>
      </w:r>
      <w:r w:rsidR="008D34E1" w:rsidRPr="00C453CC">
        <w:rPr>
          <w:i/>
          <w:iCs/>
        </w:rPr>
        <w:t>.</w:t>
      </w:r>
      <w:r w:rsidR="008D34E1" w:rsidRPr="00C453CC">
        <w:t xml:space="preserve"> STARR-seq identifies active, chromatin-masked, and dormant enhancers in pluripotent mouse embryonic stem cells. </w:t>
      </w:r>
      <w:r w:rsidR="008D34E1" w:rsidRPr="00C453CC">
        <w:rPr>
          <w:i/>
          <w:iCs/>
        </w:rPr>
        <w:t>Genome Bio</w:t>
      </w:r>
      <w:r w:rsidR="00107676" w:rsidRPr="00C453CC">
        <w:rPr>
          <w:i/>
          <w:iCs/>
        </w:rPr>
        <w:t>logy</w:t>
      </w:r>
      <w:r w:rsidR="00107676" w:rsidRPr="00C453CC">
        <w:t xml:space="preserve">. </w:t>
      </w:r>
      <w:r w:rsidR="008D34E1" w:rsidRPr="00C453CC">
        <w:rPr>
          <w:b/>
          <w:bCs/>
        </w:rPr>
        <w:t>21</w:t>
      </w:r>
      <w:r w:rsidR="008D34E1" w:rsidRPr="00C453CC">
        <w:t>, 243 (2020).</w:t>
      </w:r>
    </w:p>
    <w:p w14:paraId="0000012C" w14:textId="7598E10F" w:rsidR="005B0A9F" w:rsidRPr="00C453CC" w:rsidRDefault="00E15E9C" w:rsidP="007C2A68">
      <w:pPr>
        <w:pStyle w:val="Bibliography"/>
        <w:tabs>
          <w:tab w:val="clear" w:pos="384"/>
          <w:tab w:val="left" w:pos="284"/>
        </w:tabs>
        <w:spacing w:line="240" w:lineRule="auto"/>
        <w:ind w:left="0" w:firstLine="0"/>
      </w:pPr>
      <w:r w:rsidRPr="00C453CC">
        <w:t>60</w:t>
      </w:r>
      <w:r w:rsidR="008D34E1" w:rsidRPr="00C453CC">
        <w:t>.</w:t>
      </w:r>
      <w:r w:rsidR="008D34E1" w:rsidRPr="00C453CC">
        <w:tab/>
        <w:t xml:space="preserve">Nair, R. R., </w:t>
      </w:r>
      <w:proofErr w:type="spellStart"/>
      <w:r w:rsidR="008D34E1" w:rsidRPr="00C453CC">
        <w:t>Blankvoort</w:t>
      </w:r>
      <w:proofErr w:type="spellEnd"/>
      <w:r w:rsidR="008D34E1" w:rsidRPr="00C453CC">
        <w:t xml:space="preserve">, S., </w:t>
      </w:r>
      <w:proofErr w:type="spellStart"/>
      <w:r w:rsidR="008D34E1" w:rsidRPr="00C453CC">
        <w:t>Lagartos</w:t>
      </w:r>
      <w:proofErr w:type="spellEnd"/>
      <w:r w:rsidR="008D34E1" w:rsidRPr="00C453CC">
        <w:t>, M. J.</w:t>
      </w:r>
      <w:r w:rsidR="00107676" w:rsidRPr="00C453CC">
        <w:t>,</w:t>
      </w:r>
      <w:r w:rsidR="008D34E1" w:rsidRPr="00C453CC">
        <w:t xml:space="preserve"> </w:t>
      </w:r>
      <w:proofErr w:type="spellStart"/>
      <w:r w:rsidR="008D34E1" w:rsidRPr="00C453CC">
        <w:t>Kentros</w:t>
      </w:r>
      <w:proofErr w:type="spellEnd"/>
      <w:r w:rsidR="008D34E1" w:rsidRPr="00C453CC">
        <w:t>, C. Enhancer-</w:t>
      </w:r>
      <w:r w:rsidR="00107676" w:rsidRPr="00C453CC">
        <w:t xml:space="preserve">driven gene expression </w:t>
      </w:r>
      <w:r w:rsidR="008D34E1" w:rsidRPr="00C453CC">
        <w:t xml:space="preserve">(EDGE) </w:t>
      </w:r>
      <w:r w:rsidR="00107676" w:rsidRPr="00C453CC">
        <w:t>enables the generation of viral vectors specific to neuronal subtypes</w:t>
      </w:r>
      <w:r w:rsidR="008D34E1" w:rsidRPr="00C453CC">
        <w:t xml:space="preserve">. </w:t>
      </w:r>
      <w:proofErr w:type="spellStart"/>
      <w:r w:rsidR="008D34E1" w:rsidRPr="00C453CC">
        <w:rPr>
          <w:i/>
          <w:iCs/>
        </w:rPr>
        <w:t>iScience</w:t>
      </w:r>
      <w:proofErr w:type="spellEnd"/>
      <w:r w:rsidR="00107676" w:rsidRPr="00C453CC">
        <w:t xml:space="preserve">. </w:t>
      </w:r>
      <w:r w:rsidR="008D34E1" w:rsidRPr="00C453CC">
        <w:rPr>
          <w:b/>
          <w:bCs/>
        </w:rPr>
        <w:t>23</w:t>
      </w:r>
      <w:r w:rsidR="008D34E1" w:rsidRPr="00C453CC">
        <w:t>, 100888 (2020).</w:t>
      </w:r>
    </w:p>
    <w:p w14:paraId="5F0A9B00" w14:textId="04FEF2D7" w:rsidR="008D34E1" w:rsidRPr="00C453CC" w:rsidRDefault="00E15E9C" w:rsidP="007C2A68">
      <w:pPr>
        <w:pStyle w:val="Bibliography"/>
        <w:tabs>
          <w:tab w:val="clear" w:pos="384"/>
          <w:tab w:val="left" w:pos="284"/>
        </w:tabs>
        <w:spacing w:line="240" w:lineRule="auto"/>
        <w:ind w:left="0" w:firstLine="0"/>
      </w:pPr>
      <w:r w:rsidRPr="00C453CC">
        <w:t>61</w:t>
      </w:r>
      <w:r w:rsidR="008D34E1" w:rsidRPr="00C453CC">
        <w:t>.</w:t>
      </w:r>
      <w:r w:rsidR="008D34E1" w:rsidRPr="00C453CC">
        <w:tab/>
        <w:t xml:space="preserve">Russell, S. </w:t>
      </w:r>
      <w:r w:rsidR="009F16C6" w:rsidRPr="00C453CC">
        <w:rPr>
          <w:iCs/>
        </w:rPr>
        <w:t>et al</w:t>
      </w:r>
      <w:r w:rsidR="008D34E1" w:rsidRPr="00C453CC">
        <w:rPr>
          <w:i/>
          <w:iCs/>
        </w:rPr>
        <w:t>.</w:t>
      </w:r>
      <w:r w:rsidR="008D34E1" w:rsidRPr="00C453CC">
        <w:t xml:space="preserve"> Efficacy and safety of </w:t>
      </w:r>
      <w:proofErr w:type="spellStart"/>
      <w:r w:rsidR="008D34E1" w:rsidRPr="00C453CC">
        <w:t>voretigene</w:t>
      </w:r>
      <w:proofErr w:type="spellEnd"/>
      <w:r w:rsidR="008D34E1" w:rsidRPr="00C453CC">
        <w:t xml:space="preserve"> </w:t>
      </w:r>
      <w:proofErr w:type="spellStart"/>
      <w:r w:rsidR="008D34E1" w:rsidRPr="00C453CC">
        <w:t>neparvovec</w:t>
      </w:r>
      <w:proofErr w:type="spellEnd"/>
      <w:r w:rsidR="008D34E1" w:rsidRPr="00C453CC">
        <w:t xml:space="preserve"> (AAV2-hRPE65v2) in patients with RPE65 -mediated inherited retinal dystrophy: a </w:t>
      </w:r>
      <w:proofErr w:type="spellStart"/>
      <w:r w:rsidR="008D34E1" w:rsidRPr="00C453CC">
        <w:t>randomised</w:t>
      </w:r>
      <w:proofErr w:type="spellEnd"/>
      <w:r w:rsidR="008D34E1" w:rsidRPr="00C453CC">
        <w:t xml:space="preserve">, controlled, open-label, phase 3 trial. </w:t>
      </w:r>
      <w:r w:rsidR="008D34E1" w:rsidRPr="00C453CC">
        <w:rPr>
          <w:i/>
          <w:iCs/>
        </w:rPr>
        <w:t>The Lancet</w:t>
      </w:r>
      <w:r w:rsidR="00107676" w:rsidRPr="00C453CC">
        <w:t xml:space="preserve">. </w:t>
      </w:r>
      <w:r w:rsidR="008D34E1" w:rsidRPr="00C453CC">
        <w:rPr>
          <w:b/>
          <w:bCs/>
        </w:rPr>
        <w:t>390</w:t>
      </w:r>
      <w:r w:rsidR="008D34E1" w:rsidRPr="00C453CC">
        <w:t>, 849–860 (2017).</w:t>
      </w:r>
    </w:p>
    <w:p w14:paraId="01E4269D" w14:textId="43B6D548" w:rsidR="008D34E1" w:rsidRPr="00C453CC" w:rsidRDefault="00E15E9C" w:rsidP="007C2A68">
      <w:pPr>
        <w:pStyle w:val="Bibliography"/>
        <w:tabs>
          <w:tab w:val="clear" w:pos="384"/>
          <w:tab w:val="left" w:pos="284"/>
        </w:tabs>
        <w:spacing w:line="240" w:lineRule="auto"/>
        <w:ind w:left="0" w:firstLine="0"/>
      </w:pPr>
      <w:r w:rsidRPr="00C453CC">
        <w:t>62</w:t>
      </w:r>
      <w:r w:rsidR="008D34E1" w:rsidRPr="00C453CC">
        <w:t>.</w:t>
      </w:r>
      <w:r w:rsidR="008D34E1" w:rsidRPr="00C453CC">
        <w:tab/>
        <w:t xml:space="preserve">Gaudet, D. </w:t>
      </w:r>
      <w:r w:rsidR="009F16C6" w:rsidRPr="00C453CC">
        <w:rPr>
          <w:iCs/>
        </w:rPr>
        <w:t>et al</w:t>
      </w:r>
      <w:r w:rsidR="008D34E1" w:rsidRPr="00C453CC">
        <w:rPr>
          <w:i/>
          <w:iCs/>
        </w:rPr>
        <w:t>.</w:t>
      </w:r>
      <w:r w:rsidR="008D34E1" w:rsidRPr="00C453CC">
        <w:t xml:space="preserve"> Efficacy and long-term safety of alipogene tiparvovec (AAV1-LPLS447X) gene therapy for lipoprotein lipase deficiency: an open-label trial. </w:t>
      </w:r>
      <w:r w:rsidR="008D34E1" w:rsidRPr="00C453CC">
        <w:rPr>
          <w:i/>
          <w:iCs/>
        </w:rPr>
        <w:t>Gene Ther</w:t>
      </w:r>
      <w:r w:rsidR="00107676" w:rsidRPr="00C453CC">
        <w:rPr>
          <w:i/>
          <w:iCs/>
        </w:rPr>
        <w:t>apy.</w:t>
      </w:r>
      <w:r w:rsidR="008D34E1" w:rsidRPr="00C453CC">
        <w:t xml:space="preserve"> </w:t>
      </w:r>
      <w:r w:rsidR="008D34E1" w:rsidRPr="00C453CC">
        <w:rPr>
          <w:b/>
          <w:bCs/>
        </w:rPr>
        <w:t>20</w:t>
      </w:r>
      <w:r w:rsidR="008D34E1" w:rsidRPr="00C453CC">
        <w:t>, 361–369 (</w:t>
      </w:r>
      <w:r w:rsidR="0098340E" w:rsidRPr="00C453CC">
        <w:t>2013).</w:t>
      </w:r>
    </w:p>
    <w:p w14:paraId="28AA0D9C" w14:textId="58210751" w:rsidR="008D34E1" w:rsidRPr="00C453CC" w:rsidRDefault="00E15E9C" w:rsidP="007C2A68">
      <w:pPr>
        <w:pStyle w:val="Bibliography"/>
        <w:tabs>
          <w:tab w:val="clear" w:pos="384"/>
          <w:tab w:val="left" w:pos="284"/>
        </w:tabs>
        <w:spacing w:line="240" w:lineRule="auto"/>
        <w:ind w:left="0" w:firstLine="0"/>
      </w:pPr>
      <w:r w:rsidRPr="00C453CC">
        <w:t>63</w:t>
      </w:r>
      <w:r w:rsidR="008D34E1" w:rsidRPr="00C453CC">
        <w:t>.</w:t>
      </w:r>
      <w:r w:rsidR="008D34E1" w:rsidRPr="00C453CC">
        <w:tab/>
        <w:t xml:space="preserve">Nguyen, G. N. </w:t>
      </w:r>
      <w:r w:rsidR="009F16C6" w:rsidRPr="00C453CC">
        <w:rPr>
          <w:iCs/>
        </w:rPr>
        <w:t>et al</w:t>
      </w:r>
      <w:r w:rsidR="008D34E1" w:rsidRPr="00C453CC">
        <w:rPr>
          <w:i/>
          <w:iCs/>
        </w:rPr>
        <w:t>.</w:t>
      </w:r>
      <w:r w:rsidR="008D34E1" w:rsidRPr="00C453CC">
        <w:t xml:space="preserve"> A long-term study of AAV gene therapy in dogs with hemophilia A identifies clonal expansions of transduced liver cells. </w:t>
      </w:r>
      <w:r w:rsidR="008D34E1" w:rsidRPr="00C453CC">
        <w:rPr>
          <w:i/>
          <w:iCs/>
        </w:rPr>
        <w:t>Nat</w:t>
      </w:r>
      <w:r w:rsidR="00107676" w:rsidRPr="00C453CC">
        <w:rPr>
          <w:i/>
          <w:iCs/>
        </w:rPr>
        <w:t>ure</w:t>
      </w:r>
      <w:r w:rsidR="008D34E1" w:rsidRPr="00C453CC">
        <w:rPr>
          <w:i/>
          <w:iCs/>
        </w:rPr>
        <w:t xml:space="preserve"> Biotechnol</w:t>
      </w:r>
      <w:r w:rsidR="00107676" w:rsidRPr="00C453CC">
        <w:rPr>
          <w:i/>
          <w:iCs/>
        </w:rPr>
        <w:t>ogy.</w:t>
      </w:r>
      <w:r w:rsidR="008D34E1" w:rsidRPr="00C453CC">
        <w:t xml:space="preserve"> </w:t>
      </w:r>
      <w:r w:rsidR="008D34E1" w:rsidRPr="00C453CC">
        <w:rPr>
          <w:b/>
          <w:bCs/>
        </w:rPr>
        <w:t>39</w:t>
      </w:r>
      <w:r w:rsidR="008D34E1" w:rsidRPr="00C453CC">
        <w:t>, 47–55 (2021).</w:t>
      </w:r>
    </w:p>
    <w:p w14:paraId="1ED8D279" w14:textId="0622984E" w:rsidR="008D34E1" w:rsidRPr="00C453CC" w:rsidRDefault="00E15E9C" w:rsidP="007C2A68">
      <w:pPr>
        <w:pStyle w:val="Bibliography"/>
        <w:tabs>
          <w:tab w:val="clear" w:pos="384"/>
          <w:tab w:val="left" w:pos="284"/>
        </w:tabs>
        <w:spacing w:line="240" w:lineRule="auto"/>
        <w:ind w:left="0" w:firstLine="0"/>
      </w:pPr>
      <w:r w:rsidRPr="00C453CC">
        <w:t>64</w:t>
      </w:r>
      <w:r w:rsidR="008D34E1" w:rsidRPr="00C453CC">
        <w:t>.</w:t>
      </w:r>
      <w:r w:rsidR="008D34E1" w:rsidRPr="00C453CC">
        <w:tab/>
        <w:t>Nayak, S.</w:t>
      </w:r>
      <w:r w:rsidR="00107676" w:rsidRPr="00C453CC">
        <w:t>,</w:t>
      </w:r>
      <w:r w:rsidR="008D34E1" w:rsidRPr="00C453CC">
        <w:t xml:space="preserve"> Herzog, R. W. </w:t>
      </w:r>
      <w:proofErr w:type="gramStart"/>
      <w:r w:rsidR="008D34E1" w:rsidRPr="00C453CC">
        <w:t>Progress</w:t>
      </w:r>
      <w:proofErr w:type="gramEnd"/>
      <w:r w:rsidR="008D34E1" w:rsidRPr="00C453CC">
        <w:t xml:space="preserve"> and prospects: Immune responses to viral vectors. </w:t>
      </w:r>
      <w:r w:rsidR="008D34E1" w:rsidRPr="00C453CC">
        <w:rPr>
          <w:i/>
          <w:iCs/>
        </w:rPr>
        <w:t>Gene Therapy</w:t>
      </w:r>
      <w:r w:rsidR="00107676" w:rsidRPr="00C453CC">
        <w:t xml:space="preserve">. </w:t>
      </w:r>
      <w:r w:rsidR="00107676" w:rsidRPr="00C453CC">
        <w:rPr>
          <w:b/>
          <w:bCs/>
        </w:rPr>
        <w:t>17</w:t>
      </w:r>
      <w:r w:rsidR="00107676" w:rsidRPr="00C453CC">
        <w:t xml:space="preserve"> (3), 295–304 </w:t>
      </w:r>
      <w:r w:rsidR="008D34E1" w:rsidRPr="00C453CC">
        <w:t xml:space="preserve">(2010). </w:t>
      </w:r>
    </w:p>
    <w:p w14:paraId="7F0F2A4B" w14:textId="78398EB2" w:rsidR="008D34E1" w:rsidRPr="00C453CC" w:rsidRDefault="00E15E9C" w:rsidP="007C2A68">
      <w:pPr>
        <w:pStyle w:val="Bibliography"/>
        <w:tabs>
          <w:tab w:val="clear" w:pos="384"/>
          <w:tab w:val="left" w:pos="284"/>
        </w:tabs>
        <w:spacing w:line="240" w:lineRule="auto"/>
        <w:ind w:left="0" w:firstLine="0"/>
      </w:pPr>
      <w:r w:rsidRPr="00C453CC">
        <w:t>65</w:t>
      </w:r>
      <w:r w:rsidR="008D34E1" w:rsidRPr="00C453CC">
        <w:t>.</w:t>
      </w:r>
      <w:r w:rsidR="008D34E1" w:rsidRPr="00C453CC">
        <w:tab/>
      </w:r>
      <w:proofErr w:type="spellStart"/>
      <w:r w:rsidR="008D34E1" w:rsidRPr="00C453CC">
        <w:t>Visel</w:t>
      </w:r>
      <w:proofErr w:type="spellEnd"/>
      <w:r w:rsidR="008D34E1" w:rsidRPr="00C453CC">
        <w:t xml:space="preserve">, A. </w:t>
      </w:r>
      <w:r w:rsidR="009F16C6" w:rsidRPr="00C453CC">
        <w:rPr>
          <w:iCs/>
        </w:rPr>
        <w:t>et al</w:t>
      </w:r>
      <w:r w:rsidR="008D34E1" w:rsidRPr="00C453CC">
        <w:rPr>
          <w:i/>
          <w:iCs/>
        </w:rPr>
        <w:t>.</w:t>
      </w:r>
      <w:r w:rsidR="008D34E1" w:rsidRPr="00C453CC">
        <w:t xml:space="preserve"> A high-resolution enhancer atlas of the developing telencephalon. </w:t>
      </w:r>
      <w:r w:rsidR="008D34E1" w:rsidRPr="00C453CC">
        <w:rPr>
          <w:i/>
          <w:iCs/>
        </w:rPr>
        <w:t>Cell</w:t>
      </w:r>
      <w:r w:rsidR="00107676" w:rsidRPr="00C453CC">
        <w:t xml:space="preserve">. </w:t>
      </w:r>
      <w:r w:rsidR="00107676" w:rsidRPr="00C453CC">
        <w:rPr>
          <w:b/>
          <w:bCs/>
        </w:rPr>
        <w:t>152</w:t>
      </w:r>
      <w:r w:rsidR="00107676" w:rsidRPr="00C453CC">
        <w:t xml:space="preserve"> (4), 895–908 </w:t>
      </w:r>
      <w:r w:rsidR="008D34E1" w:rsidRPr="00C453CC">
        <w:t>(2013)</w:t>
      </w:r>
      <w:r w:rsidR="00107676" w:rsidRPr="00C453CC">
        <w:t>.</w:t>
      </w:r>
    </w:p>
    <w:p w14:paraId="03D6843F" w14:textId="532442DE" w:rsidR="008D34E1" w:rsidRPr="00C453CC" w:rsidRDefault="00E15E9C" w:rsidP="007C2A68">
      <w:pPr>
        <w:pStyle w:val="Bibliography"/>
        <w:tabs>
          <w:tab w:val="clear" w:pos="384"/>
          <w:tab w:val="left" w:pos="284"/>
        </w:tabs>
        <w:spacing w:line="240" w:lineRule="auto"/>
        <w:ind w:left="0" w:firstLine="0"/>
      </w:pPr>
      <w:r w:rsidRPr="00C453CC">
        <w:lastRenderedPageBreak/>
        <w:t>66</w:t>
      </w:r>
      <w:r w:rsidR="008D34E1" w:rsidRPr="00C453CC">
        <w:t>.</w:t>
      </w:r>
      <w:r w:rsidR="008D34E1" w:rsidRPr="00C453CC">
        <w:tab/>
        <w:t xml:space="preserve">Shen, S. Q. </w:t>
      </w:r>
      <w:r w:rsidR="009F16C6" w:rsidRPr="00C453CC">
        <w:rPr>
          <w:iCs/>
        </w:rPr>
        <w:t>et al</w:t>
      </w:r>
      <w:r w:rsidR="008D34E1" w:rsidRPr="00C453CC">
        <w:rPr>
          <w:i/>
          <w:iCs/>
        </w:rPr>
        <w:t>.</w:t>
      </w:r>
      <w:r w:rsidR="008D34E1" w:rsidRPr="00C453CC">
        <w:t xml:space="preserve"> Massively parallel cis-regulatory analysis in the mammalian central nervous system. </w:t>
      </w:r>
      <w:r w:rsidR="008D34E1" w:rsidRPr="00C453CC">
        <w:rPr>
          <w:i/>
          <w:iCs/>
        </w:rPr>
        <w:t>Genome Research</w:t>
      </w:r>
      <w:r w:rsidR="008D34E1" w:rsidRPr="00C453CC">
        <w:t xml:space="preserve"> </w:t>
      </w:r>
      <w:r w:rsidR="00107676" w:rsidRPr="00C453CC">
        <w:rPr>
          <w:b/>
          <w:bCs/>
        </w:rPr>
        <w:t>26</w:t>
      </w:r>
      <w:r w:rsidR="00107676" w:rsidRPr="00C453CC">
        <w:t xml:space="preserve"> (2), 238–255 </w:t>
      </w:r>
      <w:r w:rsidR="008D34E1" w:rsidRPr="00C453CC">
        <w:t>(2016)</w:t>
      </w:r>
      <w:r w:rsidR="00107676" w:rsidRPr="00C453CC">
        <w:t>.</w:t>
      </w:r>
    </w:p>
    <w:p w14:paraId="2E1307B7" w14:textId="31261065" w:rsidR="008D34E1" w:rsidRPr="00C453CC" w:rsidRDefault="00E15E9C" w:rsidP="007C2A68">
      <w:pPr>
        <w:pStyle w:val="Bibliography"/>
        <w:tabs>
          <w:tab w:val="clear" w:pos="384"/>
          <w:tab w:val="left" w:pos="284"/>
        </w:tabs>
        <w:spacing w:line="240" w:lineRule="auto"/>
        <w:ind w:left="0" w:firstLine="0"/>
      </w:pPr>
      <w:r w:rsidRPr="00C453CC">
        <w:t>67</w:t>
      </w:r>
      <w:r w:rsidR="008D34E1" w:rsidRPr="00C453CC">
        <w:t>.</w:t>
      </w:r>
      <w:r w:rsidR="008D34E1" w:rsidRPr="00C453CC">
        <w:tab/>
        <w:t xml:space="preserve">Shen, S. Q. </w:t>
      </w:r>
      <w:r w:rsidR="009F16C6" w:rsidRPr="00C453CC">
        <w:rPr>
          <w:iCs/>
        </w:rPr>
        <w:t>et al</w:t>
      </w:r>
      <w:r w:rsidR="008D34E1" w:rsidRPr="00C453CC">
        <w:rPr>
          <w:i/>
          <w:iCs/>
        </w:rPr>
        <w:t>.</w:t>
      </w:r>
      <w:r w:rsidR="008D34E1" w:rsidRPr="00C453CC">
        <w:t xml:space="preserve"> A candidate causal variant underlying both higher intelligence and increased risk of bipolar disorder. </w:t>
      </w:r>
      <w:proofErr w:type="spellStart"/>
      <w:r w:rsidR="008D34E1" w:rsidRPr="00C453CC">
        <w:rPr>
          <w:i/>
          <w:iCs/>
        </w:rPr>
        <w:t>bioRxiv</w:t>
      </w:r>
      <w:proofErr w:type="spellEnd"/>
      <w:r w:rsidR="0098340E" w:rsidRPr="00C453CC">
        <w:t>.</w:t>
      </w:r>
      <w:r w:rsidR="008D34E1" w:rsidRPr="00C453CC">
        <w:t xml:space="preserve"> </w:t>
      </w:r>
      <w:r w:rsidR="00555815" w:rsidRPr="00C453CC">
        <w:t>bioRxiv</w:t>
      </w:r>
      <w:r w:rsidR="008D34E1" w:rsidRPr="00C453CC">
        <w:t>10.1101/580258</w:t>
      </w:r>
      <w:r w:rsidR="00555815" w:rsidRPr="00C453CC">
        <w:t xml:space="preserve"> (2019)</w:t>
      </w:r>
    </w:p>
    <w:p w14:paraId="3BA83745" w14:textId="1C4FD30D" w:rsidR="008D34E1" w:rsidRPr="00C453CC" w:rsidRDefault="00E15E9C" w:rsidP="007C2A68">
      <w:pPr>
        <w:pStyle w:val="Bibliography"/>
        <w:tabs>
          <w:tab w:val="clear" w:pos="384"/>
          <w:tab w:val="left" w:pos="284"/>
        </w:tabs>
        <w:spacing w:line="240" w:lineRule="auto"/>
        <w:ind w:left="0" w:firstLine="0"/>
      </w:pPr>
      <w:r w:rsidRPr="00C453CC">
        <w:t>68</w:t>
      </w:r>
      <w:r w:rsidR="008D34E1" w:rsidRPr="00C453CC">
        <w:t>.</w:t>
      </w:r>
      <w:r w:rsidR="008D34E1" w:rsidRPr="00C453CC">
        <w:tab/>
      </w:r>
      <w:proofErr w:type="spellStart"/>
      <w:r w:rsidR="008D34E1" w:rsidRPr="00C453CC">
        <w:t>Hrvatin</w:t>
      </w:r>
      <w:proofErr w:type="spellEnd"/>
      <w:r w:rsidR="008D34E1" w:rsidRPr="00C453CC">
        <w:t xml:space="preserve">, S. </w:t>
      </w:r>
      <w:r w:rsidR="009F16C6" w:rsidRPr="00C453CC">
        <w:rPr>
          <w:iCs/>
        </w:rPr>
        <w:t>et al</w:t>
      </w:r>
      <w:r w:rsidR="0098340E" w:rsidRPr="00C453CC">
        <w:rPr>
          <w:i/>
        </w:rPr>
        <w:t>.</w:t>
      </w:r>
      <w:r w:rsidR="0098340E" w:rsidRPr="00C453CC">
        <w:t xml:space="preserve"> A scalable platform for the development of cell-type-specific viral drivers. </w:t>
      </w:r>
      <w:proofErr w:type="spellStart"/>
      <w:r w:rsidR="008D34E1" w:rsidRPr="00C453CC">
        <w:rPr>
          <w:i/>
          <w:iCs/>
        </w:rPr>
        <w:t>eLife</w:t>
      </w:r>
      <w:proofErr w:type="spellEnd"/>
      <w:r w:rsidR="00107676" w:rsidRPr="00C453CC">
        <w:t xml:space="preserve">. </w:t>
      </w:r>
      <w:r w:rsidR="00107676" w:rsidRPr="00C453CC">
        <w:rPr>
          <w:b/>
          <w:bCs/>
        </w:rPr>
        <w:t>8</w:t>
      </w:r>
      <w:r w:rsidR="00107676" w:rsidRPr="00C453CC">
        <w:t xml:space="preserve">, e48089 </w:t>
      </w:r>
      <w:r w:rsidR="008D34E1" w:rsidRPr="00C453CC">
        <w:t>(2019).</w:t>
      </w:r>
    </w:p>
    <w:p w14:paraId="0000018B" w14:textId="3F5D1A13" w:rsidR="005B0A9F" w:rsidRPr="00C453CC" w:rsidRDefault="005B0A9F" w:rsidP="00DA02C7"/>
    <w:sectPr w:rsidR="005B0A9F" w:rsidRPr="00C453CC" w:rsidSect="00342561">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DE41" w14:textId="77777777" w:rsidR="0035744C" w:rsidRDefault="0035744C">
      <w:r>
        <w:separator/>
      </w:r>
    </w:p>
  </w:endnote>
  <w:endnote w:type="continuationSeparator" w:id="0">
    <w:p w14:paraId="33C25BC7" w14:textId="77777777" w:rsidR="0035744C" w:rsidRDefault="0035744C">
      <w:r>
        <w:continuationSeparator/>
      </w:r>
    </w:p>
  </w:endnote>
  <w:endnote w:type="continuationNotice" w:id="1">
    <w:p w14:paraId="55A0907D" w14:textId="77777777" w:rsidR="0035744C" w:rsidRDefault="00357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F" w14:textId="77777777" w:rsidR="005B0A9F" w:rsidRDefault="005B0A9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7275" w14:textId="77777777" w:rsidR="00727A7E" w:rsidRDefault="0072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4705" w14:textId="77777777" w:rsidR="0035744C" w:rsidRDefault="0035744C">
      <w:r>
        <w:separator/>
      </w:r>
    </w:p>
  </w:footnote>
  <w:footnote w:type="continuationSeparator" w:id="0">
    <w:p w14:paraId="59692848" w14:textId="77777777" w:rsidR="0035744C" w:rsidRDefault="0035744C">
      <w:r>
        <w:continuationSeparator/>
      </w:r>
    </w:p>
  </w:footnote>
  <w:footnote w:type="continuationNotice" w:id="1">
    <w:p w14:paraId="276EF522" w14:textId="77777777" w:rsidR="0035744C" w:rsidRDefault="00357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D" w14:textId="77777777" w:rsidR="005B0A9F" w:rsidRDefault="005B0A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C" w14:textId="77777777" w:rsidR="005B0A9F" w:rsidRDefault="0098340E">
    <w:pPr>
      <w:pBdr>
        <w:top w:val="nil"/>
        <w:left w:val="nil"/>
        <w:bottom w:val="nil"/>
        <w:right w:val="nil"/>
        <w:between w:val="nil"/>
      </w:pBdr>
      <w:tabs>
        <w:tab w:val="center" w:pos="4680"/>
        <w:tab w:val="right" w:pos="9360"/>
        <w:tab w:val="left" w:pos="5724"/>
      </w:tabs>
      <w:rPr>
        <w:b/>
        <w:color w:val="1F497D"/>
        <w:sz w:val="28"/>
        <w:szCs w:val="28"/>
      </w:rPr>
    </w:pPr>
    <w:bookmarkStart w:id="14" w:name="_heading=h.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E" w14:textId="77777777" w:rsidR="005B0A9F" w:rsidRDefault="0098340E">
    <w:pPr>
      <w:pBdr>
        <w:top w:val="nil"/>
        <w:left w:val="nil"/>
        <w:bottom w:val="nil"/>
        <w:right w:val="nil"/>
        <w:between w:val="nil"/>
      </w:pBdr>
      <w:tabs>
        <w:tab w:val="center" w:pos="4680"/>
        <w:tab w:val="right" w:pos="9360"/>
      </w:tabs>
      <w:jc w:val="lef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A43"/>
    <w:multiLevelType w:val="multilevel"/>
    <w:tmpl w:val="CB1C65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59712EC"/>
    <w:multiLevelType w:val="multilevel"/>
    <w:tmpl w:val="22C4FC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717701"/>
    <w:multiLevelType w:val="multilevel"/>
    <w:tmpl w:val="6130C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094057"/>
    <w:multiLevelType w:val="multilevel"/>
    <w:tmpl w:val="33081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920EF5"/>
    <w:multiLevelType w:val="multilevel"/>
    <w:tmpl w:val="0C2C56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83121C4"/>
    <w:multiLevelType w:val="multilevel"/>
    <w:tmpl w:val="08BC6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A0E094F"/>
    <w:multiLevelType w:val="multilevel"/>
    <w:tmpl w:val="B442C7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D2930F9"/>
    <w:multiLevelType w:val="multilevel"/>
    <w:tmpl w:val="14F8D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9C088C"/>
    <w:multiLevelType w:val="multilevel"/>
    <w:tmpl w:val="4D5C4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52473A"/>
    <w:multiLevelType w:val="multilevel"/>
    <w:tmpl w:val="6074A2C0"/>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10" w15:restartNumberingAfterBreak="0">
    <w:nsid w:val="42DA7527"/>
    <w:multiLevelType w:val="multilevel"/>
    <w:tmpl w:val="4508D22C"/>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11" w15:restartNumberingAfterBreak="0">
    <w:nsid w:val="432470DF"/>
    <w:multiLevelType w:val="multilevel"/>
    <w:tmpl w:val="DCCAD270"/>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12" w15:restartNumberingAfterBreak="0">
    <w:nsid w:val="484010CD"/>
    <w:multiLevelType w:val="multilevel"/>
    <w:tmpl w:val="7346ACE0"/>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13" w15:restartNumberingAfterBreak="0">
    <w:nsid w:val="4AA26B39"/>
    <w:multiLevelType w:val="multilevel"/>
    <w:tmpl w:val="5B60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4B2DAC"/>
    <w:multiLevelType w:val="multilevel"/>
    <w:tmpl w:val="C916E43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4FC61A49"/>
    <w:multiLevelType w:val="multilevel"/>
    <w:tmpl w:val="437692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1236499"/>
    <w:multiLevelType w:val="multilevel"/>
    <w:tmpl w:val="FA0AEF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51B54D32"/>
    <w:multiLevelType w:val="multilevel"/>
    <w:tmpl w:val="60344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51D81B46"/>
    <w:multiLevelType w:val="multilevel"/>
    <w:tmpl w:val="1DDE487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2F67CCC"/>
    <w:multiLevelType w:val="multilevel"/>
    <w:tmpl w:val="08ECB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3A7B20"/>
    <w:multiLevelType w:val="multilevel"/>
    <w:tmpl w:val="92B84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462B2A"/>
    <w:multiLevelType w:val="multilevel"/>
    <w:tmpl w:val="4726D4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2" w15:restartNumberingAfterBreak="0">
    <w:nsid w:val="5FBF76A9"/>
    <w:multiLevelType w:val="multilevel"/>
    <w:tmpl w:val="23CE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DC06E3"/>
    <w:multiLevelType w:val="multilevel"/>
    <w:tmpl w:val="A252B2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44B5448"/>
    <w:multiLevelType w:val="multilevel"/>
    <w:tmpl w:val="B8F631C4"/>
    <w:lvl w:ilvl="0">
      <w:start w:val="1"/>
      <w:numFmt w:val="decimal"/>
      <w:lvlText w:val="%1."/>
      <w:lvlJc w:val="left"/>
      <w:pPr>
        <w:ind w:left="720" w:hanging="360"/>
      </w:pPr>
      <w:rPr>
        <w:rFonts w:hint="default"/>
        <w:b/>
        <w:u w:val="none"/>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F52F86"/>
    <w:multiLevelType w:val="multilevel"/>
    <w:tmpl w:val="E5D0E86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6" w15:restartNumberingAfterBreak="0">
    <w:nsid w:val="6D0D5AA5"/>
    <w:multiLevelType w:val="multilevel"/>
    <w:tmpl w:val="666EF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F62705"/>
    <w:multiLevelType w:val="multilevel"/>
    <w:tmpl w:val="5B4494A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8" w15:restartNumberingAfterBreak="0">
    <w:nsid w:val="708D2E40"/>
    <w:multiLevelType w:val="multilevel"/>
    <w:tmpl w:val="1C4CE0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2"/>
  </w:num>
  <w:num w:numId="2">
    <w:abstractNumId w:val="2"/>
  </w:num>
  <w:num w:numId="3">
    <w:abstractNumId w:val="20"/>
  </w:num>
  <w:num w:numId="4">
    <w:abstractNumId w:val="13"/>
  </w:num>
  <w:num w:numId="5">
    <w:abstractNumId w:val="7"/>
  </w:num>
  <w:num w:numId="6">
    <w:abstractNumId w:val="3"/>
  </w:num>
  <w:num w:numId="7">
    <w:abstractNumId w:val="19"/>
  </w:num>
  <w:num w:numId="8">
    <w:abstractNumId w:val="23"/>
  </w:num>
  <w:num w:numId="9">
    <w:abstractNumId w:val="1"/>
  </w:num>
  <w:num w:numId="10">
    <w:abstractNumId w:val="28"/>
  </w:num>
  <w:num w:numId="11">
    <w:abstractNumId w:val="14"/>
  </w:num>
  <w:num w:numId="12">
    <w:abstractNumId w:val="0"/>
  </w:num>
  <w:num w:numId="13">
    <w:abstractNumId w:val="8"/>
  </w:num>
  <w:num w:numId="14">
    <w:abstractNumId w:val="26"/>
  </w:num>
  <w:num w:numId="15">
    <w:abstractNumId w:val="17"/>
  </w:num>
  <w:num w:numId="16">
    <w:abstractNumId w:val="5"/>
  </w:num>
  <w:num w:numId="17">
    <w:abstractNumId w:val="27"/>
  </w:num>
  <w:num w:numId="18">
    <w:abstractNumId w:val="12"/>
  </w:num>
  <w:num w:numId="19">
    <w:abstractNumId w:val="11"/>
  </w:num>
  <w:num w:numId="20">
    <w:abstractNumId w:val="21"/>
  </w:num>
  <w:num w:numId="21">
    <w:abstractNumId w:val="15"/>
  </w:num>
  <w:num w:numId="22">
    <w:abstractNumId w:val="18"/>
  </w:num>
  <w:num w:numId="23">
    <w:abstractNumId w:val="6"/>
  </w:num>
  <w:num w:numId="24">
    <w:abstractNumId w:val="16"/>
  </w:num>
  <w:num w:numId="25">
    <w:abstractNumId w:val="25"/>
  </w:num>
  <w:num w:numId="26">
    <w:abstractNumId w:val="10"/>
  </w:num>
  <w:num w:numId="27">
    <w:abstractNumId w:val="9"/>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NLQ0MjMysDA2NbVQ0lEKTi0uzszPAykwqQUASd3O9ywAAAA="/>
  </w:docVars>
  <w:rsids>
    <w:rsidRoot w:val="005B0A9F"/>
    <w:rsid w:val="0001345A"/>
    <w:rsid w:val="0002219A"/>
    <w:rsid w:val="00024D4A"/>
    <w:rsid w:val="000272DA"/>
    <w:rsid w:val="00034781"/>
    <w:rsid w:val="00043A35"/>
    <w:rsid w:val="0006399D"/>
    <w:rsid w:val="000828BE"/>
    <w:rsid w:val="00091DA2"/>
    <w:rsid w:val="0009568F"/>
    <w:rsid w:val="000A78DF"/>
    <w:rsid w:val="000B2BFA"/>
    <w:rsid w:val="000B7ABE"/>
    <w:rsid w:val="000C0E3F"/>
    <w:rsid w:val="000C6C9E"/>
    <w:rsid w:val="000E35B5"/>
    <w:rsid w:val="000E3D33"/>
    <w:rsid w:val="000F26DB"/>
    <w:rsid w:val="000F2EBC"/>
    <w:rsid w:val="00107676"/>
    <w:rsid w:val="001077FA"/>
    <w:rsid w:val="001115F4"/>
    <w:rsid w:val="001122F6"/>
    <w:rsid w:val="001172A8"/>
    <w:rsid w:val="0013015D"/>
    <w:rsid w:val="00146C28"/>
    <w:rsid w:val="001612BE"/>
    <w:rsid w:val="00183F2D"/>
    <w:rsid w:val="001919CC"/>
    <w:rsid w:val="001A73B3"/>
    <w:rsid w:val="001C17F5"/>
    <w:rsid w:val="001D7B18"/>
    <w:rsid w:val="00200C7C"/>
    <w:rsid w:val="00200D72"/>
    <w:rsid w:val="00214C70"/>
    <w:rsid w:val="002213B8"/>
    <w:rsid w:val="00231C56"/>
    <w:rsid w:val="00231DA2"/>
    <w:rsid w:val="00245568"/>
    <w:rsid w:val="002964A8"/>
    <w:rsid w:val="002A359F"/>
    <w:rsid w:val="002A57C4"/>
    <w:rsid w:val="002B45EB"/>
    <w:rsid w:val="002C0B2D"/>
    <w:rsid w:val="002C18B0"/>
    <w:rsid w:val="002C3961"/>
    <w:rsid w:val="002F6129"/>
    <w:rsid w:val="002F6A8C"/>
    <w:rsid w:val="002F7384"/>
    <w:rsid w:val="003019C1"/>
    <w:rsid w:val="003175BC"/>
    <w:rsid w:val="003278AD"/>
    <w:rsid w:val="00333BA9"/>
    <w:rsid w:val="003369E5"/>
    <w:rsid w:val="003414FD"/>
    <w:rsid w:val="003415C5"/>
    <w:rsid w:val="00342561"/>
    <w:rsid w:val="003477A8"/>
    <w:rsid w:val="0035744C"/>
    <w:rsid w:val="00357489"/>
    <w:rsid w:val="00377A58"/>
    <w:rsid w:val="00387C30"/>
    <w:rsid w:val="00394DBF"/>
    <w:rsid w:val="003A2988"/>
    <w:rsid w:val="003A2C63"/>
    <w:rsid w:val="003B0208"/>
    <w:rsid w:val="003B3AC1"/>
    <w:rsid w:val="003B59F9"/>
    <w:rsid w:val="003D25CC"/>
    <w:rsid w:val="003D2E10"/>
    <w:rsid w:val="003D3EB4"/>
    <w:rsid w:val="003E02C1"/>
    <w:rsid w:val="003E1D80"/>
    <w:rsid w:val="00431543"/>
    <w:rsid w:val="00463242"/>
    <w:rsid w:val="00463B88"/>
    <w:rsid w:val="00471433"/>
    <w:rsid w:val="00484DB6"/>
    <w:rsid w:val="0048511D"/>
    <w:rsid w:val="004864DC"/>
    <w:rsid w:val="00490798"/>
    <w:rsid w:val="004A3AE4"/>
    <w:rsid w:val="004D6C5A"/>
    <w:rsid w:val="004D768F"/>
    <w:rsid w:val="004F1560"/>
    <w:rsid w:val="00501D7C"/>
    <w:rsid w:val="005123ED"/>
    <w:rsid w:val="0052126E"/>
    <w:rsid w:val="0052780A"/>
    <w:rsid w:val="0054379E"/>
    <w:rsid w:val="00547DC1"/>
    <w:rsid w:val="00555744"/>
    <w:rsid w:val="00555815"/>
    <w:rsid w:val="005838BE"/>
    <w:rsid w:val="005B0A9F"/>
    <w:rsid w:val="005B263D"/>
    <w:rsid w:val="005C36CF"/>
    <w:rsid w:val="005D3A24"/>
    <w:rsid w:val="005D7229"/>
    <w:rsid w:val="005E2F8D"/>
    <w:rsid w:val="0060158E"/>
    <w:rsid w:val="00603DE9"/>
    <w:rsid w:val="0060523D"/>
    <w:rsid w:val="006224D3"/>
    <w:rsid w:val="00627B8F"/>
    <w:rsid w:val="00631D7F"/>
    <w:rsid w:val="0063634C"/>
    <w:rsid w:val="006469D9"/>
    <w:rsid w:val="00646AF9"/>
    <w:rsid w:val="00660EBB"/>
    <w:rsid w:val="00666E11"/>
    <w:rsid w:val="006830EF"/>
    <w:rsid w:val="00684E82"/>
    <w:rsid w:val="006A4D67"/>
    <w:rsid w:val="006A69C2"/>
    <w:rsid w:val="006D232F"/>
    <w:rsid w:val="006E2D87"/>
    <w:rsid w:val="007002B3"/>
    <w:rsid w:val="0070668F"/>
    <w:rsid w:val="0071262B"/>
    <w:rsid w:val="00727A7E"/>
    <w:rsid w:val="00741DA2"/>
    <w:rsid w:val="007539CA"/>
    <w:rsid w:val="00757905"/>
    <w:rsid w:val="00762B6A"/>
    <w:rsid w:val="00780F14"/>
    <w:rsid w:val="007B6E7D"/>
    <w:rsid w:val="007C2A68"/>
    <w:rsid w:val="007D4458"/>
    <w:rsid w:val="007D7BD7"/>
    <w:rsid w:val="007F178C"/>
    <w:rsid w:val="007F4AF9"/>
    <w:rsid w:val="00804CF5"/>
    <w:rsid w:val="00814A2A"/>
    <w:rsid w:val="008250B3"/>
    <w:rsid w:val="008335F3"/>
    <w:rsid w:val="00837B11"/>
    <w:rsid w:val="00837DEF"/>
    <w:rsid w:val="00840EA2"/>
    <w:rsid w:val="00882162"/>
    <w:rsid w:val="0089284C"/>
    <w:rsid w:val="00896C94"/>
    <w:rsid w:val="008A2169"/>
    <w:rsid w:val="008D03DF"/>
    <w:rsid w:val="008D0AF1"/>
    <w:rsid w:val="008D34E1"/>
    <w:rsid w:val="009101E8"/>
    <w:rsid w:val="009306D2"/>
    <w:rsid w:val="00960CD1"/>
    <w:rsid w:val="0096549E"/>
    <w:rsid w:val="00971899"/>
    <w:rsid w:val="0098340E"/>
    <w:rsid w:val="00991EAD"/>
    <w:rsid w:val="009925E5"/>
    <w:rsid w:val="009A68EA"/>
    <w:rsid w:val="009B1A80"/>
    <w:rsid w:val="009B4B36"/>
    <w:rsid w:val="009C3C72"/>
    <w:rsid w:val="009C5F81"/>
    <w:rsid w:val="009D50FC"/>
    <w:rsid w:val="009E40D3"/>
    <w:rsid w:val="009F0B8F"/>
    <w:rsid w:val="009F16C6"/>
    <w:rsid w:val="009F4553"/>
    <w:rsid w:val="00A10180"/>
    <w:rsid w:val="00A24921"/>
    <w:rsid w:val="00A3226C"/>
    <w:rsid w:val="00A36BC6"/>
    <w:rsid w:val="00A4444B"/>
    <w:rsid w:val="00A44ABA"/>
    <w:rsid w:val="00A6601F"/>
    <w:rsid w:val="00A8156C"/>
    <w:rsid w:val="00A85350"/>
    <w:rsid w:val="00AC4233"/>
    <w:rsid w:val="00AC52C2"/>
    <w:rsid w:val="00AD02B0"/>
    <w:rsid w:val="00AE0892"/>
    <w:rsid w:val="00AE0930"/>
    <w:rsid w:val="00B0114B"/>
    <w:rsid w:val="00B20A2A"/>
    <w:rsid w:val="00B36F5C"/>
    <w:rsid w:val="00B4536C"/>
    <w:rsid w:val="00B55790"/>
    <w:rsid w:val="00B65020"/>
    <w:rsid w:val="00B654E2"/>
    <w:rsid w:val="00B664C7"/>
    <w:rsid w:val="00B66AB9"/>
    <w:rsid w:val="00B85C3E"/>
    <w:rsid w:val="00BB67FE"/>
    <w:rsid w:val="00BC57D1"/>
    <w:rsid w:val="00BF4ABE"/>
    <w:rsid w:val="00C05946"/>
    <w:rsid w:val="00C130D2"/>
    <w:rsid w:val="00C453CC"/>
    <w:rsid w:val="00C50EFF"/>
    <w:rsid w:val="00C54938"/>
    <w:rsid w:val="00C756CB"/>
    <w:rsid w:val="00C819F2"/>
    <w:rsid w:val="00C82DE9"/>
    <w:rsid w:val="00C86D55"/>
    <w:rsid w:val="00CA3D61"/>
    <w:rsid w:val="00CD7BE7"/>
    <w:rsid w:val="00CF4099"/>
    <w:rsid w:val="00D07EB9"/>
    <w:rsid w:val="00D15B55"/>
    <w:rsid w:val="00D16476"/>
    <w:rsid w:val="00D26714"/>
    <w:rsid w:val="00D31F7E"/>
    <w:rsid w:val="00D42FB0"/>
    <w:rsid w:val="00D471E7"/>
    <w:rsid w:val="00D54DE7"/>
    <w:rsid w:val="00D55922"/>
    <w:rsid w:val="00D6656F"/>
    <w:rsid w:val="00D901E0"/>
    <w:rsid w:val="00D954E1"/>
    <w:rsid w:val="00DA02C7"/>
    <w:rsid w:val="00DA0553"/>
    <w:rsid w:val="00DA17E1"/>
    <w:rsid w:val="00DA37F3"/>
    <w:rsid w:val="00DB481E"/>
    <w:rsid w:val="00DC3C26"/>
    <w:rsid w:val="00DD04F8"/>
    <w:rsid w:val="00DE33DB"/>
    <w:rsid w:val="00DF7C58"/>
    <w:rsid w:val="00E0143E"/>
    <w:rsid w:val="00E034CD"/>
    <w:rsid w:val="00E06185"/>
    <w:rsid w:val="00E14C4C"/>
    <w:rsid w:val="00E15E9C"/>
    <w:rsid w:val="00E160D2"/>
    <w:rsid w:val="00E205A7"/>
    <w:rsid w:val="00E25331"/>
    <w:rsid w:val="00E27D2B"/>
    <w:rsid w:val="00E331C8"/>
    <w:rsid w:val="00E35A41"/>
    <w:rsid w:val="00E532E2"/>
    <w:rsid w:val="00E70C4A"/>
    <w:rsid w:val="00EA3AFA"/>
    <w:rsid w:val="00EB37A0"/>
    <w:rsid w:val="00EC7DBC"/>
    <w:rsid w:val="00EE1AB5"/>
    <w:rsid w:val="00EF52F6"/>
    <w:rsid w:val="00F022F6"/>
    <w:rsid w:val="00F3339D"/>
    <w:rsid w:val="00F340F7"/>
    <w:rsid w:val="00F41ED1"/>
    <w:rsid w:val="00F41FCF"/>
    <w:rsid w:val="00F44190"/>
    <w:rsid w:val="00F46DBD"/>
    <w:rsid w:val="00F50FCE"/>
    <w:rsid w:val="00FC2803"/>
    <w:rsid w:val="00FC492E"/>
    <w:rsid w:val="00FD2FB8"/>
    <w:rsid w:val="00FE4D67"/>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04D69"/>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B24A65"/>
    <w:pPr>
      <w:widowControl/>
      <w:jc w:val="left"/>
    </w:pPr>
  </w:style>
  <w:style w:type="paragraph" w:styleId="CommentSubject">
    <w:name w:val="annotation subject"/>
    <w:basedOn w:val="CommentText"/>
    <w:next w:val="CommentText"/>
    <w:link w:val="CommentSubjectChar"/>
    <w:uiPriority w:val="99"/>
    <w:semiHidden/>
    <w:unhideWhenUsed/>
    <w:rsid w:val="00C22132"/>
    <w:rPr>
      <w:b/>
      <w:bCs/>
    </w:rPr>
  </w:style>
  <w:style w:type="character" w:customStyle="1" w:styleId="CommentSubjectChar">
    <w:name w:val="Comment Subject Char"/>
    <w:basedOn w:val="CommentTextChar"/>
    <w:link w:val="CommentSubject"/>
    <w:uiPriority w:val="99"/>
    <w:semiHidden/>
    <w:rsid w:val="00C22132"/>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342561"/>
  </w:style>
  <w:style w:type="paragraph" w:styleId="Bibliography">
    <w:name w:val="Bibliography"/>
    <w:basedOn w:val="Normal"/>
    <w:next w:val="Normal"/>
    <w:uiPriority w:val="37"/>
    <w:unhideWhenUsed/>
    <w:rsid w:val="00727A7E"/>
    <w:pPr>
      <w:tabs>
        <w:tab w:val="left" w:pos="384"/>
      </w:tabs>
      <w:spacing w:line="480" w:lineRule="auto"/>
      <w:ind w:left="384" w:hanging="384"/>
    </w:pPr>
  </w:style>
  <w:style w:type="paragraph" w:styleId="Footer">
    <w:name w:val="footer"/>
    <w:basedOn w:val="Normal"/>
    <w:link w:val="FooterChar"/>
    <w:uiPriority w:val="99"/>
    <w:unhideWhenUsed/>
    <w:rsid w:val="00727A7E"/>
    <w:pPr>
      <w:tabs>
        <w:tab w:val="center" w:pos="4680"/>
        <w:tab w:val="right" w:pos="9360"/>
      </w:tabs>
    </w:pPr>
  </w:style>
  <w:style w:type="character" w:customStyle="1" w:styleId="FooterChar">
    <w:name w:val="Footer Char"/>
    <w:basedOn w:val="DefaultParagraphFont"/>
    <w:link w:val="Footer"/>
    <w:uiPriority w:val="99"/>
    <w:rsid w:val="00727A7E"/>
  </w:style>
  <w:style w:type="character" w:styleId="UnresolvedMention">
    <w:name w:val="Unresolved Mention"/>
    <w:basedOn w:val="DefaultParagraphFont"/>
    <w:uiPriority w:val="99"/>
    <w:semiHidden/>
    <w:unhideWhenUsed/>
    <w:rsid w:val="00D47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5353">
      <w:bodyDiv w:val="1"/>
      <w:marLeft w:val="0"/>
      <w:marRight w:val="0"/>
      <w:marTop w:val="0"/>
      <w:marBottom w:val="0"/>
      <w:divBdr>
        <w:top w:val="none" w:sz="0" w:space="0" w:color="auto"/>
        <w:left w:val="none" w:sz="0" w:space="0" w:color="auto"/>
        <w:bottom w:val="none" w:sz="0" w:space="0" w:color="auto"/>
        <w:right w:val="none" w:sz="0" w:space="0" w:color="auto"/>
      </w:divBdr>
      <w:divsChild>
        <w:div w:id="1787387731">
          <w:marLeft w:val="0"/>
          <w:marRight w:val="0"/>
          <w:marTop w:val="0"/>
          <w:marBottom w:val="0"/>
          <w:divBdr>
            <w:top w:val="none" w:sz="0" w:space="0" w:color="auto"/>
            <w:left w:val="none" w:sz="0" w:space="0" w:color="auto"/>
            <w:bottom w:val="none" w:sz="0" w:space="0" w:color="auto"/>
            <w:right w:val="none" w:sz="0" w:space="0" w:color="auto"/>
          </w:divBdr>
          <w:divsChild>
            <w:div w:id="797918836">
              <w:marLeft w:val="0"/>
              <w:marRight w:val="0"/>
              <w:marTop w:val="0"/>
              <w:marBottom w:val="0"/>
              <w:divBdr>
                <w:top w:val="none" w:sz="0" w:space="0" w:color="auto"/>
                <w:left w:val="none" w:sz="0" w:space="0" w:color="auto"/>
                <w:bottom w:val="none" w:sz="0" w:space="0" w:color="auto"/>
                <w:right w:val="none" w:sz="0" w:space="0" w:color="auto"/>
              </w:divBdr>
              <w:divsChild>
                <w:div w:id="183752933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6182241">
      <w:bodyDiv w:val="1"/>
      <w:marLeft w:val="0"/>
      <w:marRight w:val="0"/>
      <w:marTop w:val="0"/>
      <w:marBottom w:val="0"/>
      <w:divBdr>
        <w:top w:val="none" w:sz="0" w:space="0" w:color="auto"/>
        <w:left w:val="none" w:sz="0" w:space="0" w:color="auto"/>
        <w:bottom w:val="none" w:sz="0" w:space="0" w:color="auto"/>
        <w:right w:val="none" w:sz="0" w:space="0" w:color="auto"/>
      </w:divBdr>
      <w:divsChild>
        <w:div w:id="273053922">
          <w:marLeft w:val="0"/>
          <w:marRight w:val="0"/>
          <w:marTop w:val="0"/>
          <w:marBottom w:val="0"/>
          <w:divBdr>
            <w:top w:val="none" w:sz="0" w:space="0" w:color="auto"/>
            <w:left w:val="none" w:sz="0" w:space="0" w:color="auto"/>
            <w:bottom w:val="none" w:sz="0" w:space="0" w:color="auto"/>
            <w:right w:val="none" w:sz="0" w:space="0" w:color="auto"/>
          </w:divBdr>
          <w:divsChild>
            <w:div w:id="1907178731">
              <w:marLeft w:val="0"/>
              <w:marRight w:val="0"/>
              <w:marTop w:val="0"/>
              <w:marBottom w:val="0"/>
              <w:divBdr>
                <w:top w:val="none" w:sz="0" w:space="0" w:color="auto"/>
                <w:left w:val="none" w:sz="0" w:space="0" w:color="auto"/>
                <w:bottom w:val="none" w:sz="0" w:space="0" w:color="auto"/>
                <w:right w:val="none" w:sz="0" w:space="0" w:color="auto"/>
              </w:divBdr>
              <w:divsChild>
                <w:div w:id="16137828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6079765">
      <w:bodyDiv w:val="1"/>
      <w:marLeft w:val="0"/>
      <w:marRight w:val="0"/>
      <w:marTop w:val="0"/>
      <w:marBottom w:val="0"/>
      <w:divBdr>
        <w:top w:val="none" w:sz="0" w:space="0" w:color="auto"/>
        <w:left w:val="none" w:sz="0" w:space="0" w:color="auto"/>
        <w:bottom w:val="none" w:sz="0" w:space="0" w:color="auto"/>
        <w:right w:val="none" w:sz="0" w:space="0" w:color="auto"/>
      </w:divBdr>
      <w:divsChild>
        <w:div w:id="590088124">
          <w:marLeft w:val="0"/>
          <w:marRight w:val="0"/>
          <w:marTop w:val="0"/>
          <w:marBottom w:val="0"/>
          <w:divBdr>
            <w:top w:val="none" w:sz="0" w:space="0" w:color="auto"/>
            <w:left w:val="none" w:sz="0" w:space="0" w:color="auto"/>
            <w:bottom w:val="none" w:sz="0" w:space="0" w:color="auto"/>
            <w:right w:val="none" w:sz="0" w:space="0" w:color="auto"/>
          </w:divBdr>
          <w:divsChild>
            <w:div w:id="1790002835">
              <w:marLeft w:val="0"/>
              <w:marRight w:val="0"/>
              <w:marTop w:val="0"/>
              <w:marBottom w:val="0"/>
              <w:divBdr>
                <w:top w:val="none" w:sz="0" w:space="0" w:color="auto"/>
                <w:left w:val="none" w:sz="0" w:space="0" w:color="auto"/>
                <w:bottom w:val="none" w:sz="0" w:space="0" w:color="auto"/>
                <w:right w:val="none" w:sz="0" w:space="0" w:color="auto"/>
              </w:divBdr>
              <w:divsChild>
                <w:div w:id="8994816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83840708">
      <w:bodyDiv w:val="1"/>
      <w:marLeft w:val="0"/>
      <w:marRight w:val="0"/>
      <w:marTop w:val="0"/>
      <w:marBottom w:val="0"/>
      <w:divBdr>
        <w:top w:val="none" w:sz="0" w:space="0" w:color="auto"/>
        <w:left w:val="none" w:sz="0" w:space="0" w:color="auto"/>
        <w:bottom w:val="none" w:sz="0" w:space="0" w:color="auto"/>
        <w:right w:val="none" w:sz="0" w:space="0" w:color="auto"/>
      </w:divBdr>
      <w:divsChild>
        <w:div w:id="109016351">
          <w:marLeft w:val="0"/>
          <w:marRight w:val="0"/>
          <w:marTop w:val="0"/>
          <w:marBottom w:val="0"/>
          <w:divBdr>
            <w:top w:val="none" w:sz="0" w:space="0" w:color="auto"/>
            <w:left w:val="none" w:sz="0" w:space="0" w:color="auto"/>
            <w:bottom w:val="none" w:sz="0" w:space="0" w:color="auto"/>
            <w:right w:val="none" w:sz="0" w:space="0" w:color="auto"/>
          </w:divBdr>
          <w:divsChild>
            <w:div w:id="1028217432">
              <w:marLeft w:val="0"/>
              <w:marRight w:val="0"/>
              <w:marTop w:val="0"/>
              <w:marBottom w:val="0"/>
              <w:divBdr>
                <w:top w:val="none" w:sz="0" w:space="0" w:color="auto"/>
                <w:left w:val="none" w:sz="0" w:space="0" w:color="auto"/>
                <w:bottom w:val="none" w:sz="0" w:space="0" w:color="auto"/>
                <w:right w:val="none" w:sz="0" w:space="0" w:color="auto"/>
              </w:divBdr>
              <w:divsChild>
                <w:div w:id="13749575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3058397">
      <w:bodyDiv w:val="1"/>
      <w:marLeft w:val="0"/>
      <w:marRight w:val="0"/>
      <w:marTop w:val="0"/>
      <w:marBottom w:val="0"/>
      <w:divBdr>
        <w:top w:val="none" w:sz="0" w:space="0" w:color="auto"/>
        <w:left w:val="none" w:sz="0" w:space="0" w:color="auto"/>
        <w:bottom w:val="none" w:sz="0" w:space="0" w:color="auto"/>
        <w:right w:val="none" w:sz="0" w:space="0" w:color="auto"/>
      </w:divBdr>
      <w:divsChild>
        <w:div w:id="475687712">
          <w:marLeft w:val="0"/>
          <w:marRight w:val="0"/>
          <w:marTop w:val="0"/>
          <w:marBottom w:val="0"/>
          <w:divBdr>
            <w:top w:val="none" w:sz="0" w:space="0" w:color="auto"/>
            <w:left w:val="none" w:sz="0" w:space="0" w:color="auto"/>
            <w:bottom w:val="none" w:sz="0" w:space="0" w:color="auto"/>
            <w:right w:val="none" w:sz="0" w:space="0" w:color="auto"/>
          </w:divBdr>
          <w:divsChild>
            <w:div w:id="1280405863">
              <w:marLeft w:val="0"/>
              <w:marRight w:val="0"/>
              <w:marTop w:val="0"/>
              <w:marBottom w:val="0"/>
              <w:divBdr>
                <w:top w:val="none" w:sz="0" w:space="0" w:color="auto"/>
                <w:left w:val="none" w:sz="0" w:space="0" w:color="auto"/>
                <w:bottom w:val="none" w:sz="0" w:space="0" w:color="auto"/>
                <w:right w:val="none" w:sz="0" w:space="0" w:color="auto"/>
              </w:divBdr>
              <w:divsChild>
                <w:div w:id="8358050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07135204">
      <w:bodyDiv w:val="1"/>
      <w:marLeft w:val="0"/>
      <w:marRight w:val="0"/>
      <w:marTop w:val="0"/>
      <w:marBottom w:val="0"/>
      <w:divBdr>
        <w:top w:val="none" w:sz="0" w:space="0" w:color="auto"/>
        <w:left w:val="none" w:sz="0" w:space="0" w:color="auto"/>
        <w:bottom w:val="none" w:sz="0" w:space="0" w:color="auto"/>
        <w:right w:val="none" w:sz="0" w:space="0" w:color="auto"/>
      </w:divBdr>
      <w:divsChild>
        <w:div w:id="1039745438">
          <w:marLeft w:val="0"/>
          <w:marRight w:val="0"/>
          <w:marTop w:val="0"/>
          <w:marBottom w:val="0"/>
          <w:divBdr>
            <w:top w:val="none" w:sz="0" w:space="0" w:color="auto"/>
            <w:left w:val="none" w:sz="0" w:space="0" w:color="auto"/>
            <w:bottom w:val="none" w:sz="0" w:space="0" w:color="auto"/>
            <w:right w:val="none" w:sz="0" w:space="0" w:color="auto"/>
          </w:divBdr>
          <w:divsChild>
            <w:div w:id="663894011">
              <w:marLeft w:val="0"/>
              <w:marRight w:val="0"/>
              <w:marTop w:val="0"/>
              <w:marBottom w:val="0"/>
              <w:divBdr>
                <w:top w:val="none" w:sz="0" w:space="0" w:color="auto"/>
                <w:left w:val="none" w:sz="0" w:space="0" w:color="auto"/>
                <w:bottom w:val="none" w:sz="0" w:space="0" w:color="auto"/>
                <w:right w:val="none" w:sz="0" w:space="0" w:color="auto"/>
              </w:divBdr>
              <w:divsChild>
                <w:div w:id="80905388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2908625">
      <w:bodyDiv w:val="1"/>
      <w:marLeft w:val="0"/>
      <w:marRight w:val="0"/>
      <w:marTop w:val="0"/>
      <w:marBottom w:val="0"/>
      <w:divBdr>
        <w:top w:val="none" w:sz="0" w:space="0" w:color="auto"/>
        <w:left w:val="none" w:sz="0" w:space="0" w:color="auto"/>
        <w:bottom w:val="none" w:sz="0" w:space="0" w:color="auto"/>
        <w:right w:val="none" w:sz="0" w:space="0" w:color="auto"/>
      </w:divBdr>
      <w:divsChild>
        <w:div w:id="385687663">
          <w:marLeft w:val="0"/>
          <w:marRight w:val="0"/>
          <w:marTop w:val="0"/>
          <w:marBottom w:val="0"/>
          <w:divBdr>
            <w:top w:val="none" w:sz="0" w:space="0" w:color="auto"/>
            <w:left w:val="none" w:sz="0" w:space="0" w:color="auto"/>
            <w:bottom w:val="none" w:sz="0" w:space="0" w:color="auto"/>
            <w:right w:val="none" w:sz="0" w:space="0" w:color="auto"/>
          </w:divBdr>
          <w:divsChild>
            <w:div w:id="594939168">
              <w:marLeft w:val="0"/>
              <w:marRight w:val="0"/>
              <w:marTop w:val="0"/>
              <w:marBottom w:val="0"/>
              <w:divBdr>
                <w:top w:val="none" w:sz="0" w:space="0" w:color="auto"/>
                <w:left w:val="none" w:sz="0" w:space="0" w:color="auto"/>
                <w:bottom w:val="none" w:sz="0" w:space="0" w:color="auto"/>
                <w:right w:val="none" w:sz="0" w:space="0" w:color="auto"/>
              </w:divBdr>
              <w:divsChild>
                <w:div w:id="2830759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08034553">
      <w:bodyDiv w:val="1"/>
      <w:marLeft w:val="0"/>
      <w:marRight w:val="0"/>
      <w:marTop w:val="0"/>
      <w:marBottom w:val="0"/>
      <w:divBdr>
        <w:top w:val="none" w:sz="0" w:space="0" w:color="auto"/>
        <w:left w:val="none" w:sz="0" w:space="0" w:color="auto"/>
        <w:bottom w:val="none" w:sz="0" w:space="0" w:color="auto"/>
        <w:right w:val="none" w:sz="0" w:space="0" w:color="auto"/>
      </w:divBdr>
      <w:divsChild>
        <w:div w:id="1135487362">
          <w:marLeft w:val="0"/>
          <w:marRight w:val="0"/>
          <w:marTop w:val="0"/>
          <w:marBottom w:val="0"/>
          <w:divBdr>
            <w:top w:val="none" w:sz="0" w:space="0" w:color="auto"/>
            <w:left w:val="none" w:sz="0" w:space="0" w:color="auto"/>
            <w:bottom w:val="none" w:sz="0" w:space="0" w:color="auto"/>
            <w:right w:val="none" w:sz="0" w:space="0" w:color="auto"/>
          </w:divBdr>
          <w:divsChild>
            <w:div w:id="897670509">
              <w:marLeft w:val="0"/>
              <w:marRight w:val="0"/>
              <w:marTop w:val="0"/>
              <w:marBottom w:val="0"/>
              <w:divBdr>
                <w:top w:val="none" w:sz="0" w:space="0" w:color="auto"/>
                <w:left w:val="none" w:sz="0" w:space="0" w:color="auto"/>
                <w:bottom w:val="none" w:sz="0" w:space="0" w:color="auto"/>
                <w:right w:val="none" w:sz="0" w:space="0" w:color="auto"/>
              </w:divBdr>
              <w:divsChild>
                <w:div w:id="112226794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14739499">
      <w:bodyDiv w:val="1"/>
      <w:marLeft w:val="0"/>
      <w:marRight w:val="0"/>
      <w:marTop w:val="0"/>
      <w:marBottom w:val="0"/>
      <w:divBdr>
        <w:top w:val="none" w:sz="0" w:space="0" w:color="auto"/>
        <w:left w:val="none" w:sz="0" w:space="0" w:color="auto"/>
        <w:bottom w:val="none" w:sz="0" w:space="0" w:color="auto"/>
        <w:right w:val="none" w:sz="0" w:space="0" w:color="auto"/>
      </w:divBdr>
      <w:divsChild>
        <w:div w:id="1910190720">
          <w:marLeft w:val="0"/>
          <w:marRight w:val="0"/>
          <w:marTop w:val="0"/>
          <w:marBottom w:val="0"/>
          <w:divBdr>
            <w:top w:val="none" w:sz="0" w:space="0" w:color="auto"/>
            <w:left w:val="none" w:sz="0" w:space="0" w:color="auto"/>
            <w:bottom w:val="none" w:sz="0" w:space="0" w:color="auto"/>
            <w:right w:val="none" w:sz="0" w:space="0" w:color="auto"/>
          </w:divBdr>
          <w:divsChild>
            <w:div w:id="1054431107">
              <w:marLeft w:val="0"/>
              <w:marRight w:val="0"/>
              <w:marTop w:val="0"/>
              <w:marBottom w:val="0"/>
              <w:divBdr>
                <w:top w:val="none" w:sz="0" w:space="0" w:color="auto"/>
                <w:left w:val="none" w:sz="0" w:space="0" w:color="auto"/>
                <w:bottom w:val="none" w:sz="0" w:space="0" w:color="auto"/>
                <w:right w:val="none" w:sz="0" w:space="0" w:color="auto"/>
              </w:divBdr>
              <w:divsChild>
                <w:div w:id="4738315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hDmbxr4Rk1G2J1Oy3fdKuc4oog==">AMUW2mUfQg6IeBxwGcCo020Vl2NgM5MhGTB1w7SHysLPYVku7qiK92GtbYU05U63shD/qabn+bhlIpFpw8xg/04ShKRRH3/GjQidgdryLKGBdnwrHAXVdl38Qx5gL8qrFt1MOKnAGXeM12Cg+sr3dQ1Jyp8WHY7txdwIKIHnaO8RFvyBqA/vuu/+WDwZHhRSaAZ4ub9bvAWGNtaPth5ZDf0KfYtlTTWNg5gMoQXk+gAIc9nj4OJCs0MrBHFL5e3oI9OfXvhkZTx41O8VXinTMVhaUUM7tVC6uFHWzKwaxVNMEKZH59YbDsRcqh5lsmoWDCJlDyQjiWsT8VbSu0eFq8j7wdVXth6vpj8XgJLN/bTYL/sVNB18IT+iB+HCimyI3Wn4rPK9cTpFlvXX8bo19fZsFNeO44f1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06103A-C70E-48B8-BC44-C3302B78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9125</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2021-10-27T11:36:00Z</dcterms:created>
  <dcterms:modified xsi:type="dcterms:W3CDTF">2021-10-27T11:57:00Z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id="mEl2Wn4l"/&gt;&lt;style id="http://www.zotero.org/styles/nature" hasBibliography="1" bibliographyStyleHasBeenSet="1"/&gt;&lt;prefs&gt;&lt;pref name="fieldType" value="Field"/&gt;&lt;/prefs&gt;&lt;/data&gt;</vt:lpwstr>
  </property>
</Properties>
</file>