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6F649" w14:textId="056CBFF1" w:rsidR="006305D7" w:rsidRPr="001B7103" w:rsidRDefault="006305D7" w:rsidP="005E1306">
      <w:pPr>
        <w:pStyle w:val="NormalWeb"/>
        <w:spacing w:before="0" w:beforeAutospacing="0" w:after="0" w:afterAutospacing="0"/>
      </w:pPr>
      <w:r w:rsidRPr="001B7103">
        <w:rPr>
          <w:b/>
          <w:bCs/>
        </w:rPr>
        <w:t>TITLE:</w:t>
      </w:r>
      <w:r w:rsidR="001B7103">
        <w:t xml:space="preserve"> </w:t>
      </w:r>
    </w:p>
    <w:p w14:paraId="4E2B8AF4" w14:textId="3F622F28" w:rsidR="007A4DD6" w:rsidRDefault="00D136EF" w:rsidP="005E1306">
      <w:r w:rsidRPr="001B7103">
        <w:t>Retrograde Parotid Gland Infusion through Stensen’s Duct in a Non-Human Primate for Vectored Gene Delivery</w:t>
      </w:r>
    </w:p>
    <w:p w14:paraId="18E51352" w14:textId="77777777" w:rsidR="001B7103" w:rsidRPr="001B7103" w:rsidRDefault="001B7103" w:rsidP="005E1306"/>
    <w:p w14:paraId="777E8E80" w14:textId="77777777" w:rsidR="006305D7" w:rsidRPr="001B7103" w:rsidRDefault="006305D7" w:rsidP="005E1306">
      <w:pPr>
        <w:rPr>
          <w:color w:val="808080" w:themeColor="background1" w:themeShade="80"/>
        </w:rPr>
      </w:pPr>
      <w:r w:rsidRPr="001B7103">
        <w:rPr>
          <w:b/>
          <w:bCs/>
        </w:rPr>
        <w:t>AUTHORS</w:t>
      </w:r>
      <w:r w:rsidR="000B662E" w:rsidRPr="001B7103">
        <w:rPr>
          <w:b/>
          <w:bCs/>
        </w:rPr>
        <w:t xml:space="preserve"> </w:t>
      </w:r>
      <w:r w:rsidR="00086FF5" w:rsidRPr="001B7103">
        <w:rPr>
          <w:b/>
          <w:bCs/>
        </w:rPr>
        <w:t xml:space="preserve">AND </w:t>
      </w:r>
      <w:r w:rsidR="000B662E" w:rsidRPr="001B7103">
        <w:rPr>
          <w:b/>
          <w:bCs/>
        </w:rPr>
        <w:t>AFFILIATIONS</w:t>
      </w:r>
      <w:r w:rsidRPr="001B7103">
        <w:rPr>
          <w:b/>
          <w:bCs/>
        </w:rPr>
        <w:t xml:space="preserve">: </w:t>
      </w:r>
    </w:p>
    <w:p w14:paraId="4D2DB8DD" w14:textId="77777777" w:rsidR="00D136EF" w:rsidRPr="001B7103" w:rsidRDefault="00D136EF" w:rsidP="005E1306">
      <w:pPr>
        <w:rPr>
          <w:vertAlign w:val="superscript"/>
        </w:rPr>
      </w:pPr>
      <w:r w:rsidRPr="001B7103">
        <w:t>Guy El Helou</w:t>
      </w:r>
      <w:r w:rsidRPr="001B7103">
        <w:rPr>
          <w:vertAlign w:val="superscript"/>
        </w:rPr>
        <w:t>1</w:t>
      </w:r>
      <w:r w:rsidRPr="001B7103">
        <w:t>, Joseph F. Goodman</w:t>
      </w:r>
      <w:r w:rsidRPr="001B7103">
        <w:rPr>
          <w:vertAlign w:val="superscript"/>
        </w:rPr>
        <w:t>2</w:t>
      </w:r>
      <w:r w:rsidRPr="001B7103">
        <w:t>, Maria Blevins</w:t>
      </w:r>
      <w:r w:rsidRPr="001B7103">
        <w:rPr>
          <w:vertAlign w:val="superscript"/>
        </w:rPr>
        <w:t>3</w:t>
      </w:r>
      <w:r w:rsidRPr="001B7103">
        <w:t xml:space="preserve">, </w:t>
      </w:r>
      <w:r w:rsidR="007F4910" w:rsidRPr="001B7103">
        <w:t>David L. Caudell</w:t>
      </w:r>
      <w:r w:rsidR="007F4910" w:rsidRPr="001B7103">
        <w:rPr>
          <w:vertAlign w:val="superscript"/>
        </w:rPr>
        <w:t>4</w:t>
      </w:r>
      <w:r w:rsidR="007F4910" w:rsidRPr="001B7103">
        <w:t xml:space="preserve">, </w:t>
      </w:r>
      <w:r w:rsidRPr="001B7103">
        <w:t>Todd A. Ponzio</w:t>
      </w:r>
      <w:r w:rsidRPr="001B7103">
        <w:rPr>
          <w:vertAlign w:val="superscript"/>
        </w:rPr>
        <w:t>3</w:t>
      </w:r>
      <w:r w:rsidRPr="001B7103">
        <w:t>, John W. Sanders</w:t>
      </w:r>
      <w:r w:rsidRPr="001B7103">
        <w:rPr>
          <w:vertAlign w:val="superscript"/>
        </w:rPr>
        <w:t>3</w:t>
      </w:r>
      <w:r w:rsidR="002D4E52" w:rsidRPr="001B7103">
        <w:rPr>
          <w:vertAlign w:val="superscript"/>
        </w:rPr>
        <w:t>,5</w:t>
      </w:r>
    </w:p>
    <w:p w14:paraId="6E19D392" w14:textId="77777777" w:rsidR="00D136EF" w:rsidRPr="001B7103" w:rsidRDefault="00D136EF" w:rsidP="005E1306">
      <w:pPr>
        <w:rPr>
          <w:bCs/>
          <w:color w:val="808080" w:themeColor="background1" w:themeShade="80"/>
        </w:rPr>
      </w:pPr>
    </w:p>
    <w:p w14:paraId="6FD66758" w14:textId="77777777" w:rsidR="00D136EF" w:rsidRPr="001B7103" w:rsidRDefault="007313B0" w:rsidP="005E1306">
      <w:r w:rsidRPr="001B7103">
        <w:rPr>
          <w:vertAlign w:val="superscript"/>
        </w:rPr>
        <w:t xml:space="preserve">1 </w:t>
      </w:r>
      <w:r w:rsidRPr="001B7103">
        <w:t>Department</w:t>
      </w:r>
      <w:r w:rsidR="00350FB6" w:rsidRPr="001B7103">
        <w:t xml:space="preserve"> of Medicine, Division of Infectious Diseases and Global Medicine, University of Florida, Gainesville, FL</w:t>
      </w:r>
      <w:r w:rsidR="00836406" w:rsidRPr="001B7103">
        <w:t>, USA</w:t>
      </w:r>
    </w:p>
    <w:p w14:paraId="0F479CF9" w14:textId="77777777" w:rsidR="00D136EF" w:rsidRPr="001B7103" w:rsidRDefault="00350FB6" w:rsidP="005E1306">
      <w:r w:rsidRPr="001B7103">
        <w:rPr>
          <w:vertAlign w:val="superscript"/>
        </w:rPr>
        <w:t>2</w:t>
      </w:r>
      <w:r w:rsidR="00AE7EB1" w:rsidRPr="001B7103">
        <w:rPr>
          <w:vertAlign w:val="superscript"/>
        </w:rPr>
        <w:t xml:space="preserve"> </w:t>
      </w:r>
      <w:r w:rsidRPr="001B7103">
        <w:t xml:space="preserve">Department of Otolaryngology, </w:t>
      </w:r>
      <w:r w:rsidR="00D136EF" w:rsidRPr="001B7103">
        <w:t>George Washington University School of Medicine, Washington, D.C.</w:t>
      </w:r>
      <w:r w:rsidR="00836406" w:rsidRPr="001B7103">
        <w:t>, USA</w:t>
      </w:r>
    </w:p>
    <w:p w14:paraId="495DB5A1" w14:textId="50BBF6A9" w:rsidR="00D136EF" w:rsidRPr="001B7103" w:rsidRDefault="00D136EF" w:rsidP="005E1306">
      <w:r w:rsidRPr="001B7103">
        <w:rPr>
          <w:vertAlign w:val="superscript"/>
        </w:rPr>
        <w:t>3</w:t>
      </w:r>
      <w:r w:rsidR="001B7103">
        <w:rPr>
          <w:vertAlign w:val="superscript"/>
        </w:rPr>
        <w:t xml:space="preserve"> </w:t>
      </w:r>
      <w:r w:rsidR="00350FB6" w:rsidRPr="001B7103">
        <w:t xml:space="preserve">Department of Medicine, Section on Infectious Diseases, </w:t>
      </w:r>
      <w:r w:rsidRPr="001B7103">
        <w:t>Wake Forest Baptist Medical Center, Winston-Salem, NC, USA</w:t>
      </w:r>
    </w:p>
    <w:p w14:paraId="2B0DABAB" w14:textId="77777777" w:rsidR="007F4910" w:rsidRPr="001B7103" w:rsidRDefault="002D4E52" w:rsidP="005E1306">
      <w:r w:rsidRPr="001B7103">
        <w:rPr>
          <w:vertAlign w:val="superscript"/>
        </w:rPr>
        <w:t xml:space="preserve">4 </w:t>
      </w:r>
      <w:r w:rsidRPr="001B7103">
        <w:t>Department</w:t>
      </w:r>
      <w:r w:rsidR="007F4910" w:rsidRPr="001B7103">
        <w:t xml:space="preserve"> of Pathology, Wake Forest School of Medicine, Winston-Salem, North Carolina, USA. </w:t>
      </w:r>
    </w:p>
    <w:p w14:paraId="467F9237" w14:textId="77777777" w:rsidR="002D4E52" w:rsidRPr="001B7103" w:rsidRDefault="002D4E52" w:rsidP="005E1306">
      <w:r w:rsidRPr="001B7103">
        <w:rPr>
          <w:vertAlign w:val="superscript"/>
        </w:rPr>
        <w:t xml:space="preserve">5 </w:t>
      </w:r>
      <w:r w:rsidRPr="001B7103">
        <w:t>Department of Medicine, Section of Infectious Diseases, Hefner Veterans Affairs Medical Center, Salisbury, NC, USA</w:t>
      </w:r>
    </w:p>
    <w:p w14:paraId="271932AE" w14:textId="77777777" w:rsidR="00D136EF" w:rsidRPr="001B7103" w:rsidRDefault="00D136EF" w:rsidP="005E1306"/>
    <w:p w14:paraId="0CBA09DE" w14:textId="77777777" w:rsidR="00D136EF" w:rsidRPr="001B7103" w:rsidRDefault="00D136EF" w:rsidP="005E1306">
      <w:r w:rsidRPr="001B7103">
        <w:t>Corresponding author:</w:t>
      </w:r>
    </w:p>
    <w:p w14:paraId="58193628" w14:textId="77777777" w:rsidR="00D136EF" w:rsidRPr="001B7103" w:rsidRDefault="006C0A43" w:rsidP="005E1306">
      <w:r w:rsidRPr="001B7103">
        <w:t>Guy El Helou, MD, MSc</w:t>
      </w:r>
    </w:p>
    <w:p w14:paraId="5A3F7253" w14:textId="77777777" w:rsidR="00D136EF" w:rsidRPr="001B7103" w:rsidRDefault="00D136EF" w:rsidP="005E1306">
      <w:r w:rsidRPr="001B7103">
        <w:t xml:space="preserve">Email: </w:t>
      </w:r>
      <w:hyperlink r:id="rId8" w:history="1">
        <w:r w:rsidR="008D43F0" w:rsidRPr="001B7103">
          <w:rPr>
            <w:rStyle w:val="Hyperlink"/>
          </w:rPr>
          <w:t>Guy</w:t>
        </w:r>
      </w:hyperlink>
      <w:r w:rsidR="008D43F0" w:rsidRPr="001B7103">
        <w:rPr>
          <w:rStyle w:val="Hyperlink"/>
        </w:rPr>
        <w:t>.elhelou@medicine.ufl.edu</w:t>
      </w:r>
    </w:p>
    <w:p w14:paraId="75134A5D" w14:textId="77777777" w:rsidR="00D136EF" w:rsidRPr="001B7103" w:rsidRDefault="00D136EF" w:rsidP="005E1306"/>
    <w:p w14:paraId="0018D883" w14:textId="77777777" w:rsidR="00D136EF" w:rsidRPr="001B7103" w:rsidRDefault="00D136EF" w:rsidP="005E1306">
      <w:r w:rsidRPr="001B7103">
        <w:t>Email address of co-authors:</w:t>
      </w:r>
    </w:p>
    <w:p w14:paraId="5436BD7B" w14:textId="77777777" w:rsidR="00D136EF" w:rsidRPr="001B7103" w:rsidRDefault="00D136EF" w:rsidP="005E1306">
      <w:pPr>
        <w:rPr>
          <w:lang w:val="es-MX"/>
        </w:rPr>
      </w:pPr>
      <w:r w:rsidRPr="001B7103">
        <w:rPr>
          <w:lang w:val="es-MX"/>
        </w:rPr>
        <w:t>Guy El Helou (</w:t>
      </w:r>
      <w:hyperlink r:id="rId9" w:history="1">
        <w:r w:rsidR="00350FB6" w:rsidRPr="001B7103">
          <w:rPr>
            <w:rStyle w:val="Hyperlink"/>
            <w:lang w:val="es-MX"/>
          </w:rPr>
          <w:t>guy.elhelou@medicine.ufl.edu</w:t>
        </w:r>
      </w:hyperlink>
      <w:r w:rsidRPr="001B7103">
        <w:rPr>
          <w:lang w:val="es-MX"/>
        </w:rPr>
        <w:t>)</w:t>
      </w:r>
    </w:p>
    <w:p w14:paraId="530FF1BF" w14:textId="77777777" w:rsidR="00D136EF" w:rsidRPr="001B7103" w:rsidRDefault="00D136EF" w:rsidP="005E1306">
      <w:r w:rsidRPr="001B7103">
        <w:t>Joseph F Goodman (</w:t>
      </w:r>
      <w:hyperlink r:id="rId10" w:history="1">
        <w:r w:rsidRPr="001B7103">
          <w:rPr>
            <w:rStyle w:val="Hyperlink"/>
          </w:rPr>
          <w:t>jfgoodman@gmail.com</w:t>
        </w:r>
      </w:hyperlink>
      <w:r w:rsidRPr="001B7103">
        <w:t>)</w:t>
      </w:r>
    </w:p>
    <w:p w14:paraId="25BA209A" w14:textId="77777777" w:rsidR="00D136EF" w:rsidRPr="001B7103" w:rsidRDefault="00D136EF" w:rsidP="005E1306">
      <w:r w:rsidRPr="001B7103">
        <w:t>Maria Blevins (</w:t>
      </w:r>
      <w:hyperlink r:id="rId11" w:history="1">
        <w:r w:rsidRPr="001B7103">
          <w:rPr>
            <w:rStyle w:val="Hyperlink"/>
          </w:rPr>
          <w:t>mblevins@wakehealth.edu</w:t>
        </w:r>
      </w:hyperlink>
      <w:r w:rsidRPr="001B7103">
        <w:t>)</w:t>
      </w:r>
    </w:p>
    <w:p w14:paraId="70818338" w14:textId="77777777" w:rsidR="007F4910" w:rsidRPr="001B7103" w:rsidRDefault="007F4910" w:rsidP="005E1306">
      <w:r w:rsidRPr="001B7103">
        <w:t xml:space="preserve">David L </w:t>
      </w:r>
      <w:proofErr w:type="spellStart"/>
      <w:r w:rsidRPr="001B7103">
        <w:t>Caudell</w:t>
      </w:r>
      <w:proofErr w:type="spellEnd"/>
      <w:r w:rsidRPr="001B7103">
        <w:t xml:space="preserve"> (</w:t>
      </w:r>
      <w:hyperlink r:id="rId12" w:history="1">
        <w:r w:rsidR="005345E0" w:rsidRPr="001B7103">
          <w:rPr>
            <w:rStyle w:val="Hyperlink"/>
          </w:rPr>
          <w:t>dcaudell@wakehealth.edu</w:t>
        </w:r>
      </w:hyperlink>
      <w:r w:rsidR="005345E0" w:rsidRPr="001B7103">
        <w:t xml:space="preserve">) </w:t>
      </w:r>
    </w:p>
    <w:p w14:paraId="3393DBED" w14:textId="77777777" w:rsidR="00D136EF" w:rsidRPr="001B7103" w:rsidRDefault="00D136EF" w:rsidP="005E1306">
      <w:r w:rsidRPr="001B7103">
        <w:t>Todd A Ponzio (</w:t>
      </w:r>
      <w:hyperlink r:id="rId13" w:history="1">
        <w:r w:rsidRPr="001B7103">
          <w:rPr>
            <w:rStyle w:val="Hyperlink"/>
          </w:rPr>
          <w:t>tponzio@wakehealth.edu</w:t>
        </w:r>
      </w:hyperlink>
      <w:r w:rsidRPr="001B7103">
        <w:t>)</w:t>
      </w:r>
    </w:p>
    <w:p w14:paraId="4A68F22E" w14:textId="77777777" w:rsidR="006C0A43" w:rsidRPr="001B7103" w:rsidRDefault="006C0A43" w:rsidP="005E1306">
      <w:r w:rsidRPr="001B7103">
        <w:t>John W. Sanders (</w:t>
      </w:r>
      <w:hyperlink r:id="rId14" w:tgtFrame="_blank" w:history="1">
        <w:r w:rsidRPr="001B7103">
          <w:rPr>
            <w:rStyle w:val="Hyperlink"/>
          </w:rPr>
          <w:t>jwsander@wakehealth.edu</w:t>
        </w:r>
      </w:hyperlink>
      <w:r w:rsidRPr="001B7103">
        <w:rPr>
          <w:rStyle w:val="Hyperlink"/>
        </w:rPr>
        <w:t>)</w:t>
      </w:r>
      <w:r w:rsidRPr="001B7103">
        <w:t xml:space="preserve"> </w:t>
      </w:r>
    </w:p>
    <w:p w14:paraId="371FBBCF" w14:textId="77777777" w:rsidR="00D04A95" w:rsidRPr="001B7103" w:rsidRDefault="00D04A95" w:rsidP="005E1306">
      <w:pPr>
        <w:rPr>
          <w:bCs/>
          <w:color w:val="808080" w:themeColor="background1" w:themeShade="80"/>
        </w:rPr>
      </w:pPr>
    </w:p>
    <w:p w14:paraId="5774B9A8" w14:textId="77777777" w:rsidR="006305D7" w:rsidRPr="001B7103" w:rsidRDefault="006305D7" w:rsidP="005E1306">
      <w:pPr>
        <w:pStyle w:val="NormalWeb"/>
        <w:spacing w:before="0" w:beforeAutospacing="0" w:after="0" w:afterAutospacing="0"/>
      </w:pPr>
      <w:r w:rsidRPr="001B7103">
        <w:rPr>
          <w:b/>
          <w:bCs/>
        </w:rPr>
        <w:t>KEYWORDS:</w:t>
      </w:r>
      <w:r w:rsidRPr="001B7103">
        <w:t xml:space="preserve"> </w:t>
      </w:r>
    </w:p>
    <w:p w14:paraId="34034A7B" w14:textId="77777777" w:rsidR="00AE7EB1" w:rsidRPr="001B7103" w:rsidRDefault="007233E1" w:rsidP="005E1306">
      <w:pPr>
        <w:pStyle w:val="NormalWeb"/>
        <w:spacing w:before="0" w:beforeAutospacing="0" w:after="0" w:afterAutospacing="0"/>
      </w:pPr>
      <w:r w:rsidRPr="001B7103">
        <w:t xml:space="preserve">Retrograde Salivary Gland Infusion, </w:t>
      </w:r>
      <w:r w:rsidR="00350FB6" w:rsidRPr="001B7103">
        <w:t>Salivary gland, vectored immunoprophylaxis, vaccination by gene transfer</w:t>
      </w:r>
      <w:r w:rsidR="00FD0B47" w:rsidRPr="001B7103">
        <w:t>, non-human primate,</w:t>
      </w:r>
      <w:r w:rsidR="00AE7EB1" w:rsidRPr="001B7103">
        <w:t xml:space="preserve"> parotid infusion, gene therapy.</w:t>
      </w:r>
    </w:p>
    <w:p w14:paraId="1595DAA5" w14:textId="12D10FC9" w:rsidR="00350FB6" w:rsidRPr="001B7103" w:rsidRDefault="00FD0B47" w:rsidP="005E1306">
      <w:pPr>
        <w:pStyle w:val="NormalWeb"/>
        <w:spacing w:before="0" w:beforeAutospacing="0" w:after="0" w:afterAutospacing="0"/>
      </w:pPr>
      <w:r w:rsidRPr="001B7103">
        <w:t xml:space="preserve"> </w:t>
      </w:r>
    </w:p>
    <w:p w14:paraId="30F1B67F" w14:textId="77777777" w:rsidR="006305D7" w:rsidRPr="001B7103" w:rsidRDefault="00086FF5" w:rsidP="005E1306">
      <w:r w:rsidRPr="001B7103">
        <w:rPr>
          <w:b/>
          <w:bCs/>
        </w:rPr>
        <w:t>SUMMARY</w:t>
      </w:r>
      <w:r w:rsidR="006305D7" w:rsidRPr="001B7103">
        <w:rPr>
          <w:b/>
          <w:bCs/>
        </w:rPr>
        <w:t>:</w:t>
      </w:r>
      <w:r w:rsidR="006305D7" w:rsidRPr="001B7103">
        <w:t xml:space="preserve"> </w:t>
      </w:r>
    </w:p>
    <w:p w14:paraId="43F2F5B6" w14:textId="77777777" w:rsidR="00FD0B47" w:rsidRPr="001B7103" w:rsidRDefault="00FD0B47" w:rsidP="005E1306">
      <w:pPr>
        <w:rPr>
          <w:color w:val="auto"/>
        </w:rPr>
      </w:pPr>
      <w:r w:rsidRPr="001B7103">
        <w:rPr>
          <w:color w:val="auto"/>
        </w:rPr>
        <w:t xml:space="preserve">Salivary glands have been proposed as a tissue target site for gene therapy, especially </w:t>
      </w:r>
      <w:proofErr w:type="gramStart"/>
      <w:r w:rsidRPr="001B7103">
        <w:rPr>
          <w:color w:val="auto"/>
        </w:rPr>
        <w:t>in the area of</w:t>
      </w:r>
      <w:proofErr w:type="gramEnd"/>
      <w:r w:rsidRPr="001B7103">
        <w:rPr>
          <w:color w:val="auto"/>
        </w:rPr>
        <w:t xml:space="preserve"> vaccination by gene transfer. We demonstrate gene delivery in a non-human primate model utilizing retrograde parotid infusion.</w:t>
      </w:r>
    </w:p>
    <w:p w14:paraId="5AC91D35" w14:textId="77777777" w:rsidR="006305D7" w:rsidRPr="001B7103" w:rsidRDefault="006305D7" w:rsidP="005E1306"/>
    <w:p w14:paraId="70726F24" w14:textId="77777777" w:rsidR="006305D7" w:rsidRPr="001B7103" w:rsidRDefault="006305D7" w:rsidP="005E1306">
      <w:pPr>
        <w:rPr>
          <w:color w:val="808080"/>
        </w:rPr>
      </w:pPr>
      <w:r w:rsidRPr="001B7103">
        <w:rPr>
          <w:b/>
          <w:bCs/>
        </w:rPr>
        <w:t>ABSTRACT:</w:t>
      </w:r>
      <w:r w:rsidRPr="001B7103">
        <w:t xml:space="preserve"> </w:t>
      </w:r>
    </w:p>
    <w:p w14:paraId="711E9FB4" w14:textId="288AE3D7" w:rsidR="00E57435" w:rsidRPr="001B7103" w:rsidRDefault="00E57435" w:rsidP="005E1306">
      <w:pPr>
        <w:rPr>
          <w:color w:val="auto"/>
        </w:rPr>
      </w:pPr>
      <w:r w:rsidRPr="001B7103">
        <w:rPr>
          <w:color w:val="auto"/>
        </w:rPr>
        <w:t>Salivary glands are an attractive tissue target for gene therapy with promising results already leading to human trials.</w:t>
      </w:r>
      <w:r w:rsidR="001B7103">
        <w:rPr>
          <w:color w:val="auto"/>
        </w:rPr>
        <w:t xml:space="preserve"> </w:t>
      </w:r>
      <w:r w:rsidR="0018542A" w:rsidRPr="001B7103">
        <w:rPr>
          <w:color w:val="auto"/>
        </w:rPr>
        <w:t xml:space="preserve">They </w:t>
      </w:r>
      <w:r w:rsidRPr="001B7103">
        <w:rPr>
          <w:color w:val="auto"/>
        </w:rPr>
        <w:t>are</w:t>
      </w:r>
      <w:r w:rsidR="0018542A" w:rsidRPr="001B7103">
        <w:rPr>
          <w:color w:val="auto"/>
        </w:rPr>
        <w:t xml:space="preserve"> </w:t>
      </w:r>
      <w:r w:rsidRPr="001B7103">
        <w:rPr>
          <w:color w:val="auto"/>
        </w:rPr>
        <w:t>inherently</w:t>
      </w:r>
      <w:r w:rsidR="0018542A" w:rsidRPr="001B7103">
        <w:rPr>
          <w:color w:val="auto"/>
        </w:rPr>
        <w:t xml:space="preserve"> capable of</w:t>
      </w:r>
      <w:r w:rsidRPr="001B7103">
        <w:rPr>
          <w:color w:val="auto"/>
        </w:rPr>
        <w:t xml:space="preserve"> secret</w:t>
      </w:r>
      <w:r w:rsidR="0018542A" w:rsidRPr="001B7103">
        <w:rPr>
          <w:color w:val="auto"/>
        </w:rPr>
        <w:t>ing</w:t>
      </w:r>
      <w:r w:rsidRPr="001B7103">
        <w:rPr>
          <w:color w:val="auto"/>
        </w:rPr>
        <w:t xml:space="preserve"> proteins into the bloodstream</w:t>
      </w:r>
      <w:r w:rsidR="007233E1" w:rsidRPr="001B7103">
        <w:rPr>
          <w:color w:val="auto"/>
        </w:rPr>
        <w:t xml:space="preserve"> and</w:t>
      </w:r>
      <w:r w:rsidRPr="001B7103">
        <w:rPr>
          <w:color w:val="auto"/>
        </w:rPr>
        <w:t xml:space="preserve"> are easily accessible</w:t>
      </w:r>
      <w:r w:rsidR="005345E0" w:rsidRPr="001B7103">
        <w:rPr>
          <w:color w:val="auto"/>
        </w:rPr>
        <w:t>,</w:t>
      </w:r>
      <w:r w:rsidR="007233E1" w:rsidRPr="001B7103">
        <w:rPr>
          <w:color w:val="auto"/>
        </w:rPr>
        <w:t xml:space="preserve"> making them potentially superior tissue sites for replacement hormone </w:t>
      </w:r>
      <w:r w:rsidR="007233E1" w:rsidRPr="001B7103">
        <w:rPr>
          <w:color w:val="auto"/>
        </w:rPr>
        <w:lastRenderedPageBreak/>
        <w:t>production or vaccination by gene transfer.</w:t>
      </w:r>
      <w:r w:rsidRPr="001B7103">
        <w:rPr>
          <w:color w:val="auto"/>
        </w:rPr>
        <w:t xml:space="preserve"> Suggested methods for gene delivery include transcutaneous injection</w:t>
      </w:r>
      <w:r w:rsidR="007233E1" w:rsidRPr="001B7103">
        <w:rPr>
          <w:color w:val="auto"/>
        </w:rPr>
        <w:t xml:space="preserve"> and</w:t>
      </w:r>
      <w:r w:rsidRPr="001B7103">
        <w:rPr>
          <w:color w:val="auto"/>
        </w:rPr>
        <w:t xml:space="preserve"> retrograde infusion through salivary ducts. We demonstrate</w:t>
      </w:r>
      <w:r w:rsidR="008B6881" w:rsidRPr="001B7103">
        <w:rPr>
          <w:color w:val="auto"/>
        </w:rPr>
        <w:t xml:space="preserve"> how to perform</w:t>
      </w:r>
      <w:r w:rsidR="007233E1" w:rsidRPr="001B7103">
        <w:rPr>
          <w:color w:val="auto"/>
        </w:rPr>
        <w:t xml:space="preserve"> Retrograde Salivary Gland </w:t>
      </w:r>
      <w:r w:rsidR="008B6881" w:rsidRPr="001B7103">
        <w:rPr>
          <w:color w:val="auto"/>
        </w:rPr>
        <w:t>Infusion (RSGI) in non-human</w:t>
      </w:r>
      <w:r w:rsidRPr="001B7103">
        <w:rPr>
          <w:color w:val="auto"/>
        </w:rPr>
        <w:t xml:space="preserve"> primates.</w:t>
      </w:r>
      <w:r w:rsidR="001B7103">
        <w:rPr>
          <w:color w:val="auto"/>
        </w:rPr>
        <w:t xml:space="preserve"> </w:t>
      </w:r>
      <w:r w:rsidR="00B54B1C" w:rsidRPr="001B7103">
        <w:rPr>
          <w:color w:val="auto"/>
        </w:rPr>
        <w:t>W</w:t>
      </w:r>
      <w:r w:rsidR="008B6881" w:rsidRPr="001B7103">
        <w:rPr>
          <w:color w:val="auto"/>
        </w:rPr>
        <w:t xml:space="preserve">e describe the important anatomic landmarks including identification of the parotid papilla, an atraumatic method of cannulating </w:t>
      </w:r>
      <w:r w:rsidR="00B54B1C" w:rsidRPr="001B7103">
        <w:rPr>
          <w:color w:val="auto"/>
        </w:rPr>
        <w:t xml:space="preserve">and sealing </w:t>
      </w:r>
      <w:r w:rsidR="008B6881" w:rsidRPr="001B7103">
        <w:rPr>
          <w:color w:val="auto"/>
        </w:rPr>
        <w:t>Stensen’s Duct utilizing basic dental tools</w:t>
      </w:r>
      <w:r w:rsidR="00B54B1C" w:rsidRPr="001B7103">
        <w:rPr>
          <w:color w:val="auto"/>
        </w:rPr>
        <w:t>,</w:t>
      </w:r>
      <w:r w:rsidR="008B6881" w:rsidRPr="001B7103">
        <w:rPr>
          <w:color w:val="auto"/>
        </w:rPr>
        <w:t xml:space="preserve"> </w:t>
      </w:r>
      <w:r w:rsidR="00B54B1C" w:rsidRPr="001B7103">
        <w:rPr>
          <w:color w:val="auto"/>
        </w:rPr>
        <w:t>polyethylene tubing, and cyanoacrylate, and the appropriate rate of infusion.</w:t>
      </w:r>
      <w:r w:rsidR="001B7103">
        <w:rPr>
          <w:color w:val="auto"/>
        </w:rPr>
        <w:t xml:space="preserve"> </w:t>
      </w:r>
      <w:r w:rsidR="00F5117B" w:rsidRPr="001B7103">
        <w:rPr>
          <w:color w:val="auto"/>
        </w:rPr>
        <w:t>While this is the least traumatic method of delivery, the method is still limited by the volume able to be delivered (&lt;0.5</w:t>
      </w:r>
      <w:r w:rsidR="001B7103">
        <w:rPr>
          <w:color w:val="auto"/>
        </w:rPr>
        <w:t xml:space="preserve"> mL</w:t>
      </w:r>
      <w:r w:rsidR="00F5117B" w:rsidRPr="001B7103">
        <w:rPr>
          <w:color w:val="auto"/>
        </w:rPr>
        <w:t>) and the potential for trauma to the duct and gland.</w:t>
      </w:r>
      <w:r w:rsidR="001B7103">
        <w:rPr>
          <w:color w:val="auto"/>
        </w:rPr>
        <w:t xml:space="preserve"> </w:t>
      </w:r>
      <w:r w:rsidR="00F5117B" w:rsidRPr="001B7103">
        <w:rPr>
          <w:color w:val="auto"/>
        </w:rPr>
        <w:t>We demonstrate using fluoroscopy that an infusate can be ful</w:t>
      </w:r>
      <w:r w:rsidR="005345E0" w:rsidRPr="001B7103">
        <w:rPr>
          <w:color w:val="auto"/>
        </w:rPr>
        <w:t>ly delivered into the gland, and</w:t>
      </w:r>
      <w:r w:rsidR="00F5117B" w:rsidRPr="001B7103">
        <w:rPr>
          <w:color w:val="auto"/>
        </w:rPr>
        <w:t xml:space="preserve"> </w:t>
      </w:r>
      <w:r w:rsidR="005345E0" w:rsidRPr="001B7103">
        <w:rPr>
          <w:color w:val="auto"/>
        </w:rPr>
        <w:t>further demonstrate by immunohistochemistry</w:t>
      </w:r>
      <w:r w:rsidR="00F5117B" w:rsidRPr="001B7103">
        <w:rPr>
          <w:color w:val="auto"/>
        </w:rPr>
        <w:t xml:space="preserve"> th</w:t>
      </w:r>
      <w:r w:rsidR="004F5161" w:rsidRPr="001B7103">
        <w:rPr>
          <w:color w:val="auto"/>
        </w:rPr>
        <w:t>e transduction of a typical vector and expression of the delivered gene.</w:t>
      </w:r>
      <w:r w:rsidR="001B7103">
        <w:rPr>
          <w:color w:val="auto"/>
        </w:rPr>
        <w:t xml:space="preserve"> </w:t>
      </w:r>
    </w:p>
    <w:p w14:paraId="3EE19E53" w14:textId="77777777" w:rsidR="006305D7" w:rsidRPr="001B7103" w:rsidRDefault="006305D7" w:rsidP="005E1306"/>
    <w:p w14:paraId="70839936" w14:textId="77777777" w:rsidR="006305D7" w:rsidRPr="001B7103" w:rsidRDefault="006305D7" w:rsidP="005E1306">
      <w:pPr>
        <w:rPr>
          <w:color w:val="808080"/>
        </w:rPr>
      </w:pPr>
      <w:r w:rsidRPr="001B7103">
        <w:rPr>
          <w:b/>
        </w:rPr>
        <w:t>INTRODUCTION</w:t>
      </w:r>
      <w:r w:rsidRPr="001B7103">
        <w:rPr>
          <w:b/>
          <w:bCs/>
        </w:rPr>
        <w:t>:</w:t>
      </w:r>
      <w:r w:rsidRPr="001B7103">
        <w:t xml:space="preserve"> </w:t>
      </w:r>
    </w:p>
    <w:p w14:paraId="03999C44" w14:textId="37C20BC1" w:rsidR="00584616" w:rsidRPr="001B7103" w:rsidRDefault="00A608AB" w:rsidP="005E1306">
      <w:pPr>
        <w:rPr>
          <w:color w:val="auto"/>
        </w:rPr>
      </w:pPr>
      <w:r w:rsidRPr="001B7103">
        <w:rPr>
          <w:color w:val="auto"/>
        </w:rPr>
        <w:t>While salivary glands are well known for their exocrine production of saliva, researchers have long recognized their ability to secrete proteins directly into the bloodstream</w:t>
      </w:r>
      <w:r w:rsidR="00AE7EB1" w:rsidRPr="005E1306">
        <w:rPr>
          <w:color w:val="auto"/>
          <w:vertAlign w:val="superscript"/>
        </w:rPr>
        <w:fldChar w:fldCharType="begin" w:fldLock="1"/>
      </w:r>
      <w:r w:rsidR="005B5303" w:rsidRPr="005E1306">
        <w:rPr>
          <w:color w:val="auto"/>
          <w:vertAlign w:val="superscript"/>
        </w:rPr>
        <w:instrText>ADDIN CSL_CITATION {"citationItems":[{"id":"ITEM-1","itemData":{"ISSN":"0002-9513","PMID":"9950780","abstract":"The exocrine pancreas and certain salivary glands of mammals secrete a variety of enzymes into the gastrointestinal tract, where they digest food. The same glands also release these enzymes into the bloodstream. This latter process has commonly been assumed to occur solely as the result of a pathological condition or as an inadvertent by-product of exocrine secretion due to the leakage of trace quantities of the enzymes into blood. However, a variety of evidence suggests that the endocrine secretion of digestive enzymes is a normal occurrence that can be of substantial magnitude in healthy individuals, is responsive to various physiological stimuli, and is distinct from exocrine secretion. Recent research has focused attention on this process as a promising means for the delivery of engineered proteins into the systemic circulation for pharmaceutical purposes. In this review, we survey research in this area and consider the evidence for the existence of an endocrine secretion of digestive enzymes, the cause of enzyme release into the bloodstream, its source within the tissue, and, finally, the physiological purposes that this secretion process might serve.","author":[{"dropping-particle":"","family":"Isenman","given":"L","non-dropping-particle":"","parse-names":false,"suffix":""},{"dropping-particle":"","family":"Liebow","given":"C","non-dropping-particle":"","parse-names":false,"suffix":""},{"dropping-particle":"","family":"Rothman","given":"S","non-dropping-particle":"","parse-names":false,"suffix":""}],"container-title":"The American journal of physiology","id":"ITEM-1","issue":"2 Pt 1","issued":{"date-parts":[["1999","2"]]},"page":"E223-32","title":"The endocrine secretion of mammalian digestive enzymes by exocrine glands.","type":"article-journal","volume":"276"},"uris":["http://www.mendeley.com/documents/?uuid=5b7481fb-d7ba-4cbb-9d0e-c245ea077d82"]}],"mendeley":{"formattedCitation":"[1]","plainTextFormattedCitation":"[1]","previouslyFormattedCitation":"[1]"},"properties":{"noteIndex":0},"schema":"https://github.com/citation-style-language/schema/raw/master/csl-citation.json"}</w:instrText>
      </w:r>
      <w:r w:rsidR="00AE7EB1" w:rsidRPr="005E1306">
        <w:rPr>
          <w:color w:val="auto"/>
          <w:vertAlign w:val="superscript"/>
        </w:rPr>
        <w:fldChar w:fldCharType="separate"/>
      </w:r>
      <w:r w:rsidR="00C844F4" w:rsidRPr="005E1306">
        <w:rPr>
          <w:noProof/>
          <w:color w:val="auto"/>
          <w:vertAlign w:val="superscript"/>
        </w:rPr>
        <w:t>1</w:t>
      </w:r>
      <w:r w:rsidR="00AE7EB1" w:rsidRPr="005E1306">
        <w:rPr>
          <w:color w:val="auto"/>
          <w:vertAlign w:val="superscript"/>
        </w:rPr>
        <w:fldChar w:fldCharType="end"/>
      </w:r>
      <w:r w:rsidRPr="001B7103">
        <w:rPr>
          <w:color w:val="auto"/>
        </w:rPr>
        <w:t xml:space="preserve">, making them a potential target for gene therapy for systemic </w:t>
      </w:r>
      <w:r w:rsidR="00202014" w:rsidRPr="001B7103">
        <w:rPr>
          <w:color w:val="auto"/>
        </w:rPr>
        <w:t>administration</w:t>
      </w:r>
      <w:r w:rsidR="005345E0" w:rsidRPr="001B7103">
        <w:rPr>
          <w:color w:val="auto"/>
        </w:rPr>
        <w:t>,</w:t>
      </w:r>
      <w:r w:rsidR="006C4F61" w:rsidRPr="001B7103">
        <w:rPr>
          <w:color w:val="auto"/>
        </w:rPr>
        <w:t xml:space="preserve"> such as replacement hormones or antibody production.</w:t>
      </w:r>
      <w:r w:rsidR="001B7103">
        <w:rPr>
          <w:color w:val="auto"/>
        </w:rPr>
        <w:t xml:space="preserve"> </w:t>
      </w:r>
      <w:r w:rsidR="006C4F61" w:rsidRPr="001B7103">
        <w:rPr>
          <w:color w:val="auto"/>
        </w:rPr>
        <w:t>In fact, salivary glands offer several advantages over other tissue targets, such as the inherent ability to produce proteins for secretion (a property muscles lack)</w:t>
      </w:r>
      <w:r w:rsidR="006C0D9B" w:rsidRPr="001B7103">
        <w:rPr>
          <w:color w:val="auto"/>
        </w:rPr>
        <w:t>,</w:t>
      </w:r>
      <w:r w:rsidR="006C4F61" w:rsidRPr="001B7103">
        <w:rPr>
          <w:color w:val="auto"/>
        </w:rPr>
        <w:t xml:space="preserve"> heavy encapsulation </w:t>
      </w:r>
      <w:r w:rsidR="005E1306">
        <w:rPr>
          <w:color w:val="auto"/>
        </w:rPr>
        <w:t>that</w:t>
      </w:r>
      <w:r w:rsidR="006C4F61" w:rsidRPr="001B7103">
        <w:rPr>
          <w:color w:val="auto"/>
        </w:rPr>
        <w:t xml:space="preserve"> can limit vector diffusion,</w:t>
      </w:r>
      <w:r w:rsidR="006C0D9B" w:rsidRPr="001B7103">
        <w:rPr>
          <w:color w:val="auto"/>
        </w:rPr>
        <w:t xml:space="preserve"> and</w:t>
      </w:r>
      <w:r w:rsidR="006C4F61" w:rsidRPr="001B7103">
        <w:rPr>
          <w:color w:val="auto"/>
        </w:rPr>
        <w:t xml:space="preserve"> </w:t>
      </w:r>
      <w:r w:rsidR="006C0D9B" w:rsidRPr="001B7103">
        <w:rPr>
          <w:color w:val="auto"/>
        </w:rPr>
        <w:t>well-differentiated tissue providing stability for non-integrating vectors.</w:t>
      </w:r>
      <w:r w:rsidR="001B7103">
        <w:rPr>
          <w:color w:val="auto"/>
        </w:rPr>
        <w:t xml:space="preserve"> </w:t>
      </w:r>
      <w:r w:rsidR="006C0D9B" w:rsidRPr="001B7103">
        <w:rPr>
          <w:color w:val="auto"/>
        </w:rPr>
        <w:t>Furthermore, in the event of a serious adverse event, salivary glands are not critical for life and can be surgically removed.</w:t>
      </w:r>
      <w:r w:rsidR="001B7103">
        <w:rPr>
          <w:color w:val="auto"/>
        </w:rPr>
        <w:t xml:space="preserve"> </w:t>
      </w:r>
      <w:r w:rsidR="006C0D9B" w:rsidRPr="001B7103">
        <w:rPr>
          <w:color w:val="auto"/>
        </w:rPr>
        <w:t>While not immediately intuitive, parotid glands are also easily accessible from the mouth through their main excretory duct, Stensen’s Duct</w:t>
      </w:r>
      <w:r w:rsidR="00AE7EB1" w:rsidRPr="005E1306">
        <w:rPr>
          <w:color w:val="auto"/>
          <w:vertAlign w:val="superscript"/>
        </w:rPr>
        <w:fldChar w:fldCharType="begin" w:fldLock="1"/>
      </w:r>
      <w:r w:rsidR="005B5303" w:rsidRPr="005E1306">
        <w:rPr>
          <w:color w:val="auto"/>
          <w:vertAlign w:val="superscript"/>
        </w:rPr>
        <w:instrText>ADDIN CSL_CITATION {"citationItems":[{"id":"ITEM-1","itemData":{"DOI":"10.1016/j.biocel.2010.02.012","ISSN":"13572725","author":[{"dropping-particle":"","family":"Perez","given":"Paola","non-dropping-particle":"","parse-names":false,"suffix":""},{"dropping-particle":"","family":"Rowzee","given":"Anne M.","non-dropping-particle":"","parse-names":false,"suffix":""},{"dropping-particle":"","family":"Zheng","given":"Changyu","non-dropping-particle":"","parse-names":false,"suffix":""},{"dropping-particle":"","family":"Adriaansen","given":"Janik","non-dropping-particle":"","parse-names":false,"suffix":""},{"dropping-particle":"","family":"Baum","given":"Bruce J.","non-dropping-particle":"","parse-names":false,"suffix":""}],"container-title":"The International Journal of Biochemistry &amp; Cell Biology","id":"ITEM-1","issue":"6","issued":{"date-parts":[["2010","6"]]},"page":"773-777","title":"Salivary epithelial cells: An unassuming target site for gene therapeutics","type":"article-journal","volume":"42"},"uris":["http://www.mendeley.com/documents/?uuid=bc81bd6d-6ebd-4687-acbe-7690e399da21"]}],"mendeley":{"formattedCitation":"[2]","plainTextFormattedCitation":"[2]","previouslyFormattedCitation":"[2]"},"properties":{"noteIndex":0},"schema":"https://github.com/citation-style-language/schema/raw/master/csl-citation.json"}</w:instrText>
      </w:r>
      <w:r w:rsidR="00AE7EB1" w:rsidRPr="005E1306">
        <w:rPr>
          <w:color w:val="auto"/>
          <w:vertAlign w:val="superscript"/>
        </w:rPr>
        <w:fldChar w:fldCharType="separate"/>
      </w:r>
      <w:r w:rsidR="00C844F4" w:rsidRPr="005E1306">
        <w:rPr>
          <w:noProof/>
          <w:color w:val="auto"/>
          <w:vertAlign w:val="superscript"/>
        </w:rPr>
        <w:t>2</w:t>
      </w:r>
      <w:r w:rsidR="00AE7EB1" w:rsidRPr="005E1306">
        <w:rPr>
          <w:color w:val="auto"/>
          <w:vertAlign w:val="superscript"/>
        </w:rPr>
        <w:fldChar w:fldCharType="end"/>
      </w:r>
      <w:r w:rsidR="006C0D9B" w:rsidRPr="001B7103">
        <w:rPr>
          <w:color w:val="auto"/>
        </w:rPr>
        <w:t>.</w:t>
      </w:r>
      <w:r w:rsidR="00584616" w:rsidRPr="001B7103">
        <w:rPr>
          <w:color w:val="auto"/>
        </w:rPr>
        <w:t xml:space="preserve"> </w:t>
      </w:r>
    </w:p>
    <w:p w14:paraId="370C82B1" w14:textId="77777777" w:rsidR="00584616" w:rsidRPr="001B7103" w:rsidRDefault="00584616" w:rsidP="005E1306">
      <w:pPr>
        <w:rPr>
          <w:color w:val="auto"/>
        </w:rPr>
      </w:pPr>
      <w:r w:rsidRPr="001B7103">
        <w:rPr>
          <w:color w:val="auto"/>
        </w:rPr>
        <w:t xml:space="preserve"> </w:t>
      </w:r>
    </w:p>
    <w:p w14:paraId="75FE9DA9" w14:textId="78E0D242" w:rsidR="00A608AB" w:rsidRPr="001B7103" w:rsidRDefault="00584616" w:rsidP="005E1306">
      <w:pPr>
        <w:rPr>
          <w:color w:val="auto"/>
        </w:rPr>
      </w:pPr>
      <w:r w:rsidRPr="001B7103">
        <w:rPr>
          <w:color w:val="auto"/>
        </w:rPr>
        <w:t>Given the advantages of salivary tissue for gene therapy, there is increasing interest in exploring this tissue target.</w:t>
      </w:r>
      <w:r w:rsidR="001B7103">
        <w:rPr>
          <w:color w:val="auto"/>
        </w:rPr>
        <w:t xml:space="preserve"> </w:t>
      </w:r>
      <w:r w:rsidRPr="001B7103">
        <w:rPr>
          <w:color w:val="auto"/>
        </w:rPr>
        <w:t>Numerous studies have already been performed in rodent, canine, and non-human primate models and at least one human clinical trial is underway</w:t>
      </w:r>
      <w:r w:rsidR="00612BC3" w:rsidRPr="001B7103">
        <w:rPr>
          <w:color w:val="auto"/>
        </w:rPr>
        <w:fldChar w:fldCharType="begin" w:fldLock="1"/>
      </w:r>
      <w:r w:rsidR="005B5303" w:rsidRPr="001B7103">
        <w:rPr>
          <w:color w:val="auto"/>
        </w:rPr>
        <w:instrText>ADDIN CSL_CITATION {"citationItems":[{"id":"ITEM-1","itemData":{"DOI":"10.1016/S0264-410X(00)00105-5","ISBN":"0264-410X","ISSN":"0264410X","PMID":"10856796","abstract":"A DNA vaccine that expresses the premembrane/membrane (prM) and envelope (E) genes of dengue virus serotype-1 was tested for immunogenicity and protection against dengue-1 virus challenge in Aotus nancymae monkeys. The vaccine, in 1 mg doses, was administered intradermally (i.d.) to three monkeys and intramuscularly (i.m.) to three others. For controls, a 1 mg dose of vector DNA was administered i.d. to two monkeys and i.m. to one. All animals were primed and then boosted at one and five months post priming. Sera were collected monthly and analyzed for dengue-1 antibodies by enzyme linked immunosorbent assay (ELISA) and plaque reduction neutralization test (PRNT). Dengue-1 antibodies were detectable in the sera from i.d. and i.m. vaccine inoculated animals one month after the first boost and peaked one month after the second boost. The antibody levels from sera of animals that received the vaccine via the i.d. route were twice those from sera of animals that received the vaccine via the i.m. route. Six months after the second boost all inoculated and two naive monkeys were challenged with 1.25x10(4) plaque forming units (PFU) of dengue-1 virus. Two vaccine immunized animals were protected from viremia while the others showed a reduction in viremia. The mean days of viremia were 1 and 1.3 for the animals that were immunized with the vaccine via the i.d. or i.m. route, respectively vs 4 and 2 mean days of viremia in the animals inoculated with control DNA. Naive animals were viremic for an average of 4 days. All of the three control monkeys that received control DNA inoculum by either the i.d. or i.m. route had an intermittent viremia pattern with one or more negative days interspersed between the positive days. This pattern was not observed in any of the vaccine recipients or the naïve control monkeys. These results demonstrate that DNA immunization is a promising approach for the development of dengue vaccines and that A. nancymae monkeys are suitable for dengue vaccine trials.","author":[{"dropping-particle":"","family":"Kochel","given":"T J","non-dropping-particle":"","parse-names":false,"suffix":""},{"dropping-particle":"","family":"Raviprakash","given":"K","non-dropping-particle":"","parse-names":false,"suffix":""},{"dropping-particle":"","family":"Hayes","given":"C G","non-dropping-particle":"","parse-names":false,"suffix":""},{"dropping-particle":"","family":"Watts","given":"D M","non-dropping-particle":"","parse-names":false,"suffix":""},{"dropping-particle":"","family":"Russell","given":"K L","non-dropping-particle":"","parse-names":false,"suffix":""},{"dropping-particle":"","family":"Gozalo","given":"a S","non-dropping-particle":"","parse-names":false,"suffix":""},{"dropping-particle":"","family":"Phillips","given":"I a","non-dropping-particle":"","parse-names":false,"suffix":""},{"dropping-particle":"","family":"Ewing","given":"D F","non-dropping-particle":"","parse-names":false,"suffix":""},{"dropping-particle":"","family":"Murphy","given":"G S","non-dropping-particle":"","parse-names":false,"suffix":""},{"dropping-particle":"","family":"Porter","given":"K R","non-dropping-particle":"","parse-names":false,"suffix":""}],"container-title":"Vaccine","id":"ITEM-1","issue":"27","issued":{"date-parts":[["2000"]]},"note":"NULL","page":"3166-3173","title":"A dengue virus serotype-1 DNA vaccine induces virus neutralizing antibodies and provides protection from viral challenge in Aotus monkeys.","type":"article-journal","volume":"18"},"uris":["http://www.mendeley.com/documents/?uuid=df575d01-1604-463b-afa5-c05bd70d955a"]},{"id":"ITEM-2","itemData":{"DOI":"10.1186/s40794-017-0047-z","ISSN":"2055-0936","author":[{"dropping-particle":"","family":"Ponzio","given":"Todd A.","non-dropping-particle":"","parse-names":false,"suffix":""},{"dropping-particle":"","family":"Sanders","given":"John W.","non-dropping-particle":"","parse-names":false,"suffix":""}],"container-title":"Tropical Diseases, Travel Medicine and Vaccines","id":"ITEM-2","issue":"1","issued":{"date-parts":[["2017","12","17"]]},"note":"NULL","page":"4","publisher":"Tropical Diseases, Travel Medicine and Vaccines","title":"The salivary gland as a target for enhancing immunization response","type":"article-journal","volume":"3"},"uris":["http://www.mendeley.com/documents/?uuid=92039850-87d1-4c4e-a862-02a31c0a6449"]},{"id":"ITEM-3","itemData":{"DOI":"10.1073/pnas.1210662109","ISSN":"1091-6490","PMID":"23129637","abstract":"No conventional therapy exists for salivary hypofunction in surviving head and neck cancer patients with Radiation Therapy Oncology Group late grade 2-3 toxicity. We conducted a phase I clinical trial to test the safety and biologic efficacy of serotype 5, adenoviral-mediated aquaporin-1 cDNA transfer to a single previously irradiated parotid gland in 11 subjects using an open label, single-dose, dose-escalation design (AdhAQP1 vector; four dose tiers from 4.8 × 10(7) to 5.8 × 10(9) vector particles per gland). Treated subjects were followed at scheduled intervals. Multiple safety parameters were measured and biologic efficacy was evaluated with measurements of parotid salivary flow rate. Symptoms were assessed with a visual analog scale. All subjects tolerated vector delivery and study procedures well over the 42-d study period reported. No deaths, serious adverse events, or dose-limiting toxicities occurred. Generally, few adverse events occurred, and all were considered mild or moderate. No consistent changes were found in any clinical chemistry and hematology parameters measured. Objective responses were seen in six subjects, all at doses &lt;5.8 × 10(9) vector particles per gland. Five of these six subjects also experienced subjective improvement in xerostomia. AdhAQP1 vector delivery to a single parotid gland was safe and transfer of the hAQP1 cDNA increased parotid flow and relieved symptoms in a subset of subjects.","author":[{"dropping-particle":"","family":"Baum","given":"Bruce J","non-dropping-particle":"","parse-names":false,"suffix":""},{"dropping-particle":"","family":"Alevizos","given":"Ilias","non-dropping-particle":"","parse-names":false,"suffix":""},{"dropping-particle":"","family":"Zheng","given":"Changyu","non-dropping-particle":"","parse-names":false,"suffix":""},{"dropping-particle":"","family":"Cotrim","given":"Ana P","non-dropping-particle":"","parse-names":false,"suffix":""},{"dropping-particle":"","family":"Liu","given":"Shuying","non-dropping-particle":"","parse-names":false,"suffix":""},{"dropping-particle":"","family":"McCullagh","given":"Linda","non-dropping-particle":"","parse-names":false,"suffix":""},{"dropping-particle":"","family":"Goldsmith","given":"Corinne M","non-dropping-particle":"","parse-names":false,"suffix":""},{"dropping-particle":"","family":"Burbelo","given":"Peter D","non-dropping-particle":"","parse-names":false,"suffix":""},{"dropping-particle":"","family":"Citrin","given":"Deborah E","non-dropping-particle":"","parse-names":false,"suffix":""},{"dropping-particle":"","family":"Mitchell","given":"James B","non-dropping-particle":"","parse-names":false,"suffix":""},{"dropping-particle":"","family":"Nottingham","given":"Liesl K","non-dropping-particle":"","parse-names":false,"suffix":""},{"dropping-particle":"","family":"Rudy","given":"Susan F","non-dropping-particle":"","parse-names":false,"suffix":""},{"dropping-particle":"","family":"Waes","given":"Carter","non-dropping-particle":"Van","parse-names":false,"suffix":""},{"dropping-particle":"","family":"Whatley","given":"Millie A","non-dropping-particle":"","parse-names":false,"suffix":""},{"dropping-particle":"","family":"Brahim","given":"Jaime S","non-dropping-particle":"","parse-names":false,"suffix":""},{"dropping-particle":"","family":"Chiorini","given":"John A","non-dropping-particle":"","parse-names":false,"suffix":""},{"dropping-particle":"","family":"Danielides","given":"Stamatina","non-dropping-particle":"","parse-names":false,"suffix":""},{"dropping-particle":"","family":"Turner","given":"R James","non-dropping-particle":"","parse-names":false,"suffix":""},{"dropping-particle":"","family":"Patronas","given":"Nicholas J","non-dropping-particle":"","parse-names":false,"suffix":""},{"dropping-particle":"","family":"Chen","given":"Clara C","non-dropping-particle":"","parse-names":false,"suffix":""},{"dropping-particle":"","family":"Nikolov","given":"Nikolay P","non-dropping-particle":"","parse-names":false,"suffix":""},{"dropping-particle":"","family":"Illei","given":"Gabor G","non-dropping-particle":"","parse-names":false,"suffix":""}],"container-title":"Proceedings of the National Academy of Sciences of the United States of America","id":"ITEM-3","issue":"47","issued":{"date-parts":[["2012","11","20"]]},"page":"19403-7","title":"Early responses to adenoviral-mediated transfer of the aquaporin-1 cDNA for radiation-induced salivary hypofunction.","type":"article-journal","volume":"109"},"uris":["http://www.mendeley.com/documents/?uuid=119e6213-4453-4097-a1c7-9a287ff127a1"]}],"mendeley":{"formattedCitation":"[3–5]","plainTextFormattedCitation":"[3–5]","previouslyFormattedCitation":"[3–5]"},"properties":{"noteIndex":0},"schema":"https://github.com/citation-style-language/schema/raw/master/csl-citation.json"}</w:instrText>
      </w:r>
      <w:r w:rsidR="00612BC3" w:rsidRPr="001B7103">
        <w:rPr>
          <w:color w:val="auto"/>
        </w:rPr>
        <w:fldChar w:fldCharType="separate"/>
      </w:r>
      <w:r w:rsidR="00C844F4" w:rsidRPr="005E1306">
        <w:rPr>
          <w:noProof/>
          <w:color w:val="auto"/>
          <w:vertAlign w:val="superscript"/>
        </w:rPr>
        <w:t>3–5</w:t>
      </w:r>
      <w:r w:rsidR="00612BC3" w:rsidRPr="001B7103">
        <w:rPr>
          <w:color w:val="auto"/>
        </w:rPr>
        <w:fldChar w:fldCharType="end"/>
      </w:r>
      <w:r w:rsidRPr="001B7103">
        <w:rPr>
          <w:color w:val="auto"/>
        </w:rPr>
        <w:t xml:space="preserve">. </w:t>
      </w:r>
      <w:r w:rsidR="00692C72" w:rsidRPr="001B7103">
        <w:rPr>
          <w:color w:val="auto"/>
        </w:rPr>
        <w:t>To further explore and develop the utility of this tissue target for gene therapy purposes, more non-human primate studies will need to be performed.</w:t>
      </w:r>
      <w:r w:rsidR="001B7103">
        <w:rPr>
          <w:color w:val="auto"/>
        </w:rPr>
        <w:t xml:space="preserve"> </w:t>
      </w:r>
      <w:r w:rsidRPr="001B7103">
        <w:rPr>
          <w:color w:val="auto"/>
        </w:rPr>
        <w:t>This paper describe</w:t>
      </w:r>
      <w:r w:rsidR="00202014" w:rsidRPr="001B7103">
        <w:rPr>
          <w:color w:val="auto"/>
        </w:rPr>
        <w:t>s</w:t>
      </w:r>
      <w:r w:rsidRPr="001B7103">
        <w:rPr>
          <w:color w:val="auto"/>
        </w:rPr>
        <w:t xml:space="preserve"> a method for accessing the parotid glands</w:t>
      </w:r>
      <w:r w:rsidR="006C0D9B" w:rsidRPr="001B7103">
        <w:rPr>
          <w:color w:val="auto"/>
        </w:rPr>
        <w:t xml:space="preserve"> </w:t>
      </w:r>
      <w:r w:rsidRPr="001B7103">
        <w:rPr>
          <w:color w:val="auto"/>
        </w:rPr>
        <w:t>through Stensen’s Duct to deliver a vectored gene for transduction in the non-human primate model.</w:t>
      </w:r>
      <w:r w:rsidR="00DF6788" w:rsidRPr="001B7103">
        <w:rPr>
          <w:color w:val="auto"/>
        </w:rPr>
        <w:t xml:space="preserve"> </w:t>
      </w:r>
      <w:r w:rsidR="0060791A" w:rsidRPr="001B7103">
        <w:rPr>
          <w:color w:val="auto"/>
        </w:rPr>
        <w:t>To visibly demonstrate the delivery of the infusate and the anatomy of the duct as it enters the gland, fluoroscopy using radiocontrast was performed.</w:t>
      </w:r>
      <w:r w:rsidR="001B7103">
        <w:rPr>
          <w:color w:val="auto"/>
        </w:rPr>
        <w:t xml:space="preserve"> </w:t>
      </w:r>
      <w:r w:rsidR="0060791A" w:rsidRPr="001B7103">
        <w:rPr>
          <w:color w:val="auto"/>
        </w:rPr>
        <w:t xml:space="preserve">To demonstrate successful transduction of a vector, an </w:t>
      </w:r>
      <w:r w:rsidR="00DF6788" w:rsidRPr="001B7103">
        <w:rPr>
          <w:color w:val="auto"/>
        </w:rPr>
        <w:t>Adenovirus serotype 5 (Ad5)</w:t>
      </w:r>
      <w:r w:rsidR="0060791A" w:rsidRPr="001B7103">
        <w:rPr>
          <w:color w:val="auto"/>
        </w:rPr>
        <w:t xml:space="preserve"> vectored </w:t>
      </w:r>
      <w:proofErr w:type="spellStart"/>
      <w:r w:rsidR="0060791A" w:rsidRPr="001B7103">
        <w:rPr>
          <w:i/>
          <w:color w:val="auto"/>
        </w:rPr>
        <w:t>egfp</w:t>
      </w:r>
      <w:proofErr w:type="spellEnd"/>
      <w:r w:rsidR="0060791A" w:rsidRPr="001B7103">
        <w:rPr>
          <w:color w:val="auto"/>
        </w:rPr>
        <w:t xml:space="preserve"> gene </w:t>
      </w:r>
      <w:r w:rsidR="00EB295D" w:rsidRPr="001B7103">
        <w:rPr>
          <w:color w:val="auto"/>
        </w:rPr>
        <w:t>was used.</w:t>
      </w:r>
      <w:r w:rsidR="001B7103">
        <w:rPr>
          <w:color w:val="auto"/>
        </w:rPr>
        <w:t xml:space="preserve"> </w:t>
      </w:r>
      <w:r w:rsidR="00EB295D" w:rsidRPr="001B7103">
        <w:rPr>
          <w:color w:val="auto"/>
        </w:rPr>
        <w:t xml:space="preserve">Ad5 </w:t>
      </w:r>
      <w:r w:rsidR="00DF6788" w:rsidRPr="001B7103">
        <w:rPr>
          <w:color w:val="auto"/>
        </w:rPr>
        <w:t>is a well-described vector capable of transducing salivary tissue</w:t>
      </w:r>
      <w:r w:rsidR="005265FF" w:rsidRPr="001B7103">
        <w:rPr>
          <w:color w:val="auto"/>
        </w:rPr>
        <w:t xml:space="preserve">. </w:t>
      </w:r>
      <w:r w:rsidR="00DF6788" w:rsidRPr="001B7103">
        <w:rPr>
          <w:color w:val="auto"/>
        </w:rPr>
        <w:t xml:space="preserve">Although it is too immunogenic for ultimate </w:t>
      </w:r>
      <w:r w:rsidR="005265FF" w:rsidRPr="001B7103">
        <w:rPr>
          <w:color w:val="auto"/>
        </w:rPr>
        <w:t>clinical use</w:t>
      </w:r>
      <w:r w:rsidR="00DF6788" w:rsidRPr="001B7103">
        <w:rPr>
          <w:color w:val="auto"/>
        </w:rPr>
        <w:t>, an Ad5 vector was chosen for this demonstration study</w:t>
      </w:r>
      <w:r w:rsidR="005265FF" w:rsidRPr="001B7103">
        <w:rPr>
          <w:color w:val="auto"/>
        </w:rPr>
        <w:t xml:space="preserve"> to assure efficient transduction</w:t>
      </w:r>
      <w:r w:rsidR="00DF6788" w:rsidRPr="001B7103">
        <w:rPr>
          <w:color w:val="auto"/>
        </w:rPr>
        <w:t>.</w:t>
      </w:r>
      <w:r w:rsidR="001B7103">
        <w:rPr>
          <w:color w:val="auto"/>
        </w:rPr>
        <w:t xml:space="preserve"> </w:t>
      </w:r>
      <w:r w:rsidR="00E65225" w:rsidRPr="001B7103">
        <w:rPr>
          <w:color w:val="auto"/>
        </w:rPr>
        <w:t xml:space="preserve">Evaluating </w:t>
      </w:r>
      <w:r w:rsidR="00612BC3" w:rsidRPr="001B7103">
        <w:rPr>
          <w:color w:val="auto"/>
        </w:rPr>
        <w:t>Enhanced Green Fl</w:t>
      </w:r>
      <w:r w:rsidR="005265FF" w:rsidRPr="001B7103">
        <w:rPr>
          <w:color w:val="auto"/>
        </w:rPr>
        <w:t>u</w:t>
      </w:r>
      <w:r w:rsidR="00612BC3" w:rsidRPr="001B7103">
        <w:rPr>
          <w:color w:val="auto"/>
        </w:rPr>
        <w:t>o</w:t>
      </w:r>
      <w:r w:rsidR="005265FF" w:rsidRPr="001B7103">
        <w:rPr>
          <w:color w:val="auto"/>
        </w:rPr>
        <w:t xml:space="preserve">rescent Protein (EGFP) production is a well-described method to demonstrate successful transcription </w:t>
      </w:r>
      <w:r w:rsidR="00202014" w:rsidRPr="001B7103">
        <w:rPr>
          <w:color w:val="auto"/>
        </w:rPr>
        <w:t xml:space="preserve">and translation </w:t>
      </w:r>
      <w:r w:rsidR="005265FF" w:rsidRPr="001B7103">
        <w:rPr>
          <w:color w:val="auto"/>
        </w:rPr>
        <w:t>of a vectored gene following transduction</w:t>
      </w:r>
      <w:r w:rsidR="005E1306">
        <w:rPr>
          <w:color w:val="auto"/>
        </w:rPr>
        <w:t xml:space="preserve"> </w:t>
      </w:r>
      <w:r w:rsidR="00E65225" w:rsidRPr="001B7103">
        <w:rPr>
          <w:color w:val="auto"/>
        </w:rPr>
        <w:t>and was done here.</w:t>
      </w:r>
      <w:r w:rsidR="001B7103">
        <w:rPr>
          <w:color w:val="auto"/>
        </w:rPr>
        <w:t xml:space="preserve"> </w:t>
      </w:r>
    </w:p>
    <w:p w14:paraId="43F342AC" w14:textId="77777777" w:rsidR="00D15131" w:rsidRPr="001B7103" w:rsidRDefault="00D15131" w:rsidP="005E1306">
      <w:pPr>
        <w:rPr>
          <w:color w:val="auto"/>
        </w:rPr>
      </w:pPr>
    </w:p>
    <w:p w14:paraId="66519813" w14:textId="22ABD275" w:rsidR="006305D7" w:rsidRDefault="006305D7" w:rsidP="005E1306">
      <w:r w:rsidRPr="001B7103">
        <w:rPr>
          <w:b/>
        </w:rPr>
        <w:t>PROTOCOL:</w:t>
      </w:r>
      <w:r w:rsidRPr="001B7103">
        <w:t xml:space="preserve"> </w:t>
      </w:r>
    </w:p>
    <w:p w14:paraId="34B593B1" w14:textId="77777777" w:rsidR="005E1306" w:rsidRPr="001B7103" w:rsidRDefault="005E1306" w:rsidP="005E1306">
      <w:pPr>
        <w:rPr>
          <w:color w:val="808080" w:themeColor="background1" w:themeShade="80"/>
        </w:rPr>
      </w:pPr>
    </w:p>
    <w:p w14:paraId="6343F7B4" w14:textId="77777777" w:rsidR="00F7081B" w:rsidRPr="001B7103" w:rsidRDefault="00F7081B" w:rsidP="005E1306">
      <w:pPr>
        <w:rPr>
          <w:color w:val="auto"/>
        </w:rPr>
      </w:pPr>
      <w:r w:rsidRPr="001B7103">
        <w:rPr>
          <w:color w:val="auto"/>
        </w:rPr>
        <w:t xml:space="preserve">All procedures were performed at Wake Forest School of Medicine Clarkson Campus for animal studies. The Institutional Animal Care and Use Committee (IACUC) was consulted for ethical considerations and details of the procedures was submitted for review. Wake Forest IACUC approved our study </w:t>
      </w:r>
      <w:proofErr w:type="gramStart"/>
      <w:r w:rsidRPr="001B7103">
        <w:rPr>
          <w:color w:val="auto"/>
        </w:rPr>
        <w:t>protocol</w:t>
      </w:r>
      <w:proofErr w:type="gramEnd"/>
      <w:r w:rsidRPr="001B7103">
        <w:rPr>
          <w:color w:val="auto"/>
        </w:rPr>
        <w:t xml:space="preserve"> and all procedures were done under IACUC approved protocol #A17-147</w:t>
      </w:r>
    </w:p>
    <w:p w14:paraId="49CDB123" w14:textId="0F33756C" w:rsidR="00F7081B" w:rsidRPr="001B7103" w:rsidRDefault="00F7081B" w:rsidP="005E1306">
      <w:pPr>
        <w:rPr>
          <w:color w:val="auto"/>
        </w:rPr>
      </w:pPr>
    </w:p>
    <w:p w14:paraId="73117463" w14:textId="001D01F7" w:rsidR="00F7081B" w:rsidRPr="005E1306" w:rsidRDefault="00F7081B" w:rsidP="005E1306">
      <w:pPr>
        <w:pStyle w:val="ListParagraph"/>
        <w:numPr>
          <w:ilvl w:val="0"/>
          <w:numId w:val="35"/>
        </w:numPr>
        <w:ind w:left="0" w:firstLine="0"/>
        <w:rPr>
          <w:b/>
          <w:color w:val="auto"/>
        </w:rPr>
      </w:pPr>
      <w:r w:rsidRPr="005E1306">
        <w:rPr>
          <w:b/>
          <w:color w:val="auto"/>
        </w:rPr>
        <w:t xml:space="preserve">Preparing </w:t>
      </w:r>
      <w:r w:rsidR="005E1306">
        <w:rPr>
          <w:b/>
          <w:color w:val="auto"/>
        </w:rPr>
        <w:t xml:space="preserve">the </w:t>
      </w:r>
      <w:r w:rsidRPr="005E1306">
        <w:rPr>
          <w:b/>
          <w:color w:val="auto"/>
        </w:rPr>
        <w:t>infusion device</w:t>
      </w:r>
    </w:p>
    <w:p w14:paraId="0B25B0EE" w14:textId="77777777" w:rsidR="005E1306" w:rsidRPr="005E1306" w:rsidRDefault="005E1306" w:rsidP="005E1306">
      <w:pPr>
        <w:pStyle w:val="ListParagraph"/>
        <w:ind w:left="0"/>
        <w:rPr>
          <w:color w:val="auto"/>
        </w:rPr>
      </w:pPr>
    </w:p>
    <w:p w14:paraId="7FAAF0A6" w14:textId="05AFEB81" w:rsidR="00F7081B" w:rsidRPr="005E1306" w:rsidRDefault="00F7081B" w:rsidP="005E1306">
      <w:pPr>
        <w:pStyle w:val="ListParagraph"/>
        <w:numPr>
          <w:ilvl w:val="1"/>
          <w:numId w:val="35"/>
        </w:numPr>
        <w:ind w:left="0" w:firstLine="0"/>
        <w:rPr>
          <w:color w:val="auto"/>
        </w:rPr>
      </w:pPr>
      <w:r w:rsidRPr="005E1306">
        <w:rPr>
          <w:color w:val="auto"/>
        </w:rPr>
        <w:t>Cut</w:t>
      </w:r>
      <w:r w:rsidR="00E65225" w:rsidRPr="005E1306">
        <w:rPr>
          <w:color w:val="auto"/>
        </w:rPr>
        <w:t xml:space="preserve"> size 10 Polyethylene Tube (PET</w:t>
      </w:r>
      <w:r w:rsidRPr="005E1306">
        <w:rPr>
          <w:color w:val="auto"/>
        </w:rPr>
        <w:t xml:space="preserve">10) into 25 cm </w:t>
      </w:r>
      <w:r w:rsidR="00CE58B4" w:rsidRPr="005E1306">
        <w:rPr>
          <w:color w:val="auto"/>
        </w:rPr>
        <w:t>lengths</w:t>
      </w:r>
      <w:r w:rsidR="007313B0" w:rsidRPr="005E1306">
        <w:rPr>
          <w:color w:val="auto"/>
        </w:rPr>
        <w:t xml:space="preserve"> using a pair of scissors</w:t>
      </w:r>
      <w:r w:rsidR="005E1306" w:rsidRPr="005E1306">
        <w:rPr>
          <w:color w:val="auto"/>
        </w:rPr>
        <w:t>.</w:t>
      </w:r>
    </w:p>
    <w:p w14:paraId="68F271EC" w14:textId="77777777" w:rsidR="005E1306" w:rsidRPr="005E1306" w:rsidRDefault="005E1306" w:rsidP="005E1306">
      <w:pPr>
        <w:pStyle w:val="ListParagraph"/>
        <w:ind w:left="0"/>
        <w:rPr>
          <w:color w:val="auto"/>
        </w:rPr>
      </w:pPr>
    </w:p>
    <w:p w14:paraId="5BDF05B7" w14:textId="1F3DEC61" w:rsidR="00F7081B" w:rsidRPr="005E1306" w:rsidRDefault="00F7081B" w:rsidP="005E1306">
      <w:pPr>
        <w:pStyle w:val="ListParagraph"/>
        <w:numPr>
          <w:ilvl w:val="1"/>
          <w:numId w:val="35"/>
        </w:numPr>
        <w:ind w:left="0" w:firstLine="0"/>
        <w:rPr>
          <w:color w:val="auto"/>
        </w:rPr>
      </w:pPr>
      <w:r w:rsidRPr="005E1306">
        <w:rPr>
          <w:color w:val="auto"/>
        </w:rPr>
        <w:t xml:space="preserve">Mark PET10 at 1 cm and 2 cm </w:t>
      </w:r>
      <w:r w:rsidR="00CE58B4" w:rsidRPr="005E1306">
        <w:rPr>
          <w:color w:val="auto"/>
        </w:rPr>
        <w:t xml:space="preserve">from one end </w:t>
      </w:r>
      <w:r w:rsidRPr="005E1306">
        <w:rPr>
          <w:color w:val="auto"/>
        </w:rPr>
        <w:t xml:space="preserve">using </w:t>
      </w:r>
      <w:r w:rsidR="00625954">
        <w:rPr>
          <w:color w:val="auto"/>
        </w:rPr>
        <w:t xml:space="preserve">a </w:t>
      </w:r>
      <w:r w:rsidRPr="005E1306">
        <w:rPr>
          <w:color w:val="auto"/>
        </w:rPr>
        <w:t>black marker</w:t>
      </w:r>
      <w:r w:rsidR="005E1306" w:rsidRPr="005E1306">
        <w:rPr>
          <w:color w:val="auto"/>
        </w:rPr>
        <w:t>.</w:t>
      </w:r>
    </w:p>
    <w:p w14:paraId="19AC7A14" w14:textId="77777777" w:rsidR="005E1306" w:rsidRPr="005E1306" w:rsidRDefault="005E1306" w:rsidP="005E1306">
      <w:pPr>
        <w:rPr>
          <w:color w:val="auto"/>
        </w:rPr>
      </w:pPr>
    </w:p>
    <w:p w14:paraId="6EDA9157" w14:textId="5BFAA29F" w:rsidR="005E1306" w:rsidRDefault="007D186B" w:rsidP="005E1306">
      <w:pPr>
        <w:pStyle w:val="ListParagraph"/>
        <w:numPr>
          <w:ilvl w:val="1"/>
          <w:numId w:val="35"/>
        </w:numPr>
        <w:ind w:left="0" w:firstLine="0"/>
        <w:rPr>
          <w:color w:val="auto"/>
        </w:rPr>
      </w:pPr>
      <w:r w:rsidRPr="005E1306">
        <w:rPr>
          <w:color w:val="auto"/>
        </w:rPr>
        <w:t>Prefill 0.5</w:t>
      </w:r>
      <w:r w:rsidR="001B7103" w:rsidRPr="005E1306">
        <w:rPr>
          <w:color w:val="auto"/>
        </w:rPr>
        <w:t xml:space="preserve"> mL</w:t>
      </w:r>
      <w:r w:rsidRPr="005E1306">
        <w:rPr>
          <w:color w:val="auto"/>
        </w:rPr>
        <w:t xml:space="preserve"> of Ad5-EGFP solution</w:t>
      </w:r>
      <w:r w:rsidR="00E1435B" w:rsidRPr="005E1306">
        <w:rPr>
          <w:color w:val="auto"/>
        </w:rPr>
        <w:t xml:space="preserve"> (10</w:t>
      </w:r>
      <w:r w:rsidR="00E1435B" w:rsidRPr="005E1306">
        <w:rPr>
          <w:color w:val="auto"/>
          <w:vertAlign w:val="superscript"/>
        </w:rPr>
        <w:t>9</w:t>
      </w:r>
      <w:r w:rsidR="00E1435B" w:rsidRPr="005E1306">
        <w:rPr>
          <w:color w:val="auto"/>
        </w:rPr>
        <w:t xml:space="preserve"> viral particles/mL)</w:t>
      </w:r>
      <w:r w:rsidRPr="005E1306">
        <w:rPr>
          <w:color w:val="auto"/>
        </w:rPr>
        <w:t xml:space="preserve"> into a 1</w:t>
      </w:r>
      <w:r w:rsidR="001B7103" w:rsidRPr="005E1306">
        <w:rPr>
          <w:color w:val="auto"/>
        </w:rPr>
        <w:t xml:space="preserve"> mL</w:t>
      </w:r>
      <w:r w:rsidRPr="005E1306">
        <w:rPr>
          <w:color w:val="auto"/>
        </w:rPr>
        <w:t xml:space="preserve"> (tuberculin) syringe</w:t>
      </w:r>
      <w:r w:rsidR="00DF6788" w:rsidRPr="005E1306">
        <w:rPr>
          <w:color w:val="auto"/>
        </w:rPr>
        <w:t>.</w:t>
      </w:r>
      <w:r w:rsidR="001B7103" w:rsidRPr="005E1306">
        <w:rPr>
          <w:color w:val="auto"/>
        </w:rPr>
        <w:t xml:space="preserve"> </w:t>
      </w:r>
    </w:p>
    <w:p w14:paraId="57415047" w14:textId="77777777" w:rsidR="005E1306" w:rsidRPr="005E1306" w:rsidRDefault="005E1306" w:rsidP="005E1306">
      <w:pPr>
        <w:rPr>
          <w:color w:val="auto"/>
        </w:rPr>
      </w:pPr>
    </w:p>
    <w:p w14:paraId="7A8DCC8E" w14:textId="67799E6A" w:rsidR="007D186B" w:rsidRPr="005E1306" w:rsidRDefault="00F7081B" w:rsidP="005E1306">
      <w:pPr>
        <w:pStyle w:val="ListParagraph"/>
        <w:numPr>
          <w:ilvl w:val="1"/>
          <w:numId w:val="35"/>
        </w:numPr>
        <w:ind w:left="0" w:firstLine="0"/>
        <w:rPr>
          <w:color w:val="auto"/>
        </w:rPr>
      </w:pPr>
      <w:r w:rsidRPr="005E1306">
        <w:rPr>
          <w:color w:val="auto"/>
        </w:rPr>
        <w:t>Slide non-marked end of PET10 tube over 29</w:t>
      </w:r>
      <w:r w:rsidR="005E1306">
        <w:rPr>
          <w:color w:val="auto"/>
        </w:rPr>
        <w:t>-</w:t>
      </w:r>
      <w:r w:rsidRPr="005E1306">
        <w:rPr>
          <w:color w:val="auto"/>
        </w:rPr>
        <w:t xml:space="preserve">31 </w:t>
      </w:r>
      <w:r w:rsidR="00BB0FD9">
        <w:rPr>
          <w:color w:val="auto"/>
        </w:rPr>
        <w:t>G</w:t>
      </w:r>
      <w:r w:rsidRPr="005E1306">
        <w:rPr>
          <w:color w:val="auto"/>
        </w:rPr>
        <w:t xml:space="preserve"> needle</w:t>
      </w:r>
      <w:r w:rsidR="00CE58B4" w:rsidRPr="005E1306">
        <w:rPr>
          <w:color w:val="auto"/>
        </w:rPr>
        <w:t xml:space="preserve"> attached to </w:t>
      </w:r>
      <w:r w:rsidR="00625954">
        <w:rPr>
          <w:color w:val="auto"/>
        </w:rPr>
        <w:t xml:space="preserve">a </w:t>
      </w:r>
      <w:r w:rsidR="00CE58B4" w:rsidRPr="005E1306">
        <w:rPr>
          <w:color w:val="auto"/>
        </w:rPr>
        <w:t>syringe.</w:t>
      </w:r>
      <w:r w:rsidR="001B7103" w:rsidRPr="005E1306">
        <w:rPr>
          <w:color w:val="auto"/>
        </w:rPr>
        <w:t xml:space="preserve"> </w:t>
      </w:r>
      <w:r w:rsidR="00CE58B4" w:rsidRPr="005E1306">
        <w:rPr>
          <w:color w:val="auto"/>
        </w:rPr>
        <w:t xml:space="preserve">It </w:t>
      </w:r>
      <w:r w:rsidR="00544E00" w:rsidRPr="005E1306">
        <w:rPr>
          <w:color w:val="auto"/>
        </w:rPr>
        <w:t>is</w:t>
      </w:r>
      <w:r w:rsidR="00CE58B4" w:rsidRPr="005E1306">
        <w:rPr>
          <w:color w:val="auto"/>
        </w:rPr>
        <w:t xml:space="preserve"> generally easier to perform this task under magnification.</w:t>
      </w:r>
    </w:p>
    <w:p w14:paraId="03AB1055" w14:textId="77777777" w:rsidR="005E1306" w:rsidRPr="005E1306" w:rsidRDefault="005E1306" w:rsidP="005E1306">
      <w:pPr>
        <w:rPr>
          <w:color w:val="auto"/>
        </w:rPr>
      </w:pPr>
    </w:p>
    <w:p w14:paraId="2CED6AD5" w14:textId="1352AC57" w:rsidR="007D186B" w:rsidRPr="005E1306" w:rsidRDefault="007D186B" w:rsidP="005E1306">
      <w:pPr>
        <w:pStyle w:val="ListParagraph"/>
        <w:numPr>
          <w:ilvl w:val="1"/>
          <w:numId w:val="35"/>
        </w:numPr>
        <w:ind w:left="0" w:firstLine="0"/>
        <w:rPr>
          <w:color w:val="auto"/>
        </w:rPr>
      </w:pPr>
      <w:r w:rsidRPr="005E1306">
        <w:rPr>
          <w:color w:val="auto"/>
        </w:rPr>
        <w:t xml:space="preserve">Infuse </w:t>
      </w:r>
      <w:r w:rsidR="00BB0FD9">
        <w:rPr>
          <w:color w:val="auto"/>
        </w:rPr>
        <w:t xml:space="preserve">the </w:t>
      </w:r>
      <w:r w:rsidRPr="005E1306">
        <w:rPr>
          <w:color w:val="auto"/>
        </w:rPr>
        <w:t>solution into the PET10 until tube is completely full (visible drop at free end).</w:t>
      </w:r>
    </w:p>
    <w:p w14:paraId="2B2841F9" w14:textId="77777777" w:rsidR="00692C72" w:rsidRPr="001B7103" w:rsidRDefault="00692C72" w:rsidP="005E1306">
      <w:pPr>
        <w:rPr>
          <w:color w:val="auto"/>
        </w:rPr>
      </w:pPr>
    </w:p>
    <w:p w14:paraId="09B3F8E2" w14:textId="4B6946F6" w:rsidR="005E1306" w:rsidRPr="005E1306" w:rsidRDefault="00F054A4" w:rsidP="005E1306">
      <w:pPr>
        <w:pStyle w:val="ListParagraph"/>
        <w:numPr>
          <w:ilvl w:val="0"/>
          <w:numId w:val="35"/>
        </w:numPr>
        <w:ind w:left="0" w:firstLine="0"/>
        <w:rPr>
          <w:color w:val="auto"/>
        </w:rPr>
      </w:pPr>
      <w:r w:rsidRPr="005E1306">
        <w:rPr>
          <w:b/>
          <w:color w:val="auto"/>
        </w:rPr>
        <w:t>Preparing the animal</w:t>
      </w:r>
    </w:p>
    <w:p w14:paraId="71F4454C" w14:textId="77777777" w:rsidR="005E1306" w:rsidRDefault="005E1306" w:rsidP="005E1306">
      <w:pPr>
        <w:rPr>
          <w:color w:val="auto"/>
        </w:rPr>
      </w:pPr>
    </w:p>
    <w:p w14:paraId="3ED5DEC0" w14:textId="3B30275D" w:rsidR="005E1306" w:rsidRDefault="005E1306" w:rsidP="005E1306">
      <w:pPr>
        <w:rPr>
          <w:color w:val="auto"/>
        </w:rPr>
      </w:pPr>
      <w:r>
        <w:rPr>
          <w:color w:val="auto"/>
        </w:rPr>
        <w:t xml:space="preserve">NOTE: </w:t>
      </w:r>
      <w:r w:rsidR="00F054A4" w:rsidRPr="005E1306">
        <w:rPr>
          <w:color w:val="auto"/>
        </w:rPr>
        <w:t>Cynomolgus macaques</w:t>
      </w:r>
      <w:r w:rsidR="00E65CD1" w:rsidRPr="005E1306">
        <w:rPr>
          <w:color w:val="auto"/>
        </w:rPr>
        <w:t xml:space="preserve"> were used for the video demonstration</w:t>
      </w:r>
      <w:r w:rsidR="00F054A4" w:rsidRPr="005E1306">
        <w:rPr>
          <w:color w:val="auto"/>
        </w:rPr>
        <w:t>.</w:t>
      </w:r>
      <w:r w:rsidR="001B7103" w:rsidRPr="005E1306">
        <w:rPr>
          <w:color w:val="auto"/>
        </w:rPr>
        <w:t xml:space="preserve"> </w:t>
      </w:r>
      <w:r w:rsidR="00F054A4" w:rsidRPr="005E1306">
        <w:rPr>
          <w:color w:val="auto"/>
        </w:rPr>
        <w:t>The anatomy of other non-human and human primates is very similar</w:t>
      </w:r>
      <w:r w:rsidR="00BB0FD9">
        <w:rPr>
          <w:color w:val="auto"/>
        </w:rPr>
        <w:t>,</w:t>
      </w:r>
      <w:r w:rsidR="00F054A4" w:rsidRPr="005E1306">
        <w:rPr>
          <w:color w:val="auto"/>
        </w:rPr>
        <w:t xml:space="preserve"> and the protocol should be translatable to other species.</w:t>
      </w:r>
      <w:r w:rsidR="001B7103" w:rsidRPr="005E1306">
        <w:rPr>
          <w:color w:val="auto"/>
        </w:rPr>
        <w:t xml:space="preserve"> </w:t>
      </w:r>
    </w:p>
    <w:p w14:paraId="5FB6DCA0" w14:textId="77777777" w:rsidR="005E1306" w:rsidRPr="005E1306" w:rsidRDefault="005E1306" w:rsidP="005E1306">
      <w:pPr>
        <w:rPr>
          <w:color w:val="auto"/>
        </w:rPr>
      </w:pPr>
    </w:p>
    <w:p w14:paraId="088FDB80" w14:textId="12345B26" w:rsidR="00F7081B" w:rsidRPr="005E1306" w:rsidRDefault="00F054A4" w:rsidP="005E1306">
      <w:pPr>
        <w:pStyle w:val="ListParagraph"/>
        <w:numPr>
          <w:ilvl w:val="1"/>
          <w:numId w:val="35"/>
        </w:numPr>
        <w:ind w:left="0" w:firstLine="0"/>
        <w:rPr>
          <w:color w:val="auto"/>
        </w:rPr>
      </w:pPr>
      <w:r w:rsidRPr="005E1306">
        <w:rPr>
          <w:color w:val="auto"/>
        </w:rPr>
        <w:t>Inject subcutaneously 0.05 mg/kg of atropine 15 min prior to</w:t>
      </w:r>
      <w:r w:rsidR="00625954">
        <w:rPr>
          <w:color w:val="auto"/>
        </w:rPr>
        <w:t xml:space="preserve"> the</w:t>
      </w:r>
      <w:r w:rsidRPr="005E1306">
        <w:rPr>
          <w:color w:val="auto"/>
        </w:rPr>
        <w:t xml:space="preserve"> procedure to minimize salivary secretions and optimize distribution and retention of the </w:t>
      </w:r>
      <w:proofErr w:type="spellStart"/>
      <w:r w:rsidRPr="005E1306">
        <w:rPr>
          <w:color w:val="auto"/>
        </w:rPr>
        <w:t>infusate</w:t>
      </w:r>
      <w:proofErr w:type="spellEnd"/>
      <w:r w:rsidRPr="005E1306">
        <w:rPr>
          <w:color w:val="auto"/>
        </w:rPr>
        <w:t>.</w:t>
      </w:r>
    </w:p>
    <w:p w14:paraId="3AE9B9EB" w14:textId="77777777" w:rsidR="005E1306" w:rsidRPr="005E1306" w:rsidRDefault="005E1306" w:rsidP="005E1306">
      <w:pPr>
        <w:pStyle w:val="ListParagraph"/>
        <w:ind w:left="0"/>
        <w:rPr>
          <w:color w:val="auto"/>
        </w:rPr>
      </w:pPr>
    </w:p>
    <w:p w14:paraId="11E47181" w14:textId="0966EDE6" w:rsidR="00F054A4" w:rsidRPr="001B7103" w:rsidRDefault="00F054A4" w:rsidP="005E1306">
      <w:pPr>
        <w:rPr>
          <w:color w:val="auto"/>
        </w:rPr>
      </w:pPr>
      <w:r w:rsidRPr="001B7103">
        <w:rPr>
          <w:color w:val="auto"/>
        </w:rPr>
        <w:t>2.2</w:t>
      </w:r>
      <w:r w:rsidRPr="001B7103">
        <w:rPr>
          <w:color w:val="auto"/>
        </w:rPr>
        <w:tab/>
      </w:r>
      <w:r w:rsidR="00E65CD1" w:rsidRPr="001B7103">
        <w:rPr>
          <w:color w:val="auto"/>
        </w:rPr>
        <w:t xml:space="preserve">Provide anesthesia </w:t>
      </w:r>
      <w:r w:rsidR="007313B0" w:rsidRPr="001B7103">
        <w:rPr>
          <w:color w:val="auto"/>
        </w:rPr>
        <w:t>using 5</w:t>
      </w:r>
      <w:r w:rsidR="005E1306">
        <w:rPr>
          <w:color w:val="auto"/>
        </w:rPr>
        <w:t xml:space="preserve"> </w:t>
      </w:r>
      <w:r w:rsidR="007313B0" w:rsidRPr="001B7103">
        <w:rPr>
          <w:color w:val="auto"/>
        </w:rPr>
        <w:t>m</w:t>
      </w:r>
      <w:r w:rsidR="005E1306">
        <w:rPr>
          <w:color w:val="auto"/>
        </w:rPr>
        <w:t>L</w:t>
      </w:r>
      <w:r w:rsidR="007313B0" w:rsidRPr="001B7103">
        <w:rPr>
          <w:color w:val="auto"/>
        </w:rPr>
        <w:t xml:space="preserve"> syringes with </w:t>
      </w:r>
      <w:r w:rsidRPr="001B7103">
        <w:rPr>
          <w:color w:val="auto"/>
        </w:rPr>
        <w:t>intramuscular ketamine/midazolam (10-15 mg/kg of ketamine and 0.01-0.05 mg/kg of midazolam)</w:t>
      </w:r>
      <w:r w:rsidR="00C844F4" w:rsidRPr="001B7103">
        <w:rPr>
          <w:color w:val="auto"/>
        </w:rPr>
        <w:t xml:space="preserve">. </w:t>
      </w:r>
      <w:r w:rsidR="005E1306">
        <w:rPr>
          <w:color w:val="auto"/>
        </w:rPr>
        <w:t>Confirm p</w:t>
      </w:r>
      <w:r w:rsidR="00C844F4" w:rsidRPr="001B7103">
        <w:rPr>
          <w:color w:val="auto"/>
        </w:rPr>
        <w:t xml:space="preserve">roper anesthesia when </w:t>
      </w:r>
      <w:r w:rsidR="005E1306">
        <w:rPr>
          <w:color w:val="auto"/>
        </w:rPr>
        <w:t xml:space="preserve">the </w:t>
      </w:r>
      <w:r w:rsidR="00C844F4" w:rsidRPr="001B7103">
        <w:rPr>
          <w:color w:val="auto"/>
        </w:rPr>
        <w:t>sedated animal becomes unconscious and is unable to react to stimuli.</w:t>
      </w:r>
    </w:p>
    <w:p w14:paraId="03E31797" w14:textId="77777777" w:rsidR="00E65CD1" w:rsidRPr="001B7103" w:rsidRDefault="00E65CD1" w:rsidP="005E1306">
      <w:pPr>
        <w:rPr>
          <w:color w:val="auto"/>
        </w:rPr>
      </w:pPr>
    </w:p>
    <w:p w14:paraId="3A0CB866" w14:textId="5C2AFA99" w:rsidR="005B5303" w:rsidRPr="005E1306" w:rsidRDefault="00E65CD1" w:rsidP="005E1306">
      <w:pPr>
        <w:pStyle w:val="ListParagraph"/>
        <w:numPr>
          <w:ilvl w:val="0"/>
          <w:numId w:val="35"/>
        </w:numPr>
        <w:ind w:left="0" w:firstLine="0"/>
        <w:rPr>
          <w:b/>
          <w:color w:val="auto"/>
        </w:rPr>
      </w:pPr>
      <w:r w:rsidRPr="005E1306">
        <w:rPr>
          <w:b/>
          <w:color w:val="auto"/>
        </w:rPr>
        <w:t>Performing the procedure</w:t>
      </w:r>
    </w:p>
    <w:p w14:paraId="38668FCA" w14:textId="77777777" w:rsidR="005E1306" w:rsidRPr="005E1306" w:rsidRDefault="005E1306" w:rsidP="005E1306">
      <w:pPr>
        <w:pStyle w:val="ListParagraph"/>
        <w:ind w:left="0"/>
        <w:rPr>
          <w:b/>
          <w:color w:val="auto"/>
        </w:rPr>
      </w:pPr>
    </w:p>
    <w:p w14:paraId="71F94C88" w14:textId="77777777" w:rsidR="005E1306" w:rsidRDefault="00E65CD1" w:rsidP="005E1306">
      <w:pPr>
        <w:rPr>
          <w:color w:val="auto"/>
        </w:rPr>
      </w:pPr>
      <w:r w:rsidRPr="001B7103">
        <w:rPr>
          <w:color w:val="auto"/>
        </w:rPr>
        <w:t xml:space="preserve">3. </w:t>
      </w:r>
      <w:r w:rsidR="00F7081B" w:rsidRPr="001B7103">
        <w:rPr>
          <w:color w:val="auto"/>
        </w:rPr>
        <w:t>1</w:t>
      </w:r>
      <w:r w:rsidR="00F7081B" w:rsidRPr="001B7103">
        <w:rPr>
          <w:color w:val="auto"/>
        </w:rPr>
        <w:tab/>
        <w:t>Use oral</w:t>
      </w:r>
      <w:r w:rsidRPr="001B7103">
        <w:rPr>
          <w:color w:val="auto"/>
        </w:rPr>
        <w:t xml:space="preserve"> retractors to brace open mouth.</w:t>
      </w:r>
      <w:r w:rsidR="001B7103">
        <w:rPr>
          <w:color w:val="auto"/>
        </w:rPr>
        <w:t xml:space="preserve"> </w:t>
      </w:r>
    </w:p>
    <w:p w14:paraId="4BA2FAA5" w14:textId="77777777" w:rsidR="005E1306" w:rsidRDefault="005E1306" w:rsidP="005E1306">
      <w:pPr>
        <w:rPr>
          <w:color w:val="auto"/>
        </w:rPr>
      </w:pPr>
    </w:p>
    <w:p w14:paraId="150AF1E8" w14:textId="6A00827E" w:rsidR="00F7081B" w:rsidRPr="005E1306" w:rsidRDefault="00E65CD1" w:rsidP="005E1306">
      <w:pPr>
        <w:pStyle w:val="ListParagraph"/>
        <w:numPr>
          <w:ilvl w:val="2"/>
          <w:numId w:val="35"/>
        </w:numPr>
        <w:ind w:left="0" w:firstLine="0"/>
        <w:rPr>
          <w:color w:val="auto"/>
        </w:rPr>
      </w:pPr>
      <w:r w:rsidRPr="005E1306">
        <w:rPr>
          <w:color w:val="auto"/>
        </w:rPr>
        <w:t xml:space="preserve">Place the rubber pad of one </w:t>
      </w:r>
      <w:r w:rsidR="00F7081B" w:rsidRPr="005E1306">
        <w:rPr>
          <w:color w:val="auto"/>
        </w:rPr>
        <w:t xml:space="preserve">end </w:t>
      </w:r>
      <w:r w:rsidRPr="005E1306">
        <w:rPr>
          <w:color w:val="auto"/>
        </w:rPr>
        <w:t xml:space="preserve">of the retractor </w:t>
      </w:r>
      <w:r w:rsidR="00F7081B" w:rsidRPr="005E1306">
        <w:rPr>
          <w:color w:val="auto"/>
        </w:rPr>
        <w:t xml:space="preserve">on </w:t>
      </w:r>
      <w:r w:rsidRPr="005E1306">
        <w:rPr>
          <w:color w:val="auto"/>
        </w:rPr>
        <w:t xml:space="preserve">the </w:t>
      </w:r>
      <w:r w:rsidR="00F7081B" w:rsidRPr="005E1306">
        <w:rPr>
          <w:color w:val="auto"/>
        </w:rPr>
        <w:t>hard palate</w:t>
      </w:r>
      <w:r w:rsidRPr="005E1306">
        <w:rPr>
          <w:color w:val="auto"/>
        </w:rPr>
        <w:t xml:space="preserve"> behind the upper teeth on the side of the mouth opposite to the gland that will be infused.</w:t>
      </w:r>
      <w:r w:rsidR="001B7103" w:rsidRPr="005E1306">
        <w:rPr>
          <w:color w:val="auto"/>
        </w:rPr>
        <w:t xml:space="preserve"> </w:t>
      </w:r>
      <w:r w:rsidRPr="005E1306">
        <w:rPr>
          <w:color w:val="auto"/>
        </w:rPr>
        <w:t>Place</w:t>
      </w:r>
      <w:r w:rsidR="00F7081B" w:rsidRPr="005E1306">
        <w:rPr>
          <w:color w:val="auto"/>
        </w:rPr>
        <w:t xml:space="preserve"> </w:t>
      </w:r>
      <w:r w:rsidRPr="005E1306">
        <w:rPr>
          <w:color w:val="auto"/>
        </w:rPr>
        <w:t>the rubber pad of the other</w:t>
      </w:r>
      <w:r w:rsidR="00F7081B" w:rsidRPr="005E1306">
        <w:rPr>
          <w:color w:val="auto"/>
        </w:rPr>
        <w:t xml:space="preserve"> end o</w:t>
      </w:r>
      <w:r w:rsidRPr="005E1306">
        <w:rPr>
          <w:color w:val="auto"/>
        </w:rPr>
        <w:t>n the</w:t>
      </w:r>
      <w:r w:rsidR="00F7081B" w:rsidRPr="005E1306">
        <w:rPr>
          <w:color w:val="auto"/>
        </w:rPr>
        <w:t xml:space="preserve"> lower canine</w:t>
      </w:r>
      <w:r w:rsidRPr="005E1306">
        <w:rPr>
          <w:color w:val="auto"/>
        </w:rPr>
        <w:t xml:space="preserve"> on the same side as upper retractor.</w:t>
      </w:r>
      <w:r w:rsidR="001B7103" w:rsidRPr="005E1306">
        <w:rPr>
          <w:color w:val="auto"/>
        </w:rPr>
        <w:t xml:space="preserve"> </w:t>
      </w:r>
      <w:r w:rsidRPr="005E1306">
        <w:rPr>
          <w:color w:val="auto"/>
        </w:rPr>
        <w:t>Gently allow the spring action of the retractor to expand and open the mouth.</w:t>
      </w:r>
      <w:r w:rsidR="001B7103" w:rsidRPr="005E1306">
        <w:rPr>
          <w:color w:val="auto"/>
        </w:rPr>
        <w:t xml:space="preserve"> </w:t>
      </w:r>
    </w:p>
    <w:p w14:paraId="5E687974" w14:textId="77777777" w:rsidR="005E1306" w:rsidRPr="001B7103" w:rsidRDefault="005E1306" w:rsidP="005E1306">
      <w:pPr>
        <w:rPr>
          <w:color w:val="auto"/>
        </w:rPr>
      </w:pPr>
    </w:p>
    <w:p w14:paraId="5FEF0461" w14:textId="4E864831" w:rsidR="00F7081B" w:rsidRPr="005E1306" w:rsidRDefault="00F7081B" w:rsidP="005E1306">
      <w:pPr>
        <w:pStyle w:val="ListParagraph"/>
        <w:numPr>
          <w:ilvl w:val="1"/>
          <w:numId w:val="35"/>
        </w:numPr>
        <w:ind w:left="0" w:firstLine="0"/>
        <w:rPr>
          <w:color w:val="auto"/>
        </w:rPr>
      </w:pPr>
      <w:r w:rsidRPr="005E1306">
        <w:rPr>
          <w:color w:val="auto"/>
        </w:rPr>
        <w:t xml:space="preserve">Identify </w:t>
      </w:r>
      <w:r w:rsidR="00333510" w:rsidRPr="005E1306">
        <w:rPr>
          <w:color w:val="auto"/>
        </w:rPr>
        <w:t>the parotid</w:t>
      </w:r>
      <w:r w:rsidRPr="005E1306">
        <w:rPr>
          <w:color w:val="auto"/>
        </w:rPr>
        <w:t xml:space="preserve"> papilla</w:t>
      </w:r>
      <w:r w:rsidR="00333510" w:rsidRPr="005E1306">
        <w:rPr>
          <w:color w:val="auto"/>
        </w:rPr>
        <w:t>, the opening of Stensen’s Duct,</w:t>
      </w:r>
      <w:r w:rsidRPr="005E1306">
        <w:rPr>
          <w:color w:val="auto"/>
        </w:rPr>
        <w:t xml:space="preserve"> on </w:t>
      </w:r>
      <w:r w:rsidR="00333510" w:rsidRPr="005E1306">
        <w:rPr>
          <w:color w:val="auto"/>
        </w:rPr>
        <w:t xml:space="preserve">the </w:t>
      </w:r>
      <w:r w:rsidRPr="005E1306">
        <w:rPr>
          <w:color w:val="auto"/>
        </w:rPr>
        <w:t xml:space="preserve">posterior cheek, adjacent to </w:t>
      </w:r>
      <w:r w:rsidR="00333510" w:rsidRPr="005E1306">
        <w:rPr>
          <w:color w:val="auto"/>
        </w:rPr>
        <w:t xml:space="preserve">the </w:t>
      </w:r>
      <w:r w:rsidR="00810B0C" w:rsidRPr="005E1306">
        <w:rPr>
          <w:color w:val="auto"/>
        </w:rPr>
        <w:t>upper 2</w:t>
      </w:r>
      <w:r w:rsidR="00810B0C" w:rsidRPr="005E1306">
        <w:rPr>
          <w:color w:val="auto"/>
          <w:vertAlign w:val="superscript"/>
        </w:rPr>
        <w:t>nd</w:t>
      </w:r>
      <w:r w:rsidR="00810B0C" w:rsidRPr="005E1306">
        <w:rPr>
          <w:color w:val="auto"/>
        </w:rPr>
        <w:t xml:space="preserve"> </w:t>
      </w:r>
      <w:r w:rsidRPr="005E1306">
        <w:rPr>
          <w:color w:val="auto"/>
        </w:rPr>
        <w:t>molar</w:t>
      </w:r>
      <w:r w:rsidR="00333510" w:rsidRPr="005E1306">
        <w:rPr>
          <w:color w:val="auto"/>
        </w:rPr>
        <w:t>.</w:t>
      </w:r>
      <w:r w:rsidR="001B7103" w:rsidRPr="005E1306">
        <w:rPr>
          <w:color w:val="auto"/>
        </w:rPr>
        <w:t xml:space="preserve"> </w:t>
      </w:r>
      <w:r w:rsidR="00333510" w:rsidRPr="005E1306">
        <w:rPr>
          <w:color w:val="auto"/>
        </w:rPr>
        <w:t xml:space="preserve">This is </w:t>
      </w:r>
      <w:r w:rsidRPr="005E1306">
        <w:rPr>
          <w:color w:val="auto"/>
        </w:rPr>
        <w:t>best visualized using dental loops for magnification</w:t>
      </w:r>
      <w:r w:rsidR="00333510" w:rsidRPr="005E1306">
        <w:rPr>
          <w:color w:val="auto"/>
        </w:rPr>
        <w:t>.</w:t>
      </w:r>
      <w:r w:rsidR="001B7103" w:rsidRPr="005E1306">
        <w:rPr>
          <w:color w:val="auto"/>
        </w:rPr>
        <w:t xml:space="preserve"> </w:t>
      </w:r>
    </w:p>
    <w:p w14:paraId="69C22B9F" w14:textId="77777777" w:rsidR="005E1306" w:rsidRPr="005E1306" w:rsidRDefault="005E1306" w:rsidP="005E1306">
      <w:pPr>
        <w:pStyle w:val="ListParagraph"/>
        <w:ind w:left="0"/>
        <w:rPr>
          <w:color w:val="auto"/>
        </w:rPr>
      </w:pPr>
    </w:p>
    <w:p w14:paraId="6F87F8CB" w14:textId="66A15450" w:rsidR="00F7081B" w:rsidRPr="005E1306" w:rsidRDefault="00333510" w:rsidP="005E1306">
      <w:pPr>
        <w:pStyle w:val="ListParagraph"/>
        <w:numPr>
          <w:ilvl w:val="1"/>
          <w:numId w:val="35"/>
        </w:numPr>
        <w:ind w:left="0" w:firstLine="0"/>
        <w:rPr>
          <w:color w:val="auto"/>
        </w:rPr>
      </w:pPr>
      <w:r w:rsidRPr="005E1306">
        <w:rPr>
          <w:color w:val="auto"/>
        </w:rPr>
        <w:t>G</w:t>
      </w:r>
      <w:r w:rsidR="00F7081B" w:rsidRPr="005E1306">
        <w:rPr>
          <w:color w:val="auto"/>
        </w:rPr>
        <w:t xml:space="preserve">ently dilate </w:t>
      </w:r>
      <w:r w:rsidRPr="005E1306">
        <w:rPr>
          <w:color w:val="auto"/>
        </w:rPr>
        <w:t xml:space="preserve">the parotid </w:t>
      </w:r>
      <w:r w:rsidR="00F7081B" w:rsidRPr="005E1306">
        <w:rPr>
          <w:color w:val="auto"/>
        </w:rPr>
        <w:t>papilla</w:t>
      </w:r>
      <w:r w:rsidRPr="005E1306">
        <w:rPr>
          <w:color w:val="auto"/>
        </w:rPr>
        <w:t xml:space="preserve"> with the point of the conical dilator.</w:t>
      </w:r>
      <w:r w:rsidR="001B7103" w:rsidRPr="005E1306">
        <w:rPr>
          <w:color w:val="auto"/>
        </w:rPr>
        <w:t xml:space="preserve"> </w:t>
      </w:r>
      <w:r w:rsidRPr="005E1306">
        <w:rPr>
          <w:color w:val="auto"/>
        </w:rPr>
        <w:t xml:space="preserve">It is best to </w:t>
      </w:r>
      <w:r w:rsidR="00913BBE" w:rsidRPr="005E1306">
        <w:rPr>
          <w:color w:val="auto"/>
        </w:rPr>
        <w:t>place the</w:t>
      </w:r>
      <w:r w:rsidRPr="005E1306">
        <w:rPr>
          <w:color w:val="auto"/>
        </w:rPr>
        <w:t xml:space="preserve"> point of the dilator into the center or opening of the papilla and then gently </w:t>
      </w:r>
      <w:r w:rsidR="009A33F3" w:rsidRPr="005E1306">
        <w:rPr>
          <w:color w:val="auto"/>
        </w:rPr>
        <w:t>rotate</w:t>
      </w:r>
      <w:r w:rsidRPr="005E1306">
        <w:rPr>
          <w:color w:val="auto"/>
        </w:rPr>
        <w:t xml:space="preserve"> </w:t>
      </w:r>
      <w:r w:rsidR="00913BBE" w:rsidRPr="005E1306">
        <w:rPr>
          <w:color w:val="auto"/>
        </w:rPr>
        <w:t xml:space="preserve">it </w:t>
      </w:r>
      <w:r w:rsidRPr="005E1306">
        <w:rPr>
          <w:color w:val="auto"/>
        </w:rPr>
        <w:t>back and forth</w:t>
      </w:r>
      <w:r w:rsidR="00913BBE" w:rsidRPr="005E1306">
        <w:rPr>
          <w:color w:val="auto"/>
        </w:rPr>
        <w:t>.</w:t>
      </w:r>
      <w:r w:rsidR="001B7103" w:rsidRPr="005E1306">
        <w:rPr>
          <w:color w:val="auto"/>
        </w:rPr>
        <w:t xml:space="preserve"> </w:t>
      </w:r>
      <w:r w:rsidR="00913BBE" w:rsidRPr="005E1306">
        <w:rPr>
          <w:color w:val="auto"/>
        </w:rPr>
        <w:t>The point should slowly enter the papilla and dilate it</w:t>
      </w:r>
      <w:r w:rsidR="002C29A3" w:rsidRPr="005E1306">
        <w:rPr>
          <w:color w:val="auto"/>
        </w:rPr>
        <w:t xml:space="preserve"> over approximately 20 – </w:t>
      </w:r>
      <w:r w:rsidR="00BC3182" w:rsidRPr="005E1306">
        <w:rPr>
          <w:color w:val="auto"/>
        </w:rPr>
        <w:t>3</w:t>
      </w:r>
      <w:r w:rsidR="002C29A3" w:rsidRPr="005E1306">
        <w:rPr>
          <w:color w:val="auto"/>
        </w:rPr>
        <w:t>0 s of gentle rotating</w:t>
      </w:r>
      <w:r w:rsidR="00913BBE" w:rsidRPr="005E1306">
        <w:rPr>
          <w:color w:val="auto"/>
        </w:rPr>
        <w:t>.</w:t>
      </w:r>
      <w:r w:rsidR="001B7103" w:rsidRPr="005E1306">
        <w:rPr>
          <w:color w:val="auto"/>
        </w:rPr>
        <w:t xml:space="preserve"> </w:t>
      </w:r>
    </w:p>
    <w:p w14:paraId="223BC6BA" w14:textId="77777777" w:rsidR="005E1306" w:rsidRPr="005E1306" w:rsidRDefault="005E1306" w:rsidP="005E1306">
      <w:pPr>
        <w:rPr>
          <w:color w:val="auto"/>
        </w:rPr>
      </w:pPr>
    </w:p>
    <w:p w14:paraId="7B145CC5" w14:textId="77777777" w:rsidR="005E1306" w:rsidRDefault="00913BBE" w:rsidP="005E1306">
      <w:pPr>
        <w:pStyle w:val="ListParagraph"/>
        <w:numPr>
          <w:ilvl w:val="1"/>
          <w:numId w:val="35"/>
        </w:numPr>
        <w:ind w:left="0" w:firstLine="0"/>
        <w:rPr>
          <w:color w:val="auto"/>
        </w:rPr>
      </w:pPr>
      <w:r w:rsidRPr="005E1306">
        <w:rPr>
          <w:color w:val="auto"/>
        </w:rPr>
        <w:lastRenderedPageBreak/>
        <w:t>Insert the PET10 tubing into the dilated parotid papilla.</w:t>
      </w:r>
      <w:r w:rsidR="001B7103" w:rsidRPr="005E1306">
        <w:rPr>
          <w:color w:val="auto"/>
        </w:rPr>
        <w:t xml:space="preserve"> </w:t>
      </w:r>
      <w:r w:rsidRPr="005E1306">
        <w:rPr>
          <w:color w:val="auto"/>
        </w:rPr>
        <w:t>This is best achieved by h</w:t>
      </w:r>
      <w:r w:rsidR="00F7081B" w:rsidRPr="005E1306">
        <w:rPr>
          <w:color w:val="auto"/>
        </w:rPr>
        <w:t>old</w:t>
      </w:r>
      <w:r w:rsidRPr="005E1306">
        <w:rPr>
          <w:color w:val="auto"/>
        </w:rPr>
        <w:t>ing</w:t>
      </w:r>
      <w:r w:rsidR="00F7081B" w:rsidRPr="005E1306">
        <w:rPr>
          <w:color w:val="auto"/>
        </w:rPr>
        <w:t xml:space="preserve"> the marked end of</w:t>
      </w:r>
      <w:r w:rsidRPr="005E1306">
        <w:rPr>
          <w:color w:val="auto"/>
        </w:rPr>
        <w:t xml:space="preserve"> the</w:t>
      </w:r>
      <w:r w:rsidR="00F7081B" w:rsidRPr="005E1306">
        <w:rPr>
          <w:color w:val="auto"/>
        </w:rPr>
        <w:t xml:space="preserve"> PET</w:t>
      </w:r>
      <w:r w:rsidRPr="005E1306">
        <w:rPr>
          <w:color w:val="auto"/>
        </w:rPr>
        <w:t>10 tube</w:t>
      </w:r>
      <w:r w:rsidR="00F7081B" w:rsidRPr="005E1306">
        <w:rPr>
          <w:color w:val="auto"/>
        </w:rPr>
        <w:t xml:space="preserve"> with tweezers</w:t>
      </w:r>
      <w:r w:rsidRPr="005E1306">
        <w:rPr>
          <w:color w:val="auto"/>
        </w:rPr>
        <w:t xml:space="preserve"> approximately 0.5 cm from the distal end and gently inserting the tip of the tube into the dilated papilla.</w:t>
      </w:r>
    </w:p>
    <w:p w14:paraId="73A29A6F" w14:textId="77777777" w:rsidR="005E1306" w:rsidRPr="005E1306" w:rsidRDefault="005E1306" w:rsidP="005E1306">
      <w:pPr>
        <w:pStyle w:val="ListParagraph"/>
        <w:ind w:left="0"/>
        <w:rPr>
          <w:color w:val="auto"/>
        </w:rPr>
      </w:pPr>
    </w:p>
    <w:p w14:paraId="4E6071BE" w14:textId="7E3C82B2" w:rsidR="00F7081B" w:rsidRPr="005E1306" w:rsidRDefault="001B7103" w:rsidP="005E1306">
      <w:pPr>
        <w:pStyle w:val="ListParagraph"/>
        <w:numPr>
          <w:ilvl w:val="2"/>
          <w:numId w:val="35"/>
        </w:numPr>
        <w:ind w:left="0" w:firstLine="0"/>
        <w:rPr>
          <w:color w:val="auto"/>
        </w:rPr>
      </w:pPr>
      <w:r w:rsidRPr="005E1306">
        <w:rPr>
          <w:color w:val="auto"/>
        </w:rPr>
        <w:t xml:space="preserve"> </w:t>
      </w:r>
      <w:r w:rsidR="005E1306">
        <w:rPr>
          <w:color w:val="auto"/>
        </w:rPr>
        <w:t>Gently advance the</w:t>
      </w:r>
      <w:r w:rsidR="00913BBE" w:rsidRPr="005E1306">
        <w:rPr>
          <w:color w:val="auto"/>
        </w:rPr>
        <w:t xml:space="preserve"> tube</w:t>
      </w:r>
      <w:r w:rsidR="005E1306">
        <w:rPr>
          <w:color w:val="auto"/>
        </w:rPr>
        <w:t>,</w:t>
      </w:r>
      <w:r w:rsidR="00913BBE" w:rsidRPr="005E1306">
        <w:rPr>
          <w:color w:val="auto"/>
        </w:rPr>
        <w:t xml:space="preserve"> which is often facilitated by small rotating movements to help the tube slide, followed by readjustment of the</w:t>
      </w:r>
      <w:r w:rsidR="002069C7" w:rsidRPr="005E1306">
        <w:rPr>
          <w:color w:val="auto"/>
        </w:rPr>
        <w:t xml:space="preserve"> tweezers 0.5 cm proximal to the previous grip. </w:t>
      </w:r>
      <w:r w:rsidR="005E1306">
        <w:rPr>
          <w:color w:val="auto"/>
        </w:rPr>
        <w:t>Repeat this u</w:t>
      </w:r>
      <w:r w:rsidR="002069C7" w:rsidRPr="005E1306">
        <w:rPr>
          <w:color w:val="auto"/>
        </w:rPr>
        <w:t>ntil the 2 cm mark reaches the parotid papilla.</w:t>
      </w:r>
    </w:p>
    <w:p w14:paraId="5987D133" w14:textId="77777777" w:rsidR="005E1306" w:rsidRPr="005E1306" w:rsidRDefault="005E1306" w:rsidP="005E1306">
      <w:pPr>
        <w:rPr>
          <w:color w:val="auto"/>
        </w:rPr>
      </w:pPr>
    </w:p>
    <w:p w14:paraId="64F85260" w14:textId="6ADDB053" w:rsidR="00F7081B" w:rsidRPr="005E1306" w:rsidRDefault="00F7081B" w:rsidP="005E1306">
      <w:pPr>
        <w:pStyle w:val="ListParagraph"/>
        <w:numPr>
          <w:ilvl w:val="1"/>
          <w:numId w:val="35"/>
        </w:numPr>
        <w:ind w:left="0" w:firstLine="0"/>
        <w:rPr>
          <w:color w:val="auto"/>
        </w:rPr>
      </w:pPr>
      <w:r w:rsidRPr="005E1306">
        <w:rPr>
          <w:color w:val="auto"/>
        </w:rPr>
        <w:t>Apply cyanoacrylate on the cheek around the papilla and the inserted tube</w:t>
      </w:r>
      <w:r w:rsidR="002069C7" w:rsidRPr="005E1306">
        <w:rPr>
          <w:color w:val="auto"/>
        </w:rPr>
        <w:t xml:space="preserve"> and wait for it to dry</w:t>
      </w:r>
      <w:r w:rsidR="00E1435B" w:rsidRPr="005E1306">
        <w:rPr>
          <w:color w:val="auto"/>
        </w:rPr>
        <w:t xml:space="preserve"> </w:t>
      </w:r>
      <w:r w:rsidR="00C844F4" w:rsidRPr="005E1306">
        <w:rPr>
          <w:color w:val="auto"/>
        </w:rPr>
        <w:t>(no specific amount recorded, just enough to seal the entrance of Stensen’s duct papilla)</w:t>
      </w:r>
      <w:r w:rsidR="002069C7" w:rsidRPr="005E1306">
        <w:rPr>
          <w:color w:val="auto"/>
        </w:rPr>
        <w:t>. This typically takes less than a minute and helps seal the parotid papilla and reduce spillage of infusate back in the oral cavity.</w:t>
      </w:r>
    </w:p>
    <w:p w14:paraId="5285FF7B" w14:textId="77777777" w:rsidR="005E1306" w:rsidRPr="005E1306" w:rsidRDefault="005E1306" w:rsidP="005E1306">
      <w:pPr>
        <w:pStyle w:val="ListParagraph"/>
        <w:ind w:left="0"/>
        <w:rPr>
          <w:color w:val="auto"/>
        </w:rPr>
      </w:pPr>
    </w:p>
    <w:p w14:paraId="257D0A3D" w14:textId="5F208A6C" w:rsidR="00F7081B" w:rsidRPr="005E1306" w:rsidRDefault="00F7081B" w:rsidP="005E1306">
      <w:pPr>
        <w:pStyle w:val="ListParagraph"/>
        <w:numPr>
          <w:ilvl w:val="1"/>
          <w:numId w:val="35"/>
        </w:numPr>
        <w:ind w:left="0" w:firstLine="0"/>
        <w:rPr>
          <w:color w:val="auto"/>
        </w:rPr>
      </w:pPr>
      <w:r w:rsidRPr="005E1306">
        <w:rPr>
          <w:color w:val="auto"/>
        </w:rPr>
        <w:t xml:space="preserve">Slowly push </w:t>
      </w:r>
      <w:r w:rsidR="005E1306">
        <w:rPr>
          <w:color w:val="auto"/>
        </w:rPr>
        <w:t xml:space="preserve">the </w:t>
      </w:r>
      <w:r w:rsidRPr="005E1306">
        <w:rPr>
          <w:color w:val="auto"/>
        </w:rPr>
        <w:t>syringe content over 5 min</w:t>
      </w:r>
      <w:r w:rsidR="00915C21" w:rsidRPr="005E1306">
        <w:rPr>
          <w:color w:val="auto"/>
        </w:rPr>
        <w:t xml:space="preserve"> at a rate of 100 </w:t>
      </w:r>
      <w:r w:rsidR="005E1306">
        <w:rPr>
          <w:color w:val="auto"/>
        </w:rPr>
        <w:t>µL</w:t>
      </w:r>
      <w:r w:rsidR="00915C21" w:rsidRPr="005E1306">
        <w:rPr>
          <w:color w:val="auto"/>
        </w:rPr>
        <w:t>/min.</w:t>
      </w:r>
      <w:r w:rsidR="00D30A53" w:rsidRPr="005E1306">
        <w:rPr>
          <w:color w:val="auto"/>
        </w:rPr>
        <w:t xml:space="preserve"> This slow infusion rate minimizes risk of duct injury due to sudden increase in intra-ductal pressure.</w:t>
      </w:r>
    </w:p>
    <w:p w14:paraId="5C1E1278" w14:textId="77777777" w:rsidR="005E1306" w:rsidRPr="005E1306" w:rsidRDefault="005E1306" w:rsidP="005E1306">
      <w:pPr>
        <w:rPr>
          <w:color w:val="auto"/>
        </w:rPr>
      </w:pPr>
    </w:p>
    <w:p w14:paraId="48FE8613" w14:textId="7550439F" w:rsidR="00F7081B" w:rsidRPr="005E1306" w:rsidRDefault="00D94D81" w:rsidP="005E1306">
      <w:pPr>
        <w:pStyle w:val="ListParagraph"/>
        <w:numPr>
          <w:ilvl w:val="1"/>
          <w:numId w:val="35"/>
        </w:numPr>
        <w:ind w:left="0" w:firstLine="0"/>
        <w:rPr>
          <w:color w:val="auto"/>
        </w:rPr>
      </w:pPr>
      <w:r w:rsidRPr="005E1306">
        <w:rPr>
          <w:color w:val="auto"/>
        </w:rPr>
        <w:t>L</w:t>
      </w:r>
      <w:r w:rsidR="00F7081B" w:rsidRPr="005E1306">
        <w:rPr>
          <w:color w:val="auto"/>
        </w:rPr>
        <w:t xml:space="preserve">eave PET10 in place for </w:t>
      </w:r>
      <w:r w:rsidR="00915C21" w:rsidRPr="005E1306">
        <w:rPr>
          <w:color w:val="auto"/>
        </w:rPr>
        <w:t>at least 5</w:t>
      </w:r>
      <w:r w:rsidR="00F7081B" w:rsidRPr="005E1306">
        <w:rPr>
          <w:color w:val="auto"/>
        </w:rPr>
        <w:t xml:space="preserve"> min</w:t>
      </w:r>
      <w:r w:rsidRPr="005E1306">
        <w:rPr>
          <w:color w:val="auto"/>
        </w:rPr>
        <w:t xml:space="preserve"> after infusion is complete.</w:t>
      </w:r>
      <w:r w:rsidR="001B7103" w:rsidRPr="005E1306">
        <w:rPr>
          <w:color w:val="auto"/>
        </w:rPr>
        <w:t xml:space="preserve"> </w:t>
      </w:r>
      <w:r w:rsidRPr="005E1306">
        <w:rPr>
          <w:color w:val="auto"/>
        </w:rPr>
        <w:t>K</w:t>
      </w:r>
      <w:r w:rsidR="00D30A53" w:rsidRPr="005E1306">
        <w:rPr>
          <w:color w:val="auto"/>
        </w:rPr>
        <w:t>eep</w:t>
      </w:r>
      <w:r w:rsidRPr="005E1306">
        <w:rPr>
          <w:color w:val="auto"/>
        </w:rPr>
        <w:t xml:space="preserve"> the duct sealed and allow </w:t>
      </w:r>
      <w:r w:rsidR="00D30A53" w:rsidRPr="005E1306">
        <w:rPr>
          <w:color w:val="auto"/>
        </w:rPr>
        <w:t>the infusate to remain in the parotid gland.</w:t>
      </w:r>
    </w:p>
    <w:p w14:paraId="04E068D6" w14:textId="77777777" w:rsidR="005E1306" w:rsidRPr="005E1306" w:rsidRDefault="005E1306" w:rsidP="005E1306">
      <w:pPr>
        <w:rPr>
          <w:color w:val="auto"/>
        </w:rPr>
      </w:pPr>
    </w:p>
    <w:p w14:paraId="676A5E6B" w14:textId="23AD4B06" w:rsidR="00F7081B" w:rsidRPr="005E1306" w:rsidRDefault="00F7081B" w:rsidP="005E1306">
      <w:pPr>
        <w:pStyle w:val="ListParagraph"/>
        <w:numPr>
          <w:ilvl w:val="1"/>
          <w:numId w:val="35"/>
        </w:numPr>
        <w:ind w:left="0" w:firstLine="0"/>
        <w:rPr>
          <w:color w:val="auto"/>
        </w:rPr>
      </w:pPr>
      <w:r w:rsidRPr="005E1306">
        <w:rPr>
          <w:color w:val="auto"/>
        </w:rPr>
        <w:t>Remove PET10 with gentle traction</w:t>
      </w:r>
      <w:r w:rsidR="001E3B55" w:rsidRPr="005E1306">
        <w:rPr>
          <w:color w:val="auto"/>
        </w:rPr>
        <w:t>.</w:t>
      </w:r>
      <w:r w:rsidR="001B7103" w:rsidRPr="005E1306">
        <w:rPr>
          <w:color w:val="auto"/>
        </w:rPr>
        <w:t xml:space="preserve"> </w:t>
      </w:r>
      <w:r w:rsidR="00D94D81" w:rsidRPr="005E1306">
        <w:rPr>
          <w:color w:val="auto"/>
        </w:rPr>
        <w:t>The cyanoacrylate will pull free with the tube.</w:t>
      </w:r>
      <w:r w:rsidR="001B7103" w:rsidRPr="005E1306">
        <w:rPr>
          <w:color w:val="auto"/>
        </w:rPr>
        <w:t xml:space="preserve"> </w:t>
      </w:r>
    </w:p>
    <w:p w14:paraId="2840FCDB" w14:textId="77777777" w:rsidR="005E1306" w:rsidRPr="005E1306" w:rsidRDefault="005E1306" w:rsidP="005E1306">
      <w:pPr>
        <w:rPr>
          <w:color w:val="auto"/>
        </w:rPr>
      </w:pPr>
    </w:p>
    <w:p w14:paraId="76B50EB4" w14:textId="07BD3083" w:rsidR="001E3B55" w:rsidRPr="005E1306" w:rsidRDefault="001E3B55" w:rsidP="005E1306">
      <w:pPr>
        <w:pStyle w:val="ListParagraph"/>
        <w:numPr>
          <w:ilvl w:val="1"/>
          <w:numId w:val="35"/>
        </w:numPr>
        <w:ind w:left="0" w:firstLine="0"/>
        <w:rPr>
          <w:color w:val="auto"/>
        </w:rPr>
      </w:pPr>
      <w:r w:rsidRPr="005E1306">
        <w:rPr>
          <w:color w:val="auto"/>
        </w:rPr>
        <w:t>Repeat step</w:t>
      </w:r>
      <w:r w:rsidR="005E1306">
        <w:rPr>
          <w:color w:val="auto"/>
        </w:rPr>
        <w:t>s</w:t>
      </w:r>
      <w:r w:rsidRPr="005E1306">
        <w:rPr>
          <w:color w:val="auto"/>
        </w:rPr>
        <w:t xml:space="preserve"> 3.2 through 3.8 on the opposite side</w:t>
      </w:r>
      <w:r w:rsidR="005E1306">
        <w:rPr>
          <w:color w:val="auto"/>
        </w:rPr>
        <w:t>.</w:t>
      </w:r>
    </w:p>
    <w:p w14:paraId="4475002A" w14:textId="77777777" w:rsidR="005E1306" w:rsidRPr="005E1306" w:rsidRDefault="005E1306" w:rsidP="005E1306">
      <w:pPr>
        <w:rPr>
          <w:color w:val="auto"/>
        </w:rPr>
      </w:pPr>
    </w:p>
    <w:p w14:paraId="1B01F572" w14:textId="32777722" w:rsidR="00F7081B" w:rsidRPr="005E1306" w:rsidRDefault="00F7081B" w:rsidP="005E1306">
      <w:pPr>
        <w:pStyle w:val="ListParagraph"/>
        <w:numPr>
          <w:ilvl w:val="1"/>
          <w:numId w:val="35"/>
        </w:numPr>
        <w:ind w:left="0" w:firstLine="0"/>
        <w:rPr>
          <w:color w:val="auto"/>
        </w:rPr>
      </w:pPr>
      <w:r w:rsidRPr="005E1306">
        <w:rPr>
          <w:color w:val="auto"/>
        </w:rPr>
        <w:t>Slowly release oral retractors</w:t>
      </w:r>
      <w:r w:rsidR="001E3B55" w:rsidRPr="005E1306">
        <w:rPr>
          <w:color w:val="auto"/>
        </w:rPr>
        <w:t xml:space="preserve"> after both parotids have been infused and both PET10 tubes removed</w:t>
      </w:r>
      <w:r w:rsidR="005E1306">
        <w:rPr>
          <w:color w:val="auto"/>
        </w:rPr>
        <w:t>.</w:t>
      </w:r>
    </w:p>
    <w:p w14:paraId="610AF4DF" w14:textId="77777777" w:rsidR="005E1306" w:rsidRPr="005E1306" w:rsidRDefault="005E1306" w:rsidP="005E1306">
      <w:pPr>
        <w:rPr>
          <w:color w:val="auto"/>
        </w:rPr>
      </w:pPr>
    </w:p>
    <w:p w14:paraId="3531D92D" w14:textId="436F9284" w:rsidR="009A33F3" w:rsidRPr="005E1306" w:rsidRDefault="005E1306" w:rsidP="005E1306">
      <w:pPr>
        <w:rPr>
          <w:color w:val="auto"/>
        </w:rPr>
      </w:pPr>
      <w:r>
        <w:rPr>
          <w:color w:val="auto"/>
        </w:rPr>
        <w:t xml:space="preserve">NOTE: </w:t>
      </w:r>
      <w:r w:rsidR="009A33F3" w:rsidRPr="005E1306">
        <w:rPr>
          <w:color w:val="auto"/>
        </w:rPr>
        <w:t xml:space="preserve">The whole procedure for both sides should take </w:t>
      </w:r>
      <w:r w:rsidR="00771B6C" w:rsidRPr="005E1306">
        <w:rPr>
          <w:color w:val="auto"/>
        </w:rPr>
        <w:t>less than 30</w:t>
      </w:r>
      <w:r w:rsidR="00915C21" w:rsidRPr="005E1306">
        <w:rPr>
          <w:color w:val="auto"/>
        </w:rPr>
        <w:t xml:space="preserve"> min.</w:t>
      </w:r>
    </w:p>
    <w:p w14:paraId="5465671E" w14:textId="77777777" w:rsidR="005B5303" w:rsidRPr="001B7103" w:rsidRDefault="005B5303" w:rsidP="005E1306">
      <w:pPr>
        <w:rPr>
          <w:color w:val="auto"/>
        </w:rPr>
      </w:pPr>
    </w:p>
    <w:p w14:paraId="5C2BDABD" w14:textId="13BF9DDC" w:rsidR="005E1306" w:rsidRDefault="005B5303" w:rsidP="005E1306">
      <w:pPr>
        <w:pStyle w:val="ListParagraph"/>
        <w:numPr>
          <w:ilvl w:val="0"/>
          <w:numId w:val="34"/>
        </w:numPr>
        <w:ind w:left="0" w:firstLine="0"/>
        <w:rPr>
          <w:b/>
          <w:color w:val="auto"/>
        </w:rPr>
      </w:pPr>
      <w:r w:rsidRPr="001B7103">
        <w:rPr>
          <w:b/>
          <w:color w:val="auto"/>
        </w:rPr>
        <w:t>Post-procedural care</w:t>
      </w:r>
    </w:p>
    <w:p w14:paraId="3917C4F5" w14:textId="77777777" w:rsidR="005E1306" w:rsidRDefault="005E1306" w:rsidP="005E1306">
      <w:pPr>
        <w:pStyle w:val="ListParagraph"/>
        <w:ind w:left="0"/>
        <w:rPr>
          <w:b/>
          <w:color w:val="auto"/>
        </w:rPr>
      </w:pPr>
    </w:p>
    <w:p w14:paraId="401783AC" w14:textId="2053258E" w:rsidR="005E1306" w:rsidRPr="005E1306" w:rsidRDefault="005E1306" w:rsidP="005E1306">
      <w:pPr>
        <w:pStyle w:val="ListParagraph"/>
        <w:numPr>
          <w:ilvl w:val="1"/>
          <w:numId w:val="36"/>
        </w:numPr>
        <w:ind w:left="0" w:firstLine="0"/>
        <w:rPr>
          <w:b/>
          <w:color w:val="auto"/>
        </w:rPr>
      </w:pPr>
      <w:r>
        <w:rPr>
          <w:color w:val="auto"/>
        </w:rPr>
        <w:t>A</w:t>
      </w:r>
      <w:r w:rsidR="005B5303" w:rsidRPr="005E1306">
        <w:rPr>
          <w:color w:val="auto"/>
        </w:rPr>
        <w:t xml:space="preserve">fter infusion is completed and </w:t>
      </w:r>
      <w:proofErr w:type="spellStart"/>
      <w:r w:rsidR="005B5303" w:rsidRPr="005E1306">
        <w:rPr>
          <w:color w:val="auto"/>
        </w:rPr>
        <w:t>Stensen’s</w:t>
      </w:r>
      <w:proofErr w:type="spellEnd"/>
      <w:r w:rsidR="005B5303" w:rsidRPr="005E1306">
        <w:rPr>
          <w:color w:val="auto"/>
        </w:rPr>
        <w:t xml:space="preserve"> duct decannulated, </w:t>
      </w:r>
      <w:r>
        <w:rPr>
          <w:color w:val="auto"/>
        </w:rPr>
        <w:t xml:space="preserve">observe </w:t>
      </w:r>
      <w:r w:rsidR="002459F8" w:rsidRPr="005E1306">
        <w:rPr>
          <w:color w:val="auto"/>
        </w:rPr>
        <w:t>animals until anesthesia effect w</w:t>
      </w:r>
      <w:r>
        <w:rPr>
          <w:color w:val="auto"/>
        </w:rPr>
        <w:t>ear</w:t>
      </w:r>
      <w:r w:rsidR="002459F8" w:rsidRPr="005E1306">
        <w:rPr>
          <w:color w:val="auto"/>
        </w:rPr>
        <w:t>s off (usually between 20</w:t>
      </w:r>
      <w:r w:rsidR="00BB0FD9">
        <w:rPr>
          <w:color w:val="auto"/>
        </w:rPr>
        <w:t>-</w:t>
      </w:r>
      <w:r w:rsidR="002459F8" w:rsidRPr="005E1306">
        <w:rPr>
          <w:color w:val="auto"/>
        </w:rPr>
        <w:t xml:space="preserve">30 min post-procedure). </w:t>
      </w:r>
    </w:p>
    <w:p w14:paraId="0E62CCCD" w14:textId="77777777" w:rsidR="005E1306" w:rsidRPr="005E1306" w:rsidRDefault="005E1306" w:rsidP="005E1306">
      <w:pPr>
        <w:pStyle w:val="ListParagraph"/>
        <w:ind w:left="0"/>
        <w:rPr>
          <w:b/>
          <w:color w:val="auto"/>
        </w:rPr>
      </w:pPr>
    </w:p>
    <w:p w14:paraId="5131C696" w14:textId="5A258352" w:rsidR="005B5303" w:rsidRPr="005E1306" w:rsidRDefault="005E1306" w:rsidP="005E1306">
      <w:pPr>
        <w:pStyle w:val="ListParagraph"/>
        <w:numPr>
          <w:ilvl w:val="1"/>
          <w:numId w:val="36"/>
        </w:numPr>
        <w:ind w:left="0" w:firstLine="0"/>
        <w:rPr>
          <w:b/>
          <w:color w:val="auto"/>
        </w:rPr>
      </w:pPr>
      <w:r>
        <w:rPr>
          <w:color w:val="auto"/>
        </w:rPr>
        <w:t xml:space="preserve">Offer the animal </w:t>
      </w:r>
      <w:r w:rsidR="002459F8" w:rsidRPr="005E1306">
        <w:rPr>
          <w:color w:val="auto"/>
        </w:rPr>
        <w:t xml:space="preserve">drinks </w:t>
      </w:r>
      <w:r>
        <w:rPr>
          <w:color w:val="auto"/>
        </w:rPr>
        <w:t xml:space="preserve">and </w:t>
      </w:r>
      <w:r w:rsidR="002459F8" w:rsidRPr="005E1306">
        <w:rPr>
          <w:color w:val="auto"/>
        </w:rPr>
        <w:t xml:space="preserve">then food after they are fully awake and </w:t>
      </w:r>
      <w:r>
        <w:rPr>
          <w:color w:val="auto"/>
        </w:rPr>
        <w:t xml:space="preserve">resume </w:t>
      </w:r>
      <w:r w:rsidR="002459F8" w:rsidRPr="005E1306">
        <w:rPr>
          <w:color w:val="auto"/>
        </w:rPr>
        <w:t xml:space="preserve">routine care. </w:t>
      </w:r>
    </w:p>
    <w:p w14:paraId="7B2C9E11" w14:textId="77777777" w:rsidR="00F7081B" w:rsidRPr="001B7103" w:rsidRDefault="00F7081B" w:rsidP="005E1306">
      <w:pPr>
        <w:rPr>
          <w:color w:val="auto"/>
        </w:rPr>
      </w:pPr>
    </w:p>
    <w:p w14:paraId="491A2F42" w14:textId="0172A0E4" w:rsidR="00357F64" w:rsidRPr="005E1306" w:rsidRDefault="006305D7" w:rsidP="005E1306">
      <w:pPr>
        <w:rPr>
          <w:color w:val="808080"/>
        </w:rPr>
      </w:pPr>
      <w:r w:rsidRPr="001B7103">
        <w:rPr>
          <w:b/>
        </w:rPr>
        <w:t>REPRESENTATIVE RESULTS</w:t>
      </w:r>
      <w:r w:rsidR="00EF1462" w:rsidRPr="001B7103">
        <w:rPr>
          <w:b/>
        </w:rPr>
        <w:t xml:space="preserve">: </w:t>
      </w:r>
    </w:p>
    <w:p w14:paraId="1E76AB53" w14:textId="66C47757" w:rsidR="00357F64" w:rsidRPr="005E1306" w:rsidRDefault="00915C21" w:rsidP="005E1306">
      <w:pPr>
        <w:pStyle w:val="NormalWeb"/>
        <w:spacing w:before="0" w:beforeAutospacing="0" w:after="0" w:afterAutospacing="0"/>
        <w:rPr>
          <w:b/>
        </w:rPr>
      </w:pPr>
      <w:r w:rsidRPr="001B7103">
        <w:rPr>
          <w:b/>
        </w:rPr>
        <w:t xml:space="preserve">Successful procedure, </w:t>
      </w:r>
      <w:proofErr w:type="gramStart"/>
      <w:r w:rsidRPr="001B7103">
        <w:rPr>
          <w:b/>
        </w:rPr>
        <w:t>transduction</w:t>
      </w:r>
      <w:proofErr w:type="gramEnd"/>
      <w:r w:rsidRPr="001B7103">
        <w:rPr>
          <w:b/>
        </w:rPr>
        <w:t xml:space="preserve"> and transcription</w:t>
      </w:r>
    </w:p>
    <w:p w14:paraId="499746F9" w14:textId="6627B89B" w:rsidR="00E52BA2" w:rsidRPr="001B7103" w:rsidRDefault="009865FD" w:rsidP="005E1306">
      <w:pPr>
        <w:pStyle w:val="NormalWeb"/>
        <w:spacing w:before="0" w:beforeAutospacing="0" w:after="0" w:afterAutospacing="0"/>
      </w:pPr>
      <w:r w:rsidRPr="00625954">
        <w:rPr>
          <w:b/>
          <w:bCs/>
        </w:rPr>
        <w:t>Figure</w:t>
      </w:r>
      <w:r w:rsidR="00357F64" w:rsidRPr="00625954">
        <w:rPr>
          <w:b/>
          <w:bCs/>
        </w:rPr>
        <w:t xml:space="preserve"> 1</w:t>
      </w:r>
      <w:r w:rsidR="00357F64" w:rsidRPr="001B7103">
        <w:t xml:space="preserve"> shows </w:t>
      </w:r>
      <w:r w:rsidR="00923F36" w:rsidRPr="001B7103">
        <w:t>the parotid papilla adjacent to the 2</w:t>
      </w:r>
      <w:r w:rsidR="00923F36" w:rsidRPr="001B7103">
        <w:rPr>
          <w:vertAlign w:val="superscript"/>
        </w:rPr>
        <w:t>nd</w:t>
      </w:r>
      <w:r w:rsidR="00923F36" w:rsidRPr="001B7103">
        <w:t xml:space="preserve"> molar on the posterior superior cheek. The image also shows the correct placement of the mouth brace, one rubber end on the hard palate and the other rubber end on the ipsilateral canine. </w:t>
      </w:r>
      <w:r w:rsidR="00923F36" w:rsidRPr="00625954">
        <w:rPr>
          <w:b/>
          <w:bCs/>
        </w:rPr>
        <w:t>Figure 2</w:t>
      </w:r>
      <w:r w:rsidR="00923F36" w:rsidRPr="001B7103">
        <w:t xml:space="preserve"> shows </w:t>
      </w:r>
      <w:r w:rsidR="00357F64" w:rsidRPr="001B7103">
        <w:t>an i</w:t>
      </w:r>
      <w:r w:rsidR="00923F36" w:rsidRPr="001B7103">
        <w:t xml:space="preserve">mage taken after successful </w:t>
      </w:r>
      <w:r w:rsidR="004A3196" w:rsidRPr="001B7103">
        <w:t>cannulation</w:t>
      </w:r>
      <w:r w:rsidR="00357F64" w:rsidRPr="001B7103">
        <w:t xml:space="preserve"> of the parotid papilla at the 2 cm mark on the PET10. </w:t>
      </w:r>
      <w:r w:rsidR="00357F64" w:rsidRPr="00625954">
        <w:rPr>
          <w:b/>
          <w:bCs/>
        </w:rPr>
        <w:t xml:space="preserve">Figure </w:t>
      </w:r>
      <w:r w:rsidR="004A3196" w:rsidRPr="00625954">
        <w:rPr>
          <w:b/>
          <w:bCs/>
        </w:rPr>
        <w:t>3</w:t>
      </w:r>
      <w:r w:rsidR="004A3196" w:rsidRPr="001B7103">
        <w:t xml:space="preserve"> </w:t>
      </w:r>
      <w:r w:rsidR="00357F64" w:rsidRPr="001B7103">
        <w:t>shows a fluoros</w:t>
      </w:r>
      <w:r w:rsidR="00915C21" w:rsidRPr="001B7103">
        <w:t xml:space="preserve">copy image </w:t>
      </w:r>
      <w:proofErr w:type="gramStart"/>
      <w:r w:rsidR="00915C21" w:rsidRPr="001B7103">
        <w:t>at the moment</w:t>
      </w:r>
      <w:proofErr w:type="gramEnd"/>
      <w:r w:rsidR="00915C21" w:rsidRPr="001B7103">
        <w:t xml:space="preserve"> of a </w:t>
      </w:r>
      <w:r w:rsidR="00357F64" w:rsidRPr="001B7103">
        <w:t>radiocontrast infusion demonstrating branching of the solution through Stensen’s Duct and into the parotid gland.</w:t>
      </w:r>
      <w:r w:rsidR="001B7103">
        <w:t xml:space="preserve"> </w:t>
      </w:r>
      <w:r w:rsidR="00915C21" w:rsidRPr="001B7103">
        <w:t xml:space="preserve">This fluoroscopic image was performed for the sole intention of demonstrating the anatomy and distribution of an </w:t>
      </w:r>
      <w:proofErr w:type="spellStart"/>
      <w:r w:rsidR="00915C21" w:rsidRPr="001B7103">
        <w:t>infusate</w:t>
      </w:r>
      <w:proofErr w:type="spellEnd"/>
      <w:r w:rsidR="00915C21" w:rsidRPr="001B7103">
        <w:t>.</w:t>
      </w:r>
      <w:r w:rsidR="001B7103">
        <w:t xml:space="preserve"> </w:t>
      </w:r>
      <w:r w:rsidR="00915C21" w:rsidRPr="001B7103">
        <w:t xml:space="preserve">Fluoroscopy is </w:t>
      </w:r>
      <w:r w:rsidR="00915C21" w:rsidRPr="001B7103">
        <w:lastRenderedPageBreak/>
        <w:t>not required when performing this procedure for vector delivery.</w:t>
      </w:r>
      <w:r w:rsidR="001B7103">
        <w:t xml:space="preserve"> </w:t>
      </w:r>
      <w:r w:rsidR="00810B0C" w:rsidRPr="00625954">
        <w:rPr>
          <w:b/>
          <w:bCs/>
        </w:rPr>
        <w:t xml:space="preserve">Figure </w:t>
      </w:r>
      <w:r w:rsidR="004A3196" w:rsidRPr="00625954">
        <w:rPr>
          <w:b/>
          <w:bCs/>
        </w:rPr>
        <w:t>4</w:t>
      </w:r>
      <w:r w:rsidR="00810B0C" w:rsidRPr="001B7103">
        <w:t xml:space="preserve"> shows </w:t>
      </w:r>
      <w:r w:rsidR="00317FCA" w:rsidRPr="001B7103">
        <w:t>EGFP immunostained in red on histopathology. Both ductal and acinar cells have bee</w:t>
      </w:r>
      <w:r w:rsidR="000A6618" w:rsidRPr="001B7103">
        <w:t>n stained in red, indicating successful</w:t>
      </w:r>
      <w:r w:rsidR="00317FCA" w:rsidRPr="001B7103">
        <w:t xml:space="preserve"> transduction and transcription in both cell types.</w:t>
      </w:r>
      <w:r w:rsidR="001B7103">
        <w:t xml:space="preserve"> </w:t>
      </w:r>
      <w:r w:rsidR="00317FCA" w:rsidRPr="001B7103">
        <w:t xml:space="preserve">In summary, these four figures </w:t>
      </w:r>
      <w:r w:rsidR="000A6618" w:rsidRPr="001B7103">
        <w:t xml:space="preserve">demonstrate </w:t>
      </w:r>
      <w:r w:rsidR="00317FCA" w:rsidRPr="001B7103">
        <w:t>appropriate RSGI with</w:t>
      </w:r>
      <w:r w:rsidR="00875123" w:rsidRPr="001B7103">
        <w:t xml:space="preserve"> visualization</w:t>
      </w:r>
      <w:r w:rsidR="00317FCA" w:rsidRPr="001B7103">
        <w:t xml:space="preserve"> of the anatomy and of</w:t>
      </w:r>
      <w:r w:rsidR="00E52BA2" w:rsidRPr="001B7103">
        <w:t xml:space="preserve"> transduction </w:t>
      </w:r>
      <w:r w:rsidR="00810B0C" w:rsidRPr="001B7103">
        <w:t>of</w:t>
      </w:r>
      <w:r w:rsidR="00E52BA2" w:rsidRPr="001B7103">
        <w:t xml:space="preserve"> Ad5 vectored EGFP</w:t>
      </w:r>
      <w:r w:rsidR="006E5FF0" w:rsidRPr="001B7103">
        <w:t xml:space="preserve">. </w:t>
      </w:r>
    </w:p>
    <w:p w14:paraId="4B8AA4A9" w14:textId="77777777" w:rsidR="00E52BA2" w:rsidRPr="001B7103" w:rsidRDefault="00E52BA2" w:rsidP="005E1306">
      <w:pPr>
        <w:rPr>
          <w:color w:val="808080" w:themeColor="background1" w:themeShade="80"/>
        </w:rPr>
      </w:pPr>
    </w:p>
    <w:p w14:paraId="20DBB7F2" w14:textId="77777777" w:rsidR="00E52BA2" w:rsidRPr="001B7103" w:rsidRDefault="00E52BA2" w:rsidP="005E1306">
      <w:pPr>
        <w:rPr>
          <w:bCs/>
          <w:color w:val="808080"/>
        </w:rPr>
      </w:pPr>
      <w:r w:rsidRPr="001B7103">
        <w:rPr>
          <w:b/>
        </w:rPr>
        <w:t>FIGURE AND TABLE LEGENDS:</w:t>
      </w:r>
      <w:r w:rsidRPr="001B7103">
        <w:rPr>
          <w:color w:val="808080"/>
        </w:rPr>
        <w:t xml:space="preserve"> </w:t>
      </w:r>
    </w:p>
    <w:p w14:paraId="282C7C82" w14:textId="77777777" w:rsidR="004A3196" w:rsidRPr="001B7103" w:rsidRDefault="004A3196" w:rsidP="005E1306">
      <w:pPr>
        <w:pStyle w:val="NormalWeb"/>
        <w:spacing w:before="0" w:beforeAutospacing="0" w:after="0" w:afterAutospacing="0"/>
        <w:rPr>
          <w:bCs/>
        </w:rPr>
      </w:pPr>
      <w:r w:rsidRPr="001B7103">
        <w:rPr>
          <w:b/>
        </w:rPr>
        <w:t xml:space="preserve">Figure 1: Parotid papilla. </w:t>
      </w:r>
      <w:r w:rsidRPr="001B7103">
        <w:rPr>
          <w:bCs/>
        </w:rPr>
        <w:t>Note the circle on the figure highlighting the parotid papilla adjacent to the 2</w:t>
      </w:r>
      <w:r w:rsidRPr="001B7103">
        <w:rPr>
          <w:bCs/>
          <w:vertAlign w:val="superscript"/>
        </w:rPr>
        <w:t>nd</w:t>
      </w:r>
      <w:r w:rsidRPr="001B7103">
        <w:rPr>
          <w:bCs/>
        </w:rPr>
        <w:t xml:space="preserve"> molar on the posterior cheek. Also note the placement of the mouth brace, with one rubber end on the hard palate and the other rubber band on the lower canine. </w:t>
      </w:r>
    </w:p>
    <w:p w14:paraId="4DB1468A" w14:textId="77777777" w:rsidR="004A3196" w:rsidRPr="001B7103" w:rsidRDefault="004A3196" w:rsidP="005E1306">
      <w:pPr>
        <w:pStyle w:val="NormalWeb"/>
        <w:spacing w:before="0" w:beforeAutospacing="0" w:after="0" w:afterAutospacing="0"/>
        <w:rPr>
          <w:b/>
        </w:rPr>
      </w:pPr>
    </w:p>
    <w:p w14:paraId="24EC08A2" w14:textId="2C00DD68" w:rsidR="00810B0C" w:rsidRPr="001B7103" w:rsidRDefault="004A3196" w:rsidP="005E1306">
      <w:pPr>
        <w:pStyle w:val="NormalWeb"/>
        <w:spacing w:before="0" w:beforeAutospacing="0" w:after="0" w:afterAutospacing="0"/>
      </w:pPr>
      <w:r w:rsidRPr="001B7103">
        <w:rPr>
          <w:b/>
        </w:rPr>
        <w:t>Figure 2</w:t>
      </w:r>
      <w:r w:rsidR="00810B0C" w:rsidRPr="001B7103">
        <w:rPr>
          <w:b/>
        </w:rPr>
        <w:t xml:space="preserve">: Parotid papilla cannulation by PET10. </w:t>
      </w:r>
      <w:r w:rsidR="00810B0C" w:rsidRPr="001B7103">
        <w:t>Note the 2 cm mark on the PET10 tube visible at the parotid papilla (</w:t>
      </w:r>
      <w:r w:rsidR="00625954" w:rsidRPr="001B7103">
        <w:t>arrowhead</w:t>
      </w:r>
      <w:r w:rsidR="00810B0C" w:rsidRPr="001B7103">
        <w:t>), located on the posterior cheek, adjacent to the 2</w:t>
      </w:r>
      <w:r w:rsidR="00810B0C" w:rsidRPr="001B7103">
        <w:rPr>
          <w:vertAlign w:val="superscript"/>
        </w:rPr>
        <w:t>nd</w:t>
      </w:r>
      <w:r w:rsidR="00810B0C" w:rsidRPr="001B7103">
        <w:t xml:space="preserve"> upper molar</w:t>
      </w:r>
      <w:r w:rsidR="007A7CD3" w:rsidRPr="001B7103">
        <w:t>.</w:t>
      </w:r>
    </w:p>
    <w:p w14:paraId="0E13E2EE" w14:textId="77777777" w:rsidR="00E52BA2" w:rsidRPr="001B7103" w:rsidRDefault="00E52BA2" w:rsidP="005E1306">
      <w:pPr>
        <w:pStyle w:val="NormalWeb"/>
        <w:spacing w:before="0" w:beforeAutospacing="0" w:after="0" w:afterAutospacing="0"/>
      </w:pPr>
    </w:p>
    <w:p w14:paraId="2BF58128" w14:textId="3907B33F" w:rsidR="00810B0C" w:rsidRPr="001B7103" w:rsidRDefault="00810B0C" w:rsidP="005E1306">
      <w:pPr>
        <w:pStyle w:val="NormalWeb"/>
        <w:spacing w:before="0" w:beforeAutospacing="0" w:after="0" w:afterAutospacing="0"/>
      </w:pPr>
      <w:r w:rsidRPr="001B7103">
        <w:rPr>
          <w:b/>
        </w:rPr>
        <w:t xml:space="preserve">Figure </w:t>
      </w:r>
      <w:r w:rsidR="004A3196" w:rsidRPr="001B7103">
        <w:rPr>
          <w:b/>
        </w:rPr>
        <w:t>3</w:t>
      </w:r>
      <w:r w:rsidRPr="001B7103">
        <w:rPr>
          <w:b/>
        </w:rPr>
        <w:t>: Fluoroscopy image showing diffusion into parotid gland.</w:t>
      </w:r>
      <w:r w:rsidRPr="001B7103">
        <w:t xml:space="preserve"> Note branching at the end of </w:t>
      </w:r>
      <w:proofErr w:type="spellStart"/>
      <w:r w:rsidRPr="001B7103">
        <w:t>Stens</w:t>
      </w:r>
      <w:r w:rsidR="00D94D81" w:rsidRPr="001B7103">
        <w:t>e</w:t>
      </w:r>
      <w:r w:rsidRPr="001B7103">
        <w:t>n’s</w:t>
      </w:r>
      <w:proofErr w:type="spellEnd"/>
      <w:r w:rsidRPr="001B7103">
        <w:t xml:space="preserve"> duct (</w:t>
      </w:r>
      <w:r w:rsidR="00625954">
        <w:t>a</w:t>
      </w:r>
      <w:r w:rsidR="00625954" w:rsidRPr="001B7103">
        <w:t>rrowhead</w:t>
      </w:r>
      <w:r w:rsidRPr="001B7103">
        <w:t>) as it branches into smaller ducts in the parotid gland (Circle)</w:t>
      </w:r>
      <w:r w:rsidR="007A7CD3" w:rsidRPr="001B7103">
        <w:t>.</w:t>
      </w:r>
    </w:p>
    <w:p w14:paraId="046893F5" w14:textId="77777777" w:rsidR="00810B0C" w:rsidRPr="001B7103" w:rsidRDefault="00810B0C" w:rsidP="005E1306">
      <w:pPr>
        <w:pStyle w:val="NormalWeb"/>
        <w:spacing w:before="0" w:beforeAutospacing="0" w:after="0" w:afterAutospacing="0"/>
      </w:pPr>
    </w:p>
    <w:p w14:paraId="3B00C8DD" w14:textId="77777777" w:rsidR="00810B0C" w:rsidRPr="001B7103" w:rsidRDefault="00810B0C" w:rsidP="005E1306">
      <w:pPr>
        <w:pStyle w:val="NormalWeb"/>
        <w:spacing w:before="0" w:beforeAutospacing="0" w:after="0" w:afterAutospacing="0"/>
      </w:pPr>
      <w:r w:rsidRPr="001B7103">
        <w:rPr>
          <w:b/>
        </w:rPr>
        <w:t xml:space="preserve">Figure </w:t>
      </w:r>
      <w:r w:rsidR="004A3196" w:rsidRPr="001B7103">
        <w:rPr>
          <w:b/>
        </w:rPr>
        <w:t>4</w:t>
      </w:r>
      <w:r w:rsidRPr="001B7103">
        <w:rPr>
          <w:b/>
        </w:rPr>
        <w:t>: Pathology slide of parotid gland.</w:t>
      </w:r>
      <w:r w:rsidRPr="001B7103">
        <w:t xml:space="preserve"> Note expression of EGFP (stained in red) by ductal/acinar parotid tissue</w:t>
      </w:r>
      <w:r w:rsidR="007A7CD3" w:rsidRPr="001B7103">
        <w:t>.</w:t>
      </w:r>
      <w:r w:rsidRPr="001B7103">
        <w:t xml:space="preserve"> </w:t>
      </w:r>
    </w:p>
    <w:p w14:paraId="28269C3B" w14:textId="77777777" w:rsidR="004A71E4" w:rsidRPr="001B7103" w:rsidRDefault="004A71E4" w:rsidP="005E1306">
      <w:pPr>
        <w:rPr>
          <w:color w:val="808080" w:themeColor="background1" w:themeShade="80"/>
        </w:rPr>
      </w:pPr>
    </w:p>
    <w:p w14:paraId="6C444405" w14:textId="77777777" w:rsidR="006305D7" w:rsidRPr="001B7103" w:rsidRDefault="006305D7" w:rsidP="005E1306">
      <w:pPr>
        <w:rPr>
          <w:b/>
        </w:rPr>
      </w:pPr>
      <w:r w:rsidRPr="001B7103">
        <w:rPr>
          <w:b/>
        </w:rPr>
        <w:t>DISCUSSION</w:t>
      </w:r>
      <w:r w:rsidRPr="001B7103">
        <w:rPr>
          <w:b/>
          <w:bCs/>
        </w:rPr>
        <w:t xml:space="preserve">: </w:t>
      </w:r>
    </w:p>
    <w:p w14:paraId="11F263B0" w14:textId="257499B7" w:rsidR="00014314" w:rsidRPr="001B7103" w:rsidRDefault="007A7CD3" w:rsidP="005E1306">
      <w:pPr>
        <w:rPr>
          <w:color w:val="auto"/>
        </w:rPr>
      </w:pPr>
      <w:r w:rsidRPr="001B7103">
        <w:rPr>
          <w:color w:val="auto"/>
        </w:rPr>
        <w:t>Here we describe</w:t>
      </w:r>
      <w:r w:rsidR="00C97F96" w:rsidRPr="001B7103">
        <w:rPr>
          <w:color w:val="auto"/>
        </w:rPr>
        <w:t xml:space="preserve"> a protocol of retrograde infusion into the parotid gland through </w:t>
      </w:r>
      <w:proofErr w:type="spellStart"/>
      <w:r w:rsidR="00C97F96" w:rsidRPr="001B7103">
        <w:rPr>
          <w:color w:val="auto"/>
        </w:rPr>
        <w:t>Stensen’s</w:t>
      </w:r>
      <w:proofErr w:type="spellEnd"/>
      <w:r w:rsidR="00C97F96" w:rsidRPr="001B7103">
        <w:rPr>
          <w:color w:val="auto"/>
        </w:rPr>
        <w:t xml:space="preserve"> Duct</w:t>
      </w:r>
      <w:r w:rsidR="009354EC" w:rsidRPr="001B7103">
        <w:rPr>
          <w:color w:val="auto"/>
        </w:rPr>
        <w:t>.</w:t>
      </w:r>
      <w:r w:rsidR="001B7103">
        <w:rPr>
          <w:color w:val="auto"/>
        </w:rPr>
        <w:t xml:space="preserve"> </w:t>
      </w:r>
      <w:r w:rsidR="009354EC" w:rsidRPr="001B7103">
        <w:rPr>
          <w:color w:val="auto"/>
        </w:rPr>
        <w:t>T</w:t>
      </w:r>
      <w:r w:rsidRPr="001B7103">
        <w:rPr>
          <w:color w:val="auto"/>
        </w:rPr>
        <w:t xml:space="preserve">he methodology described </w:t>
      </w:r>
      <w:r w:rsidR="009354EC" w:rsidRPr="001B7103">
        <w:rPr>
          <w:color w:val="auto"/>
        </w:rPr>
        <w:t>offers guidance that can pot</w:t>
      </w:r>
      <w:r w:rsidR="006A0F6E" w:rsidRPr="001B7103">
        <w:rPr>
          <w:color w:val="auto"/>
        </w:rPr>
        <w:t>entially be used by researchers</w:t>
      </w:r>
      <w:r w:rsidR="00875123" w:rsidRPr="001B7103">
        <w:rPr>
          <w:color w:val="auto"/>
        </w:rPr>
        <w:t xml:space="preserve"> exploring t</w:t>
      </w:r>
      <w:r w:rsidRPr="001B7103">
        <w:rPr>
          <w:color w:val="auto"/>
        </w:rPr>
        <w:t>he utility of salivary tissue as a site for</w:t>
      </w:r>
      <w:r w:rsidR="00875123" w:rsidRPr="001B7103">
        <w:rPr>
          <w:color w:val="auto"/>
        </w:rPr>
        <w:t xml:space="preserve"> gene therapy</w:t>
      </w:r>
      <w:r w:rsidRPr="001B7103">
        <w:rPr>
          <w:color w:val="auto"/>
        </w:rPr>
        <w:t xml:space="preserve"> and other applications</w:t>
      </w:r>
      <w:r w:rsidR="00875123" w:rsidRPr="001B7103">
        <w:rPr>
          <w:color w:val="auto"/>
        </w:rPr>
        <w:t>.</w:t>
      </w:r>
    </w:p>
    <w:p w14:paraId="1AE711C2" w14:textId="77777777" w:rsidR="006A0F6E" w:rsidRPr="001B7103" w:rsidRDefault="006A0F6E" w:rsidP="005E1306">
      <w:pPr>
        <w:rPr>
          <w:color w:val="auto"/>
        </w:rPr>
      </w:pPr>
    </w:p>
    <w:p w14:paraId="2DA10982" w14:textId="04BC1CE8" w:rsidR="006A0F6E" w:rsidRDefault="006A0F6E" w:rsidP="005E1306">
      <w:pPr>
        <w:rPr>
          <w:color w:val="auto"/>
        </w:rPr>
      </w:pPr>
      <w:r w:rsidRPr="001B7103">
        <w:rPr>
          <w:color w:val="auto"/>
        </w:rPr>
        <w:t>There are multiple critical steps to ensure the success of the procedure. First and foremost, all the procedural steps should be completed gently.</w:t>
      </w:r>
      <w:r w:rsidR="001B7103">
        <w:rPr>
          <w:color w:val="auto"/>
        </w:rPr>
        <w:t xml:space="preserve"> </w:t>
      </w:r>
      <w:r w:rsidR="00B8021F" w:rsidRPr="001B7103">
        <w:rPr>
          <w:color w:val="auto"/>
        </w:rPr>
        <w:t>Forceful bracing of the mouth could re</w:t>
      </w:r>
      <w:r w:rsidR="00875123" w:rsidRPr="001B7103">
        <w:rPr>
          <w:color w:val="auto"/>
        </w:rPr>
        <w:t>sult in mandibular subluxation.</w:t>
      </w:r>
      <w:r w:rsidR="001B7103">
        <w:rPr>
          <w:color w:val="auto"/>
        </w:rPr>
        <w:t xml:space="preserve"> </w:t>
      </w:r>
      <w:r w:rsidR="00875123" w:rsidRPr="001B7103">
        <w:rPr>
          <w:color w:val="auto"/>
        </w:rPr>
        <w:t>F</w:t>
      </w:r>
      <w:r w:rsidR="00B8021F" w:rsidRPr="001B7103">
        <w:rPr>
          <w:color w:val="auto"/>
        </w:rPr>
        <w:t>orceful cannulation of the parotid papilla or rapid infusion of the solution into Stensen’s Duct could result in acute ductal tears or chronic ductal stenosis.</w:t>
      </w:r>
    </w:p>
    <w:p w14:paraId="3FAD9479" w14:textId="77777777" w:rsidR="00625954" w:rsidRPr="001B7103" w:rsidRDefault="00625954" w:rsidP="005E1306">
      <w:pPr>
        <w:rPr>
          <w:color w:val="auto"/>
        </w:rPr>
      </w:pPr>
    </w:p>
    <w:p w14:paraId="15F68563" w14:textId="45012939" w:rsidR="00C97F96" w:rsidRPr="001B7103" w:rsidRDefault="0011634D" w:rsidP="005E1306">
      <w:r w:rsidRPr="001B7103">
        <w:rPr>
          <w:color w:val="auto"/>
        </w:rPr>
        <w:t>Seco</w:t>
      </w:r>
      <w:r w:rsidR="000E6BEE" w:rsidRPr="001B7103">
        <w:rPr>
          <w:color w:val="auto"/>
        </w:rPr>
        <w:t>ndly, ensure that a</w:t>
      </w:r>
      <w:r w:rsidRPr="001B7103">
        <w:rPr>
          <w:color w:val="auto"/>
        </w:rPr>
        <w:t xml:space="preserve">nesthesia has been administered and is effective. Without proper anesthesia, none of the steps can be easily accomplished and </w:t>
      </w:r>
      <w:r w:rsidR="00D94D81" w:rsidRPr="001B7103">
        <w:rPr>
          <w:color w:val="auto"/>
        </w:rPr>
        <w:t>risk of animal and human injuries are significantly increased. W</w:t>
      </w:r>
      <w:r w:rsidR="00C97F96" w:rsidRPr="001B7103">
        <w:t>e opted for intramuscular anesthesia with ketamine and midazolam</w:t>
      </w:r>
      <w:r w:rsidR="00875123" w:rsidRPr="001B7103">
        <w:t>, which is a standard regimen in non-human primate studies</w:t>
      </w:r>
      <w:r w:rsidR="00937EC5" w:rsidRPr="001B7103">
        <w:fldChar w:fldCharType="begin" w:fldLock="1"/>
      </w:r>
      <w:r w:rsidR="005B5303" w:rsidRPr="001B7103">
        <w:instrText>ADDIN CSL_CITATION {"citationItems":[{"id":"ITEM-1","itemData":{"DOI":"10.1089/hum.2008.034","abstract":"We have previously used viral vectors encoding either human growth hormone (hGH) or erythropoietin (hEPO) to study the sorting of transgenic proteins in mouse and minipig salivary glands. Whereas hGH (a regulated secretory pathway [RSP] protein) is secreted predominantly into saliva in both species, hEPO (a constitutive secretory pathway [CSP] protein) is found primarily in the bloodstream with mice, but overwhelmingly in saliva with minipigs. In view of the hEPO sorting difference, we have conducted a similar study in nonhuman primates. Specifically, we examined hGH and hEPO sorting after adenoviral (Ad) vector-mediated gene trans-fer to parotid glands of rhesus macaques, another large and important animal model. Two groups (n ϭ 2 per dose group; total n ϭ 8) of male macaques received either 10 10 particles per gland (low-dose group) or 10 11 par-ticles per gland (high-dose group) of adenoviral (Ad) vectors encoding either hGH (AdhGH) or hEPO (Ad-hEPO) via intraoral cannulation of both parotid glands. All macaques tolerated administration of Ad vectors well, with no clinically significant changes observed in any hematological and serum chemistry parameters. In AdhGH-treated animals, hGH was secreted exclusively into saliva. In contrast, after AdhEPO delivery, hEPO was secreted both in serum and saliva, at levels intermediate between mice and minipigs. We conclude that RSP proteins are faithfully secreted into saliva in all model species tested, whereas patterns of CSP protein se-cretion are variable.","author":[{"dropping-particle":"","family":"Voutetakis","given":"Antonis","non-dropping-particle":"","parse-names":false,"suffix":""},{"dropping-particle":"","family":"Zheng","given":"Changyu","non-dropping-particle":"","parse-names":false,"suffix":""},{"dropping-particle":"","family":"Metzger","given":"Mark","non-dropping-particle":"","parse-names":false,"suffix":""},{"dropping-particle":"","family":"Cotrim","given":"Ana P","non-dropping-particle":"","parse-names":false,"suffix":""},{"dropping-particle":"","family":"Donahue","given":"Robert E","non-dropping-particle":"","parse-names":false,"suffix":""},{"dropping-particle":"","family":"Dunbar","given":"Cynthia E","non-dropping-particle":"","parse-names":false,"suffix":""},{"dropping-particle":"","family":"Baum","given":"Bruce J","non-dropping-particle":"","parse-names":false,"suffix":""}],"container-title":"HUMAN GENE THERAPY","id":"ITEM-1","issued":{"date-parts":[["2008"]]},"page":"1401-1405","title":"Sorting of Transgenic Secretory Proteins in Rhesus Macaque Parotid Glands After Adenovirus-Mediated Gene Transfer","type":"article-journal","volume":"19"},"uris":["http://www.mendeley.com/documents/?uuid=3cbfe1e9-e956-36fe-9b44-501b8f42f6aa"]}],"mendeley":{"formattedCitation":"[6]","plainTextFormattedCitation":"[6]","previouslyFormattedCitation":"[6]"},"properties":{"noteIndex":0},"schema":"https://github.com/citation-style-language/schema/raw/master/csl-citation.json"}</w:instrText>
      </w:r>
      <w:r w:rsidR="00937EC5" w:rsidRPr="001B7103">
        <w:fldChar w:fldCharType="separate"/>
      </w:r>
      <w:r w:rsidR="00C844F4" w:rsidRPr="00625954">
        <w:rPr>
          <w:noProof/>
          <w:vertAlign w:val="superscript"/>
        </w:rPr>
        <w:t>6</w:t>
      </w:r>
      <w:r w:rsidR="00937EC5" w:rsidRPr="001B7103">
        <w:fldChar w:fldCharType="end"/>
      </w:r>
      <w:r w:rsidR="00C97F96" w:rsidRPr="001B7103">
        <w:t>.</w:t>
      </w:r>
      <w:r w:rsidR="001B7103">
        <w:t xml:space="preserve"> </w:t>
      </w:r>
      <w:r w:rsidR="00875123" w:rsidRPr="001B7103">
        <w:t>We consider a</w:t>
      </w:r>
      <w:r w:rsidR="000E6BEE" w:rsidRPr="001B7103">
        <w:t xml:space="preserve">tropine </w:t>
      </w:r>
      <w:r w:rsidR="00875123" w:rsidRPr="001B7103">
        <w:t xml:space="preserve">to </w:t>
      </w:r>
      <w:r w:rsidR="000E6BEE" w:rsidRPr="001B7103">
        <w:t>be important</w:t>
      </w:r>
      <w:r w:rsidR="00875123" w:rsidRPr="001B7103">
        <w:t xml:space="preserve"> for reducing salivary secretions during the procedure, improving visibility of the </w:t>
      </w:r>
      <w:r w:rsidR="00E172E8" w:rsidRPr="001B7103">
        <w:t xml:space="preserve">anatomy and </w:t>
      </w:r>
      <w:r w:rsidR="00875123" w:rsidRPr="001B7103">
        <w:t>reducing washout of the infusate prior to transduction</w:t>
      </w:r>
      <w:r w:rsidR="00937EC5" w:rsidRPr="00625954">
        <w:rPr>
          <w:vertAlign w:val="superscript"/>
        </w:rPr>
        <w:fldChar w:fldCharType="begin" w:fldLock="1"/>
      </w:r>
      <w:r w:rsidR="005B5303" w:rsidRPr="00625954">
        <w:rPr>
          <w:vertAlign w:val="superscript"/>
        </w:rPr>
        <w:instrText>ADDIN CSL_CITATION {"citationItems":[{"id":"ITEM-1","itemData":{"DOI":"10.1038/sj.gt.3302125","ISBN":"0969-7128 (Print)","ISSN":"0969-7128","PMID":"14625568","abstract":"Gene transfer to the major salivary glands is an attractive method for the systemic delivery of therapeutic proteins. To date, nonviral gene transfer to these glands has resulted in inadequate systemic protein concentrations. We believe that identification of the barriers responsible for this inefficient transfection will enable the development of enhanced nonviral gene transfer in salivary glands and other tissues. One potential barrier is the degradation of plasmid DNA by endonucleases. To test this hypothesis, we coadministered two endonuclease inhibitors ((zinc and aurintricarboxylic acid (ATA)) with plasmid DNA, containing the secreted alkaline phosphatase gene (SEAP), to the submandibular glands of rats. The effect of zinc and ATA on SEAP expression, tissue accumulation of plasmid DNA, and plasmid DNA stability was then characterized. We observed that mixtures containing zinc/DNA, ATA/DNA, and zinc/ATA/DNA significantly enhanced both systemic transgene expression and the amount of plasmid DNA associated with treated tissues. The relative endonuclease inhibitory activity of zinc, ATA, and zinc/ATA correlated with the observed effects on transfection efficacy. The use of zinc/ATA enhanced the efficacy of salivary gland transfection by at least 1000-fold versus DNA alone. Importantly, this improved performance resulted in robust systemic secretion of an exogenous protein (SEAP), thus demonstrating the potential this nonviral gene transfer technology has as a method to treat systemic protein deficiencies.","author":[{"dropping-particle":"","family":"Niedzinski","given":"E J","non-dropping-particle":"","parse-names":false,"suffix":""},{"dropping-particle":"","family":"Chen","given":"Y-J","non-dropping-particle":"","parse-names":false,"suffix":""},{"dropping-particle":"","family":"Olson","given":"D C","non-dropping-particle":"","parse-names":false,"suffix":""},{"dropping-particle":"","family":"Parker","given":"E a","non-dropping-particle":"","parse-names":false,"suffix":""},{"dropping-particle":"","family":"Park","given":"H","non-dropping-particle":"","parse-names":false,"suffix":""},{"dropping-particle":"","family":"Udove","given":"J a","non-dropping-particle":"","parse-names":false,"suffix":""},{"dropping-particle":"","family":"Scollay","given":"R","non-dropping-particle":"","parse-names":false,"suffix":""},{"dropping-particle":"","family":"McMahon","given":"B M","non-dropping-particle":"","parse-names":false,"suffix":""},{"dropping-particle":"","family":"Bennett","given":"M J","non-dropping-particle":"","parse-names":false,"suffix":""}],"container-title":"Gene therapy","id":"ITEM-1","issued":{"date-parts":[["2003"]]},"page":"2133-2138","title":"Enhanced systemic transgene expression after nonviral salivary gland transfection using a novel endonuclease inhibitor/DNA formulation.","type":"article-journal","volume":"10"},"uris":["http://www.mendeley.com/documents/?uuid=ea053759-5841-478a-9586-09f50ee4ad0d"]},{"id":"ITEM-2","itemData":{"DOI":"10.1016/S1525-0016(02)00058-8","author":[{"dropping-particle":"","family":"Niedzinski","given":"Edmund J","non-dropping-particle":"","parse-names":false,"suffix":""},{"dropping-particle":"","family":"Olson","given":"David C","non-dropping-particle":"","parse-names":false,"suffix":""},{"dropping-particle":"","family":"Chen","given":"Yen-ju","non-dropping-particle":"","parse-names":false,"suffix":""},{"dropping-particle":"","family":"Udove","given":"Judy A","non-dropping-particle":"","parse-names":false,"suffix":""},{"dropping-particle":"","family":"Nantz","given":"Michael H","non-dropping-particle":"","parse-names":false,"suffix":""},{"dropping-particle":"","family":"Tseng","given":"Hsein C","non-dropping-particle":"","parse-names":false,"suffix":""},{"dropping-particle":"","family":"Bolaffi","given":"Janice L","non-dropping-particle":"","parse-names":false,"suffix":""},{"dropping-particle":"","family":"Bennett","given":"Michael J","non-dropping-particle":"","parse-names":false,"suffix":""}],"id":"ITEM-2","issue":"3","issued":{"date-parts":[["2003"]]},"page":"396-400","title":"Zinc Enhancement of Nonviral Salivary Gland Transfection","type":"article-journal","volume":"7"},"uris":["http://www.mendeley.com/documents/?uuid=f6153fab-ceb9-49f2-beea-d211017292c7"]}],"mendeley":{"formattedCitation":"[7,8]","plainTextFormattedCitation":"[7,8]","previouslyFormattedCitation":"[7,8]"},"properties":{"noteIndex":0},"schema":"https://github.com/citation-style-language/schema/raw/master/csl-citation.json"}</w:instrText>
      </w:r>
      <w:r w:rsidR="00937EC5" w:rsidRPr="00625954">
        <w:rPr>
          <w:vertAlign w:val="superscript"/>
        </w:rPr>
        <w:fldChar w:fldCharType="separate"/>
      </w:r>
      <w:r w:rsidR="00C844F4" w:rsidRPr="00625954">
        <w:rPr>
          <w:noProof/>
          <w:vertAlign w:val="superscript"/>
        </w:rPr>
        <w:t>7,8</w:t>
      </w:r>
      <w:r w:rsidR="00937EC5" w:rsidRPr="00625954">
        <w:rPr>
          <w:vertAlign w:val="superscript"/>
        </w:rPr>
        <w:fldChar w:fldCharType="end"/>
      </w:r>
      <w:r w:rsidR="000E6BEE" w:rsidRPr="001B7103">
        <w:t xml:space="preserve">. </w:t>
      </w:r>
    </w:p>
    <w:p w14:paraId="2D67F38B" w14:textId="77777777" w:rsidR="005668C1" w:rsidRPr="001B7103" w:rsidRDefault="005668C1" w:rsidP="005E1306"/>
    <w:p w14:paraId="07F6E767" w14:textId="0B7C6E0E" w:rsidR="00727B3B" w:rsidRPr="001B7103" w:rsidRDefault="00727B3B" w:rsidP="005E1306">
      <w:r w:rsidRPr="001B7103">
        <w:t xml:space="preserve">A step that is often challenging is the initial cannulation and advance of the PET10 into the parotid papilla and </w:t>
      </w:r>
      <w:proofErr w:type="spellStart"/>
      <w:r w:rsidRPr="001B7103">
        <w:t>Stensen’s</w:t>
      </w:r>
      <w:proofErr w:type="spellEnd"/>
      <w:r w:rsidRPr="001B7103">
        <w:t xml:space="preserve"> Duct.</w:t>
      </w:r>
      <w:r w:rsidR="001B7103">
        <w:t xml:space="preserve"> </w:t>
      </w:r>
      <w:r w:rsidR="001C7F38" w:rsidRPr="001B7103">
        <w:t>G</w:t>
      </w:r>
      <w:r w:rsidRPr="001B7103">
        <w:t>entle rotation of the PET10 while inserting facilitates these steps. Excessive pushing could lead to ductal injuries.</w:t>
      </w:r>
    </w:p>
    <w:p w14:paraId="26180DF8" w14:textId="77777777" w:rsidR="00727B3B" w:rsidRPr="001B7103" w:rsidRDefault="00727B3B" w:rsidP="005E1306"/>
    <w:p w14:paraId="03DCBBBD" w14:textId="15BDC915" w:rsidR="005668C1" w:rsidRPr="001B7103" w:rsidRDefault="00FB1685" w:rsidP="005E1306">
      <w:pPr>
        <w:pStyle w:val="NormalWeb"/>
        <w:spacing w:before="0" w:beforeAutospacing="0" w:after="0" w:afterAutospacing="0"/>
      </w:pPr>
      <w:r w:rsidRPr="001B7103">
        <w:t xml:space="preserve">The procedure is mainly limited by the </w:t>
      </w:r>
      <w:r w:rsidR="005904A1" w:rsidRPr="001B7103">
        <w:t>fragility and the size of the tissue. T</w:t>
      </w:r>
      <w:r w:rsidR="001C7F38" w:rsidRPr="001B7103">
        <w:t>his requires very gentle technique</w:t>
      </w:r>
      <w:r w:rsidR="005904A1" w:rsidRPr="001B7103">
        <w:t xml:space="preserve"> and use of magnifying loops and small tools to ensure proper cannulation, advance of tubing and delivery of the </w:t>
      </w:r>
      <w:proofErr w:type="spellStart"/>
      <w:r w:rsidR="005904A1" w:rsidRPr="001B7103">
        <w:t>infusate</w:t>
      </w:r>
      <w:proofErr w:type="spellEnd"/>
      <w:r w:rsidR="005904A1" w:rsidRPr="001B7103">
        <w:t>.</w:t>
      </w:r>
      <w:r w:rsidR="001B7103">
        <w:t xml:space="preserve"> </w:t>
      </w:r>
      <w:r w:rsidR="005904A1" w:rsidRPr="001B7103">
        <w:t xml:space="preserve">Another potential limitation is the </w:t>
      </w:r>
      <w:r w:rsidRPr="001B7103">
        <w:t xml:space="preserve">volume of infusate that </w:t>
      </w:r>
      <w:r w:rsidRPr="001B7103">
        <w:lastRenderedPageBreak/>
        <w:t xml:space="preserve">the parotid glands are capable of accommodating. Previous studies have infused </w:t>
      </w:r>
      <w:r w:rsidR="004224BF" w:rsidRPr="001B7103">
        <w:t>a maximum volume</w:t>
      </w:r>
      <w:r w:rsidRPr="001B7103">
        <w:t xml:space="preserve"> of 0.5</w:t>
      </w:r>
      <w:r w:rsidR="001B7103">
        <w:t xml:space="preserve"> mL</w:t>
      </w:r>
      <w:r w:rsidRPr="001B7103">
        <w:t xml:space="preserve"> into each parotid gland</w:t>
      </w:r>
      <w:r w:rsidR="005904A1" w:rsidRPr="001B7103">
        <w:t>, totaling 1</w:t>
      </w:r>
      <w:r w:rsidR="001B7103">
        <w:t xml:space="preserve"> mL</w:t>
      </w:r>
      <w:r w:rsidR="005904A1" w:rsidRPr="001B7103">
        <w:t xml:space="preserve"> per animal</w:t>
      </w:r>
      <w:r w:rsidR="00FF6C6F" w:rsidRPr="001B7103">
        <w:fldChar w:fldCharType="begin" w:fldLock="1"/>
      </w:r>
      <w:r w:rsidR="005B5303" w:rsidRPr="001B7103">
        <w:instrText>ADDIN CSL_CITATION {"citationItems":[{"id":"ITEM-1","itemData":{"DOI":"10.1089/hum.2008.034","abstract":"We have previously used viral vectors encoding either human growth hormone (hGH) or erythropoietin (hEPO) to study the sorting of transgenic proteins in mouse and minipig salivary glands. Whereas hGH (a regulated secretory pathway [RSP] protein) is secreted predominantly into saliva in both species, hEPO (a constitutive secretory pathway [CSP] protein) is found primarily in the bloodstream with mice, but overwhelmingly in saliva with minipigs. In view of the hEPO sorting difference, we have conducted a similar study in nonhuman primates. Specifically, we examined hGH and hEPO sorting after adenoviral (Ad) vector-mediated gene trans-fer to parotid glands of rhesus macaques, another large and important animal model. Two groups (n ϭ 2 per dose group; total n ϭ 8) of male macaques received either 10 10 particles per gland (low-dose group) or 10 11 par-ticles per gland (high-dose group) of adenoviral (Ad) vectors encoding either hGH (AdhGH) or hEPO (Ad-hEPO) via intraoral cannulation of both parotid glands. All macaques tolerated administration of Ad vectors well, with no clinically significant changes observed in any hematological and serum chemistry parameters. In AdhGH-treated animals, hGH was secreted exclusively into saliva. In contrast, after AdhEPO delivery, hEPO was secreted both in serum and saliva, at levels intermediate between mice and minipigs. We conclude that RSP proteins are faithfully secreted into saliva in all model species tested, whereas patterns of CSP protein se-cretion are variable.","author":[{"dropping-particle":"","family":"Voutetakis","given":"Antonis","non-dropping-particle":"","parse-names":false,"suffix":""},{"dropping-particle":"","family":"Zheng","given":"Changyu","non-dropping-particle":"","parse-names":false,"suffix":""},{"dropping-particle":"","family":"Metzger","given":"Mark","non-dropping-particle":"","parse-names":false,"suffix":""},{"dropping-particle":"","family":"Cotrim","given":"Ana P","non-dropping-particle":"","parse-names":false,"suffix":""},{"dropping-particle":"","family":"Donahue","given":"Robert E","non-dropping-particle":"","parse-names":false,"suffix":""},{"dropping-particle":"","family":"Dunbar","given":"Cynthia E","non-dropping-particle":"","parse-names":false,"suffix":""},{"dropping-particle":"","family":"Baum","given":"Bruce J","non-dropping-particle":"","parse-names":false,"suffix":""}],"container-title":"HUMAN GENE THERAPY","id":"ITEM-1","issued":{"date-parts":[["2008"]]},"page":"1401-1405","title":"Sorting of Transgenic Secretory Proteins in Rhesus Macaque Parotid Glands After Adenovirus-Mediated Gene Transfer","type":"article-journal","volume":"19"},"uris":["http://www.mendeley.com/documents/?uuid=3cbfe1e9-e956-36fe-9b44-501b8f42f6aa"]},{"id":"ITEM-2","itemData":{"DOI":"10.1016/j.bbadis.2011.06.014","ISBN":"0006-3002 (Print)\\r0006-3002 (Linking)","ISSN":"09254439","PMID":"21763423","abstract":"In vivo gene delivery has long been seen as providing opportunities for the development of novel treatments for disorders refractory to existing therapies. Over the last two decades, salivary glands have proven to be a useful, if somewhat unconventional, target tissue for studying several potential clinical applications of therapeutic gene delivery. Herein, we follow the progress, address some problems and assess the outlook for clinical applications of salivary gland gene delivery. Our experience with these tissues provides a roadmap for the process of moving an idea from the laboratory bench to patients. ?? 2011 .","author":[{"dropping-particle":"","family":"Samuni","given":"Yuval","non-dropping-particle":"","parse-names":false,"suffix":""},{"dropping-particle":"","family":"Baum","given":"Bruce J.","non-dropping-particle":"","parse-names":false,"suffix":""}],"container-title":"Biochimica et Biophysica Acta - Molecular Basis of Disease","id":"ITEM-2","issued":{"date-parts":[["2011"]]},"title":"Gene delivery in salivary glands: From the bench to the clinic","type":"article"},"uris":["http://www.mendeley.com/documents/?uuid=ba681cef-f42e-3307-8c8c-85047f0674b5"]},{"id":"ITEM-3","itemData":{"DOI":"10.1089/hum.2006.154","ISSN":"1043-0342","author":[{"dropping-particle":"","family":"Voutetakis","given":"Antonis","non-dropping-particle":"","parse-names":false,"suffix":""},{"dropping-particle":"","family":"Zheng","given":"Changyu","non-dropping-particle":"","parse-names":false,"suffix":""},{"dropping-particle":"","family":"Mineshiba","given":"Fumi","non-dropping-particle":"","parse-names":false,"suffix":""},{"dropping-particle":"","family":"Cotrim","given":"Ana P.","non-dropping-particle":"","parse-names":false,"suffix":""},{"dropping-particle":"","family":"Goldsmith","given":"Corinne M.","non-dropping-particle":"","parse-names":false,"suffix":""},{"dropping-particle":"","family":"Schmidt","given":"Michael","non-dropping-particle":"","parse-names":false,"suffix":""},{"dropping-particle":"","family":"Afione","given":"Sandra","non-dropping-particle":"","parse-names":false,"suffix":""},{"dropping-particle":"","family":"Roescher","given":"Nienke","non-dropping-particle":"","parse-names":false,"suffix":""},{"dropping-particle":"","family":"Metzger","given":"Mark","non-dropping-particle":"","parse-names":false,"suffix":""},{"dropping-particle":"","family":"Eckhaus","given":"Michael A.","non-dropping-particle":"","parse-names":false,"suffix":""},{"dropping-particle":"","family":"Chiorini","given":"John A.","non-dropping-particle":"","parse-names":false,"suffix":""},{"dropping-particle":"","family":"Dunbar","given":"Cynthia E.","non-dropping-particle":"","parse-names":false,"suffix":""},{"dropping-particle":"","family":"Donahue","given":"Robert E.","non-dropping-particle":"","parse-names":false,"suffix":""},{"dropping-particle":"","family":"Baum","given":"Bruce J.","non-dropping-particle":"","parse-names":false,"suffix":""}],"container-title":"Human Gene Therapy","id":"ITEM-3","issue":"2","issued":{"date-parts":[["2007","2"]]},"page":"142-150","title":"Adeno-Associated Virus Serotype 2-Mediated Gene Transfer to The Parotid Glands of Nonhuman Primates","type":"article-journal","volume":"18"},"uris":["http://www.mendeley.com/documents/?uuid=8139752f-47eb-477a-bf05-a8f31aa97a6b"]}],"mendeley":{"formattedCitation":"[6,9,10]","plainTextFormattedCitation":"[6,9,10]","previouslyFormattedCitation":"[6,9,10]"},"properties":{"noteIndex":0},"schema":"https://github.com/citation-style-language/schema/raw/master/csl-citation.json"}</w:instrText>
      </w:r>
      <w:r w:rsidR="00FF6C6F" w:rsidRPr="001B7103">
        <w:fldChar w:fldCharType="separate"/>
      </w:r>
      <w:r w:rsidR="00C844F4" w:rsidRPr="00625954">
        <w:rPr>
          <w:noProof/>
          <w:vertAlign w:val="superscript"/>
        </w:rPr>
        <w:t>6,9,10</w:t>
      </w:r>
      <w:r w:rsidR="00FF6C6F" w:rsidRPr="001B7103">
        <w:fldChar w:fldCharType="end"/>
      </w:r>
      <w:r w:rsidR="005904A1" w:rsidRPr="001B7103">
        <w:t xml:space="preserve">. While this does not directly affect the procedure itself, </w:t>
      </w:r>
      <w:r w:rsidR="008D63C1" w:rsidRPr="001B7103">
        <w:t xml:space="preserve">depending upon the drug concentration in the infusate, </w:t>
      </w:r>
      <w:r w:rsidR="005904A1" w:rsidRPr="001B7103">
        <w:t xml:space="preserve">it may prove limiting for a desired physiological effect. </w:t>
      </w:r>
    </w:p>
    <w:p w14:paraId="461AF091" w14:textId="77777777" w:rsidR="00C97F96" w:rsidRPr="001B7103" w:rsidRDefault="00C97F96" w:rsidP="005E1306">
      <w:pPr>
        <w:pStyle w:val="NormalWeb"/>
        <w:spacing w:before="0" w:beforeAutospacing="0" w:after="0" w:afterAutospacing="0"/>
      </w:pPr>
    </w:p>
    <w:p w14:paraId="128BB947" w14:textId="7C84A394" w:rsidR="00400B20" w:rsidRPr="001B7103" w:rsidRDefault="00C21638" w:rsidP="005E1306">
      <w:pPr>
        <w:pStyle w:val="NormalWeb"/>
        <w:spacing w:before="0" w:beforeAutospacing="0" w:after="0" w:afterAutospacing="0"/>
      </w:pPr>
      <w:r w:rsidRPr="001B7103">
        <w:t xml:space="preserve">RSGI offers the least traumatic option if salivary gland infusion </w:t>
      </w:r>
      <w:r w:rsidR="001C7F38" w:rsidRPr="001B7103">
        <w:t>is</w:t>
      </w:r>
      <w:r w:rsidRPr="001B7103">
        <w:t xml:space="preserve"> desired. Alternatives such as transcutaneous </w:t>
      </w:r>
      <w:r w:rsidR="00963163" w:rsidRPr="001B7103">
        <w:t xml:space="preserve">or US-guided percutaneous injections carry the risk of facial nerve injury. Furthermore, these procedures </w:t>
      </w:r>
      <w:r w:rsidR="00400B20" w:rsidRPr="001B7103">
        <w:t>may fail to achieve adequate distribution to the entire gland</w:t>
      </w:r>
      <w:r w:rsidR="008D63C1" w:rsidRPr="001B7103">
        <w:t>,</w:t>
      </w:r>
      <w:r w:rsidR="00400B20" w:rsidRPr="001B7103">
        <w:t xml:space="preserve"> </w:t>
      </w:r>
      <w:r w:rsidR="008D63C1" w:rsidRPr="001B7103">
        <w:t>whereas</w:t>
      </w:r>
      <w:r w:rsidR="00963163" w:rsidRPr="001B7103">
        <w:t xml:space="preserve"> RSGI </w:t>
      </w:r>
      <w:r w:rsidR="00400B20" w:rsidRPr="001B7103">
        <w:t>utilizes the duc</w:t>
      </w:r>
      <w:r w:rsidR="0075244F" w:rsidRPr="001B7103">
        <w:t>t system to assure distribution.</w:t>
      </w:r>
      <w:r w:rsidR="001B7103">
        <w:t xml:space="preserve"> </w:t>
      </w:r>
      <w:r w:rsidR="0075244F" w:rsidRPr="001B7103">
        <w:t>F</w:t>
      </w:r>
      <w:r w:rsidR="00400B20" w:rsidRPr="001B7103">
        <w:t>luoroscopy was performed with standard radiocontrast solution solely for the purpose of this article to demonstrate that RSGI delivers a full infusate with good distribution</w:t>
      </w:r>
      <w:r w:rsidR="0075244F" w:rsidRPr="001B7103">
        <w:t xml:space="preserve"> throughout the whole gland.</w:t>
      </w:r>
      <w:r w:rsidR="001B7103">
        <w:t xml:space="preserve"> </w:t>
      </w:r>
      <w:r w:rsidR="00400B20" w:rsidRPr="001B7103">
        <w:t>This was performed separately from the actual infusion of the Ad5 vector.</w:t>
      </w:r>
      <w:r w:rsidR="001B7103">
        <w:t xml:space="preserve"> </w:t>
      </w:r>
      <w:r w:rsidR="00400B20" w:rsidRPr="001B7103">
        <w:t>Fluoroscopy and/or other X-ray imaging performed during RSGI for delivering gene vectors would not be helpful and is not recommended.</w:t>
      </w:r>
      <w:r w:rsidR="001B7103">
        <w:t xml:space="preserve"> </w:t>
      </w:r>
    </w:p>
    <w:p w14:paraId="154FA107" w14:textId="77777777" w:rsidR="00400B20" w:rsidRPr="001B7103" w:rsidRDefault="00400B20" w:rsidP="005E1306">
      <w:pPr>
        <w:pStyle w:val="NormalWeb"/>
        <w:spacing w:before="0" w:beforeAutospacing="0" w:after="0" w:afterAutospacing="0"/>
      </w:pPr>
    </w:p>
    <w:p w14:paraId="2AE140EB" w14:textId="0E32D2BA" w:rsidR="00134077" w:rsidRPr="001B7103" w:rsidRDefault="00134077" w:rsidP="005E1306">
      <w:pPr>
        <w:pStyle w:val="NormalWeb"/>
        <w:spacing w:before="0" w:beforeAutospacing="0" w:after="0" w:afterAutospacing="0"/>
      </w:pPr>
      <w:r w:rsidRPr="001B7103">
        <w:t>As</w:t>
      </w:r>
      <w:r w:rsidR="0075244F" w:rsidRPr="001B7103">
        <w:t xml:space="preserve"> the field of therapeutics by gene transfer continues to evolve</w:t>
      </w:r>
      <w:r w:rsidRPr="001B7103">
        <w:t xml:space="preserve">, salivary glands </w:t>
      </w:r>
      <w:r w:rsidR="006D4687" w:rsidRPr="001B7103">
        <w:t>as a target tissue are already gaining</w:t>
      </w:r>
      <w:r w:rsidR="0075244F" w:rsidRPr="001B7103">
        <w:t xml:space="preserve"> popularity</w:t>
      </w:r>
      <w:r w:rsidR="00FF6C6F" w:rsidRPr="001B7103">
        <w:fldChar w:fldCharType="begin" w:fldLock="1"/>
      </w:r>
      <w:r w:rsidR="005B5303" w:rsidRPr="001B7103">
        <w:instrText>ADDIN CSL_CITATION {"citationItems":[{"id":"ITEM-1","itemData":{"DOI":"10.1016/j.biocel.2010.02.012","ISSN":"13572725","author":[{"dropping-particle":"","family":"Perez","given":"Paola","non-dropping-particle":"","parse-names":false,"suffix":""},{"dropping-particle":"","family":"Rowzee","given":"Anne M.","non-dropping-particle":"","parse-names":false,"suffix":""},{"dropping-particle":"","family":"Zheng","given":"Changyu","non-dropping-particle":"","parse-names":false,"suffix":""},{"dropping-particle":"","family":"Adriaansen","given":"Janik","non-dropping-particle":"","parse-names":false,"suffix":""},{"dropping-particle":"","family":"Baum","given":"Bruce J.","non-dropping-particle":"","parse-names":false,"suffix":""}],"container-title":"The International Journal of Biochemistry &amp; Cell Biology","id":"ITEM-1","issue":"6","issued":{"date-parts":[["2010","6"]]},"page":"773-777","title":"Salivary epithelial cells: An unassuming target site for gene therapeutics","type":"article-journal","volume":"42"},"uris":["http://www.mendeley.com/documents/?uuid=bc81bd6d-6ebd-4687-acbe-7690e399da21"]},{"id":"ITEM-2","itemData":{"DOI":"10.1073/pnas.1210662109","ISSN":"1091-6490","PMID":"23129637","abstract":"No conventional therapy exists for salivary hypofunction in surviving head and neck cancer patients with Radiation Therapy Oncology Group late grade 2-3 toxicity. We conducted a phase I clinical trial to test the safety and biologic efficacy of serotype 5, adenoviral-mediated aquaporin-1 cDNA transfer to a single previously irradiated parotid gland in 11 subjects using an open label, single-dose, dose-escalation design (AdhAQP1 vector; four dose tiers from 4.8 × 10(7) to 5.8 × 10(9) vector particles per gland). Treated subjects were followed at scheduled intervals. Multiple safety parameters were measured and biologic efficacy was evaluated with measurements of parotid salivary flow rate. Symptoms were assessed with a visual analog scale. All subjects tolerated vector delivery and study procedures well over the 42-d study period reported. No deaths, serious adverse events, or dose-limiting toxicities occurred. Generally, few adverse events occurred, and all were considered mild or moderate. No consistent changes were found in any clinical chemistry and hematology parameters measured. Objective responses were seen in six subjects, all at doses &lt;5.8 × 10(9) vector particles per gland. Five of these six subjects also experienced subjective improvement in xerostomia. AdhAQP1 vector delivery to a single parotid gland was safe and transfer of the hAQP1 cDNA increased parotid flow and relieved symptoms in a subset of subjects.","author":[{"dropping-particle":"","family":"Baum","given":"Bruce J","non-dropping-particle":"","parse-names":false,"suffix":""},{"dropping-particle":"","family":"Alevizos","given":"Ilias","non-dropping-particle":"","parse-names":false,"suffix":""},{"dropping-particle":"","family":"Zheng","given":"Changyu","non-dropping-particle":"","parse-names":false,"suffix":""},{"dropping-particle":"","family":"Cotrim","given":"Ana P","non-dropping-particle":"","parse-names":false,"suffix":""},{"dropping-particle":"","family":"Liu","given":"Shuying","non-dropping-particle":"","parse-names":false,"suffix":""},{"dropping-particle":"","family":"McCullagh","given":"Linda","non-dropping-particle":"","parse-names":false,"suffix":""},{"dropping-particle":"","family":"Goldsmith","given":"Corinne M","non-dropping-particle":"","parse-names":false,"suffix":""},{"dropping-particle":"","family":"Burbelo","given":"Peter D","non-dropping-particle":"","parse-names":false,"suffix":""},{"dropping-particle":"","family":"Citrin","given":"Deborah E","non-dropping-particle":"","parse-names":false,"suffix":""},{"dropping-particle":"","family":"Mitchell","given":"James B","non-dropping-particle":"","parse-names":false,"suffix":""},{"dropping-particle":"","family":"Nottingham","given":"Liesl K","non-dropping-particle":"","parse-names":false,"suffix":""},{"dropping-particle":"","family":"Rudy","given":"Susan F","non-dropping-particle":"","parse-names":false,"suffix":""},{"dropping-particle":"","family":"Waes","given":"Carter","non-dropping-particle":"Van","parse-names":false,"suffix":""},{"dropping-particle":"","family":"Whatley","given":"Millie A","non-dropping-particle":"","parse-names":false,"suffix":""},{"dropping-particle":"","family":"Brahim","given":"Jaime S","non-dropping-particle":"","parse-names":false,"suffix":""},{"dropping-particle":"","family":"Chiorini","given":"John A","non-dropping-particle":"","parse-names":false,"suffix":""},{"dropping-particle":"","family":"Danielides","given":"Stamatina","non-dropping-particle":"","parse-names":false,"suffix":""},{"dropping-particle":"","family":"Turner","given":"R James","non-dropping-particle":"","parse-names":false,"suffix":""},{"dropping-particle":"","family":"Patronas","given":"Nicholas J","non-dropping-particle":"","parse-names":false,"suffix":""},{"dropping-particle":"","family":"Chen","given":"Clara C","non-dropping-particle":"","parse-names":false,"suffix":""},{"dropping-particle":"","family":"Nikolov","given":"Nikolay P","non-dropping-particle":"","parse-names":false,"suffix":""},{"dropping-particle":"","family":"Illei","given":"Gabor G","non-dropping-particle":"","parse-names":false,"suffix":""}],"container-title":"Proceedings of the National Academy of Sciences of the United States of America","id":"ITEM-2","issue":"47","issued":{"date-parts":[["2012","11","20"]]},"page":"19403-7","title":"Early responses to adenoviral-mediated transfer of the aquaporin-1 cDNA for radiation-induced salivary hypofunction.","type":"article-journal","volume":"109"},"uris":["http://www.mendeley.com/documents/?uuid=119e6213-4453-4097-a1c7-9a287ff127a1"]}],"mendeley":{"formattedCitation":"[2,5]","plainTextFormattedCitation":"[2,5]","previouslyFormattedCitation":"[2,5]"},"properties":{"noteIndex":0},"schema":"https://github.com/citation-style-language/schema/raw/master/csl-citation.json"}</w:instrText>
      </w:r>
      <w:r w:rsidR="00FF6C6F" w:rsidRPr="001B7103">
        <w:fldChar w:fldCharType="separate"/>
      </w:r>
      <w:r w:rsidR="00C844F4" w:rsidRPr="00625954">
        <w:rPr>
          <w:noProof/>
          <w:vertAlign w:val="superscript"/>
        </w:rPr>
        <w:t>2,5</w:t>
      </w:r>
      <w:r w:rsidR="00FF6C6F" w:rsidRPr="001B7103">
        <w:fldChar w:fldCharType="end"/>
      </w:r>
      <w:r w:rsidR="0075244F" w:rsidRPr="001B7103">
        <w:t>.</w:t>
      </w:r>
      <w:r w:rsidR="002459F8" w:rsidRPr="001B7103">
        <w:t xml:space="preserve"> Ponzio et al. offer a great review about the advantages of the salivary glands as targets for immunization</w:t>
      </w:r>
      <w:r w:rsidR="000A2A62" w:rsidRPr="00625954">
        <w:rPr>
          <w:vertAlign w:val="superscript"/>
        </w:rPr>
        <w:fldChar w:fldCharType="begin" w:fldLock="1"/>
      </w:r>
      <w:r w:rsidR="000A2A62" w:rsidRPr="00625954">
        <w:rPr>
          <w:vertAlign w:val="superscript"/>
        </w:rPr>
        <w:instrText>ADDIN CSL_CITATION {"citationItems":[{"id":"ITEM-1","itemData":{"DOI":"10.1186/s40794-017-0047-z","ISSN":"2055-0936","author":[{"dropping-particle":"","family":"Ponzio","given":"Todd A.","non-dropping-particle":"","parse-names":false,"suffix":""},{"dropping-particle":"","family":"Sanders","given":"John W.","non-dropping-particle":"","parse-names":false,"suffix":""}],"container-title":"Tropical Diseases, Travel Medicine and Vaccines","id":"ITEM-1","issue":"1","issued":{"date-parts":[["2017","12","17"]]},"note":"NULL","page":"4","publisher":"Tropical Diseases, Travel Medicine and Vaccines","title":"The salivary gland as a target for enhancing immunization response","type":"article-journal","volume":"3"},"uris":["http://www.mendeley.com/documents/?uuid=92039850-87d1-4c4e-a862-02a31c0a6449"]}],"mendeley":{"formattedCitation":"[4]","plainTextFormattedCitation":"[4]"},"properties":{"noteIndex":0},"schema":"https://github.com/citation-style-language/schema/raw/master/csl-citation.json"}</w:instrText>
      </w:r>
      <w:r w:rsidR="000A2A62" w:rsidRPr="00625954">
        <w:rPr>
          <w:vertAlign w:val="superscript"/>
        </w:rPr>
        <w:fldChar w:fldCharType="separate"/>
      </w:r>
      <w:r w:rsidR="000A2A62" w:rsidRPr="00625954">
        <w:rPr>
          <w:noProof/>
          <w:vertAlign w:val="superscript"/>
        </w:rPr>
        <w:t>4</w:t>
      </w:r>
      <w:r w:rsidR="000A2A62" w:rsidRPr="00625954">
        <w:rPr>
          <w:vertAlign w:val="superscript"/>
        </w:rPr>
        <w:fldChar w:fldCharType="end"/>
      </w:r>
      <w:r w:rsidR="000A2A62" w:rsidRPr="001B7103">
        <w:t>.</w:t>
      </w:r>
      <w:r w:rsidR="006D4687" w:rsidRPr="001B7103">
        <w:t xml:space="preserve"> As encapsulated, non-vital glandular tissue which we have demonstrated is easily accessible</w:t>
      </w:r>
      <w:r w:rsidR="00597F07" w:rsidRPr="001B7103">
        <w:t>, the parotid glands constitute an ideal gene therapy platform.</w:t>
      </w:r>
      <w:r w:rsidR="0075244F" w:rsidRPr="001B7103">
        <w:t xml:space="preserve"> </w:t>
      </w:r>
      <w:r w:rsidRPr="001B7103">
        <w:t>RSGI offers the least traumatic techni</w:t>
      </w:r>
      <w:r w:rsidR="006D4687" w:rsidRPr="001B7103">
        <w:t>que</w:t>
      </w:r>
      <w:r w:rsidRPr="001B7103">
        <w:t xml:space="preserve"> for gene transfer into the glands</w:t>
      </w:r>
      <w:r w:rsidR="00597F07" w:rsidRPr="001B7103">
        <w:t>.</w:t>
      </w:r>
      <w:r w:rsidRPr="001B7103">
        <w:t xml:space="preserve"> </w:t>
      </w:r>
    </w:p>
    <w:p w14:paraId="1E8433C4" w14:textId="77777777" w:rsidR="00C97F96" w:rsidRPr="001B7103" w:rsidRDefault="00C97F96" w:rsidP="005E1306">
      <w:pPr>
        <w:rPr>
          <w:color w:val="auto"/>
        </w:rPr>
      </w:pPr>
    </w:p>
    <w:p w14:paraId="50C2A91D" w14:textId="00C01FA8" w:rsidR="00AA03DF" w:rsidRPr="001B7103" w:rsidRDefault="00AA03DF" w:rsidP="005E1306">
      <w:pPr>
        <w:pStyle w:val="NormalWeb"/>
        <w:spacing w:before="0" w:beforeAutospacing="0" w:after="0" w:afterAutospacing="0"/>
        <w:rPr>
          <w:color w:val="808080"/>
        </w:rPr>
      </w:pPr>
      <w:r w:rsidRPr="001B7103">
        <w:rPr>
          <w:b/>
          <w:bCs/>
        </w:rPr>
        <w:t>ACKNOWLEDGMENTS:</w:t>
      </w:r>
      <w:r w:rsidR="001B7103">
        <w:rPr>
          <w:b/>
          <w:bCs/>
        </w:rPr>
        <w:t xml:space="preserve"> </w:t>
      </w:r>
    </w:p>
    <w:p w14:paraId="56DE9F3E" w14:textId="77777777" w:rsidR="007A4DD6" w:rsidRPr="001B7103" w:rsidRDefault="007F4910" w:rsidP="005E1306">
      <w:pPr>
        <w:pStyle w:val="NormalWeb"/>
        <w:spacing w:before="0" w:beforeAutospacing="0" w:after="0" w:afterAutospacing="0"/>
      </w:pPr>
      <w:r w:rsidRPr="001B7103">
        <w:t xml:space="preserve">The authors want to thank Mr. Cagney Gentry for his audiovisual support in filming the procedure. We also want to acknowledge the Hefner VA medical center for academic support in pursuit of this project. </w:t>
      </w:r>
    </w:p>
    <w:p w14:paraId="358FE1F8" w14:textId="77777777" w:rsidR="00AA03DF" w:rsidRPr="001B7103" w:rsidRDefault="00AA03DF" w:rsidP="005E1306">
      <w:pPr>
        <w:rPr>
          <w:b/>
          <w:bCs/>
        </w:rPr>
      </w:pPr>
    </w:p>
    <w:p w14:paraId="6BDCB5C4" w14:textId="25C42511" w:rsidR="00AA03DF" w:rsidRPr="001B7103" w:rsidRDefault="00AA03DF" w:rsidP="005E1306">
      <w:pPr>
        <w:pStyle w:val="NormalWeb"/>
        <w:spacing w:before="0" w:beforeAutospacing="0" w:after="0" w:afterAutospacing="0"/>
        <w:rPr>
          <w:color w:val="808080"/>
        </w:rPr>
      </w:pPr>
      <w:r w:rsidRPr="001B7103">
        <w:rPr>
          <w:b/>
        </w:rPr>
        <w:t>DISCLOSURES</w:t>
      </w:r>
      <w:r w:rsidRPr="001B7103">
        <w:rPr>
          <w:b/>
          <w:bCs/>
        </w:rPr>
        <w:t>:</w:t>
      </w:r>
      <w:r w:rsidR="001B7103">
        <w:rPr>
          <w:b/>
          <w:bCs/>
        </w:rPr>
        <w:t xml:space="preserve"> </w:t>
      </w:r>
    </w:p>
    <w:p w14:paraId="0D3615C5" w14:textId="77777777" w:rsidR="00AA03DF" w:rsidRPr="001B7103" w:rsidRDefault="002D4E52" w:rsidP="005E1306">
      <w:pPr>
        <w:pStyle w:val="NormalWeb"/>
        <w:spacing w:before="0" w:beforeAutospacing="0" w:after="0" w:afterAutospacing="0"/>
      </w:pPr>
      <w:r w:rsidRPr="001B7103">
        <w:t>The authors have nothing to disclose.</w:t>
      </w:r>
    </w:p>
    <w:p w14:paraId="6EEDD9E4" w14:textId="77777777" w:rsidR="002D4E52" w:rsidRPr="001B7103" w:rsidRDefault="002D4E52" w:rsidP="005E1306">
      <w:pPr>
        <w:rPr>
          <w:color w:val="auto"/>
        </w:rPr>
      </w:pPr>
    </w:p>
    <w:p w14:paraId="35CCE9ED" w14:textId="77777777" w:rsidR="006A0F6E" w:rsidRPr="001B7103" w:rsidRDefault="006A0F6E" w:rsidP="005E1306">
      <w:pPr>
        <w:rPr>
          <w:b/>
          <w:color w:val="000000" w:themeColor="text1"/>
        </w:rPr>
      </w:pPr>
      <w:r w:rsidRPr="001B7103">
        <w:rPr>
          <w:b/>
          <w:bCs/>
        </w:rPr>
        <w:t>REFERENCES:</w:t>
      </w:r>
      <w:r w:rsidRPr="001B7103">
        <w:t xml:space="preserve"> </w:t>
      </w:r>
    </w:p>
    <w:p w14:paraId="11370ABB" w14:textId="64483079" w:rsidR="000A2A62" w:rsidRPr="001B7103" w:rsidRDefault="006A0F6E" w:rsidP="005E1306">
      <w:pPr>
        <w:rPr>
          <w:noProof/>
        </w:rPr>
      </w:pPr>
      <w:r w:rsidRPr="001B7103">
        <w:rPr>
          <w:color w:val="808080"/>
        </w:rPr>
        <w:fldChar w:fldCharType="begin" w:fldLock="1"/>
      </w:r>
      <w:r w:rsidRPr="001B7103">
        <w:rPr>
          <w:color w:val="808080"/>
        </w:rPr>
        <w:instrText xml:space="preserve">ADDIN Mendeley Bibliography CSL_BIBLIOGRAPHY </w:instrText>
      </w:r>
      <w:r w:rsidRPr="001B7103">
        <w:rPr>
          <w:color w:val="808080"/>
        </w:rPr>
        <w:fldChar w:fldCharType="separate"/>
      </w:r>
      <w:r w:rsidR="000A2A62" w:rsidRPr="001B7103">
        <w:rPr>
          <w:noProof/>
        </w:rPr>
        <w:t xml:space="preserve">[1] </w:t>
      </w:r>
      <w:r w:rsidR="000A2A62" w:rsidRPr="001B7103">
        <w:rPr>
          <w:noProof/>
        </w:rPr>
        <w:tab/>
        <w:t>Isenman</w:t>
      </w:r>
      <w:r w:rsidR="00625954">
        <w:rPr>
          <w:noProof/>
        </w:rPr>
        <w:t>,</w:t>
      </w:r>
      <w:r w:rsidR="000A2A62" w:rsidRPr="001B7103">
        <w:rPr>
          <w:noProof/>
        </w:rPr>
        <w:t xml:space="preserve"> L</w:t>
      </w:r>
      <w:r w:rsidR="00625954">
        <w:rPr>
          <w:noProof/>
        </w:rPr>
        <w:t>.</w:t>
      </w:r>
      <w:r w:rsidR="000A2A62" w:rsidRPr="001B7103">
        <w:rPr>
          <w:noProof/>
        </w:rPr>
        <w:t>, Liebow</w:t>
      </w:r>
      <w:r w:rsidR="00625954">
        <w:rPr>
          <w:noProof/>
        </w:rPr>
        <w:t>,</w:t>
      </w:r>
      <w:r w:rsidR="000A2A62" w:rsidRPr="001B7103">
        <w:rPr>
          <w:noProof/>
        </w:rPr>
        <w:t xml:space="preserve"> C</w:t>
      </w:r>
      <w:r w:rsidR="00625954">
        <w:rPr>
          <w:noProof/>
        </w:rPr>
        <w:t>.</w:t>
      </w:r>
      <w:r w:rsidR="000A2A62" w:rsidRPr="001B7103">
        <w:rPr>
          <w:noProof/>
        </w:rPr>
        <w:t>, Rothman</w:t>
      </w:r>
      <w:r w:rsidR="00625954">
        <w:rPr>
          <w:noProof/>
        </w:rPr>
        <w:t>,</w:t>
      </w:r>
      <w:r w:rsidR="000A2A62" w:rsidRPr="001B7103">
        <w:rPr>
          <w:noProof/>
        </w:rPr>
        <w:t xml:space="preserve"> S. The endocrine secretion of mammalian digestive enzymes by exocrine glands. </w:t>
      </w:r>
      <w:r w:rsidR="000A2A62" w:rsidRPr="00625954">
        <w:rPr>
          <w:i/>
          <w:iCs/>
          <w:noProof/>
        </w:rPr>
        <w:t xml:space="preserve">The American </w:t>
      </w:r>
      <w:r w:rsidR="00625954" w:rsidRPr="00625954">
        <w:rPr>
          <w:i/>
          <w:iCs/>
          <w:noProof/>
        </w:rPr>
        <w:t>Journal of Phys</w:t>
      </w:r>
      <w:r w:rsidR="000A2A62" w:rsidRPr="00625954">
        <w:rPr>
          <w:i/>
          <w:iCs/>
          <w:noProof/>
        </w:rPr>
        <w:t>iology</w:t>
      </w:r>
      <w:r w:rsidR="000A2A62" w:rsidRPr="001B7103">
        <w:rPr>
          <w:noProof/>
        </w:rPr>
        <w:t xml:space="preserve">. </w:t>
      </w:r>
      <w:r w:rsidR="000A2A62" w:rsidRPr="00625954">
        <w:rPr>
          <w:b/>
          <w:bCs/>
          <w:noProof/>
        </w:rPr>
        <w:t>276</w:t>
      </w:r>
      <w:r w:rsidR="00625954">
        <w:rPr>
          <w:noProof/>
        </w:rPr>
        <w:t xml:space="preserve">, </w:t>
      </w:r>
      <w:r w:rsidR="000A2A62" w:rsidRPr="001B7103">
        <w:rPr>
          <w:noProof/>
        </w:rPr>
        <w:t>E223-32</w:t>
      </w:r>
      <w:r w:rsidR="00625954">
        <w:rPr>
          <w:noProof/>
        </w:rPr>
        <w:t xml:space="preserve"> (1999).</w:t>
      </w:r>
    </w:p>
    <w:p w14:paraId="07A3756A" w14:textId="5EAAFD23" w:rsidR="000A2A62" w:rsidRPr="001B7103" w:rsidRDefault="000A2A62" w:rsidP="005E1306">
      <w:pPr>
        <w:rPr>
          <w:noProof/>
        </w:rPr>
      </w:pPr>
      <w:r w:rsidRPr="001B7103">
        <w:rPr>
          <w:noProof/>
        </w:rPr>
        <w:t xml:space="preserve">[2] </w:t>
      </w:r>
      <w:r w:rsidRPr="001B7103">
        <w:rPr>
          <w:noProof/>
        </w:rPr>
        <w:tab/>
        <w:t>Perez</w:t>
      </w:r>
      <w:r w:rsidR="00625954">
        <w:rPr>
          <w:noProof/>
        </w:rPr>
        <w:t>,</w:t>
      </w:r>
      <w:r w:rsidRPr="001B7103">
        <w:rPr>
          <w:noProof/>
        </w:rPr>
        <w:t xml:space="preserve"> P</w:t>
      </w:r>
      <w:r w:rsidR="00625954">
        <w:rPr>
          <w:noProof/>
        </w:rPr>
        <w:t>.</w:t>
      </w:r>
      <w:r w:rsidRPr="001B7103">
        <w:rPr>
          <w:noProof/>
        </w:rPr>
        <w:t xml:space="preserve"> et al. Salivary epithelial cells: An unassuming target site for gene therapeutics. </w:t>
      </w:r>
      <w:r w:rsidRPr="00625954">
        <w:rPr>
          <w:i/>
          <w:iCs/>
          <w:noProof/>
        </w:rPr>
        <w:t>The International Journal of Biochemistry &amp; Cell Biology</w:t>
      </w:r>
      <w:r w:rsidRPr="001B7103">
        <w:rPr>
          <w:noProof/>
        </w:rPr>
        <w:t xml:space="preserve">. </w:t>
      </w:r>
      <w:r w:rsidRPr="00625954">
        <w:rPr>
          <w:b/>
          <w:bCs/>
          <w:noProof/>
        </w:rPr>
        <w:t>42</w:t>
      </w:r>
      <w:r w:rsidR="00625954">
        <w:rPr>
          <w:noProof/>
        </w:rPr>
        <w:t xml:space="preserve">, </w:t>
      </w:r>
      <w:r w:rsidRPr="001B7103">
        <w:rPr>
          <w:noProof/>
        </w:rPr>
        <w:t>773–777</w:t>
      </w:r>
      <w:r w:rsidR="00625954">
        <w:rPr>
          <w:noProof/>
        </w:rPr>
        <w:t xml:space="preserve"> (2010).</w:t>
      </w:r>
    </w:p>
    <w:p w14:paraId="24DC0FF1" w14:textId="2A1A2EA6" w:rsidR="000A2A62" w:rsidRPr="001B7103" w:rsidRDefault="000A2A62" w:rsidP="005E1306">
      <w:pPr>
        <w:rPr>
          <w:noProof/>
        </w:rPr>
      </w:pPr>
      <w:r w:rsidRPr="001B7103">
        <w:rPr>
          <w:noProof/>
        </w:rPr>
        <w:t xml:space="preserve">[3] </w:t>
      </w:r>
      <w:r w:rsidRPr="001B7103">
        <w:rPr>
          <w:noProof/>
        </w:rPr>
        <w:tab/>
        <w:t>Kochel</w:t>
      </w:r>
      <w:r w:rsidR="00625954">
        <w:rPr>
          <w:noProof/>
        </w:rPr>
        <w:t>,</w:t>
      </w:r>
      <w:r w:rsidRPr="001B7103">
        <w:rPr>
          <w:noProof/>
        </w:rPr>
        <w:t xml:space="preserve"> T</w:t>
      </w:r>
      <w:r w:rsidR="00625954">
        <w:rPr>
          <w:noProof/>
        </w:rPr>
        <w:t>.</w:t>
      </w:r>
      <w:r w:rsidR="00BB0FD9">
        <w:rPr>
          <w:noProof/>
        </w:rPr>
        <w:t xml:space="preserve"> </w:t>
      </w:r>
      <w:r w:rsidRPr="001B7103">
        <w:rPr>
          <w:noProof/>
        </w:rPr>
        <w:t>J</w:t>
      </w:r>
      <w:r w:rsidR="00625954">
        <w:rPr>
          <w:noProof/>
        </w:rPr>
        <w:t xml:space="preserve">. </w:t>
      </w:r>
      <w:r w:rsidRPr="001B7103">
        <w:rPr>
          <w:noProof/>
        </w:rPr>
        <w:t xml:space="preserve">et al. A dengue virus serotype-1 DNA vaccine induces virus neutralizing antibodies and provides protection from viral challenge in Aotus monkeys. </w:t>
      </w:r>
      <w:r w:rsidRPr="00625954">
        <w:rPr>
          <w:i/>
          <w:iCs/>
          <w:noProof/>
        </w:rPr>
        <w:t>Vaccine</w:t>
      </w:r>
      <w:r w:rsidRPr="001B7103">
        <w:rPr>
          <w:noProof/>
        </w:rPr>
        <w:t xml:space="preserve">. </w:t>
      </w:r>
      <w:r w:rsidRPr="00625954">
        <w:rPr>
          <w:b/>
          <w:bCs/>
          <w:noProof/>
        </w:rPr>
        <w:t>18</w:t>
      </w:r>
      <w:r w:rsidR="00625954">
        <w:rPr>
          <w:noProof/>
        </w:rPr>
        <w:t xml:space="preserve">, </w:t>
      </w:r>
      <w:r w:rsidRPr="001B7103">
        <w:rPr>
          <w:noProof/>
        </w:rPr>
        <w:t>3166–3173</w:t>
      </w:r>
      <w:r w:rsidR="00625954">
        <w:rPr>
          <w:noProof/>
        </w:rPr>
        <w:t xml:space="preserve"> (2000).</w:t>
      </w:r>
    </w:p>
    <w:p w14:paraId="295C5F61" w14:textId="1043BC01" w:rsidR="000A2A62" w:rsidRPr="001B7103" w:rsidRDefault="000A2A62" w:rsidP="005E1306">
      <w:pPr>
        <w:rPr>
          <w:noProof/>
        </w:rPr>
      </w:pPr>
      <w:r w:rsidRPr="001B7103">
        <w:rPr>
          <w:noProof/>
        </w:rPr>
        <w:t xml:space="preserve">[4] </w:t>
      </w:r>
      <w:r w:rsidRPr="001B7103">
        <w:rPr>
          <w:noProof/>
        </w:rPr>
        <w:tab/>
        <w:t>Ponzio</w:t>
      </w:r>
      <w:r w:rsidR="00625954">
        <w:rPr>
          <w:noProof/>
        </w:rPr>
        <w:t>,</w:t>
      </w:r>
      <w:r w:rsidRPr="001B7103">
        <w:rPr>
          <w:noProof/>
        </w:rPr>
        <w:t xml:space="preserve"> T</w:t>
      </w:r>
      <w:r w:rsidR="00625954">
        <w:rPr>
          <w:noProof/>
        </w:rPr>
        <w:t>.</w:t>
      </w:r>
      <w:r w:rsidR="00BB0FD9">
        <w:rPr>
          <w:noProof/>
        </w:rPr>
        <w:t xml:space="preserve"> </w:t>
      </w:r>
      <w:r w:rsidRPr="001B7103">
        <w:rPr>
          <w:noProof/>
        </w:rPr>
        <w:t>A</w:t>
      </w:r>
      <w:r w:rsidR="00625954">
        <w:rPr>
          <w:noProof/>
        </w:rPr>
        <w:t>.</w:t>
      </w:r>
      <w:r w:rsidRPr="001B7103">
        <w:rPr>
          <w:noProof/>
        </w:rPr>
        <w:t>, Sanders</w:t>
      </w:r>
      <w:r w:rsidR="00625954">
        <w:rPr>
          <w:noProof/>
        </w:rPr>
        <w:t>,</w:t>
      </w:r>
      <w:r w:rsidRPr="001B7103">
        <w:rPr>
          <w:noProof/>
        </w:rPr>
        <w:t xml:space="preserve"> J</w:t>
      </w:r>
      <w:r w:rsidR="00625954">
        <w:rPr>
          <w:noProof/>
        </w:rPr>
        <w:t>.</w:t>
      </w:r>
      <w:r w:rsidRPr="001B7103">
        <w:rPr>
          <w:noProof/>
        </w:rPr>
        <w:t xml:space="preserve">W. The salivary gland as a target for enhancing immunization response. </w:t>
      </w:r>
      <w:r w:rsidRPr="00625954">
        <w:rPr>
          <w:i/>
          <w:iCs/>
          <w:noProof/>
        </w:rPr>
        <w:t>Tropical Diseases, Travel Medicine and Vaccines</w:t>
      </w:r>
      <w:r w:rsidRPr="001B7103">
        <w:rPr>
          <w:noProof/>
        </w:rPr>
        <w:t xml:space="preserve">. </w:t>
      </w:r>
      <w:r w:rsidRPr="00625954">
        <w:rPr>
          <w:b/>
          <w:bCs/>
          <w:noProof/>
        </w:rPr>
        <w:t>3</w:t>
      </w:r>
      <w:r w:rsidR="00625954">
        <w:rPr>
          <w:noProof/>
        </w:rPr>
        <w:t xml:space="preserve">, </w:t>
      </w:r>
      <w:r w:rsidRPr="001B7103">
        <w:rPr>
          <w:noProof/>
        </w:rPr>
        <w:t>4</w:t>
      </w:r>
      <w:r w:rsidR="00625954">
        <w:rPr>
          <w:noProof/>
        </w:rPr>
        <w:t xml:space="preserve"> (2017).</w:t>
      </w:r>
    </w:p>
    <w:p w14:paraId="57C3C302" w14:textId="700B199E" w:rsidR="000A2A62" w:rsidRPr="001B7103" w:rsidRDefault="000A2A62" w:rsidP="005E1306">
      <w:pPr>
        <w:rPr>
          <w:noProof/>
        </w:rPr>
      </w:pPr>
      <w:r w:rsidRPr="001B7103">
        <w:rPr>
          <w:noProof/>
        </w:rPr>
        <w:t xml:space="preserve">[5] </w:t>
      </w:r>
      <w:r w:rsidRPr="001B7103">
        <w:rPr>
          <w:noProof/>
        </w:rPr>
        <w:tab/>
        <w:t>Baum</w:t>
      </w:r>
      <w:r w:rsidR="00625954">
        <w:rPr>
          <w:noProof/>
        </w:rPr>
        <w:t>,</w:t>
      </w:r>
      <w:r w:rsidRPr="001B7103">
        <w:rPr>
          <w:noProof/>
        </w:rPr>
        <w:t xml:space="preserve"> B</w:t>
      </w:r>
      <w:r w:rsidR="00625954">
        <w:rPr>
          <w:noProof/>
        </w:rPr>
        <w:t>.</w:t>
      </w:r>
      <w:r w:rsidR="00BB0FD9">
        <w:rPr>
          <w:noProof/>
        </w:rPr>
        <w:t xml:space="preserve"> </w:t>
      </w:r>
      <w:r w:rsidRPr="001B7103">
        <w:rPr>
          <w:noProof/>
        </w:rPr>
        <w:t>J</w:t>
      </w:r>
      <w:r w:rsidR="00625954">
        <w:rPr>
          <w:noProof/>
        </w:rPr>
        <w:t xml:space="preserve">. </w:t>
      </w:r>
      <w:r w:rsidRPr="001B7103">
        <w:rPr>
          <w:noProof/>
        </w:rPr>
        <w:t xml:space="preserve">et al. Early responses to adenoviral-mediated transfer of the aquaporin-1 cDNA for radiation-induced salivary hypofunction. </w:t>
      </w:r>
      <w:r w:rsidRPr="00625954">
        <w:rPr>
          <w:i/>
          <w:iCs/>
          <w:noProof/>
        </w:rPr>
        <w:t>Proceedings of the National Academy of Sciences of the United States of America</w:t>
      </w:r>
      <w:r w:rsidRPr="001B7103">
        <w:rPr>
          <w:noProof/>
        </w:rPr>
        <w:t xml:space="preserve">. </w:t>
      </w:r>
      <w:r w:rsidRPr="00625954">
        <w:rPr>
          <w:b/>
          <w:bCs/>
          <w:noProof/>
        </w:rPr>
        <w:t>109</w:t>
      </w:r>
      <w:r w:rsidR="00625954">
        <w:rPr>
          <w:noProof/>
        </w:rPr>
        <w:t xml:space="preserve">, </w:t>
      </w:r>
      <w:r w:rsidRPr="001B7103">
        <w:rPr>
          <w:noProof/>
        </w:rPr>
        <w:t>19403–19407</w:t>
      </w:r>
      <w:r w:rsidR="00625954">
        <w:rPr>
          <w:noProof/>
        </w:rPr>
        <w:t xml:space="preserve"> (2012).</w:t>
      </w:r>
    </w:p>
    <w:p w14:paraId="0C1D1B77" w14:textId="2B3DE475" w:rsidR="000A2A62" w:rsidRPr="001B7103" w:rsidRDefault="000A2A62" w:rsidP="005E1306">
      <w:pPr>
        <w:rPr>
          <w:noProof/>
        </w:rPr>
      </w:pPr>
      <w:r w:rsidRPr="001B7103">
        <w:rPr>
          <w:noProof/>
        </w:rPr>
        <w:t xml:space="preserve">[6] </w:t>
      </w:r>
      <w:r w:rsidRPr="001B7103">
        <w:rPr>
          <w:noProof/>
        </w:rPr>
        <w:tab/>
        <w:t>Voutetakis</w:t>
      </w:r>
      <w:r w:rsidR="00625954">
        <w:rPr>
          <w:noProof/>
        </w:rPr>
        <w:t>,</w:t>
      </w:r>
      <w:r w:rsidRPr="001B7103">
        <w:rPr>
          <w:noProof/>
        </w:rPr>
        <w:t xml:space="preserve"> A</w:t>
      </w:r>
      <w:r w:rsidR="00625954">
        <w:rPr>
          <w:noProof/>
        </w:rPr>
        <w:t xml:space="preserve">. </w:t>
      </w:r>
      <w:r w:rsidRPr="001B7103">
        <w:rPr>
          <w:noProof/>
        </w:rPr>
        <w:t xml:space="preserve">et al. Sorting of Transgenic Secretory Proteins in Rhesus Macaque Parotid Glands After Adenovirus-Mediated Gene Transfer. </w:t>
      </w:r>
      <w:r w:rsidR="00625954" w:rsidRPr="00625954">
        <w:rPr>
          <w:i/>
          <w:iCs/>
          <w:noProof/>
        </w:rPr>
        <w:t>Human</w:t>
      </w:r>
      <w:r w:rsidR="00625954" w:rsidRPr="001B7103">
        <w:rPr>
          <w:noProof/>
        </w:rPr>
        <w:t xml:space="preserve"> </w:t>
      </w:r>
      <w:r w:rsidR="00625954" w:rsidRPr="00625954">
        <w:rPr>
          <w:i/>
          <w:iCs/>
          <w:noProof/>
        </w:rPr>
        <w:t>Gene</w:t>
      </w:r>
      <w:r w:rsidR="00625954" w:rsidRPr="001B7103">
        <w:rPr>
          <w:noProof/>
        </w:rPr>
        <w:t xml:space="preserve"> </w:t>
      </w:r>
      <w:r w:rsidR="00625954" w:rsidRPr="00625954">
        <w:rPr>
          <w:i/>
          <w:iCs/>
          <w:noProof/>
        </w:rPr>
        <w:t>Therapy</w:t>
      </w:r>
      <w:r w:rsidRPr="001B7103">
        <w:rPr>
          <w:noProof/>
        </w:rPr>
        <w:t xml:space="preserve">. </w:t>
      </w:r>
      <w:r w:rsidRPr="00625954">
        <w:rPr>
          <w:b/>
          <w:bCs/>
          <w:noProof/>
        </w:rPr>
        <w:t>19</w:t>
      </w:r>
      <w:r w:rsidR="00625954">
        <w:rPr>
          <w:noProof/>
        </w:rPr>
        <w:t xml:space="preserve">, </w:t>
      </w:r>
      <w:r w:rsidRPr="001B7103">
        <w:rPr>
          <w:noProof/>
        </w:rPr>
        <w:t>1401–1405</w:t>
      </w:r>
      <w:r w:rsidR="00625954">
        <w:rPr>
          <w:noProof/>
        </w:rPr>
        <w:t xml:space="preserve"> (2008).</w:t>
      </w:r>
    </w:p>
    <w:p w14:paraId="53B361BF" w14:textId="29B95967" w:rsidR="000A2A62" w:rsidRPr="001B7103" w:rsidRDefault="000A2A62" w:rsidP="005E1306">
      <w:pPr>
        <w:rPr>
          <w:noProof/>
        </w:rPr>
      </w:pPr>
      <w:r w:rsidRPr="001B7103">
        <w:rPr>
          <w:noProof/>
        </w:rPr>
        <w:t xml:space="preserve">[7] </w:t>
      </w:r>
      <w:r w:rsidRPr="001B7103">
        <w:rPr>
          <w:noProof/>
        </w:rPr>
        <w:tab/>
        <w:t>Niedzinski</w:t>
      </w:r>
      <w:r w:rsidR="00625954">
        <w:rPr>
          <w:noProof/>
        </w:rPr>
        <w:t>,</w:t>
      </w:r>
      <w:r w:rsidRPr="001B7103">
        <w:rPr>
          <w:noProof/>
        </w:rPr>
        <w:t xml:space="preserve"> E</w:t>
      </w:r>
      <w:r w:rsidR="00625954">
        <w:rPr>
          <w:noProof/>
        </w:rPr>
        <w:t>.</w:t>
      </w:r>
      <w:r w:rsidR="00BB0FD9">
        <w:rPr>
          <w:noProof/>
        </w:rPr>
        <w:t xml:space="preserve"> </w:t>
      </w:r>
      <w:r w:rsidRPr="001B7103">
        <w:rPr>
          <w:noProof/>
        </w:rPr>
        <w:t>J</w:t>
      </w:r>
      <w:r w:rsidR="00625954">
        <w:rPr>
          <w:noProof/>
        </w:rPr>
        <w:t xml:space="preserve">. </w:t>
      </w:r>
      <w:r w:rsidRPr="001B7103">
        <w:rPr>
          <w:noProof/>
        </w:rPr>
        <w:t xml:space="preserve">et al. Enhanced systemic transgene expression after nonviral salivary </w:t>
      </w:r>
      <w:r w:rsidRPr="001B7103">
        <w:rPr>
          <w:noProof/>
        </w:rPr>
        <w:lastRenderedPageBreak/>
        <w:t xml:space="preserve">gland transfection using a novel endonuclease inhibitor/DNA formulation. </w:t>
      </w:r>
      <w:r w:rsidRPr="00625954">
        <w:rPr>
          <w:i/>
          <w:iCs/>
          <w:noProof/>
        </w:rPr>
        <w:t>Gene</w:t>
      </w:r>
      <w:r w:rsidRPr="001B7103">
        <w:rPr>
          <w:noProof/>
        </w:rPr>
        <w:t xml:space="preserve"> </w:t>
      </w:r>
      <w:r w:rsidR="00625954" w:rsidRPr="00625954">
        <w:rPr>
          <w:i/>
          <w:iCs/>
          <w:noProof/>
        </w:rPr>
        <w:t>T</w:t>
      </w:r>
      <w:r w:rsidRPr="00625954">
        <w:rPr>
          <w:i/>
          <w:iCs/>
          <w:noProof/>
        </w:rPr>
        <w:t>herapy</w:t>
      </w:r>
      <w:r w:rsidRPr="001B7103">
        <w:rPr>
          <w:noProof/>
        </w:rPr>
        <w:t xml:space="preserve">. </w:t>
      </w:r>
      <w:r w:rsidRPr="00625954">
        <w:rPr>
          <w:b/>
          <w:bCs/>
          <w:noProof/>
        </w:rPr>
        <w:t>10</w:t>
      </w:r>
      <w:r w:rsidR="00625954">
        <w:rPr>
          <w:noProof/>
        </w:rPr>
        <w:t xml:space="preserve">, </w:t>
      </w:r>
      <w:r w:rsidRPr="001B7103">
        <w:rPr>
          <w:noProof/>
        </w:rPr>
        <w:t>2133–2138</w:t>
      </w:r>
      <w:r w:rsidR="00625954">
        <w:rPr>
          <w:noProof/>
        </w:rPr>
        <w:t xml:space="preserve"> (2003).</w:t>
      </w:r>
    </w:p>
    <w:p w14:paraId="23B9BB19" w14:textId="6869B1E6" w:rsidR="000A2A62" w:rsidRPr="001B7103" w:rsidRDefault="000A2A62" w:rsidP="005E1306">
      <w:pPr>
        <w:rPr>
          <w:noProof/>
        </w:rPr>
      </w:pPr>
      <w:r w:rsidRPr="001B7103">
        <w:rPr>
          <w:noProof/>
        </w:rPr>
        <w:t xml:space="preserve">[8] </w:t>
      </w:r>
      <w:r w:rsidRPr="001B7103">
        <w:rPr>
          <w:noProof/>
        </w:rPr>
        <w:tab/>
        <w:t>Niedzinski</w:t>
      </w:r>
      <w:r w:rsidR="00625954">
        <w:rPr>
          <w:noProof/>
        </w:rPr>
        <w:t>,</w:t>
      </w:r>
      <w:r w:rsidRPr="001B7103">
        <w:rPr>
          <w:noProof/>
        </w:rPr>
        <w:t xml:space="preserve"> E</w:t>
      </w:r>
      <w:r w:rsidR="00625954">
        <w:rPr>
          <w:noProof/>
        </w:rPr>
        <w:t>.</w:t>
      </w:r>
      <w:r w:rsidR="00BB0FD9">
        <w:rPr>
          <w:noProof/>
        </w:rPr>
        <w:t xml:space="preserve"> </w:t>
      </w:r>
      <w:r w:rsidRPr="001B7103">
        <w:rPr>
          <w:noProof/>
        </w:rPr>
        <w:t>J</w:t>
      </w:r>
      <w:r w:rsidR="00625954">
        <w:rPr>
          <w:noProof/>
        </w:rPr>
        <w:t xml:space="preserve">. </w:t>
      </w:r>
      <w:r w:rsidRPr="001B7103">
        <w:rPr>
          <w:noProof/>
        </w:rPr>
        <w:t>et al. Zinc Enhancement of Nonviral Salivary Gland Transfection.</w:t>
      </w:r>
      <w:r w:rsidR="00625954">
        <w:rPr>
          <w:noProof/>
        </w:rPr>
        <w:t xml:space="preserve"> </w:t>
      </w:r>
      <w:r w:rsidR="00625954">
        <w:rPr>
          <w:i/>
          <w:iCs/>
          <w:noProof/>
        </w:rPr>
        <w:t xml:space="preserve">Molecular Therapy. </w:t>
      </w:r>
      <w:r w:rsidRPr="00625954">
        <w:rPr>
          <w:b/>
          <w:bCs/>
          <w:noProof/>
        </w:rPr>
        <w:t>7</w:t>
      </w:r>
      <w:r w:rsidR="00625954">
        <w:rPr>
          <w:noProof/>
        </w:rPr>
        <w:t xml:space="preserve">, </w:t>
      </w:r>
      <w:r w:rsidRPr="001B7103">
        <w:rPr>
          <w:noProof/>
        </w:rPr>
        <w:t>396–400</w:t>
      </w:r>
      <w:r w:rsidR="00625954">
        <w:rPr>
          <w:noProof/>
        </w:rPr>
        <w:t xml:space="preserve"> (2003).</w:t>
      </w:r>
    </w:p>
    <w:p w14:paraId="274B7856" w14:textId="36BBD155" w:rsidR="000A2A62" w:rsidRPr="001B7103" w:rsidRDefault="000A2A62" w:rsidP="005E1306">
      <w:pPr>
        <w:rPr>
          <w:noProof/>
        </w:rPr>
      </w:pPr>
      <w:r w:rsidRPr="001B7103">
        <w:rPr>
          <w:noProof/>
        </w:rPr>
        <w:t xml:space="preserve">[9] </w:t>
      </w:r>
      <w:r w:rsidRPr="001B7103">
        <w:rPr>
          <w:noProof/>
        </w:rPr>
        <w:tab/>
        <w:t>Samuni</w:t>
      </w:r>
      <w:r w:rsidR="00625954">
        <w:rPr>
          <w:noProof/>
        </w:rPr>
        <w:t>,</w:t>
      </w:r>
      <w:r w:rsidRPr="001B7103">
        <w:rPr>
          <w:noProof/>
        </w:rPr>
        <w:t xml:space="preserve"> Y</w:t>
      </w:r>
      <w:r w:rsidR="00625954">
        <w:rPr>
          <w:noProof/>
        </w:rPr>
        <w:t>.</w:t>
      </w:r>
      <w:r w:rsidRPr="001B7103">
        <w:rPr>
          <w:noProof/>
        </w:rPr>
        <w:t>, Baum</w:t>
      </w:r>
      <w:r w:rsidR="00625954">
        <w:rPr>
          <w:noProof/>
        </w:rPr>
        <w:t>,</w:t>
      </w:r>
      <w:r w:rsidRPr="001B7103">
        <w:rPr>
          <w:noProof/>
        </w:rPr>
        <w:t xml:space="preserve"> B</w:t>
      </w:r>
      <w:r w:rsidR="00625954">
        <w:rPr>
          <w:noProof/>
        </w:rPr>
        <w:t>.</w:t>
      </w:r>
      <w:r w:rsidR="00BB0FD9">
        <w:rPr>
          <w:noProof/>
        </w:rPr>
        <w:t xml:space="preserve"> </w:t>
      </w:r>
      <w:r w:rsidRPr="001B7103">
        <w:rPr>
          <w:noProof/>
        </w:rPr>
        <w:t xml:space="preserve">J. Gene delivery in salivary glands: From the bench to the clinic. </w:t>
      </w:r>
      <w:r w:rsidRPr="00625954">
        <w:rPr>
          <w:i/>
          <w:iCs/>
          <w:noProof/>
        </w:rPr>
        <w:t>Biochimica et Biophysica Acta - Molecular Basis of Disease</w:t>
      </w:r>
      <w:r w:rsidR="00625954">
        <w:rPr>
          <w:noProof/>
        </w:rPr>
        <w:t xml:space="preserve"> (2011).</w:t>
      </w:r>
    </w:p>
    <w:p w14:paraId="1554554F" w14:textId="522779CF" w:rsidR="000A2A62" w:rsidRPr="001B7103" w:rsidRDefault="000A2A62" w:rsidP="005E1306">
      <w:pPr>
        <w:rPr>
          <w:noProof/>
        </w:rPr>
      </w:pPr>
      <w:r w:rsidRPr="001B7103">
        <w:rPr>
          <w:noProof/>
        </w:rPr>
        <w:t xml:space="preserve">[10] </w:t>
      </w:r>
      <w:r w:rsidRPr="001B7103">
        <w:rPr>
          <w:noProof/>
        </w:rPr>
        <w:tab/>
        <w:t>Voutetakis</w:t>
      </w:r>
      <w:r w:rsidR="00625954">
        <w:rPr>
          <w:noProof/>
        </w:rPr>
        <w:t>,</w:t>
      </w:r>
      <w:r w:rsidRPr="001B7103">
        <w:rPr>
          <w:noProof/>
        </w:rPr>
        <w:t xml:space="preserve"> A</w:t>
      </w:r>
      <w:r w:rsidR="00625954">
        <w:rPr>
          <w:noProof/>
        </w:rPr>
        <w:t xml:space="preserve">. </w:t>
      </w:r>
      <w:r w:rsidRPr="001B7103">
        <w:rPr>
          <w:noProof/>
        </w:rPr>
        <w:t xml:space="preserve">et al. Adeno-Associated Virus Serotype 2-Mediated Gene Transfer to The Parotid Glands of Nonhuman Primates. </w:t>
      </w:r>
      <w:r w:rsidRPr="00625954">
        <w:rPr>
          <w:i/>
          <w:iCs/>
          <w:noProof/>
        </w:rPr>
        <w:t>Human</w:t>
      </w:r>
      <w:r w:rsidRPr="001B7103">
        <w:rPr>
          <w:noProof/>
        </w:rPr>
        <w:t xml:space="preserve"> </w:t>
      </w:r>
      <w:r w:rsidRPr="00625954">
        <w:rPr>
          <w:i/>
          <w:iCs/>
          <w:noProof/>
        </w:rPr>
        <w:t>Gene</w:t>
      </w:r>
      <w:r w:rsidRPr="001B7103">
        <w:rPr>
          <w:noProof/>
        </w:rPr>
        <w:t xml:space="preserve"> </w:t>
      </w:r>
      <w:r w:rsidRPr="00625954">
        <w:rPr>
          <w:i/>
          <w:iCs/>
          <w:noProof/>
        </w:rPr>
        <w:t>Therapy</w:t>
      </w:r>
      <w:r w:rsidRPr="001B7103">
        <w:rPr>
          <w:noProof/>
        </w:rPr>
        <w:t xml:space="preserve">. </w:t>
      </w:r>
      <w:r w:rsidRPr="00625954">
        <w:rPr>
          <w:b/>
          <w:bCs/>
          <w:noProof/>
        </w:rPr>
        <w:t>18</w:t>
      </w:r>
      <w:r w:rsidR="00625954">
        <w:rPr>
          <w:noProof/>
        </w:rPr>
        <w:t xml:space="preserve">, </w:t>
      </w:r>
      <w:r w:rsidRPr="001B7103">
        <w:rPr>
          <w:noProof/>
        </w:rPr>
        <w:t>142–150</w:t>
      </w:r>
      <w:r w:rsidR="00625954">
        <w:rPr>
          <w:noProof/>
        </w:rPr>
        <w:t xml:space="preserve"> (2007).</w:t>
      </w:r>
    </w:p>
    <w:p w14:paraId="5F5977E9" w14:textId="77777777" w:rsidR="00D04760" w:rsidRPr="001B7103" w:rsidRDefault="006A0F6E" w:rsidP="005E1306">
      <w:pPr>
        <w:rPr>
          <w:b/>
          <w:color w:val="808080"/>
        </w:rPr>
      </w:pPr>
      <w:r w:rsidRPr="001B7103">
        <w:rPr>
          <w:color w:val="808080"/>
        </w:rPr>
        <w:fldChar w:fldCharType="end"/>
      </w:r>
    </w:p>
    <w:sectPr w:rsidR="00D04760" w:rsidRPr="001B7103" w:rsidSect="00B81B15">
      <w:headerReference w:type="default" r:id="rId15"/>
      <w:footerReference w:type="default" r:id="rId16"/>
      <w:headerReference w:type="firs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CB9C8" w14:textId="77777777" w:rsidR="00AD5FC2" w:rsidRDefault="00AD5FC2" w:rsidP="00621C4E">
      <w:r>
        <w:separator/>
      </w:r>
    </w:p>
  </w:endnote>
  <w:endnote w:type="continuationSeparator" w:id="0">
    <w:p w14:paraId="53FBF2D5" w14:textId="77777777" w:rsidR="00AD5FC2" w:rsidRDefault="00AD5FC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314223"/>
      <w:docPartObj>
        <w:docPartGallery w:val="Page Numbers (Bottom of Page)"/>
        <w:docPartUnique/>
      </w:docPartObj>
    </w:sdtPr>
    <w:sdtEndPr>
      <w:rPr>
        <w:noProof/>
      </w:rPr>
    </w:sdtEndPr>
    <w:sdtContent>
      <w:p w14:paraId="721557CA" w14:textId="77777777" w:rsidR="00357F64" w:rsidRDefault="00357F64">
        <w:pPr>
          <w:pStyle w:val="Footer"/>
          <w:rPr>
            <w:noProof/>
          </w:rPr>
        </w:pPr>
        <w:r>
          <w:t xml:space="preserve">Page </w:t>
        </w:r>
        <w:r>
          <w:fldChar w:fldCharType="begin"/>
        </w:r>
        <w:r>
          <w:instrText xml:space="preserve"> PAGE   \* MERGEFORMAT </w:instrText>
        </w:r>
        <w:r>
          <w:fldChar w:fldCharType="separate"/>
        </w:r>
        <w:r w:rsidR="00BC3182">
          <w:rPr>
            <w:noProof/>
          </w:rPr>
          <w:t>5</w:t>
        </w:r>
        <w:r>
          <w:rPr>
            <w:noProof/>
          </w:rPr>
          <w:fldChar w:fldCharType="end"/>
        </w:r>
        <w:r>
          <w:rPr>
            <w:noProof/>
          </w:rPr>
          <w:t xml:space="preserve"> of 6</w:t>
        </w:r>
        <w:r>
          <w:rPr>
            <w:noProof/>
          </w:rPr>
          <w:tab/>
        </w:r>
        <w:r>
          <w:rPr>
            <w:noProof/>
          </w:rPr>
          <w:tab/>
          <w:t xml:space="preserve">revised </w:t>
        </w:r>
        <w:r w:rsidR="00BC3182">
          <w:rPr>
            <w:noProof/>
          </w:rPr>
          <w:t>June 2019</w:t>
        </w:r>
      </w:p>
    </w:sdtContent>
  </w:sdt>
  <w:p w14:paraId="37D5C576" w14:textId="77777777" w:rsidR="00357F64" w:rsidRPr="00494F77" w:rsidRDefault="00357F6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C7C9" w14:textId="77777777" w:rsidR="00357F64" w:rsidRDefault="00357F6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6C842" w14:textId="77777777" w:rsidR="00AD5FC2" w:rsidRDefault="00AD5FC2" w:rsidP="00621C4E">
      <w:r>
        <w:separator/>
      </w:r>
    </w:p>
  </w:footnote>
  <w:footnote w:type="continuationSeparator" w:id="0">
    <w:p w14:paraId="0350EA71" w14:textId="77777777" w:rsidR="00AD5FC2" w:rsidRDefault="00AD5FC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2A78" w14:textId="77777777" w:rsidR="00357F64" w:rsidRPr="006F06E4" w:rsidRDefault="00357F6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BC41A" w14:textId="6F06EEF0" w:rsidR="00357F64" w:rsidRPr="006F06E4" w:rsidRDefault="00357F6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ED9"/>
    <w:multiLevelType w:val="hybridMultilevel"/>
    <w:tmpl w:val="FDB0DBBE"/>
    <w:lvl w:ilvl="0" w:tplc="6324FB80">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FB41E7"/>
    <w:multiLevelType w:val="hybridMultilevel"/>
    <w:tmpl w:val="02C0C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7007A"/>
    <w:multiLevelType w:val="multilevel"/>
    <w:tmpl w:val="91D2CA1C"/>
    <w:lvl w:ilvl="0">
      <w:start w:val="1"/>
      <w:numFmt w:val="decimal"/>
      <w:lvlText w:val="%1."/>
      <w:lvlJc w:val="left"/>
      <w:pPr>
        <w:ind w:left="1080" w:hanging="72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C27055"/>
    <w:multiLevelType w:val="hybridMultilevel"/>
    <w:tmpl w:val="792ACC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5A7080"/>
    <w:multiLevelType w:val="hybridMultilevel"/>
    <w:tmpl w:val="6F707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534D28"/>
    <w:multiLevelType w:val="hybridMultilevel"/>
    <w:tmpl w:val="40B49DDE"/>
    <w:lvl w:ilvl="0" w:tplc="60368A9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55775D8"/>
    <w:multiLevelType w:val="hybridMultilevel"/>
    <w:tmpl w:val="0486C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6EE0311"/>
    <w:multiLevelType w:val="multilevel"/>
    <w:tmpl w:val="7F18548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4"/>
  </w:num>
  <w:num w:numId="3">
    <w:abstractNumId w:val="6"/>
  </w:num>
  <w:num w:numId="4">
    <w:abstractNumId w:val="22"/>
  </w:num>
  <w:num w:numId="5">
    <w:abstractNumId w:val="14"/>
  </w:num>
  <w:num w:numId="6">
    <w:abstractNumId w:val="21"/>
  </w:num>
  <w:num w:numId="7">
    <w:abstractNumId w:val="2"/>
  </w:num>
  <w:num w:numId="8">
    <w:abstractNumId w:val="15"/>
  </w:num>
  <w:num w:numId="9">
    <w:abstractNumId w:val="16"/>
  </w:num>
  <w:num w:numId="10">
    <w:abstractNumId w:val="23"/>
  </w:num>
  <w:num w:numId="11">
    <w:abstractNumId w:val="28"/>
  </w:num>
  <w:num w:numId="12">
    <w:abstractNumId w:val="4"/>
  </w:num>
  <w:num w:numId="13">
    <w:abstractNumId w:val="25"/>
  </w:num>
  <w:num w:numId="14">
    <w:abstractNumId w:val="33"/>
  </w:num>
  <w:num w:numId="15">
    <w:abstractNumId w:val="17"/>
  </w:num>
  <w:num w:numId="16">
    <w:abstractNumId w:val="13"/>
  </w:num>
  <w:num w:numId="17">
    <w:abstractNumId w:val="26"/>
  </w:num>
  <w:num w:numId="18">
    <w:abstractNumId w:val="18"/>
  </w:num>
  <w:num w:numId="19">
    <w:abstractNumId w:val="31"/>
  </w:num>
  <w:num w:numId="20">
    <w:abstractNumId w:val="5"/>
  </w:num>
  <w:num w:numId="21">
    <w:abstractNumId w:val="32"/>
  </w:num>
  <w:num w:numId="22">
    <w:abstractNumId w:val="30"/>
  </w:num>
  <w:num w:numId="23">
    <w:abstractNumId w:val="19"/>
  </w:num>
  <w:num w:numId="24">
    <w:abstractNumId w:val="34"/>
  </w:num>
  <w:num w:numId="25">
    <w:abstractNumId w:val="12"/>
  </w:num>
  <w:num w:numId="26">
    <w:abstractNumId w:val="3"/>
  </w:num>
  <w:num w:numId="27">
    <w:abstractNumId w:val="11"/>
  </w:num>
  <w:num w:numId="28">
    <w:abstractNumId w:val="35"/>
  </w:num>
  <w:num w:numId="29">
    <w:abstractNumId w:val="27"/>
  </w:num>
  <w:num w:numId="30">
    <w:abstractNumId w:val="10"/>
  </w:num>
  <w:num w:numId="31">
    <w:abstractNumId w:val="1"/>
  </w:num>
  <w:num w:numId="32">
    <w:abstractNumId w:val="20"/>
  </w:num>
  <w:num w:numId="33">
    <w:abstractNumId w:val="9"/>
  </w:num>
  <w:num w:numId="34">
    <w:abstractNumId w:val="0"/>
  </w:num>
  <w:num w:numId="35">
    <w:abstractNumId w:val="8"/>
  </w:num>
  <w:num w:numId="36">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zNjExNTUyMjMyMDJX0lEKTi0uzszPAykwrAUA0sMJXSwAAAA="/>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FF5"/>
    <w:rsid w:val="00087C0A"/>
    <w:rsid w:val="00091788"/>
    <w:rsid w:val="00093BC4"/>
    <w:rsid w:val="000943E6"/>
    <w:rsid w:val="00097929"/>
    <w:rsid w:val="000A1E80"/>
    <w:rsid w:val="000A2A62"/>
    <w:rsid w:val="000A3B70"/>
    <w:rsid w:val="000A5153"/>
    <w:rsid w:val="000A6618"/>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E6BEE"/>
    <w:rsid w:val="000F265C"/>
    <w:rsid w:val="000F3AFA"/>
    <w:rsid w:val="000F5712"/>
    <w:rsid w:val="000F6611"/>
    <w:rsid w:val="000F7E22"/>
    <w:rsid w:val="00107554"/>
    <w:rsid w:val="001075E9"/>
    <w:rsid w:val="001104F3"/>
    <w:rsid w:val="00112EEB"/>
    <w:rsid w:val="0011634D"/>
    <w:rsid w:val="001173FF"/>
    <w:rsid w:val="00124A7F"/>
    <w:rsid w:val="0012563A"/>
    <w:rsid w:val="001264DE"/>
    <w:rsid w:val="001313A7"/>
    <w:rsid w:val="0013276F"/>
    <w:rsid w:val="00134077"/>
    <w:rsid w:val="001342B5"/>
    <w:rsid w:val="0013621E"/>
    <w:rsid w:val="0013642E"/>
    <w:rsid w:val="00141FFA"/>
    <w:rsid w:val="00142EFE"/>
    <w:rsid w:val="00152A23"/>
    <w:rsid w:val="001557DD"/>
    <w:rsid w:val="00156B11"/>
    <w:rsid w:val="00162CB7"/>
    <w:rsid w:val="001665C9"/>
    <w:rsid w:val="00166F32"/>
    <w:rsid w:val="001718C0"/>
    <w:rsid w:val="00171E5B"/>
    <w:rsid w:val="00171F94"/>
    <w:rsid w:val="00175D4E"/>
    <w:rsid w:val="0017668A"/>
    <w:rsid w:val="001766FE"/>
    <w:rsid w:val="001771E7"/>
    <w:rsid w:val="0018542A"/>
    <w:rsid w:val="001911FF"/>
    <w:rsid w:val="00192006"/>
    <w:rsid w:val="00193180"/>
    <w:rsid w:val="0019530C"/>
    <w:rsid w:val="00196792"/>
    <w:rsid w:val="001B1519"/>
    <w:rsid w:val="001B2E2D"/>
    <w:rsid w:val="001B5CD2"/>
    <w:rsid w:val="001B7103"/>
    <w:rsid w:val="001C0BEE"/>
    <w:rsid w:val="001C1E49"/>
    <w:rsid w:val="001C27C1"/>
    <w:rsid w:val="001C2A98"/>
    <w:rsid w:val="001C3B86"/>
    <w:rsid w:val="001C4D95"/>
    <w:rsid w:val="001C7F38"/>
    <w:rsid w:val="001D3D7D"/>
    <w:rsid w:val="001D3FFF"/>
    <w:rsid w:val="001D4997"/>
    <w:rsid w:val="001D625F"/>
    <w:rsid w:val="001D68A4"/>
    <w:rsid w:val="001D7576"/>
    <w:rsid w:val="001E0E3F"/>
    <w:rsid w:val="001E14A0"/>
    <w:rsid w:val="001E3B55"/>
    <w:rsid w:val="001E7376"/>
    <w:rsid w:val="001F225C"/>
    <w:rsid w:val="00200792"/>
    <w:rsid w:val="00201CFA"/>
    <w:rsid w:val="00202014"/>
    <w:rsid w:val="0020220D"/>
    <w:rsid w:val="00202448"/>
    <w:rsid w:val="00202D15"/>
    <w:rsid w:val="00205B3F"/>
    <w:rsid w:val="002069C7"/>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459F8"/>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29A3"/>
    <w:rsid w:val="002C47D4"/>
    <w:rsid w:val="002D0F38"/>
    <w:rsid w:val="002D4E52"/>
    <w:rsid w:val="002D77E3"/>
    <w:rsid w:val="002F2859"/>
    <w:rsid w:val="002F6E3C"/>
    <w:rsid w:val="0030117D"/>
    <w:rsid w:val="00301F30"/>
    <w:rsid w:val="003038FD"/>
    <w:rsid w:val="00303C87"/>
    <w:rsid w:val="00307A7F"/>
    <w:rsid w:val="003108E5"/>
    <w:rsid w:val="003115A8"/>
    <w:rsid w:val="003120CB"/>
    <w:rsid w:val="003176B9"/>
    <w:rsid w:val="00317FCA"/>
    <w:rsid w:val="00320153"/>
    <w:rsid w:val="00320367"/>
    <w:rsid w:val="00322871"/>
    <w:rsid w:val="00326FB3"/>
    <w:rsid w:val="003316D4"/>
    <w:rsid w:val="003321B2"/>
    <w:rsid w:val="00332BBE"/>
    <w:rsid w:val="00333510"/>
    <w:rsid w:val="00333822"/>
    <w:rsid w:val="00336715"/>
    <w:rsid w:val="003401EC"/>
    <w:rsid w:val="00340DFD"/>
    <w:rsid w:val="00344954"/>
    <w:rsid w:val="00350CD7"/>
    <w:rsid w:val="00350FB6"/>
    <w:rsid w:val="00353DD1"/>
    <w:rsid w:val="00357F64"/>
    <w:rsid w:val="00360C17"/>
    <w:rsid w:val="003621C6"/>
    <w:rsid w:val="003622B8"/>
    <w:rsid w:val="00366B76"/>
    <w:rsid w:val="00373051"/>
    <w:rsid w:val="00373B8F"/>
    <w:rsid w:val="00376D95"/>
    <w:rsid w:val="00377FBB"/>
    <w:rsid w:val="00385140"/>
    <w:rsid w:val="00393CC7"/>
    <w:rsid w:val="00396302"/>
    <w:rsid w:val="003971F7"/>
    <w:rsid w:val="003A16FC"/>
    <w:rsid w:val="003A2C8A"/>
    <w:rsid w:val="003A4FCD"/>
    <w:rsid w:val="003B0944"/>
    <w:rsid w:val="003B1593"/>
    <w:rsid w:val="003B4381"/>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0B20"/>
    <w:rsid w:val="00407EC8"/>
    <w:rsid w:val="0041110A"/>
    <w:rsid w:val="00411624"/>
    <w:rsid w:val="004148E1"/>
    <w:rsid w:val="00414CFA"/>
    <w:rsid w:val="00415EC0"/>
    <w:rsid w:val="00420BE9"/>
    <w:rsid w:val="004224BF"/>
    <w:rsid w:val="00423AD8"/>
    <w:rsid w:val="00423FDD"/>
    <w:rsid w:val="00424C85"/>
    <w:rsid w:val="004260BD"/>
    <w:rsid w:val="0043012F"/>
    <w:rsid w:val="00430F1F"/>
    <w:rsid w:val="004326EA"/>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3196"/>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4F5161"/>
    <w:rsid w:val="00502A0A"/>
    <w:rsid w:val="00507C50"/>
    <w:rsid w:val="00514D40"/>
    <w:rsid w:val="00517C3A"/>
    <w:rsid w:val="005265FF"/>
    <w:rsid w:val="00527BF4"/>
    <w:rsid w:val="005324BE"/>
    <w:rsid w:val="005345E0"/>
    <w:rsid w:val="00534F6C"/>
    <w:rsid w:val="00535994"/>
    <w:rsid w:val="0053646D"/>
    <w:rsid w:val="00536D67"/>
    <w:rsid w:val="00540AAD"/>
    <w:rsid w:val="00543EC1"/>
    <w:rsid w:val="00544E00"/>
    <w:rsid w:val="00546458"/>
    <w:rsid w:val="0055087C"/>
    <w:rsid w:val="00553413"/>
    <w:rsid w:val="00555983"/>
    <w:rsid w:val="00560E31"/>
    <w:rsid w:val="00561BDA"/>
    <w:rsid w:val="005668C1"/>
    <w:rsid w:val="00567DBF"/>
    <w:rsid w:val="00581B23"/>
    <w:rsid w:val="0058219C"/>
    <w:rsid w:val="00584616"/>
    <w:rsid w:val="0058707F"/>
    <w:rsid w:val="005904A1"/>
    <w:rsid w:val="00591DBD"/>
    <w:rsid w:val="005931FE"/>
    <w:rsid w:val="00597F07"/>
    <w:rsid w:val="005A0028"/>
    <w:rsid w:val="005A0ACC"/>
    <w:rsid w:val="005A2F7A"/>
    <w:rsid w:val="005A4339"/>
    <w:rsid w:val="005B0072"/>
    <w:rsid w:val="005B0732"/>
    <w:rsid w:val="005B38A0"/>
    <w:rsid w:val="005B491C"/>
    <w:rsid w:val="005B4DBF"/>
    <w:rsid w:val="005B5303"/>
    <w:rsid w:val="005B5DE2"/>
    <w:rsid w:val="005B674C"/>
    <w:rsid w:val="005C24F2"/>
    <w:rsid w:val="005C7561"/>
    <w:rsid w:val="005D1E57"/>
    <w:rsid w:val="005D2F57"/>
    <w:rsid w:val="005D34F6"/>
    <w:rsid w:val="005D4F1A"/>
    <w:rsid w:val="005E1306"/>
    <w:rsid w:val="005E1884"/>
    <w:rsid w:val="005F373A"/>
    <w:rsid w:val="005F4F87"/>
    <w:rsid w:val="005F6B0E"/>
    <w:rsid w:val="005F760E"/>
    <w:rsid w:val="005F7B1D"/>
    <w:rsid w:val="0060222A"/>
    <w:rsid w:val="006070C4"/>
    <w:rsid w:val="0060791A"/>
    <w:rsid w:val="00610C21"/>
    <w:rsid w:val="00611907"/>
    <w:rsid w:val="00612BC3"/>
    <w:rsid w:val="00613116"/>
    <w:rsid w:val="006202A6"/>
    <w:rsid w:val="0062054B"/>
    <w:rsid w:val="00620926"/>
    <w:rsid w:val="00621C4E"/>
    <w:rsid w:val="00624EAE"/>
    <w:rsid w:val="00625954"/>
    <w:rsid w:val="006305D7"/>
    <w:rsid w:val="00632F63"/>
    <w:rsid w:val="00633A01"/>
    <w:rsid w:val="00633B97"/>
    <w:rsid w:val="006341F7"/>
    <w:rsid w:val="00634585"/>
    <w:rsid w:val="00635014"/>
    <w:rsid w:val="006369CE"/>
    <w:rsid w:val="006411CA"/>
    <w:rsid w:val="006417F4"/>
    <w:rsid w:val="006450C9"/>
    <w:rsid w:val="0064605E"/>
    <w:rsid w:val="00657BC4"/>
    <w:rsid w:val="006619C8"/>
    <w:rsid w:val="00671710"/>
    <w:rsid w:val="00673414"/>
    <w:rsid w:val="00676079"/>
    <w:rsid w:val="00676ECD"/>
    <w:rsid w:val="00677D0A"/>
    <w:rsid w:val="0068185F"/>
    <w:rsid w:val="00692C72"/>
    <w:rsid w:val="006A01CF"/>
    <w:rsid w:val="006A0F6E"/>
    <w:rsid w:val="006A60DD"/>
    <w:rsid w:val="006B0679"/>
    <w:rsid w:val="006B074C"/>
    <w:rsid w:val="006B3B84"/>
    <w:rsid w:val="006B4E7C"/>
    <w:rsid w:val="006B5D8C"/>
    <w:rsid w:val="006B72D4"/>
    <w:rsid w:val="006C0A43"/>
    <w:rsid w:val="006C0D9B"/>
    <w:rsid w:val="006C11CC"/>
    <w:rsid w:val="006C1AEB"/>
    <w:rsid w:val="006C4F61"/>
    <w:rsid w:val="006C57FE"/>
    <w:rsid w:val="006C668E"/>
    <w:rsid w:val="006D4687"/>
    <w:rsid w:val="006E4B63"/>
    <w:rsid w:val="006E5FF0"/>
    <w:rsid w:val="006F06E4"/>
    <w:rsid w:val="006F7B41"/>
    <w:rsid w:val="00702B5D"/>
    <w:rsid w:val="00703ED2"/>
    <w:rsid w:val="00707B8D"/>
    <w:rsid w:val="00713636"/>
    <w:rsid w:val="00714B8C"/>
    <w:rsid w:val="0071675D"/>
    <w:rsid w:val="00717736"/>
    <w:rsid w:val="007233E1"/>
    <w:rsid w:val="007249E8"/>
    <w:rsid w:val="00727B3B"/>
    <w:rsid w:val="007313B0"/>
    <w:rsid w:val="00732B47"/>
    <w:rsid w:val="00735CF5"/>
    <w:rsid w:val="0074063A"/>
    <w:rsid w:val="00742AA4"/>
    <w:rsid w:val="00743BA1"/>
    <w:rsid w:val="00745F1E"/>
    <w:rsid w:val="007515FE"/>
    <w:rsid w:val="0075244F"/>
    <w:rsid w:val="007601D0"/>
    <w:rsid w:val="007603BB"/>
    <w:rsid w:val="0076109D"/>
    <w:rsid w:val="00767107"/>
    <w:rsid w:val="00771B6C"/>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A7CD3"/>
    <w:rsid w:val="007B20AE"/>
    <w:rsid w:val="007B6B07"/>
    <w:rsid w:val="007B6D43"/>
    <w:rsid w:val="007B749A"/>
    <w:rsid w:val="007B7C6E"/>
    <w:rsid w:val="007D186B"/>
    <w:rsid w:val="007D20B4"/>
    <w:rsid w:val="007D44D7"/>
    <w:rsid w:val="007D621A"/>
    <w:rsid w:val="007E058A"/>
    <w:rsid w:val="007E2887"/>
    <w:rsid w:val="007E5278"/>
    <w:rsid w:val="007E749C"/>
    <w:rsid w:val="007F1B5C"/>
    <w:rsid w:val="007F4910"/>
    <w:rsid w:val="00801257"/>
    <w:rsid w:val="00803B0A"/>
    <w:rsid w:val="00804DED"/>
    <w:rsid w:val="00805B96"/>
    <w:rsid w:val="00810265"/>
    <w:rsid w:val="008105BE"/>
    <w:rsid w:val="00810B0C"/>
    <w:rsid w:val="008115A5"/>
    <w:rsid w:val="00811D46"/>
    <w:rsid w:val="0081415D"/>
    <w:rsid w:val="00820229"/>
    <w:rsid w:val="00822448"/>
    <w:rsid w:val="00822ABE"/>
    <w:rsid w:val="008244D1"/>
    <w:rsid w:val="00827F51"/>
    <w:rsid w:val="0083104E"/>
    <w:rsid w:val="008343BE"/>
    <w:rsid w:val="00836406"/>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4B20"/>
    <w:rsid w:val="00875123"/>
    <w:rsid w:val="008757C6"/>
    <w:rsid w:val="008763E1"/>
    <w:rsid w:val="0087775C"/>
    <w:rsid w:val="00877EC8"/>
    <w:rsid w:val="00880F36"/>
    <w:rsid w:val="00885530"/>
    <w:rsid w:val="008910D1"/>
    <w:rsid w:val="0089296C"/>
    <w:rsid w:val="00896ABD"/>
    <w:rsid w:val="00897AB6"/>
    <w:rsid w:val="00897DA8"/>
    <w:rsid w:val="008A3380"/>
    <w:rsid w:val="008A7A9C"/>
    <w:rsid w:val="008B5218"/>
    <w:rsid w:val="008B6881"/>
    <w:rsid w:val="008B7102"/>
    <w:rsid w:val="008C3B7D"/>
    <w:rsid w:val="008D0F90"/>
    <w:rsid w:val="008D3715"/>
    <w:rsid w:val="008D43F0"/>
    <w:rsid w:val="008D5465"/>
    <w:rsid w:val="008D5E61"/>
    <w:rsid w:val="008D63C1"/>
    <w:rsid w:val="008D7EB7"/>
    <w:rsid w:val="008D7EC5"/>
    <w:rsid w:val="008E3684"/>
    <w:rsid w:val="008E57F5"/>
    <w:rsid w:val="008E7606"/>
    <w:rsid w:val="008F1DAA"/>
    <w:rsid w:val="008F3EBD"/>
    <w:rsid w:val="008F60B2"/>
    <w:rsid w:val="008F7C41"/>
    <w:rsid w:val="009031E2"/>
    <w:rsid w:val="00910BFE"/>
    <w:rsid w:val="0091276C"/>
    <w:rsid w:val="00913BBE"/>
    <w:rsid w:val="009145BE"/>
    <w:rsid w:val="00915C21"/>
    <w:rsid w:val="009165AC"/>
    <w:rsid w:val="00916FFC"/>
    <w:rsid w:val="0092053F"/>
    <w:rsid w:val="0092340A"/>
    <w:rsid w:val="00923F36"/>
    <w:rsid w:val="009313D9"/>
    <w:rsid w:val="009354EC"/>
    <w:rsid w:val="00935B7F"/>
    <w:rsid w:val="00937EC5"/>
    <w:rsid w:val="00941293"/>
    <w:rsid w:val="00942985"/>
    <w:rsid w:val="00946372"/>
    <w:rsid w:val="0095032B"/>
    <w:rsid w:val="00950B13"/>
    <w:rsid w:val="00950C17"/>
    <w:rsid w:val="00951FAF"/>
    <w:rsid w:val="00954740"/>
    <w:rsid w:val="009557BC"/>
    <w:rsid w:val="00955AE5"/>
    <w:rsid w:val="00962E71"/>
    <w:rsid w:val="00963163"/>
    <w:rsid w:val="00963ABC"/>
    <w:rsid w:val="00965D21"/>
    <w:rsid w:val="00967764"/>
    <w:rsid w:val="00970B0E"/>
    <w:rsid w:val="00970BB9"/>
    <w:rsid w:val="009726EE"/>
    <w:rsid w:val="00972CDE"/>
    <w:rsid w:val="009733DD"/>
    <w:rsid w:val="00975573"/>
    <w:rsid w:val="00976D03"/>
    <w:rsid w:val="00977B30"/>
    <w:rsid w:val="00982F41"/>
    <w:rsid w:val="00985090"/>
    <w:rsid w:val="009865FD"/>
    <w:rsid w:val="00987710"/>
    <w:rsid w:val="009904AB"/>
    <w:rsid w:val="00995688"/>
    <w:rsid w:val="009958A6"/>
    <w:rsid w:val="00996456"/>
    <w:rsid w:val="009A04F5"/>
    <w:rsid w:val="009A15EF"/>
    <w:rsid w:val="009A33F3"/>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16D1"/>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4A67"/>
    <w:rsid w:val="00A37462"/>
    <w:rsid w:val="00A43883"/>
    <w:rsid w:val="00A459E1"/>
    <w:rsid w:val="00A46AC4"/>
    <w:rsid w:val="00A478A5"/>
    <w:rsid w:val="00A52296"/>
    <w:rsid w:val="00A55661"/>
    <w:rsid w:val="00A608AB"/>
    <w:rsid w:val="00A61B70"/>
    <w:rsid w:val="00A61FA8"/>
    <w:rsid w:val="00A637F4"/>
    <w:rsid w:val="00A64DF2"/>
    <w:rsid w:val="00A65485"/>
    <w:rsid w:val="00A66E05"/>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5FC2"/>
    <w:rsid w:val="00AD6A05"/>
    <w:rsid w:val="00AE118B"/>
    <w:rsid w:val="00AE272B"/>
    <w:rsid w:val="00AE3E3A"/>
    <w:rsid w:val="00AE77B4"/>
    <w:rsid w:val="00AE7C1A"/>
    <w:rsid w:val="00AE7DF8"/>
    <w:rsid w:val="00AE7EB1"/>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4677B"/>
    <w:rsid w:val="00B51845"/>
    <w:rsid w:val="00B51923"/>
    <w:rsid w:val="00B5337C"/>
    <w:rsid w:val="00B53FDE"/>
    <w:rsid w:val="00B54B1C"/>
    <w:rsid w:val="00B56397"/>
    <w:rsid w:val="00B571DA"/>
    <w:rsid w:val="00B6027B"/>
    <w:rsid w:val="00B6130A"/>
    <w:rsid w:val="00B636C8"/>
    <w:rsid w:val="00B65EDB"/>
    <w:rsid w:val="00B67AFF"/>
    <w:rsid w:val="00B67C41"/>
    <w:rsid w:val="00B70B59"/>
    <w:rsid w:val="00B73657"/>
    <w:rsid w:val="00B739B3"/>
    <w:rsid w:val="00B8021F"/>
    <w:rsid w:val="00B81B15"/>
    <w:rsid w:val="00B915AE"/>
    <w:rsid w:val="00BA1735"/>
    <w:rsid w:val="00BA19FA"/>
    <w:rsid w:val="00BA4288"/>
    <w:rsid w:val="00BB0902"/>
    <w:rsid w:val="00BB0FD9"/>
    <w:rsid w:val="00BB1F9C"/>
    <w:rsid w:val="00BB48E5"/>
    <w:rsid w:val="00BB5607"/>
    <w:rsid w:val="00BB5ACA"/>
    <w:rsid w:val="00BB627F"/>
    <w:rsid w:val="00BC0C17"/>
    <w:rsid w:val="00BC3182"/>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6F06"/>
    <w:rsid w:val="00C10072"/>
    <w:rsid w:val="00C17BFF"/>
    <w:rsid w:val="00C20FAD"/>
    <w:rsid w:val="00C21638"/>
    <w:rsid w:val="00C2375F"/>
    <w:rsid w:val="00C247CB"/>
    <w:rsid w:val="00C32E66"/>
    <w:rsid w:val="00C3355F"/>
    <w:rsid w:val="00C33A04"/>
    <w:rsid w:val="00C3569A"/>
    <w:rsid w:val="00C43F48"/>
    <w:rsid w:val="00C448FF"/>
    <w:rsid w:val="00C45E57"/>
    <w:rsid w:val="00C52F29"/>
    <w:rsid w:val="00C5501A"/>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4F4"/>
    <w:rsid w:val="00C84ED1"/>
    <w:rsid w:val="00C863CC"/>
    <w:rsid w:val="00C86BCC"/>
    <w:rsid w:val="00C9038F"/>
    <w:rsid w:val="00C92AAB"/>
    <w:rsid w:val="00C95D4C"/>
    <w:rsid w:val="00C9637F"/>
    <w:rsid w:val="00C9708A"/>
    <w:rsid w:val="00C97F96"/>
    <w:rsid w:val="00CA2435"/>
    <w:rsid w:val="00CA4068"/>
    <w:rsid w:val="00CA67F4"/>
    <w:rsid w:val="00CB37F8"/>
    <w:rsid w:val="00CB7DC3"/>
    <w:rsid w:val="00CC5BE1"/>
    <w:rsid w:val="00CC75A2"/>
    <w:rsid w:val="00CC7A18"/>
    <w:rsid w:val="00CD0E2F"/>
    <w:rsid w:val="00CD1D49"/>
    <w:rsid w:val="00CD2F20"/>
    <w:rsid w:val="00CD6B20"/>
    <w:rsid w:val="00CE1339"/>
    <w:rsid w:val="00CE58B4"/>
    <w:rsid w:val="00CE61CC"/>
    <w:rsid w:val="00CE6E42"/>
    <w:rsid w:val="00CF20B7"/>
    <w:rsid w:val="00CF283B"/>
    <w:rsid w:val="00CF6692"/>
    <w:rsid w:val="00CF7441"/>
    <w:rsid w:val="00D00D16"/>
    <w:rsid w:val="00D03C6C"/>
    <w:rsid w:val="00D04760"/>
    <w:rsid w:val="00D04A95"/>
    <w:rsid w:val="00D06288"/>
    <w:rsid w:val="00D068C7"/>
    <w:rsid w:val="00D128A4"/>
    <w:rsid w:val="00D136EF"/>
    <w:rsid w:val="00D147C8"/>
    <w:rsid w:val="00D15131"/>
    <w:rsid w:val="00D16FA2"/>
    <w:rsid w:val="00D20954"/>
    <w:rsid w:val="00D21C39"/>
    <w:rsid w:val="00D21FC6"/>
    <w:rsid w:val="00D2243A"/>
    <w:rsid w:val="00D30A53"/>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87917"/>
    <w:rsid w:val="00D90871"/>
    <w:rsid w:val="00D9155F"/>
    <w:rsid w:val="00D9403F"/>
    <w:rsid w:val="00D94D81"/>
    <w:rsid w:val="00D959B4"/>
    <w:rsid w:val="00D97DDF"/>
    <w:rsid w:val="00DA44DE"/>
    <w:rsid w:val="00DA750B"/>
    <w:rsid w:val="00DB620A"/>
    <w:rsid w:val="00DC3832"/>
    <w:rsid w:val="00DC7A51"/>
    <w:rsid w:val="00DD3B1E"/>
    <w:rsid w:val="00DE06B2"/>
    <w:rsid w:val="00DE5B5F"/>
    <w:rsid w:val="00DF614E"/>
    <w:rsid w:val="00DF6788"/>
    <w:rsid w:val="00E00696"/>
    <w:rsid w:val="00E03651"/>
    <w:rsid w:val="00E03808"/>
    <w:rsid w:val="00E060C2"/>
    <w:rsid w:val="00E06324"/>
    <w:rsid w:val="00E07B81"/>
    <w:rsid w:val="00E10AFD"/>
    <w:rsid w:val="00E12B11"/>
    <w:rsid w:val="00E12FB0"/>
    <w:rsid w:val="00E1435B"/>
    <w:rsid w:val="00E14814"/>
    <w:rsid w:val="00E1591B"/>
    <w:rsid w:val="00E16A50"/>
    <w:rsid w:val="00E172E8"/>
    <w:rsid w:val="00E249D5"/>
    <w:rsid w:val="00E25017"/>
    <w:rsid w:val="00E26F73"/>
    <w:rsid w:val="00E30A34"/>
    <w:rsid w:val="00E33C68"/>
    <w:rsid w:val="00E33E5A"/>
    <w:rsid w:val="00E34EEB"/>
    <w:rsid w:val="00E3687C"/>
    <w:rsid w:val="00E44EB9"/>
    <w:rsid w:val="00E45BDC"/>
    <w:rsid w:val="00E460B7"/>
    <w:rsid w:val="00E46358"/>
    <w:rsid w:val="00E471DC"/>
    <w:rsid w:val="00E50EB4"/>
    <w:rsid w:val="00E5239B"/>
    <w:rsid w:val="00E52BA2"/>
    <w:rsid w:val="00E532FC"/>
    <w:rsid w:val="00E559B4"/>
    <w:rsid w:val="00E55BB0"/>
    <w:rsid w:val="00E57435"/>
    <w:rsid w:val="00E609E5"/>
    <w:rsid w:val="00E60F27"/>
    <w:rsid w:val="00E64D93"/>
    <w:rsid w:val="00E65225"/>
    <w:rsid w:val="00E65CD1"/>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427A"/>
    <w:rsid w:val="00EA723B"/>
    <w:rsid w:val="00EB295D"/>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54A4"/>
    <w:rsid w:val="00F07F0D"/>
    <w:rsid w:val="00F1057B"/>
    <w:rsid w:val="00F13112"/>
    <w:rsid w:val="00F1598F"/>
    <w:rsid w:val="00F16FE6"/>
    <w:rsid w:val="00F238BD"/>
    <w:rsid w:val="00F24992"/>
    <w:rsid w:val="00F32F2F"/>
    <w:rsid w:val="00F33F3F"/>
    <w:rsid w:val="00F35BDD"/>
    <w:rsid w:val="00F35EF0"/>
    <w:rsid w:val="00F3781F"/>
    <w:rsid w:val="00F403FD"/>
    <w:rsid w:val="00F41E72"/>
    <w:rsid w:val="00F45BDF"/>
    <w:rsid w:val="00F50300"/>
    <w:rsid w:val="00F5117B"/>
    <w:rsid w:val="00F5414B"/>
    <w:rsid w:val="00F56E39"/>
    <w:rsid w:val="00F623E9"/>
    <w:rsid w:val="00F63951"/>
    <w:rsid w:val="00F63C86"/>
    <w:rsid w:val="00F7081B"/>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685"/>
    <w:rsid w:val="00FB1AA9"/>
    <w:rsid w:val="00FB4B5A"/>
    <w:rsid w:val="00FB5963"/>
    <w:rsid w:val="00FB5DAA"/>
    <w:rsid w:val="00FC04B9"/>
    <w:rsid w:val="00FC161A"/>
    <w:rsid w:val="00FC23D5"/>
    <w:rsid w:val="00FC4337"/>
    <w:rsid w:val="00FC4C1A"/>
    <w:rsid w:val="00FC628F"/>
    <w:rsid w:val="00FC6468"/>
    <w:rsid w:val="00FC6D49"/>
    <w:rsid w:val="00FD0B47"/>
    <w:rsid w:val="00FD21C1"/>
    <w:rsid w:val="00FD4922"/>
    <w:rsid w:val="00FD6461"/>
    <w:rsid w:val="00FE0281"/>
    <w:rsid w:val="00FE7083"/>
    <w:rsid w:val="00FF019F"/>
    <w:rsid w:val="00FF1B2A"/>
    <w:rsid w:val="00FF2160"/>
    <w:rsid w:val="00FF2E31"/>
    <w:rsid w:val="00FF30DE"/>
    <w:rsid w:val="00FF644B"/>
    <w:rsid w:val="00FF6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BF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6C0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y" TargetMode="External"/><Relationship Id="rId13" Type="http://schemas.openxmlformats.org/officeDocument/2006/relationships/hyperlink" Target="mailto:tponzio@wakehealth.ed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caudell@wakehealth.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levins@wakehealth.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fgoodman@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uy.elhelou@medicine.ufl.edu" TargetMode="External"/><Relationship Id="rId14" Type="http://schemas.openxmlformats.org/officeDocument/2006/relationships/hyperlink" Target="mailto:jwsander@wakehealt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187ED-6202-4D26-8EC3-1286DAABB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7632</Words>
  <Characters>43508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51038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2019-07-23T06:12:00Z</dcterms:created>
  <dcterms:modified xsi:type="dcterms:W3CDTF">2021-07-01T19:58:00Z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http://www.zotero.org/styles/current-medical-research-and-opinion</vt:lpwstr>
  </property>
  <property fmtid="{D5CDD505-2E9C-101B-9397-08002B2CF9AE}" pid="13" name="Mendeley Recent Style Name 5_1">
    <vt:lpwstr>Current Medical Research and Opinion</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http://csl.mendeley.com/styles/455300561/taylor-and-francis-national-library-of-medicine</vt:lpwstr>
  </property>
  <property fmtid="{D5CDD505-2E9C-101B-9397-08002B2CF9AE}" pid="21" name="Mendeley Recent Style Name 9_1">
    <vt:lpwstr>Taylor &amp; Francis - National Library of Medicine - Guy Helou</vt:lpwstr>
  </property>
  <property fmtid="{D5CDD505-2E9C-101B-9397-08002B2CF9AE}" pid="22" name="Mendeley Document_1">
    <vt:lpwstr>True</vt:lpwstr>
  </property>
  <property fmtid="{D5CDD505-2E9C-101B-9397-08002B2CF9AE}" pid="23" name="Mendeley Unique User Id_1">
    <vt:lpwstr>f9fcc649-61ab-36b5-90e8-a4930a0894c3</vt:lpwstr>
  </property>
  <property fmtid="{D5CDD505-2E9C-101B-9397-08002B2CF9AE}" pid="24" name="Mendeley Citation Style_1">
    <vt:lpwstr>http://csl.mendeley.com/styles/455300561/taylor-and-francis-national-library-of-medicine</vt:lpwstr>
  </property>
</Properties>
</file>