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12C1C" w14:textId="77777777" w:rsidR="00085572" w:rsidRPr="001B11C1" w:rsidRDefault="00367589" w:rsidP="00367589">
      <w:pPr>
        <w:rPr>
          <w:rFonts w:eastAsia="Times New Roman" w:cstheme="minorHAnsi"/>
          <w:color w:val="212121"/>
          <w:sz w:val="23"/>
          <w:szCs w:val="23"/>
          <w:shd w:val="clear" w:color="auto" w:fill="FFFFFF"/>
          <w:lang w:val="en-US"/>
        </w:rPr>
      </w:pPr>
      <w:r w:rsidRPr="001B11C1">
        <w:rPr>
          <w:rFonts w:eastAsia="Times New Roman" w:cstheme="minorHAnsi"/>
          <w:b/>
          <w:bCs/>
          <w:color w:val="212121"/>
          <w:sz w:val="23"/>
          <w:szCs w:val="23"/>
          <w:lang w:val="en-US"/>
        </w:rPr>
        <w:t>Reviewer #1: </w:t>
      </w:r>
      <w:r w:rsidRPr="001B11C1">
        <w:rPr>
          <w:rFonts w:eastAsia="Times New Roman" w:cstheme="minorHAnsi"/>
          <w:color w:val="212121"/>
          <w:sz w:val="23"/>
          <w:szCs w:val="23"/>
          <w:lang w:val="en-US"/>
        </w:rPr>
        <w:br/>
      </w:r>
      <w:r w:rsidRPr="001B11C1">
        <w:rPr>
          <w:rFonts w:eastAsia="Times New Roman" w:cstheme="minorHAnsi"/>
          <w:color w:val="212121"/>
          <w:sz w:val="23"/>
          <w:szCs w:val="23"/>
          <w:shd w:val="clear" w:color="auto" w:fill="FFFFFF"/>
          <w:lang w:val="en-US"/>
        </w:rPr>
        <w:t>Manuscript Summary:</w:t>
      </w:r>
      <w:r w:rsidRPr="001B11C1">
        <w:rPr>
          <w:rFonts w:eastAsia="Times New Roman" w:cstheme="minorHAnsi"/>
          <w:color w:val="212121"/>
          <w:sz w:val="23"/>
          <w:szCs w:val="23"/>
          <w:lang w:val="en-US"/>
        </w:rPr>
        <w:br/>
      </w:r>
      <w:r w:rsidRPr="001B11C1">
        <w:rPr>
          <w:rFonts w:eastAsia="Times New Roman" w:cstheme="minorHAnsi"/>
          <w:color w:val="212121"/>
          <w:sz w:val="23"/>
          <w:szCs w:val="23"/>
          <w:shd w:val="clear" w:color="auto" w:fill="FFFFFF"/>
          <w:lang w:val="en-US"/>
        </w:rPr>
        <w:t>In this manuscript the authors present a scaled up version of the typical cisterna magna injection of tracer to the CSF system in order to study the glymphatic system. The level of detail provided in the protocol is sufficient for someone well-versed in large animal surgical techniques to follow and complete the procedure. The authors present only the surgical techniques with the post-mortem analysis methods left up to the reader.</w:t>
      </w:r>
      <w:r w:rsidRPr="001B11C1">
        <w:rPr>
          <w:rFonts w:eastAsia="Times New Roman" w:cstheme="minorHAnsi"/>
          <w:color w:val="212121"/>
          <w:sz w:val="23"/>
          <w:szCs w:val="23"/>
          <w:lang w:val="en-US"/>
        </w:rPr>
        <w:br/>
      </w:r>
      <w:r w:rsidRPr="001B11C1">
        <w:rPr>
          <w:rFonts w:eastAsia="Times New Roman" w:cstheme="minorHAnsi"/>
          <w:color w:val="212121"/>
          <w:sz w:val="23"/>
          <w:szCs w:val="23"/>
          <w:lang w:val="en-US"/>
        </w:rPr>
        <w:br/>
      </w:r>
      <w:r w:rsidRPr="001B11C1">
        <w:rPr>
          <w:rFonts w:eastAsia="Times New Roman" w:cstheme="minorHAnsi"/>
          <w:color w:val="212121"/>
          <w:sz w:val="23"/>
          <w:szCs w:val="23"/>
          <w:shd w:val="clear" w:color="auto" w:fill="FFFFFF"/>
          <w:lang w:val="en-US"/>
        </w:rPr>
        <w:t>Minor Concerns:</w:t>
      </w:r>
      <w:r w:rsidRPr="001B11C1">
        <w:rPr>
          <w:rFonts w:eastAsia="Times New Roman" w:cstheme="minorHAnsi"/>
          <w:color w:val="212121"/>
          <w:sz w:val="23"/>
          <w:szCs w:val="23"/>
          <w:lang w:val="en-US"/>
        </w:rPr>
        <w:br/>
      </w:r>
      <w:r w:rsidRPr="001B11C1">
        <w:rPr>
          <w:rFonts w:eastAsia="Times New Roman" w:cstheme="minorHAnsi"/>
          <w:color w:val="212121"/>
          <w:sz w:val="23"/>
          <w:szCs w:val="23"/>
          <w:shd w:val="clear" w:color="auto" w:fill="FFFFFF"/>
          <w:lang w:val="en-US"/>
        </w:rPr>
        <w:t xml:space="preserve">In the methods describing creation of the cannula the authors introduce an air-bubble to separate saline and tracer but they do not state what the purpose of this air bubble is. Could not the whole syringe cannula system be filled with tracer and only 500 </w:t>
      </w:r>
      <w:proofErr w:type="spellStart"/>
      <w:r w:rsidRPr="001B11C1">
        <w:rPr>
          <w:rFonts w:eastAsia="Times New Roman" w:cstheme="minorHAnsi"/>
          <w:color w:val="212121"/>
          <w:sz w:val="23"/>
          <w:szCs w:val="23"/>
          <w:shd w:val="clear" w:color="auto" w:fill="FFFFFF"/>
          <w:lang w:val="en-US"/>
        </w:rPr>
        <w:t>uL</w:t>
      </w:r>
      <w:proofErr w:type="spellEnd"/>
      <w:r w:rsidRPr="001B11C1">
        <w:rPr>
          <w:rFonts w:eastAsia="Times New Roman" w:cstheme="minorHAnsi"/>
          <w:color w:val="212121"/>
          <w:sz w:val="23"/>
          <w:szCs w:val="23"/>
          <w:shd w:val="clear" w:color="auto" w:fill="FFFFFF"/>
          <w:lang w:val="en-US"/>
        </w:rPr>
        <w:t xml:space="preserve"> injected? If the air bubble is used to denote when to stop injecting I would question how one can see that the air bubble has reached the tip of the implanted cannula as it is obscured under dental cement. Also, would it be a problem if a small volume of air is injected into the cisterna magna? Perhaps these are addressed in the video but the purpose/use of the air bubble is not mentioned anywhere in the manuscript.</w:t>
      </w:r>
    </w:p>
    <w:p w14:paraId="1F2FD42B" w14:textId="16B43EB3" w:rsidR="00085572" w:rsidRPr="001B11C1" w:rsidRDefault="00085572" w:rsidP="00367589">
      <w:pPr>
        <w:rPr>
          <w:rFonts w:eastAsia="Times New Roman" w:cstheme="minorHAnsi"/>
          <w:color w:val="4472C4" w:themeColor="accent1"/>
          <w:sz w:val="23"/>
          <w:szCs w:val="23"/>
          <w:lang w:val="en-US"/>
        </w:rPr>
      </w:pPr>
      <w:r w:rsidRPr="001B11C1">
        <w:rPr>
          <w:rFonts w:eastAsia="Times New Roman" w:cstheme="minorHAnsi"/>
          <w:color w:val="4472C4" w:themeColor="accent1"/>
          <w:sz w:val="23"/>
          <w:szCs w:val="23"/>
          <w:lang w:val="en-US"/>
        </w:rPr>
        <w:t xml:space="preserve">We thank the reviewer for </w:t>
      </w:r>
      <w:r w:rsidR="0096310C">
        <w:rPr>
          <w:rFonts w:eastAsia="Times New Roman" w:cstheme="minorHAnsi"/>
          <w:color w:val="4472C4" w:themeColor="accent1"/>
          <w:sz w:val="23"/>
          <w:szCs w:val="23"/>
          <w:lang w:val="en-US"/>
        </w:rPr>
        <w:t>the opportunity to clarify these points</w:t>
      </w:r>
      <w:r w:rsidRPr="001B11C1">
        <w:rPr>
          <w:rFonts w:eastAsia="Times New Roman" w:cstheme="minorHAnsi"/>
          <w:color w:val="4472C4" w:themeColor="accent1"/>
          <w:sz w:val="23"/>
          <w:szCs w:val="23"/>
          <w:lang w:val="en-US"/>
        </w:rPr>
        <w:t>. The air bubble is indeed used to denote when to stop injecting the tracer. The reviewers observation is correct in that the dental cement conceals the final millimeters of the cannula. Thus when injecting we do so until tracer is visible 1-2mm above where the cannula becomes concealed by the dental cement.</w:t>
      </w:r>
      <w:r w:rsidR="0096310C">
        <w:rPr>
          <w:rFonts w:eastAsia="Times New Roman" w:cstheme="minorHAnsi"/>
          <w:color w:val="4472C4" w:themeColor="accent1"/>
          <w:sz w:val="23"/>
          <w:szCs w:val="23"/>
          <w:lang w:val="en-US"/>
        </w:rPr>
        <w:t xml:space="preserve"> To clarify that no air is injected, </w:t>
      </w:r>
      <w:r w:rsidRPr="001B11C1">
        <w:rPr>
          <w:rFonts w:eastAsia="Times New Roman" w:cstheme="minorHAnsi"/>
          <w:color w:val="4472C4" w:themeColor="accent1"/>
          <w:sz w:val="23"/>
          <w:szCs w:val="23"/>
          <w:lang w:val="en-US"/>
        </w:rPr>
        <w:t>we have added this as a NOTE in the manuscript:</w:t>
      </w:r>
    </w:p>
    <w:p w14:paraId="4043F960" w14:textId="77777777" w:rsidR="00085572" w:rsidRPr="001B11C1" w:rsidRDefault="00085572" w:rsidP="00367589">
      <w:pPr>
        <w:rPr>
          <w:rFonts w:eastAsia="Times New Roman" w:cstheme="minorHAnsi"/>
          <w:color w:val="212121"/>
          <w:sz w:val="23"/>
          <w:szCs w:val="23"/>
          <w:lang w:val="en-US"/>
        </w:rPr>
      </w:pPr>
    </w:p>
    <w:p w14:paraId="6BE6575C" w14:textId="2675BD66" w:rsidR="00085572" w:rsidRPr="001B11C1" w:rsidRDefault="00085572" w:rsidP="00085572">
      <w:pPr>
        <w:rPr>
          <w:rFonts w:cstheme="minorHAnsi"/>
          <w:color w:val="4472C4" w:themeColor="accent1"/>
        </w:rPr>
      </w:pPr>
      <w:r w:rsidRPr="001B11C1">
        <w:rPr>
          <w:rFonts w:eastAsia="Times New Roman" w:cstheme="minorHAnsi"/>
          <w:color w:val="4472C4" w:themeColor="accent1"/>
          <w:sz w:val="23"/>
          <w:szCs w:val="23"/>
          <w:lang w:val="en-US"/>
        </w:rPr>
        <w:t>“</w:t>
      </w:r>
      <w:r w:rsidRPr="001B11C1">
        <w:rPr>
          <w:rFonts w:cstheme="minorHAnsi"/>
          <w:color w:val="4472C4" w:themeColor="accent1"/>
        </w:rPr>
        <w:t xml:space="preserve">NOTE: If injecting by hand this should be done until tracer is just still visible in cannula shaft, approximately 1-2mm above where dental cement is covering the shaft.” </w:t>
      </w:r>
    </w:p>
    <w:p w14:paraId="56251E24" w14:textId="77777777" w:rsidR="00085572" w:rsidRPr="001B11C1" w:rsidRDefault="00085572" w:rsidP="00367589">
      <w:pPr>
        <w:rPr>
          <w:rFonts w:eastAsia="Times New Roman" w:cstheme="minorHAnsi"/>
          <w:color w:val="212121"/>
          <w:sz w:val="23"/>
          <w:szCs w:val="23"/>
          <w:lang w:val="en-US"/>
        </w:rPr>
      </w:pPr>
    </w:p>
    <w:p w14:paraId="7D174FDD" w14:textId="70410AC4" w:rsidR="00853730" w:rsidRPr="00C212BF" w:rsidRDefault="00367589" w:rsidP="00367589">
      <w:pPr>
        <w:rPr>
          <w:rFonts w:ascii="Times New Roman" w:eastAsia="Times New Roman" w:hAnsi="Times New Roman" w:cs="Times New Roman"/>
          <w:lang w:val="en-US"/>
        </w:rPr>
      </w:pPr>
      <w:r w:rsidRPr="001B11C1">
        <w:rPr>
          <w:rFonts w:eastAsia="Times New Roman" w:cstheme="minorHAnsi"/>
          <w:color w:val="212121"/>
          <w:sz w:val="23"/>
          <w:szCs w:val="23"/>
          <w:lang w:val="en-US"/>
        </w:rPr>
        <w:br/>
      </w:r>
      <w:r w:rsidRPr="001B11C1">
        <w:rPr>
          <w:rFonts w:eastAsia="Times New Roman" w:cstheme="minorHAnsi"/>
          <w:color w:val="212121"/>
          <w:sz w:val="23"/>
          <w:szCs w:val="23"/>
          <w:shd w:val="clear" w:color="auto" w:fill="FFFFFF"/>
          <w:lang w:val="en-US"/>
        </w:rPr>
        <w:t xml:space="preserve">In the discussion, the authors make note of several limitations of this scaled up version as compared to the typical rodent procedure including the cost of the procedure as well as the extended operating and tracer circulation time. Another factor that may be of interest to someone attempting to use this technique in their study is the approximate time required to extract the brain from the skull after euthanasia and the implications of that time delay. In Ma et al. (https://doi.org/10.1007/s00401-018-1916-x) it was reported that in mice there was a rapid movement of tracer from the </w:t>
      </w:r>
      <w:proofErr w:type="spellStart"/>
      <w:r w:rsidRPr="001B11C1">
        <w:rPr>
          <w:rFonts w:eastAsia="Times New Roman" w:cstheme="minorHAnsi"/>
          <w:color w:val="212121"/>
          <w:sz w:val="23"/>
          <w:szCs w:val="23"/>
          <w:shd w:val="clear" w:color="auto" w:fill="FFFFFF"/>
          <w:lang w:val="en-US"/>
        </w:rPr>
        <w:t>paravascular</w:t>
      </w:r>
      <w:proofErr w:type="spellEnd"/>
      <w:r w:rsidRPr="001B11C1">
        <w:rPr>
          <w:rFonts w:eastAsia="Times New Roman" w:cstheme="minorHAnsi"/>
          <w:color w:val="212121"/>
          <w:sz w:val="23"/>
          <w:szCs w:val="23"/>
          <w:shd w:val="clear" w:color="auto" w:fill="FFFFFF"/>
          <w:lang w:val="en-US"/>
        </w:rPr>
        <w:t xml:space="preserve"> space into brain parenchyma after euthanasia. In rodents the brain can be extracted from the skull within minutes, possibly even under a minute, and placed into fixative to mitigate this movement or alternatively the rodent could be </w:t>
      </w:r>
      <w:proofErr w:type="spellStart"/>
      <w:r w:rsidRPr="001B11C1">
        <w:rPr>
          <w:rFonts w:eastAsia="Times New Roman" w:cstheme="minorHAnsi"/>
          <w:color w:val="212121"/>
          <w:sz w:val="23"/>
          <w:szCs w:val="23"/>
          <w:shd w:val="clear" w:color="auto" w:fill="FFFFFF"/>
          <w:lang w:val="en-US"/>
        </w:rPr>
        <w:t>transcardially</w:t>
      </w:r>
      <w:proofErr w:type="spellEnd"/>
      <w:r w:rsidRPr="001B11C1">
        <w:rPr>
          <w:rFonts w:eastAsia="Times New Roman" w:cstheme="minorHAnsi"/>
          <w:color w:val="212121"/>
          <w:sz w:val="23"/>
          <w:szCs w:val="23"/>
          <w:shd w:val="clear" w:color="auto" w:fill="FFFFFF"/>
          <w:lang w:val="en-US"/>
        </w:rPr>
        <w:t xml:space="preserve"> perfused with fixative prior to removing the brain. Presumably it takes a substantially longer time to extract the pig brain, during which time the phenomenon described by Ma et al. would be taking place and potentially confounding results. So it would be good to know whether the authors feel that this is a limitation which should be recognized and, if so, how it can be mitigated or addressed.</w:t>
      </w:r>
      <w:r w:rsidRPr="001B11C1">
        <w:rPr>
          <w:rFonts w:eastAsia="Times New Roman" w:cstheme="minorHAnsi"/>
          <w:color w:val="212121"/>
          <w:sz w:val="23"/>
          <w:szCs w:val="23"/>
          <w:lang w:val="en-US"/>
        </w:rPr>
        <w:br/>
      </w:r>
      <w:r w:rsidR="00085572" w:rsidRPr="001B11C1">
        <w:rPr>
          <w:rFonts w:eastAsia="Times New Roman" w:cstheme="minorHAnsi"/>
          <w:color w:val="4472C4" w:themeColor="accent1"/>
          <w:sz w:val="23"/>
          <w:szCs w:val="23"/>
          <w:lang w:val="en-US"/>
        </w:rPr>
        <w:t>We thank the reviewer for bringing this to our attention.</w:t>
      </w:r>
      <w:r w:rsidR="00853730" w:rsidRPr="001B11C1">
        <w:rPr>
          <w:rFonts w:eastAsia="Times New Roman" w:cstheme="minorHAnsi"/>
          <w:color w:val="4472C4" w:themeColor="accent1"/>
          <w:sz w:val="23"/>
          <w:szCs w:val="23"/>
          <w:lang w:val="en-US"/>
        </w:rPr>
        <w:t xml:space="preserve"> The time needed for brain extraction in pigs is indeed another challenge for this technique. It goes without saying that the brain should be extracted and fixed as quickly as possible to avoid the artifacts described by Ma et al., however this minimum time of extraction is significantly longer than in small rodents which is difficult to reduce in thick skulled pigs. However if all brains are extracted over similar time periods this could minimize data variability based on Ma et al. findings. We would not encourage </w:t>
      </w:r>
      <w:proofErr w:type="spellStart"/>
      <w:r w:rsidR="00853730" w:rsidRPr="001B11C1">
        <w:rPr>
          <w:rFonts w:eastAsia="Times New Roman" w:cstheme="minorHAnsi"/>
          <w:color w:val="4472C4" w:themeColor="accent1"/>
          <w:sz w:val="23"/>
          <w:szCs w:val="23"/>
          <w:lang w:val="en-US"/>
        </w:rPr>
        <w:t>transcardial</w:t>
      </w:r>
      <w:proofErr w:type="spellEnd"/>
      <w:r w:rsidR="00853730" w:rsidRPr="001B11C1">
        <w:rPr>
          <w:rFonts w:eastAsia="Times New Roman" w:cstheme="minorHAnsi"/>
          <w:color w:val="4472C4" w:themeColor="accent1"/>
          <w:sz w:val="23"/>
          <w:szCs w:val="23"/>
          <w:lang w:val="en-US"/>
        </w:rPr>
        <w:t xml:space="preserve"> perfusion fixation both because it is not so feasible in the pigs and more so because </w:t>
      </w:r>
      <w:r w:rsidR="00853730" w:rsidRPr="001B11C1">
        <w:rPr>
          <w:rFonts w:eastAsia="Times New Roman" w:cstheme="minorHAnsi"/>
          <w:color w:val="4472C4" w:themeColor="accent1"/>
          <w:sz w:val="23"/>
          <w:szCs w:val="23"/>
          <w:lang w:val="en-US"/>
        </w:rPr>
        <w:lastRenderedPageBreak/>
        <w:t>of the consequence of PVS collapse as described in Mestre et al</w:t>
      </w:r>
      <w:r w:rsidR="00C212BF">
        <w:rPr>
          <w:rFonts w:eastAsia="Times New Roman" w:cstheme="minorHAnsi"/>
          <w:color w:val="4472C4" w:themeColor="accent1"/>
          <w:sz w:val="23"/>
          <w:szCs w:val="23"/>
          <w:lang w:val="en-US"/>
        </w:rPr>
        <w:t xml:space="preserve">, 2018 </w:t>
      </w:r>
      <w:r w:rsidR="00C212BF" w:rsidRPr="00C212BF">
        <w:rPr>
          <w:rFonts w:eastAsia="Times New Roman" w:cstheme="minorHAnsi"/>
          <w:color w:val="4472C4" w:themeColor="accent1"/>
          <w:lang w:val="en-US"/>
        </w:rPr>
        <w:t>(</w:t>
      </w:r>
      <w:r w:rsidR="00C212BF" w:rsidRPr="00C212BF">
        <w:rPr>
          <w:rFonts w:eastAsia="Times New Roman" w:cstheme="minorHAnsi"/>
          <w:color w:val="4472C4" w:themeColor="accent1"/>
          <w:shd w:val="clear" w:color="auto" w:fill="FFFFFF"/>
          <w:lang w:val="en-US"/>
        </w:rPr>
        <w:t>PMID: </w:t>
      </w:r>
      <w:r w:rsidR="00C212BF" w:rsidRPr="00C212BF">
        <w:rPr>
          <w:rFonts w:eastAsia="Times New Roman" w:cstheme="minorHAnsi"/>
          <w:color w:val="4472C4" w:themeColor="accent1"/>
          <w:lang w:val="en-US"/>
        </w:rPr>
        <w:t>30451853)</w:t>
      </w:r>
      <w:r w:rsidR="00853730" w:rsidRPr="00C212BF">
        <w:rPr>
          <w:rFonts w:eastAsia="Times New Roman" w:cstheme="minorHAnsi"/>
          <w:color w:val="4472C4" w:themeColor="accent1"/>
          <w:lang w:val="en-US"/>
        </w:rPr>
        <w:t>.</w:t>
      </w:r>
      <w:r w:rsidR="00853730" w:rsidRPr="00C212BF">
        <w:rPr>
          <w:rFonts w:eastAsia="Times New Roman" w:cstheme="minorHAnsi"/>
          <w:color w:val="4472C4" w:themeColor="accent1"/>
          <w:szCs w:val="23"/>
          <w:lang w:val="en-US"/>
        </w:rPr>
        <w:t xml:space="preserve"> </w:t>
      </w:r>
      <w:r w:rsidR="00853730" w:rsidRPr="001B11C1">
        <w:rPr>
          <w:rFonts w:eastAsia="Times New Roman" w:cstheme="minorHAnsi"/>
          <w:color w:val="4472C4" w:themeColor="accent1"/>
          <w:sz w:val="23"/>
          <w:szCs w:val="23"/>
          <w:lang w:val="en-US"/>
        </w:rPr>
        <w:t>We have added a section in the discussion to address some of these points:</w:t>
      </w:r>
    </w:p>
    <w:p w14:paraId="2E7C169C" w14:textId="77777777" w:rsidR="00853730" w:rsidRPr="001B11C1" w:rsidRDefault="00853730" w:rsidP="00367589">
      <w:pPr>
        <w:rPr>
          <w:rFonts w:eastAsia="Times New Roman" w:cstheme="minorHAnsi"/>
          <w:color w:val="4472C4" w:themeColor="accent1"/>
          <w:sz w:val="23"/>
          <w:szCs w:val="23"/>
          <w:lang w:val="en-US"/>
        </w:rPr>
      </w:pPr>
    </w:p>
    <w:p w14:paraId="2739DF7E" w14:textId="03A041F3" w:rsidR="002616EA" w:rsidRPr="001B11C1" w:rsidRDefault="002616EA" w:rsidP="002616EA">
      <w:pPr>
        <w:rPr>
          <w:rFonts w:cstheme="minorHAnsi"/>
          <w:color w:val="4472C4" w:themeColor="accent1"/>
        </w:rPr>
      </w:pPr>
      <w:r w:rsidRPr="001B11C1">
        <w:rPr>
          <w:rFonts w:cstheme="minorHAnsi"/>
          <w:color w:val="4472C4" w:themeColor="accent1"/>
        </w:rPr>
        <w:t>”An additional time-related challenge is the time taken for brain extraction after tracer circulation. Previous reports have shown that some movement of tracer through PVS persists after euthanasia</w:t>
      </w:r>
      <w:r w:rsidRPr="001B11C1">
        <w:rPr>
          <w:rFonts w:cstheme="minorHAnsi"/>
          <w:color w:val="4472C4" w:themeColor="accent1"/>
        </w:rPr>
        <w:fldChar w:fldCharType="begin" w:fldLock="1"/>
      </w:r>
      <w:r w:rsidRPr="001B11C1">
        <w:rPr>
          <w:rFonts w:cstheme="minorHAnsi"/>
          <w:color w:val="4472C4" w:themeColor="accent1"/>
        </w:rPr>
        <w:instrText>ADDIN CSL_CITATION {"citationItems":[{"id":"ITEM-1","itemData":{"DOI":"10.1007/s00401-018-1916-x","ISBN":"0040101819","ISSN":"14320533","PMID":"30306266","abstract":"The relationships between cerebrospinal fluid (CSF) and brain interstitial fluid are still being elucidated. It has been proposed that CSF within the subarachnoid space will enter paravascular spaces along arteries to flush through the parenchyma of the brain. However, CSF also directly exits the subarachnoid space through the cribriform plate and other perineural routes to reach the lymphatic system. In this study, we aimed to elucidate the functional relationship between CSF efflux through lymphatics and the potential influx into the brain by assessment of the distribution of CSF-infused tracers in awake and anesthetized mice. Using near-infrared fluorescence imaging, we showed that tracers quickly exited the subarachnoid space by transport through the lymphatic system to the systemic circulation in awake mice, significantly limiting their spread to the paravascular spaces of the brain. Magnetic resonance imaging and fluorescence microscopy through the skull under anesthetized conditions indicated that tracers remained confined to paravascular spaces on the surface of the brain. Immediately after death, a substantial influx of tracers occurred along paravascular spaces extending into the brain parenchyma. We conclude that under normal conditions a rapid CSF turnover through lymphatics precludes significant bulk flow into the brain.","author":[{"dropping-particle":"","family":"Ma","given":"Qiaoli","non-dropping-particle":"","parse-names":false,"suffix":""},{"dropping-particle":"","family":"Ries","given":"Miriam","non-dropping-particle":"","parse-names":false,"suffix":""},{"dropping-particle":"","family":"Decker","given":"Yann","non-dropping-particle":"","parse-names":false,"suffix":""},{"dropping-particle":"","family":"Müller","given":"Andreas","non-dropping-particle":"","parse-names":false,"suffix":""},{"dropping-particle":"","family":"Riner","given":"Chantal","non-dropping-particle":"","parse-names":false,"suffix":""},{"dropping-particle":"","family":"Bücker","given":"Arno","non-dropping-particle":"","parse-names":false,"suffix":""},{"dropping-particle":"","family":"Fassbender","given":"Klaus","non-dropping-particle":"","parse-names":false,"suffix":""},{"dropping-particle":"","family":"Detmar","given":"Michael","non-dropping-particle":"","parse-names":false,"suffix":""},{"dropping-particle":"","family":"Proulx","given":"Steven T.","non-dropping-particle":"","parse-names":false,"suffix":""}],"container-title":"Acta Neuropathologica","id":"ITEM-1","issue":"1","issued":{"date-parts":[["2019"]]},"page":"151-165","publisher":"Springer Berlin Heidelberg","title":"Rapid lymphatic efflux limits cerebrospinal fluid flow to the brain","type":"article-journal","volume":"137"},"uris":["http://www.mendeley.com/documents/?uuid=0616f2cb-6c82-457b-8ab6-18a0500d3774"]}],"mendeley":{"formattedCitation":"&lt;sup&gt;21&lt;/sup&gt;","plainTextFormattedCitation":"21","previouslyFormattedCitation":"&lt;sup&gt;21&lt;/sup&gt;"},"properties":{"noteIndex":0},"schema":"https://github.com/citation-style-language/schema/raw/master/csl-citation.json"}</w:instrText>
      </w:r>
      <w:r w:rsidRPr="001B11C1">
        <w:rPr>
          <w:rFonts w:cstheme="minorHAnsi"/>
          <w:color w:val="4472C4" w:themeColor="accent1"/>
        </w:rPr>
        <w:fldChar w:fldCharType="separate"/>
      </w:r>
      <w:r w:rsidRPr="001B11C1">
        <w:rPr>
          <w:rFonts w:cstheme="minorHAnsi"/>
          <w:noProof/>
          <w:color w:val="4472C4" w:themeColor="accent1"/>
          <w:vertAlign w:val="superscript"/>
        </w:rPr>
        <w:t>21</w:t>
      </w:r>
      <w:r w:rsidRPr="001B11C1">
        <w:rPr>
          <w:rFonts w:cstheme="minorHAnsi"/>
          <w:color w:val="4472C4" w:themeColor="accent1"/>
        </w:rPr>
        <w:fldChar w:fldCharType="end"/>
      </w:r>
      <w:r w:rsidRPr="001B11C1">
        <w:rPr>
          <w:rFonts w:cstheme="minorHAnsi"/>
          <w:color w:val="4472C4" w:themeColor="accent1"/>
        </w:rPr>
        <w:t xml:space="preserve">. This makes it important to extract brains as quickly as possible to minimize confounding </w:t>
      </w:r>
      <w:r w:rsidR="0096310C">
        <w:rPr>
          <w:rFonts w:cstheme="minorHAnsi"/>
          <w:color w:val="4472C4" w:themeColor="accent1"/>
        </w:rPr>
        <w:t xml:space="preserve">effects </w:t>
      </w:r>
      <w:r w:rsidRPr="001B11C1">
        <w:rPr>
          <w:rFonts w:cstheme="minorHAnsi"/>
          <w:color w:val="4472C4" w:themeColor="accent1"/>
        </w:rPr>
        <w:t>from this phenomenon. While mouse brain extraction only amounts to a few minutes pig brain extractions take approximately 15-20</w:t>
      </w:r>
      <w:r w:rsidR="0096310C">
        <w:rPr>
          <w:rFonts w:cstheme="minorHAnsi"/>
          <w:color w:val="4472C4" w:themeColor="accent1"/>
        </w:rPr>
        <w:t xml:space="preserve"> </w:t>
      </w:r>
      <w:r w:rsidRPr="001B11C1">
        <w:rPr>
          <w:rFonts w:cstheme="minorHAnsi"/>
          <w:color w:val="4472C4" w:themeColor="accent1"/>
        </w:rPr>
        <w:t>min</w:t>
      </w:r>
      <w:r w:rsidR="0096310C">
        <w:rPr>
          <w:rFonts w:cstheme="minorHAnsi"/>
          <w:color w:val="4472C4" w:themeColor="accent1"/>
        </w:rPr>
        <w:t>utes</w:t>
      </w:r>
      <w:r w:rsidRPr="001B11C1">
        <w:rPr>
          <w:rFonts w:cstheme="minorHAnsi"/>
          <w:color w:val="4472C4" w:themeColor="accent1"/>
        </w:rPr>
        <w:t xml:space="preserve">. Needless to say </w:t>
      </w:r>
      <w:r w:rsidR="0096310C">
        <w:rPr>
          <w:rFonts w:cstheme="minorHAnsi"/>
          <w:color w:val="4472C4" w:themeColor="accent1"/>
        </w:rPr>
        <w:t xml:space="preserve">that </w:t>
      </w:r>
      <w:r w:rsidRPr="001B11C1">
        <w:rPr>
          <w:rFonts w:cstheme="minorHAnsi"/>
          <w:color w:val="4472C4" w:themeColor="accent1"/>
        </w:rPr>
        <w:t>the brain should be removed as quickly as possible to limit this effect but with the thickness and architecture of the pig skull it is difficult to reduce current extraction times.”</w:t>
      </w:r>
    </w:p>
    <w:p w14:paraId="5E916371" w14:textId="77777777" w:rsidR="002616EA" w:rsidRPr="001B11C1" w:rsidRDefault="002616EA" w:rsidP="002616EA">
      <w:pPr>
        <w:rPr>
          <w:rFonts w:cstheme="minorHAnsi"/>
          <w:color w:val="4472C4" w:themeColor="accent1"/>
        </w:rPr>
      </w:pPr>
    </w:p>
    <w:p w14:paraId="5746F8F6" w14:textId="77777777" w:rsidR="002616EA" w:rsidRPr="001B11C1" w:rsidRDefault="00853730" w:rsidP="00367589">
      <w:pPr>
        <w:rPr>
          <w:rFonts w:eastAsia="Times New Roman" w:cstheme="minorHAnsi"/>
          <w:color w:val="212121"/>
          <w:sz w:val="23"/>
          <w:szCs w:val="23"/>
          <w:shd w:val="clear" w:color="auto" w:fill="FFFFFF"/>
          <w:lang w:val="en-US"/>
        </w:rPr>
      </w:pPr>
      <w:r w:rsidRPr="001B11C1">
        <w:rPr>
          <w:rFonts w:eastAsia="Times New Roman" w:cstheme="minorHAnsi"/>
          <w:color w:val="4472C4" w:themeColor="accent1"/>
          <w:sz w:val="23"/>
          <w:szCs w:val="23"/>
          <w:lang w:val="en-US"/>
        </w:rPr>
        <w:t xml:space="preserve">  </w:t>
      </w:r>
      <w:r w:rsidR="00367589" w:rsidRPr="001B11C1">
        <w:rPr>
          <w:rFonts w:eastAsia="Times New Roman" w:cstheme="minorHAnsi"/>
          <w:color w:val="212121"/>
          <w:sz w:val="23"/>
          <w:szCs w:val="23"/>
          <w:lang w:val="en-US"/>
        </w:rPr>
        <w:br/>
      </w:r>
      <w:r w:rsidR="00367589" w:rsidRPr="001B11C1">
        <w:rPr>
          <w:rFonts w:eastAsia="Times New Roman" w:cstheme="minorHAnsi"/>
          <w:color w:val="212121"/>
          <w:sz w:val="23"/>
          <w:szCs w:val="23"/>
          <w:shd w:val="clear" w:color="auto" w:fill="FFFFFF"/>
          <w:lang w:val="en-US"/>
        </w:rPr>
        <w:t>Secondly, several studies in the glymphatic literature indicate that anesthesia affects the glymphatic system with significant differences in effects based on the anesthetic used. In this method, the animal is fully anesthetized throughout the whole protocol including during tracer circulation. Future researchers attempting to utilize this approach would probably like to perform some sort of experimental treatment in order to answer their question that would require either an awake behaving animal or at least to not have the confounds associated with the glymphatic system and anesthesia. This is probably out of the scope of this paper as its primarily a demonstration of methods (which it did well!) but I'd be curious to know how the authors foresee addressing this issue or adapting their protocol to accommodate future experimental needs.</w:t>
      </w:r>
    </w:p>
    <w:p w14:paraId="2616FF12" w14:textId="77777777" w:rsidR="002616EA" w:rsidRPr="001B11C1" w:rsidRDefault="002616EA" w:rsidP="00367589">
      <w:pPr>
        <w:rPr>
          <w:rFonts w:eastAsia="Times New Roman" w:cstheme="minorHAnsi"/>
          <w:color w:val="4472C4" w:themeColor="accent1"/>
          <w:sz w:val="23"/>
          <w:szCs w:val="23"/>
          <w:lang w:val="en-US"/>
        </w:rPr>
      </w:pPr>
      <w:r w:rsidRPr="001B11C1">
        <w:rPr>
          <w:rFonts w:eastAsia="Times New Roman" w:cstheme="minorHAnsi"/>
          <w:color w:val="4472C4" w:themeColor="accent1"/>
          <w:sz w:val="23"/>
          <w:szCs w:val="23"/>
          <w:lang w:val="en-US"/>
        </w:rPr>
        <w:t>We thank the reviewer for raising these points. We have added a some points concerning future expansion of this work and how it could be possible to achieve experiments in an awake animal.</w:t>
      </w:r>
    </w:p>
    <w:p w14:paraId="5C87EB36" w14:textId="77777777" w:rsidR="002616EA" w:rsidRPr="001B11C1" w:rsidRDefault="002616EA" w:rsidP="00367589">
      <w:pPr>
        <w:rPr>
          <w:rFonts w:eastAsia="Times New Roman" w:cstheme="minorHAnsi"/>
          <w:color w:val="212121"/>
          <w:sz w:val="23"/>
          <w:szCs w:val="23"/>
          <w:lang w:val="en-US"/>
        </w:rPr>
      </w:pPr>
    </w:p>
    <w:p w14:paraId="29195DD1" w14:textId="77777777" w:rsidR="00C212BF" w:rsidRDefault="002616EA" w:rsidP="00C212BF">
      <w:pPr>
        <w:rPr>
          <w:rFonts w:eastAsia="Times New Roman" w:cstheme="minorHAnsi"/>
          <w:color w:val="212121"/>
          <w:sz w:val="23"/>
          <w:szCs w:val="23"/>
          <w:shd w:val="clear" w:color="auto" w:fill="FFFFFF"/>
          <w:lang w:val="en-US"/>
        </w:rPr>
      </w:pPr>
      <w:r w:rsidRPr="001B11C1">
        <w:rPr>
          <w:rFonts w:cstheme="minorHAnsi"/>
          <w:color w:val="4472C4" w:themeColor="accent1"/>
        </w:rPr>
        <w:t>“Future studies are needed to explore the translation of the glymphatic physiological drivers identified in mice as well as glymphatic function in awake or naturally sleeping swine absent the impact of anaesthetics</w:t>
      </w:r>
      <w:r w:rsidRPr="001B11C1">
        <w:rPr>
          <w:rFonts w:cstheme="minorHAnsi"/>
          <w:color w:val="4472C4" w:themeColor="accent1"/>
        </w:rPr>
        <w:fldChar w:fldCharType="begin" w:fldLock="1"/>
      </w:r>
      <w:r w:rsidRPr="001B11C1">
        <w:rPr>
          <w:rFonts w:cstheme="minorHAnsi"/>
          <w:color w:val="4472C4" w:themeColor="accent1"/>
        </w:rPr>
        <w:instrText>ADDIN CSL_CITATION {"citationItems":[{"id":"ITEM-1","itemData":{"DOI":"10.1126/sciadv.aav5447","abstract":"The glymphatic system is responsible for brain-wide delivery of nutrients and clearance of waste via influx of cerebrospinal fluid (CSF) alongside perivascular spaces and through the brain. Glymphatic system activity increases during sleep or ketamine/xylazine (K/X) anesthesia, yet the mechanism(s) facilitating CSF influx are poorly understood. Here, we correlated influx of a CSF tracer into the brain with electroencephalogram (EEG) power, heart rate, blood pressure, and respiratory rate in wild-type mice under six different anesthesia regimens. We found that glymphatic CSF tracer influx was highest under K/X followed by isoflurane (ISO) supplemented with dexmedetomidine and pentobarbital. Mice anesthetized with α-chloralose, Avertin, or ISO exhibited low CSF tracer influx. This is the first study to show that glymphatic influx correlates positively with cortical delta power in EEG recordings and negatively with beta power and heart rate.","author":[{"dropping-particle":"","family":"Hablitz","given":"Lauren M.","non-dropping-particle":"","parse-names":false,"suffix":""},{"dropping-particle":"","family":"Vinitsky","given":"Hanna S.","non-dropping-particle":"","parse-names":false,"suffix":""},{"dropping-particle":"","family":"Sun","given":"Qian","non-dropping-particle":"","parse-names":false,"suffix":""},{"dropping-particle":"","family":"Stæger","given":"Frederik Filip","non-dropping-particle":"","parse-names":false,"suffix":""},{"dropping-particle":"","family":"Sigurdsson","given":"Björn","non-dropping-particle":"","parse-names":false,"suffix":""},{"dropping-particle":"","family":"Mortensen","given":"Kristian N.","non-dropping-particle":"","parse-names":false,"suffix":""},{"dropping-particle":"","family":"Lilius","given":"Tuomas O.","non-dropping-particle":"","parse-names":false,"suffix":""},{"dropping-particle":"","family":"Nedergaard","given":"Maiken","non-dropping-particle":"","parse-names":false,"suffix":""}],"container-title":"Science Advances","id":"ITEM-1","issue":"2","issued":{"date-parts":[["2019"]]},"page":"eaav5447","title":"Increased glymphatic influx is correlated with high EEG delta power and low heart rate in mice under anesthesia","type":"article-journal","volume":"5"},"uris":["http://www.mendeley.com/documents/?uuid=0f491d87-e5e4-417e-82ab-421ba436751f"]},{"id":"ITEM-2","itemData":{"DOI":"10.1038/s41467-018-07318-3","ISSN":"20411723","abstract":"Flow of cerebrospinal fluid (CSF) through perivascular spaces (PVSs) in the brain is important for clearance of metabolic waste. Arterial pulsations are thought to drive flow, but this has never been quantitatively shown. We used particle tracking to quantify CSF flow velocities in PVSs of live mice. CSF flow is pulsatile and driven primarily by the cardiac cycle. The speed of the arterial wall matches that of the CSF, suggesting arterial wall motion is the principal driving mechanism, via a process known as perivascular pumping. Increasing blood pressure leaves the artery diameter unchanged but changes the pulsations of the arterial wall, increasing backflow and thereby reducing net flow in the PVS. Perfusion-fixation alters the normal flow direction and causes a 10-fold reduction in PVS size. We conclude that particle tracking velocimetry enables the study of CSF flow in unprecedented detail and that studying the PVS in vivo avoids fixation artifacts.","author":[{"dropping-particle":"","family":"Mestre","given":"Humberto","non-dropping-particle":"","parse-names":false,"suffix":""},{"dropping-particle":"","family":"Tithof","given":"Jeffrey","non-dropping-particle":"","parse-names":false,"suffix":""},{"dropping-particle":"","family":"Du","given":"Ting","non-dropping-particle":"","parse-names":false,"suffix":""},{"dropping-particle":"","family":"Song","given":"Wei","non-dropping-particle":"","parse-names":false,"suffix":""},{"dropping-particle":"","family":"Peng","given":"Weiguo","non-dropping-particle":"","parse-names":false,"suffix":""},{"dropping-particle":"","family":"Sweeney","given":"Amanda M.","non-dropping-particle":"","parse-names":false,"suffix":""},{"dropping-particle":"","family":"Olveda","given":"Genaro","non-dropping-particle":"","parse-names":false,"suffix":""},{"dropping-particle":"","family":"Thomas","given":"John H.","non-dropping-particle":"","parse-names":false,"suffix":""},{"dropping-particle":"","family":"Nedergaard","given":"Maiken","non-dropping-particle":"","parse-names":false,"suffix":""},{"dropping-particle":"","family":"Kelley","given":"Douglas H.","non-dropping-particle":"","parse-names":false,"suffix":""}],"container-title":"Nature communications","id":"ITEM-2","issue":"1","issued":{"date-parts":[["2018"]]},"page":"4878","publisher":"Springer US","title":"Flow of cerebrospinal fluid is driven by arterial pulsations and is reduced in hypertension","type":"article-journal","volume":"9"},"uris":["http://www.mendeley.com/documents/?uuid=0ba18fc7-cbd5-47a8-8de6-f1bba5b0263b"]}],"mendeley":{"formattedCitation":"&lt;sup&gt;22, 23&lt;/sup&gt;","plainTextFormattedCitation":"22, 23","previouslyFormattedCitation":"&lt;sup&gt;22, 23&lt;/sup&gt;"},"properties":{"noteIndex":0},"schema":"https://github.com/citation-style-language/schema/raw/master/csl-citation.json"}</w:instrText>
      </w:r>
      <w:r w:rsidRPr="001B11C1">
        <w:rPr>
          <w:rFonts w:cstheme="minorHAnsi"/>
          <w:color w:val="4472C4" w:themeColor="accent1"/>
        </w:rPr>
        <w:fldChar w:fldCharType="separate"/>
      </w:r>
      <w:r w:rsidRPr="001B11C1">
        <w:rPr>
          <w:rFonts w:cstheme="minorHAnsi"/>
          <w:noProof/>
          <w:color w:val="4472C4" w:themeColor="accent1"/>
          <w:vertAlign w:val="superscript"/>
        </w:rPr>
        <w:t>22, 23</w:t>
      </w:r>
      <w:r w:rsidRPr="001B11C1">
        <w:rPr>
          <w:rFonts w:cstheme="minorHAnsi"/>
          <w:color w:val="4472C4" w:themeColor="accent1"/>
        </w:rPr>
        <w:fldChar w:fldCharType="end"/>
      </w:r>
      <w:r w:rsidRPr="001B11C1">
        <w:rPr>
          <w:rFonts w:cstheme="minorHAnsi"/>
          <w:color w:val="4472C4" w:themeColor="accent1"/>
        </w:rPr>
        <w:t>. In order</w:t>
      </w:r>
      <w:r w:rsidR="0096310C">
        <w:rPr>
          <w:rFonts w:cstheme="minorHAnsi"/>
          <w:color w:val="4472C4" w:themeColor="accent1"/>
        </w:rPr>
        <w:t xml:space="preserve"> to</w:t>
      </w:r>
      <w:r w:rsidRPr="001B11C1">
        <w:rPr>
          <w:rFonts w:cstheme="minorHAnsi"/>
          <w:color w:val="4472C4" w:themeColor="accent1"/>
        </w:rPr>
        <w:t xml:space="preserve"> investigate </w:t>
      </w:r>
      <w:r w:rsidR="0096310C">
        <w:rPr>
          <w:rFonts w:cstheme="minorHAnsi"/>
          <w:color w:val="4472C4" w:themeColor="accent1"/>
        </w:rPr>
        <w:t>the natural sleep or awake state,</w:t>
      </w:r>
      <w:r w:rsidR="0096310C" w:rsidRPr="001B11C1">
        <w:rPr>
          <w:rFonts w:cstheme="minorHAnsi"/>
          <w:color w:val="4472C4" w:themeColor="accent1"/>
        </w:rPr>
        <w:t xml:space="preserve"> </w:t>
      </w:r>
      <w:r w:rsidRPr="001B11C1">
        <w:rPr>
          <w:rFonts w:cstheme="minorHAnsi"/>
          <w:color w:val="4472C4" w:themeColor="accent1"/>
        </w:rPr>
        <w:t xml:space="preserve">it will be necessary to adapt the current protocol such that tracer can be delivered via less invasive means whilst still maintaining a high success rate. This could </w:t>
      </w:r>
      <w:r w:rsidR="0096310C">
        <w:rPr>
          <w:rFonts w:cstheme="minorHAnsi"/>
          <w:color w:val="4472C4" w:themeColor="accent1"/>
        </w:rPr>
        <w:t xml:space="preserve">potentially </w:t>
      </w:r>
      <w:r w:rsidRPr="001B11C1">
        <w:rPr>
          <w:rFonts w:cstheme="minorHAnsi"/>
          <w:color w:val="4472C4" w:themeColor="accent1"/>
        </w:rPr>
        <w:t>be achieved by carrying out CM injections under computed tomography fluoroscopy which has been previously utilized for lumbar puncture in pigs</w:t>
      </w:r>
      <w:r w:rsidRPr="001B11C1">
        <w:rPr>
          <w:rFonts w:cstheme="minorHAnsi"/>
          <w:color w:val="4472C4" w:themeColor="accent1"/>
        </w:rPr>
        <w:fldChar w:fldCharType="begin" w:fldLock="1"/>
      </w:r>
      <w:r w:rsidRPr="001B11C1">
        <w:rPr>
          <w:rFonts w:cstheme="minorHAnsi"/>
          <w:color w:val="4472C4" w:themeColor="accent1"/>
        </w:rPr>
        <w:instrText>ADDIN CSL_CITATION {"citationItems":[{"id":"ITEM-1","itemData":{"DOI":"10.1016/j.jneumeth.2013.03.006","ISSN":"1872678X","abstract":"The development of a novel method for intrathecal drug administration in the pig. CT-anatomy demonstrates constraints underlying the failure of human LP techniques. A lateral lumbar puncture approach targets the lateral thecal recess. This new large animal model offers unique strengths when compared with its alternatives. Intrathecal (IT) administration is an important route of drug delivery, and its modelling in a large animal species is of critical value. Although domestic swine is the preferred species for preclinical pharmacology, no minimally invasive method has been established to deliver agents into the IT space. While a \"blind\" lumbar puncture (LP) can sample cerebrospinal fluid (CSF), it is unreliable for drug delivery in pigs. Using computed tomography (CT), we determined the underlying anatomical reasons for this irregularity. The pig spinal cord was visualised terminating at the S2-S3 level. The lumbar region contained only small amounts of CSF found in the lateral recess. Additional anatomical constraints included ossification of the midline ligaments, overlapping lamina with small interlaminar spaces, and a large bulk of epidural adipose tissue. Accommodating the the pig CT anatomy, we developed a lateral LP (LLP) injection technique that employs advanced planning of the needle path and monitoring of the IT injection progress. The key features of the LLP procedure involved choosing a vertebral level without overlapping lamina or spinal ligament ossification, a needle trajectory crossing the midline, and entering the IT space in its lateral recess. Effective IT delivery was validated by the injection of contrast media to obtain a CT myelogram. LLP represents a safe and reliable method to deliver agents to the lumbar pig IT space, which can be implemented in a straightforward way by any laboratory with access to CT equipment. Therefore, LLP is an attractive large animal model for preclinical studies of IT therapies. © 2013 Elsevier B.V.","author":[{"dropping-particle":"","family":"Pleticha","given":"Josef","non-dropping-particle":"","parse-names":false,"suffix":""},{"dropping-particle":"","family":"Maus","given":"Timothy P.","non-dropping-particle":"","parse-names":false,"suffix":""},{"dropping-particle":"","family":"Jeng-Singh","given":"Christian","non-dropping-particle":"","parse-names":false,"suffix":""},{"dropping-particle":"","family":"Marsh","given":"Michael P.","non-dropping-particle":"","parse-names":false,"suffix":""},{"dropping-particle":"","family":"Al-Saiegh","given":"Fadi","non-dropping-particle":"","parse-names":false,"suffix":""},{"dropping-particle":"","family":"Christner","given":"Jodie A.","non-dropping-particle":"","parse-names":false,"suffix":""},{"dropping-particle":"","family":"Lee","given":"Kendall H.","non-dropping-particle":"","parse-names":false,"suffix":""},{"dropping-particle":"","family":"Beutler","given":"Andreas S.","non-dropping-particle":"","parse-names":false,"suffix":""}],"container-title":"Journal of Neuroscience Methods","id":"ITEM-1","issue":"1","issued":{"date-parts":[["2013"]]},"page":"10-15","publisher":"Elsevier B.V.","title":"Pig lumbar spine anatomy and imaging-guided lateral lumbar puncture: A new large animal model for intrathecal drug delivery","type":"article-journal","volume":"216"},"uris":["http://www.mendeley.com/documents/?uuid=87d6fe63-c0ae-4ecd-aea9-19ad719caf52"]}],"mendeley":{"formattedCitation":"&lt;sup&gt;24&lt;/sup&gt;","plainTextFormattedCitation":"24"},"properties":{"noteIndex":0},"schema":"https://github.com/citation-style-language/schema/raw/master/csl-citation.json"}</w:instrText>
      </w:r>
      <w:r w:rsidRPr="001B11C1">
        <w:rPr>
          <w:rFonts w:cstheme="minorHAnsi"/>
          <w:color w:val="4472C4" w:themeColor="accent1"/>
        </w:rPr>
        <w:fldChar w:fldCharType="separate"/>
      </w:r>
      <w:r w:rsidRPr="001B11C1">
        <w:rPr>
          <w:rFonts w:cstheme="minorHAnsi"/>
          <w:noProof/>
          <w:color w:val="4472C4" w:themeColor="accent1"/>
          <w:vertAlign w:val="superscript"/>
        </w:rPr>
        <w:t>24</w:t>
      </w:r>
      <w:r w:rsidRPr="001B11C1">
        <w:rPr>
          <w:rFonts w:cstheme="minorHAnsi"/>
          <w:color w:val="4472C4" w:themeColor="accent1"/>
        </w:rPr>
        <w:fldChar w:fldCharType="end"/>
      </w:r>
      <w:r w:rsidRPr="001B11C1">
        <w:rPr>
          <w:rFonts w:cstheme="minorHAnsi"/>
          <w:color w:val="4472C4" w:themeColor="accent1"/>
        </w:rPr>
        <w:t>”</w:t>
      </w:r>
      <w:r w:rsidR="00367589" w:rsidRPr="001B11C1">
        <w:rPr>
          <w:rFonts w:eastAsia="Times New Roman" w:cstheme="minorHAnsi"/>
          <w:color w:val="212121"/>
          <w:sz w:val="23"/>
          <w:szCs w:val="23"/>
          <w:lang w:val="en-US"/>
        </w:rPr>
        <w:br/>
      </w:r>
      <w:r w:rsidR="00367589" w:rsidRPr="001B11C1">
        <w:rPr>
          <w:rFonts w:eastAsia="Times New Roman" w:cstheme="minorHAnsi"/>
          <w:color w:val="212121"/>
          <w:sz w:val="23"/>
          <w:szCs w:val="23"/>
          <w:lang w:val="en-US"/>
        </w:rPr>
        <w:br/>
      </w:r>
      <w:r w:rsidR="00367589" w:rsidRPr="001B11C1">
        <w:rPr>
          <w:rFonts w:eastAsia="Times New Roman" w:cstheme="minorHAnsi"/>
          <w:color w:val="212121"/>
          <w:sz w:val="23"/>
          <w:szCs w:val="23"/>
          <w:lang w:val="en-US"/>
        </w:rPr>
        <w:br/>
      </w:r>
      <w:r w:rsidR="00367589" w:rsidRPr="001B11C1">
        <w:rPr>
          <w:rFonts w:eastAsia="Times New Roman" w:cstheme="minorHAnsi"/>
          <w:b/>
          <w:bCs/>
          <w:color w:val="212121"/>
          <w:sz w:val="23"/>
          <w:szCs w:val="23"/>
          <w:lang w:val="en-US"/>
        </w:rPr>
        <w:t>Reviewer #2: </w:t>
      </w:r>
      <w:r w:rsidR="00367589" w:rsidRPr="001B11C1">
        <w:rPr>
          <w:rFonts w:eastAsia="Times New Roman" w:cstheme="minorHAnsi"/>
          <w:color w:val="212121"/>
          <w:sz w:val="23"/>
          <w:szCs w:val="23"/>
          <w:lang w:val="en-US"/>
        </w:rPr>
        <w:br/>
      </w:r>
      <w:r w:rsidR="00367589" w:rsidRPr="001B11C1">
        <w:rPr>
          <w:rFonts w:eastAsia="Times New Roman" w:cstheme="minorHAnsi"/>
          <w:color w:val="212121"/>
          <w:sz w:val="23"/>
          <w:szCs w:val="23"/>
          <w:shd w:val="clear" w:color="auto" w:fill="FFFFFF"/>
          <w:lang w:val="en-US"/>
        </w:rPr>
        <w:t>Manuscript Summary:</w:t>
      </w:r>
      <w:r w:rsidR="00367589" w:rsidRPr="001B11C1">
        <w:rPr>
          <w:rFonts w:eastAsia="Times New Roman" w:cstheme="minorHAnsi"/>
          <w:color w:val="212121"/>
          <w:sz w:val="23"/>
          <w:szCs w:val="23"/>
          <w:lang w:val="en-US"/>
        </w:rPr>
        <w:br/>
      </w:r>
      <w:r w:rsidR="00367589" w:rsidRPr="001B11C1">
        <w:rPr>
          <w:rFonts w:eastAsia="Times New Roman" w:cstheme="minorHAnsi"/>
          <w:color w:val="212121"/>
          <w:sz w:val="23"/>
          <w:szCs w:val="23"/>
          <w:shd w:val="clear" w:color="auto" w:fill="FFFFFF"/>
          <w:lang w:val="en-US"/>
        </w:rPr>
        <w:t>Bechet et al., illustrated direct cannula implantation method in the cisterna magna of pigs to study glymphatic clearance.</w:t>
      </w:r>
      <w:r w:rsidR="00367589" w:rsidRPr="001B11C1">
        <w:rPr>
          <w:rFonts w:eastAsia="Times New Roman" w:cstheme="minorHAnsi"/>
          <w:color w:val="212121"/>
          <w:sz w:val="23"/>
          <w:szCs w:val="23"/>
          <w:lang w:val="en-US"/>
        </w:rPr>
        <w:br/>
      </w:r>
      <w:r w:rsidR="00367589" w:rsidRPr="001B11C1">
        <w:rPr>
          <w:rFonts w:eastAsia="Times New Roman" w:cstheme="minorHAnsi"/>
          <w:color w:val="212121"/>
          <w:sz w:val="23"/>
          <w:szCs w:val="23"/>
          <w:shd w:val="clear" w:color="auto" w:fill="FFFFFF"/>
          <w:lang w:val="en-US"/>
        </w:rPr>
        <w:t>Although cisterna magna cannulation has been often carried out in rodents, understanding the glymphatic system in higher mammals is essential for its translation to humans. The authors should consider adding following information.</w:t>
      </w:r>
      <w:r w:rsidR="00367589" w:rsidRPr="001B11C1">
        <w:rPr>
          <w:rFonts w:eastAsia="Times New Roman" w:cstheme="minorHAnsi"/>
          <w:color w:val="212121"/>
          <w:sz w:val="23"/>
          <w:szCs w:val="23"/>
          <w:lang w:val="en-US"/>
        </w:rPr>
        <w:br/>
      </w:r>
      <w:r w:rsidR="00367589" w:rsidRPr="001B11C1">
        <w:rPr>
          <w:rFonts w:eastAsia="Times New Roman" w:cstheme="minorHAnsi"/>
          <w:color w:val="212121"/>
          <w:sz w:val="23"/>
          <w:szCs w:val="23"/>
          <w:lang w:val="en-US"/>
        </w:rPr>
        <w:br/>
      </w:r>
      <w:r w:rsidR="00367589" w:rsidRPr="001B11C1">
        <w:rPr>
          <w:rFonts w:eastAsia="Times New Roman" w:cstheme="minorHAnsi"/>
          <w:color w:val="212121"/>
          <w:sz w:val="23"/>
          <w:szCs w:val="23"/>
          <w:shd w:val="clear" w:color="auto" w:fill="FFFFFF"/>
          <w:lang w:val="en-US"/>
        </w:rPr>
        <w:t>Major Concerns:</w:t>
      </w:r>
      <w:r w:rsidR="00367589" w:rsidRPr="001B11C1">
        <w:rPr>
          <w:rFonts w:eastAsia="Times New Roman" w:cstheme="minorHAnsi"/>
          <w:color w:val="212121"/>
          <w:sz w:val="23"/>
          <w:szCs w:val="23"/>
          <w:lang w:val="en-US"/>
        </w:rPr>
        <w:br/>
      </w:r>
      <w:r w:rsidR="00367589" w:rsidRPr="001B11C1">
        <w:rPr>
          <w:rFonts w:eastAsia="Times New Roman" w:cstheme="minorHAnsi"/>
          <w:color w:val="212121"/>
          <w:sz w:val="23"/>
          <w:szCs w:val="23"/>
          <w:shd w:val="clear" w:color="auto" w:fill="FFFFFF"/>
          <w:lang w:val="en-US"/>
        </w:rPr>
        <w:t>1) This reviewer would suggest the authors to provide justification to use pigs as higher mammals to study glymphatic clearance. How closely do the pigs resemble the human compared to rodents in terms of neuroanatomical structures?</w:t>
      </w:r>
    </w:p>
    <w:p w14:paraId="205AC1CA" w14:textId="5B0388B0" w:rsidR="001B11C1" w:rsidRPr="00C212BF" w:rsidRDefault="00511699" w:rsidP="00C212BF">
      <w:pPr>
        <w:rPr>
          <w:rFonts w:eastAsia="Times New Roman" w:cstheme="minorHAnsi"/>
          <w:color w:val="212121"/>
          <w:shd w:val="clear" w:color="auto" w:fill="FFFFFF"/>
          <w:lang w:val="en-US"/>
        </w:rPr>
      </w:pPr>
      <w:r w:rsidRPr="00C212BF">
        <w:rPr>
          <w:rFonts w:eastAsia="Times New Roman" w:cstheme="minorHAnsi"/>
          <w:color w:val="4472C4" w:themeColor="accent1"/>
          <w:lang w:val="en-US"/>
        </w:rPr>
        <w:t xml:space="preserve">We thank the reviewer for </w:t>
      </w:r>
      <w:r w:rsidR="00C93E0E" w:rsidRPr="00C212BF">
        <w:rPr>
          <w:rFonts w:eastAsia="Times New Roman" w:cstheme="minorHAnsi"/>
          <w:color w:val="4472C4" w:themeColor="accent1"/>
          <w:lang w:val="en-US"/>
        </w:rPr>
        <w:t>raising</w:t>
      </w:r>
      <w:r w:rsidRPr="00C212BF">
        <w:rPr>
          <w:rFonts w:eastAsia="Times New Roman" w:cstheme="minorHAnsi"/>
          <w:color w:val="4472C4" w:themeColor="accent1"/>
          <w:lang w:val="en-US"/>
        </w:rPr>
        <w:t xml:space="preserve"> this </w:t>
      </w:r>
      <w:r w:rsidR="0096310C" w:rsidRPr="00C212BF">
        <w:rPr>
          <w:rFonts w:eastAsia="Times New Roman" w:cstheme="minorHAnsi"/>
          <w:color w:val="4472C4" w:themeColor="accent1"/>
          <w:lang w:val="en-US"/>
        </w:rPr>
        <w:t>question</w:t>
      </w:r>
      <w:r w:rsidRPr="00C212BF">
        <w:rPr>
          <w:rFonts w:eastAsia="Times New Roman" w:cstheme="minorHAnsi"/>
          <w:color w:val="4472C4" w:themeColor="accent1"/>
          <w:lang w:val="en-US"/>
        </w:rPr>
        <w:t>.</w:t>
      </w:r>
      <w:r w:rsidR="001B11C1" w:rsidRPr="00C212BF">
        <w:rPr>
          <w:rFonts w:eastAsia="Times New Roman" w:cstheme="minorHAnsi"/>
          <w:color w:val="4472C4" w:themeColor="accent1"/>
          <w:lang w:val="en-US"/>
        </w:rPr>
        <w:t xml:space="preserve"> Overall the main takeaway is that the pig brain is more similar to humans than that of a rat or mouse as there are indeed several differences between pig brains versus humans and other primates.</w:t>
      </w:r>
      <w:r w:rsidR="00211E69">
        <w:rPr>
          <w:rFonts w:eastAsia="Times New Roman" w:cstheme="minorHAnsi"/>
          <w:color w:val="4472C4" w:themeColor="accent1"/>
          <w:lang w:val="en-US"/>
        </w:rPr>
        <w:t xml:space="preserve"> </w:t>
      </w:r>
      <w:bookmarkStart w:id="0" w:name="_GoBack"/>
      <w:bookmarkEnd w:id="0"/>
      <w:r w:rsidR="001B11C1" w:rsidRPr="00C212BF">
        <w:rPr>
          <w:rFonts w:eastAsia="Times New Roman" w:cstheme="minorHAnsi"/>
          <w:color w:val="4472C4" w:themeColor="accent1"/>
          <w:lang w:val="en-US"/>
        </w:rPr>
        <w:t>However,</w:t>
      </w:r>
      <w:r w:rsidRPr="00C212BF">
        <w:rPr>
          <w:rFonts w:eastAsia="Times New Roman" w:cstheme="minorHAnsi"/>
          <w:color w:val="4472C4" w:themeColor="accent1"/>
          <w:lang w:val="en-US"/>
        </w:rPr>
        <w:t xml:space="preserve"> </w:t>
      </w:r>
      <w:r w:rsidR="001B11C1" w:rsidRPr="00C212BF">
        <w:rPr>
          <w:rFonts w:eastAsia="Times New Roman" w:cstheme="minorHAnsi"/>
          <w:color w:val="4472C4" w:themeColor="accent1"/>
          <w:lang w:val="en-US"/>
        </w:rPr>
        <w:t>a</w:t>
      </w:r>
      <w:r w:rsidR="00F672CD" w:rsidRPr="00C212BF">
        <w:rPr>
          <w:rFonts w:eastAsia="Times New Roman" w:cstheme="minorHAnsi"/>
          <w:color w:val="4472C4" w:themeColor="accent1"/>
          <w:lang w:val="en-US"/>
        </w:rPr>
        <w:t xml:space="preserve">part from </w:t>
      </w:r>
      <w:r w:rsidR="00F672CD" w:rsidRPr="00C212BF">
        <w:rPr>
          <w:rFonts w:eastAsia="Times New Roman" w:cstheme="minorHAnsi"/>
          <w:color w:val="4472C4" w:themeColor="accent1"/>
          <w:lang w:val="en-US"/>
        </w:rPr>
        <w:lastRenderedPageBreak/>
        <w:t xml:space="preserve">overall brain size, a fundamental neuroanatomical similarity of importance for us and the glymphatic field when comparing pig and human brains is the presence of sulci and gyri as opposed to the smooth surfaced </w:t>
      </w:r>
      <w:proofErr w:type="spellStart"/>
      <w:r w:rsidR="00F672CD" w:rsidRPr="00C212BF">
        <w:rPr>
          <w:rFonts w:eastAsia="Times New Roman" w:cstheme="minorHAnsi"/>
          <w:color w:val="4472C4" w:themeColor="accent1"/>
          <w:lang w:val="en-US"/>
        </w:rPr>
        <w:t>lissencephalic</w:t>
      </w:r>
      <w:proofErr w:type="spellEnd"/>
      <w:r w:rsidR="00F672CD" w:rsidRPr="00C212BF">
        <w:rPr>
          <w:rFonts w:eastAsia="Times New Roman" w:cstheme="minorHAnsi"/>
          <w:color w:val="4472C4" w:themeColor="accent1"/>
          <w:lang w:val="en-US"/>
        </w:rPr>
        <w:t xml:space="preserve"> rodent brain. We hypothesize that the folded</w:t>
      </w:r>
      <w:r w:rsidR="00733827" w:rsidRPr="00C212BF">
        <w:rPr>
          <w:rFonts w:eastAsia="Times New Roman" w:cstheme="minorHAnsi"/>
          <w:color w:val="4472C4" w:themeColor="accent1"/>
          <w:lang w:val="en-US"/>
        </w:rPr>
        <w:t xml:space="preserve"> cortical architecture differentially impacts overall CSF distribution as compared to </w:t>
      </w:r>
      <w:proofErr w:type="spellStart"/>
      <w:r w:rsidR="00733827" w:rsidRPr="00C212BF">
        <w:rPr>
          <w:rFonts w:eastAsia="Times New Roman" w:cstheme="minorHAnsi"/>
          <w:color w:val="4472C4" w:themeColor="accent1"/>
          <w:lang w:val="en-US"/>
        </w:rPr>
        <w:t>lissencephalic</w:t>
      </w:r>
      <w:proofErr w:type="spellEnd"/>
      <w:r w:rsidR="00733827" w:rsidRPr="00C212BF">
        <w:rPr>
          <w:rFonts w:eastAsia="Times New Roman" w:cstheme="minorHAnsi"/>
          <w:color w:val="4472C4" w:themeColor="accent1"/>
          <w:lang w:val="en-US"/>
        </w:rPr>
        <w:t xml:space="preserve"> brains and this is why it is important to study the glymphatic system at high resolution in a gyrencephalic brain. In terms of other similarities </w:t>
      </w:r>
      <w:r w:rsidR="00D8025C" w:rsidRPr="00C212BF">
        <w:rPr>
          <w:rFonts w:eastAsia="Times New Roman" w:cstheme="minorHAnsi"/>
          <w:color w:val="4472C4" w:themeColor="accent1"/>
          <w:lang w:val="en-US"/>
        </w:rPr>
        <w:t xml:space="preserve">pre and post-natal CNS development between humans and pigs is highly similar (Dickerson &amp; </w:t>
      </w:r>
      <w:proofErr w:type="spellStart"/>
      <w:r w:rsidR="00D8025C" w:rsidRPr="00C212BF">
        <w:rPr>
          <w:rFonts w:eastAsia="Times New Roman" w:cstheme="minorHAnsi"/>
          <w:color w:val="4472C4" w:themeColor="accent1"/>
          <w:lang w:val="en-US"/>
        </w:rPr>
        <w:t>Dobbing</w:t>
      </w:r>
      <w:proofErr w:type="spellEnd"/>
      <w:r w:rsidR="00D8025C" w:rsidRPr="00C212BF">
        <w:rPr>
          <w:rFonts w:eastAsia="Times New Roman" w:cstheme="minorHAnsi"/>
          <w:color w:val="4472C4" w:themeColor="accent1"/>
          <w:lang w:val="en-US"/>
        </w:rPr>
        <w:t>, 1967</w:t>
      </w:r>
      <w:r w:rsidR="00943197" w:rsidRPr="00C212BF">
        <w:rPr>
          <w:rFonts w:eastAsia="Times New Roman" w:cstheme="minorHAnsi"/>
          <w:color w:val="4472C4" w:themeColor="accent1"/>
          <w:lang w:val="en-US"/>
        </w:rPr>
        <w:t xml:space="preserve">, </w:t>
      </w:r>
      <w:r w:rsidR="00943197" w:rsidRPr="00C212BF">
        <w:rPr>
          <w:rFonts w:eastAsia="Times New Roman" w:cstheme="minorHAnsi"/>
          <w:color w:val="4472C4" w:themeColor="accent1"/>
          <w:shd w:val="clear" w:color="auto" w:fill="FFFFFF"/>
          <w:lang w:val="en-US"/>
        </w:rPr>
        <w:t>PMID: </w:t>
      </w:r>
      <w:r w:rsidR="00943197" w:rsidRPr="00C212BF">
        <w:rPr>
          <w:rFonts w:eastAsia="Times New Roman" w:cstheme="minorHAnsi"/>
          <w:color w:val="4472C4" w:themeColor="accent1"/>
          <w:lang w:val="en-US"/>
        </w:rPr>
        <w:t>24796035; Lind</w:t>
      </w:r>
      <w:r w:rsidR="00C212BF" w:rsidRPr="00C212BF">
        <w:rPr>
          <w:rFonts w:eastAsia="Times New Roman" w:cstheme="minorHAnsi"/>
          <w:color w:val="4472C4" w:themeColor="accent1"/>
          <w:lang w:val="en-US"/>
        </w:rPr>
        <w:t xml:space="preserve"> et al, 2007, PMID: 17445892</w:t>
      </w:r>
      <w:r w:rsidR="00D8025C" w:rsidRPr="00C212BF">
        <w:rPr>
          <w:rFonts w:eastAsia="Times New Roman" w:cstheme="minorHAnsi"/>
          <w:color w:val="4472C4" w:themeColor="accent1"/>
          <w:lang w:val="en-US"/>
        </w:rPr>
        <w:t>)</w:t>
      </w:r>
      <w:r w:rsidR="001B11C1" w:rsidRPr="00C212BF">
        <w:rPr>
          <w:rFonts w:eastAsia="Times New Roman" w:cstheme="minorHAnsi"/>
          <w:color w:val="4472C4" w:themeColor="accent1"/>
          <w:lang w:val="en-US"/>
        </w:rPr>
        <w:t xml:space="preserve"> and</w:t>
      </w:r>
      <w:r w:rsidR="00D8025C" w:rsidRPr="00C212BF">
        <w:rPr>
          <w:rFonts w:eastAsia="Times New Roman" w:cstheme="minorHAnsi"/>
          <w:color w:val="4472C4" w:themeColor="accent1"/>
          <w:lang w:val="en-US"/>
        </w:rPr>
        <w:t xml:space="preserve"> the topology of the hippocampus points to a level of encephalization between rodents and primates</w:t>
      </w:r>
      <w:r w:rsidR="001B11C1" w:rsidRPr="00C212BF">
        <w:rPr>
          <w:rFonts w:eastAsia="Times New Roman" w:cstheme="minorHAnsi"/>
          <w:color w:val="4472C4" w:themeColor="accent1"/>
          <w:lang w:val="en-US"/>
        </w:rPr>
        <w:t xml:space="preserve"> (Holm &amp; West, 1994</w:t>
      </w:r>
      <w:r w:rsidR="00C212BF" w:rsidRPr="00C212BF">
        <w:rPr>
          <w:rFonts w:eastAsia="Times New Roman" w:cstheme="minorHAnsi"/>
          <w:color w:val="4472C4" w:themeColor="accent1"/>
          <w:lang w:val="en-US"/>
        </w:rPr>
        <w:t>, PMID: 8061750</w:t>
      </w:r>
      <w:r w:rsidR="001B11C1" w:rsidRPr="00C212BF">
        <w:rPr>
          <w:rFonts w:eastAsia="Times New Roman" w:cstheme="minorHAnsi"/>
          <w:color w:val="4472C4" w:themeColor="accent1"/>
          <w:lang w:val="en-US"/>
        </w:rPr>
        <w:t>). Additionally although far less complex than the human brain pigs possess approximately 430 million (</w:t>
      </w:r>
      <w:proofErr w:type="spellStart"/>
      <w:r w:rsidR="001B11C1" w:rsidRPr="00C212BF">
        <w:rPr>
          <w:rFonts w:eastAsia="Times New Roman" w:cstheme="minorHAnsi"/>
          <w:color w:val="4472C4" w:themeColor="accent1"/>
          <w:lang w:val="en-US"/>
        </w:rPr>
        <w:t>Jesling</w:t>
      </w:r>
      <w:proofErr w:type="spellEnd"/>
      <w:r w:rsidR="001B11C1" w:rsidRPr="00C212BF">
        <w:rPr>
          <w:rFonts w:eastAsia="Times New Roman" w:cstheme="minorHAnsi"/>
          <w:color w:val="4472C4" w:themeColor="accent1"/>
          <w:lang w:val="en-US"/>
        </w:rPr>
        <w:t xml:space="preserve"> at </w:t>
      </w:r>
      <w:proofErr w:type="spellStart"/>
      <w:r w:rsidR="001B11C1" w:rsidRPr="00C212BF">
        <w:rPr>
          <w:rFonts w:eastAsia="Times New Roman" w:cstheme="minorHAnsi"/>
          <w:color w:val="4472C4" w:themeColor="accent1"/>
          <w:lang w:val="en-US"/>
        </w:rPr>
        <w:t>al</w:t>
      </w:r>
      <w:proofErr w:type="spellEnd"/>
      <w:r w:rsidR="001B11C1" w:rsidRPr="00C212BF">
        <w:rPr>
          <w:rFonts w:eastAsia="Times New Roman" w:cstheme="minorHAnsi"/>
          <w:color w:val="4472C4" w:themeColor="accent1"/>
          <w:lang w:val="en-US"/>
        </w:rPr>
        <w:t>, 2006</w:t>
      </w:r>
      <w:r w:rsidR="00C212BF" w:rsidRPr="00C212BF">
        <w:rPr>
          <w:rFonts w:eastAsia="Times New Roman" w:cstheme="minorHAnsi"/>
          <w:color w:val="4472C4" w:themeColor="accent1"/>
          <w:lang w:val="en-US"/>
        </w:rPr>
        <w:t>, PMID: 16574805</w:t>
      </w:r>
      <w:r w:rsidR="001B11C1" w:rsidRPr="00C212BF">
        <w:rPr>
          <w:rFonts w:eastAsia="Times New Roman" w:cstheme="minorHAnsi"/>
          <w:color w:val="4472C4" w:themeColor="accent1"/>
          <w:lang w:val="en-US"/>
        </w:rPr>
        <w:t>)  neocortical neurons versus 21 million in rats (</w:t>
      </w:r>
      <w:proofErr w:type="spellStart"/>
      <w:r w:rsidR="001B11C1" w:rsidRPr="00C212BF">
        <w:rPr>
          <w:rFonts w:eastAsia="Times New Roman" w:cstheme="minorHAnsi"/>
          <w:color w:val="4472C4" w:themeColor="accent1"/>
          <w:lang w:val="en-US"/>
        </w:rPr>
        <w:t>Korbo</w:t>
      </w:r>
      <w:proofErr w:type="spellEnd"/>
      <w:r w:rsidR="001B11C1" w:rsidRPr="00C212BF">
        <w:rPr>
          <w:rFonts w:eastAsia="Times New Roman" w:cstheme="minorHAnsi"/>
          <w:color w:val="4472C4" w:themeColor="accent1"/>
          <w:lang w:val="en-US"/>
        </w:rPr>
        <w:t xml:space="preserve"> et al, 1993</w:t>
      </w:r>
      <w:r w:rsidR="00C212BF" w:rsidRPr="00C212BF">
        <w:rPr>
          <w:rFonts w:eastAsia="Times New Roman" w:cstheme="minorHAnsi"/>
          <w:color w:val="4472C4" w:themeColor="accent1"/>
          <w:lang w:val="en-US"/>
        </w:rPr>
        <w:t>, PMID: 8508308</w:t>
      </w:r>
      <w:r w:rsidR="001B11C1" w:rsidRPr="00C212BF">
        <w:rPr>
          <w:rFonts w:eastAsia="Times New Roman" w:cstheme="minorHAnsi"/>
          <w:color w:val="4472C4" w:themeColor="accent1"/>
          <w:lang w:val="en-US"/>
        </w:rPr>
        <w:t xml:space="preserve">). </w:t>
      </w:r>
    </w:p>
    <w:p w14:paraId="7DC680BE" w14:textId="7F0ADC05" w:rsidR="001B11C1" w:rsidRPr="00C212BF" w:rsidRDefault="001B11C1" w:rsidP="00367589">
      <w:pPr>
        <w:rPr>
          <w:rFonts w:eastAsia="Times New Roman" w:cstheme="minorHAnsi"/>
          <w:color w:val="4472C4" w:themeColor="accent1"/>
          <w:lang w:val="en-US"/>
        </w:rPr>
      </w:pPr>
      <w:r w:rsidRPr="00C212BF">
        <w:rPr>
          <w:rFonts w:eastAsia="Times New Roman" w:cstheme="minorHAnsi"/>
          <w:color w:val="4472C4" w:themeColor="accent1"/>
          <w:lang w:val="en-US"/>
        </w:rPr>
        <w:t>To address this we have added more information to the introduction:</w:t>
      </w:r>
    </w:p>
    <w:p w14:paraId="5EA79C48" w14:textId="5F2368B8" w:rsidR="001B11C1" w:rsidRPr="00C212BF" w:rsidRDefault="001B11C1" w:rsidP="00367589">
      <w:pPr>
        <w:rPr>
          <w:rFonts w:eastAsia="Times New Roman" w:cstheme="minorHAnsi"/>
          <w:color w:val="4472C4" w:themeColor="accent1"/>
          <w:lang w:val="en-US"/>
        </w:rPr>
      </w:pPr>
    </w:p>
    <w:p w14:paraId="6C7550A1" w14:textId="6E1355B3" w:rsidR="001B11C1" w:rsidRPr="00C212BF" w:rsidRDefault="001B11C1" w:rsidP="00367589">
      <w:pPr>
        <w:rPr>
          <w:rFonts w:eastAsia="Times New Roman" w:cstheme="minorHAnsi"/>
          <w:color w:val="4472C4" w:themeColor="accent1"/>
          <w:lang w:val="en-US"/>
        </w:rPr>
      </w:pPr>
      <w:r w:rsidRPr="00C212BF">
        <w:rPr>
          <w:rFonts w:cstheme="minorHAnsi"/>
          <w:color w:val="4472C4" w:themeColor="accent1"/>
          <w:lang w:val="en-US"/>
        </w:rPr>
        <w:t>“</w:t>
      </w:r>
      <w:r w:rsidRPr="00C212BF">
        <w:rPr>
          <w:rFonts w:cstheme="minorHAnsi"/>
          <w:color w:val="4472C4" w:themeColor="accent1"/>
        </w:rPr>
        <w:t xml:space="preserve">Pig and human brains differ substantially from rodents in that they are gyrencephalic, possessing a folded neuroarchitecture, while rodent brains are </w:t>
      </w:r>
      <w:proofErr w:type="spellStart"/>
      <w:r w:rsidRPr="00C212BF">
        <w:rPr>
          <w:rFonts w:cstheme="minorHAnsi"/>
          <w:color w:val="4472C4" w:themeColor="accent1"/>
        </w:rPr>
        <w:t>lissencephalic</w:t>
      </w:r>
      <w:proofErr w:type="spellEnd"/>
      <w:r w:rsidRPr="00C212BF">
        <w:rPr>
          <w:rFonts w:cstheme="minorHAnsi"/>
          <w:color w:val="4472C4" w:themeColor="accent1"/>
        </w:rPr>
        <w:t>.  In terms of overall size pig brains are also more comparable to humans being 10-15 times smaller than the human brain while mouse brains are 3000 times smaller.”</w:t>
      </w:r>
    </w:p>
    <w:p w14:paraId="004E307B" w14:textId="0C6A5D60" w:rsidR="00367589" w:rsidRPr="001B11C1" w:rsidRDefault="00367589" w:rsidP="00367589">
      <w:pPr>
        <w:rPr>
          <w:rFonts w:eastAsia="Times New Roman" w:cstheme="minorHAnsi"/>
          <w:color w:val="212121"/>
          <w:sz w:val="23"/>
          <w:szCs w:val="23"/>
          <w:shd w:val="clear" w:color="auto" w:fill="FFFFFF"/>
          <w:lang w:val="en-US"/>
        </w:rPr>
      </w:pPr>
      <w:r w:rsidRPr="001B11C1">
        <w:rPr>
          <w:rFonts w:eastAsia="Times New Roman" w:cstheme="minorHAnsi"/>
          <w:color w:val="212121"/>
          <w:sz w:val="23"/>
          <w:szCs w:val="23"/>
          <w:lang w:val="en-US"/>
        </w:rPr>
        <w:br/>
      </w:r>
      <w:r w:rsidRPr="001B11C1">
        <w:rPr>
          <w:rFonts w:eastAsia="Times New Roman" w:cstheme="minorHAnsi"/>
          <w:color w:val="212121"/>
          <w:sz w:val="23"/>
          <w:szCs w:val="23"/>
          <w:lang w:val="en-US"/>
        </w:rPr>
        <w:br/>
      </w:r>
      <w:r w:rsidRPr="001B11C1">
        <w:rPr>
          <w:rFonts w:eastAsia="Times New Roman" w:cstheme="minorHAnsi"/>
          <w:color w:val="212121"/>
          <w:sz w:val="23"/>
          <w:szCs w:val="23"/>
          <w:shd w:val="clear" w:color="auto" w:fill="FFFFFF"/>
          <w:lang w:val="en-US"/>
        </w:rPr>
        <w:t>2) Direct cannula implantation would potentially cause damage in brain. Can the authors describe how deep they insert the cannula below the dura in 3. Cannulation &amp; Injection? How do the authors ensure that brains are intact during this procedure?</w:t>
      </w:r>
    </w:p>
    <w:p w14:paraId="5ABB074D" w14:textId="0C81AA4B" w:rsidR="00CF44E1" w:rsidRPr="001B11C1" w:rsidRDefault="00CF44E1" w:rsidP="00367589">
      <w:pPr>
        <w:rPr>
          <w:rFonts w:eastAsia="Times New Roman" w:cstheme="minorHAnsi"/>
          <w:color w:val="4472C4" w:themeColor="accent1"/>
          <w:lang w:val="en-US"/>
        </w:rPr>
      </w:pPr>
      <w:r w:rsidRPr="001B11C1">
        <w:rPr>
          <w:rFonts w:eastAsia="Times New Roman" w:cstheme="minorHAnsi"/>
          <w:color w:val="4472C4" w:themeColor="accent1"/>
          <w:lang w:val="en-US"/>
        </w:rPr>
        <w:t>We thank the reviewer for raising these points. Concerning absolute depth we introduce the cannula 3-5mm into the CM, however this depth may vary based on individual variation and size of the animal used. The best metric to gauge successful cannulation is by stopping cannula insertion immediately after feeling the piercing of the dura</w:t>
      </w:r>
      <w:r w:rsidR="006D4808" w:rsidRPr="001B11C1">
        <w:rPr>
          <w:rFonts w:eastAsia="Times New Roman" w:cstheme="minorHAnsi"/>
          <w:color w:val="4472C4" w:themeColor="accent1"/>
          <w:lang w:val="en-US"/>
        </w:rPr>
        <w:t xml:space="preserve"> and waiting for visual confirmation of </w:t>
      </w:r>
      <w:r w:rsidR="003E5F4F" w:rsidRPr="001B11C1">
        <w:rPr>
          <w:rFonts w:eastAsia="Times New Roman" w:cstheme="minorHAnsi"/>
          <w:color w:val="4472C4" w:themeColor="accent1"/>
          <w:lang w:val="en-US"/>
        </w:rPr>
        <w:t>pulsatile</w:t>
      </w:r>
      <w:r w:rsidR="006D4808" w:rsidRPr="001B11C1">
        <w:rPr>
          <w:rFonts w:eastAsia="Times New Roman" w:cstheme="minorHAnsi"/>
          <w:color w:val="4472C4" w:themeColor="accent1"/>
          <w:lang w:val="en-US"/>
        </w:rPr>
        <w:t>, clear CSF in the cannula. If this is observed the cannula has been correctly introduced to a suitable depth for injection of tracers. To address this we have added an additional NOTE in the methods section:</w:t>
      </w:r>
    </w:p>
    <w:p w14:paraId="1B35F826" w14:textId="007D8F58" w:rsidR="006D4808" w:rsidRPr="001B11C1" w:rsidRDefault="006D4808" w:rsidP="00367589">
      <w:pPr>
        <w:rPr>
          <w:rFonts w:eastAsia="Times New Roman" w:cstheme="minorHAnsi"/>
          <w:color w:val="4472C4" w:themeColor="accent1"/>
          <w:lang w:val="en-US"/>
        </w:rPr>
      </w:pPr>
    </w:p>
    <w:p w14:paraId="5054FA7D" w14:textId="657E072B" w:rsidR="006D4808" w:rsidRPr="001B11C1" w:rsidRDefault="006D4808" w:rsidP="006D4808">
      <w:pPr>
        <w:rPr>
          <w:rFonts w:cstheme="minorHAnsi"/>
          <w:color w:val="4472C4" w:themeColor="accent1"/>
        </w:rPr>
      </w:pPr>
      <w:r w:rsidRPr="001B11C1">
        <w:rPr>
          <w:rFonts w:cstheme="minorHAnsi"/>
          <w:color w:val="4472C4" w:themeColor="accent1"/>
        </w:rPr>
        <w:t xml:space="preserve">“NOTE: It is important not to insert the cannula too deep as this can cause damage to the brain. Knowing how far to insert the cannula comes with experience in understanding how it feels </w:t>
      </w:r>
      <w:r w:rsidR="0096310C">
        <w:rPr>
          <w:rFonts w:cstheme="minorHAnsi"/>
          <w:color w:val="4472C4" w:themeColor="accent1"/>
        </w:rPr>
        <w:t>when</w:t>
      </w:r>
      <w:r w:rsidR="0096310C" w:rsidRPr="001B11C1">
        <w:rPr>
          <w:rFonts w:cstheme="minorHAnsi"/>
          <w:color w:val="4472C4" w:themeColor="accent1"/>
        </w:rPr>
        <w:t xml:space="preserve"> </w:t>
      </w:r>
      <w:r w:rsidRPr="001B11C1">
        <w:rPr>
          <w:rFonts w:cstheme="minorHAnsi"/>
          <w:color w:val="4472C4" w:themeColor="accent1"/>
        </w:rPr>
        <w:t>the cannula pierce</w:t>
      </w:r>
      <w:r w:rsidR="0096310C">
        <w:rPr>
          <w:rFonts w:cstheme="minorHAnsi"/>
          <w:color w:val="4472C4" w:themeColor="accent1"/>
        </w:rPr>
        <w:t>s</w:t>
      </w:r>
      <w:r w:rsidRPr="001B11C1">
        <w:rPr>
          <w:rFonts w:cstheme="minorHAnsi"/>
          <w:color w:val="4472C4" w:themeColor="accent1"/>
        </w:rPr>
        <w:t xml:space="preserve"> the dura. Essentially just as the dura has been pierced the cannula is then deep enough for successful tracer injection. This depth is approximately 3-5mm but will differ based on the size or age of the animal.  Successful cannulation should be immediately evident through the visualization of clear, pulsatile CSF ascending the cannula. For the best outcome it is recommended to practice several cannulations beforehand in euthanized animals to get one’s own understanding of dural piercing.”</w:t>
      </w:r>
    </w:p>
    <w:p w14:paraId="6BF0C5A8" w14:textId="77777777" w:rsidR="006D4808" w:rsidRPr="001B11C1" w:rsidRDefault="006D4808" w:rsidP="00367589">
      <w:pPr>
        <w:rPr>
          <w:rFonts w:eastAsia="Times New Roman" w:cstheme="minorHAnsi"/>
          <w:color w:val="4472C4" w:themeColor="accent1"/>
        </w:rPr>
      </w:pPr>
    </w:p>
    <w:p w14:paraId="0B870EC2" w14:textId="77777777" w:rsidR="000D7F53" w:rsidRPr="001B11C1" w:rsidRDefault="000D7F53">
      <w:pPr>
        <w:rPr>
          <w:rFonts w:cstheme="minorHAnsi"/>
        </w:rPr>
      </w:pPr>
    </w:p>
    <w:sectPr w:rsidR="000D7F53" w:rsidRPr="001B11C1" w:rsidSect="00167DB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A29"/>
    <w:multiLevelType w:val="multilevel"/>
    <w:tmpl w:val="A216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D3C8E"/>
    <w:multiLevelType w:val="multilevel"/>
    <w:tmpl w:val="8816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A3DA5"/>
    <w:multiLevelType w:val="multilevel"/>
    <w:tmpl w:val="4F94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9C20D4"/>
    <w:multiLevelType w:val="multilevel"/>
    <w:tmpl w:val="1D0A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89"/>
    <w:rsid w:val="00016685"/>
    <w:rsid w:val="00032780"/>
    <w:rsid w:val="000413BD"/>
    <w:rsid w:val="00043E8E"/>
    <w:rsid w:val="000678E9"/>
    <w:rsid w:val="00072D6B"/>
    <w:rsid w:val="00084186"/>
    <w:rsid w:val="00084ED8"/>
    <w:rsid w:val="00085572"/>
    <w:rsid w:val="00097CED"/>
    <w:rsid w:val="000A252B"/>
    <w:rsid w:val="000A45EE"/>
    <w:rsid w:val="000C2D8C"/>
    <w:rsid w:val="000C6EE1"/>
    <w:rsid w:val="000D7F53"/>
    <w:rsid w:val="000E1ABD"/>
    <w:rsid w:val="00115AB8"/>
    <w:rsid w:val="0012503C"/>
    <w:rsid w:val="00127EB7"/>
    <w:rsid w:val="00134247"/>
    <w:rsid w:val="00137ADB"/>
    <w:rsid w:val="00167DB4"/>
    <w:rsid w:val="00172E0D"/>
    <w:rsid w:val="00177894"/>
    <w:rsid w:val="00182A6E"/>
    <w:rsid w:val="00185E10"/>
    <w:rsid w:val="00190EBF"/>
    <w:rsid w:val="001943FD"/>
    <w:rsid w:val="001B11C1"/>
    <w:rsid w:val="001C238D"/>
    <w:rsid w:val="001C23B6"/>
    <w:rsid w:val="001E062A"/>
    <w:rsid w:val="001E4F8F"/>
    <w:rsid w:val="0020341D"/>
    <w:rsid w:val="00205663"/>
    <w:rsid w:val="00211E69"/>
    <w:rsid w:val="00221D3A"/>
    <w:rsid w:val="00223115"/>
    <w:rsid w:val="002616EA"/>
    <w:rsid w:val="00272253"/>
    <w:rsid w:val="00273631"/>
    <w:rsid w:val="002B03D1"/>
    <w:rsid w:val="002B7BCF"/>
    <w:rsid w:val="002C0288"/>
    <w:rsid w:val="002E453B"/>
    <w:rsid w:val="003009B3"/>
    <w:rsid w:val="00305B9D"/>
    <w:rsid w:val="00317A85"/>
    <w:rsid w:val="00330A33"/>
    <w:rsid w:val="0035621B"/>
    <w:rsid w:val="00367589"/>
    <w:rsid w:val="00384BBE"/>
    <w:rsid w:val="003A0A4A"/>
    <w:rsid w:val="003E354E"/>
    <w:rsid w:val="003E5F4F"/>
    <w:rsid w:val="003F3E70"/>
    <w:rsid w:val="00420486"/>
    <w:rsid w:val="0044193F"/>
    <w:rsid w:val="00443A72"/>
    <w:rsid w:val="00443EE0"/>
    <w:rsid w:val="00463B4D"/>
    <w:rsid w:val="0049577E"/>
    <w:rsid w:val="004B1114"/>
    <w:rsid w:val="004B20AC"/>
    <w:rsid w:val="004B3BD2"/>
    <w:rsid w:val="004C5102"/>
    <w:rsid w:val="004C55D7"/>
    <w:rsid w:val="004F1047"/>
    <w:rsid w:val="004F116A"/>
    <w:rsid w:val="00510095"/>
    <w:rsid w:val="00510B12"/>
    <w:rsid w:val="00511496"/>
    <w:rsid w:val="00511699"/>
    <w:rsid w:val="00537772"/>
    <w:rsid w:val="005579CE"/>
    <w:rsid w:val="005C655D"/>
    <w:rsid w:val="005D2F4E"/>
    <w:rsid w:val="00615EE3"/>
    <w:rsid w:val="006464B8"/>
    <w:rsid w:val="006519DB"/>
    <w:rsid w:val="006657AD"/>
    <w:rsid w:val="006806D1"/>
    <w:rsid w:val="006A774F"/>
    <w:rsid w:val="006B5D8C"/>
    <w:rsid w:val="006D12F8"/>
    <w:rsid w:val="006D4808"/>
    <w:rsid w:val="006F2323"/>
    <w:rsid w:val="007129DC"/>
    <w:rsid w:val="00714FC3"/>
    <w:rsid w:val="007164AC"/>
    <w:rsid w:val="00724E73"/>
    <w:rsid w:val="00730C73"/>
    <w:rsid w:val="00733827"/>
    <w:rsid w:val="007564B7"/>
    <w:rsid w:val="00783731"/>
    <w:rsid w:val="00787A41"/>
    <w:rsid w:val="007A7B7E"/>
    <w:rsid w:val="007C678A"/>
    <w:rsid w:val="007D76BF"/>
    <w:rsid w:val="007E741A"/>
    <w:rsid w:val="007F3566"/>
    <w:rsid w:val="007F5232"/>
    <w:rsid w:val="0082275D"/>
    <w:rsid w:val="00853730"/>
    <w:rsid w:val="00854847"/>
    <w:rsid w:val="00862944"/>
    <w:rsid w:val="00896E80"/>
    <w:rsid w:val="00897ECE"/>
    <w:rsid w:val="008A03B7"/>
    <w:rsid w:val="008A60DC"/>
    <w:rsid w:val="008B2387"/>
    <w:rsid w:val="008D5090"/>
    <w:rsid w:val="008D6794"/>
    <w:rsid w:val="008F317F"/>
    <w:rsid w:val="009076B4"/>
    <w:rsid w:val="0092058F"/>
    <w:rsid w:val="00936D58"/>
    <w:rsid w:val="00943197"/>
    <w:rsid w:val="0096310C"/>
    <w:rsid w:val="00982AD4"/>
    <w:rsid w:val="00984B7A"/>
    <w:rsid w:val="0099590D"/>
    <w:rsid w:val="009F3A52"/>
    <w:rsid w:val="00A24F92"/>
    <w:rsid w:val="00A3673C"/>
    <w:rsid w:val="00A7193C"/>
    <w:rsid w:val="00A72CCC"/>
    <w:rsid w:val="00A82B7B"/>
    <w:rsid w:val="00AB028B"/>
    <w:rsid w:val="00AB0458"/>
    <w:rsid w:val="00AB14B3"/>
    <w:rsid w:val="00AB35AA"/>
    <w:rsid w:val="00AC2CEB"/>
    <w:rsid w:val="00AC76CD"/>
    <w:rsid w:val="00AD4670"/>
    <w:rsid w:val="00AE255C"/>
    <w:rsid w:val="00AF6B3E"/>
    <w:rsid w:val="00B12E2F"/>
    <w:rsid w:val="00B5109E"/>
    <w:rsid w:val="00B572CC"/>
    <w:rsid w:val="00B60886"/>
    <w:rsid w:val="00B84484"/>
    <w:rsid w:val="00BC1643"/>
    <w:rsid w:val="00BF7D31"/>
    <w:rsid w:val="00C033DE"/>
    <w:rsid w:val="00C0772C"/>
    <w:rsid w:val="00C212BF"/>
    <w:rsid w:val="00C6250C"/>
    <w:rsid w:val="00C62756"/>
    <w:rsid w:val="00C93E0E"/>
    <w:rsid w:val="00C93F48"/>
    <w:rsid w:val="00CE0125"/>
    <w:rsid w:val="00CF1EA4"/>
    <w:rsid w:val="00CF44E1"/>
    <w:rsid w:val="00D0183D"/>
    <w:rsid w:val="00D32041"/>
    <w:rsid w:val="00D432F4"/>
    <w:rsid w:val="00D45514"/>
    <w:rsid w:val="00D623AA"/>
    <w:rsid w:val="00D757E4"/>
    <w:rsid w:val="00D8025C"/>
    <w:rsid w:val="00D903AB"/>
    <w:rsid w:val="00DB359B"/>
    <w:rsid w:val="00DE5B30"/>
    <w:rsid w:val="00DE74AF"/>
    <w:rsid w:val="00E20168"/>
    <w:rsid w:val="00E3029D"/>
    <w:rsid w:val="00E46570"/>
    <w:rsid w:val="00E85F59"/>
    <w:rsid w:val="00EA316E"/>
    <w:rsid w:val="00EB4554"/>
    <w:rsid w:val="00EB7EB1"/>
    <w:rsid w:val="00ED1B63"/>
    <w:rsid w:val="00F1651C"/>
    <w:rsid w:val="00F249D0"/>
    <w:rsid w:val="00F667E5"/>
    <w:rsid w:val="00F66EF0"/>
    <w:rsid w:val="00F672CD"/>
    <w:rsid w:val="00F76044"/>
    <w:rsid w:val="00FD6B3D"/>
    <w:rsid w:val="00FE41B6"/>
    <w:rsid w:val="00FF01B1"/>
    <w:rsid w:val="00FF65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1916A96"/>
  <w15:chartTrackingRefBased/>
  <w15:docId w15:val="{5A48050E-32B5-814B-94AE-1961C0DA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7589"/>
  </w:style>
  <w:style w:type="paragraph" w:styleId="BalloonText">
    <w:name w:val="Balloon Text"/>
    <w:basedOn w:val="Normal"/>
    <w:link w:val="BalloonTextChar"/>
    <w:uiPriority w:val="99"/>
    <w:semiHidden/>
    <w:unhideWhenUsed/>
    <w:rsid w:val="009631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310C"/>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96310C"/>
    <w:rPr>
      <w:sz w:val="16"/>
      <w:szCs w:val="16"/>
    </w:rPr>
  </w:style>
  <w:style w:type="paragraph" w:styleId="CommentText">
    <w:name w:val="annotation text"/>
    <w:basedOn w:val="Normal"/>
    <w:link w:val="CommentTextChar"/>
    <w:uiPriority w:val="99"/>
    <w:semiHidden/>
    <w:unhideWhenUsed/>
    <w:rsid w:val="0096310C"/>
    <w:rPr>
      <w:sz w:val="20"/>
      <w:szCs w:val="20"/>
    </w:rPr>
  </w:style>
  <w:style w:type="character" w:customStyle="1" w:styleId="CommentTextChar">
    <w:name w:val="Comment Text Char"/>
    <w:basedOn w:val="DefaultParagraphFont"/>
    <w:link w:val="CommentText"/>
    <w:uiPriority w:val="99"/>
    <w:semiHidden/>
    <w:rsid w:val="0096310C"/>
    <w:rPr>
      <w:sz w:val="20"/>
      <w:szCs w:val="20"/>
      <w:lang w:val="en-GB"/>
    </w:rPr>
  </w:style>
  <w:style w:type="paragraph" w:styleId="CommentSubject">
    <w:name w:val="annotation subject"/>
    <w:basedOn w:val="CommentText"/>
    <w:next w:val="CommentText"/>
    <w:link w:val="CommentSubjectChar"/>
    <w:uiPriority w:val="99"/>
    <w:semiHidden/>
    <w:unhideWhenUsed/>
    <w:rsid w:val="0096310C"/>
    <w:rPr>
      <w:b/>
      <w:bCs/>
    </w:rPr>
  </w:style>
  <w:style w:type="character" w:customStyle="1" w:styleId="CommentSubjectChar">
    <w:name w:val="Comment Subject Char"/>
    <w:basedOn w:val="CommentTextChar"/>
    <w:link w:val="CommentSubject"/>
    <w:uiPriority w:val="99"/>
    <w:semiHidden/>
    <w:rsid w:val="0096310C"/>
    <w:rPr>
      <w:b/>
      <w:bCs/>
      <w:sz w:val="20"/>
      <w:szCs w:val="20"/>
      <w:lang w:val="en-GB"/>
    </w:rPr>
  </w:style>
  <w:style w:type="paragraph" w:styleId="Revision">
    <w:name w:val="Revision"/>
    <w:hidden/>
    <w:uiPriority w:val="99"/>
    <w:semiHidden/>
    <w:rsid w:val="0096310C"/>
    <w:rPr>
      <w:lang w:val="en-GB"/>
    </w:rPr>
  </w:style>
  <w:style w:type="character" w:customStyle="1" w:styleId="docsum-pmid">
    <w:name w:val="docsum-pmid"/>
    <w:basedOn w:val="DefaultParagraphFont"/>
    <w:rsid w:val="00943197"/>
  </w:style>
  <w:style w:type="character" w:customStyle="1" w:styleId="id-label">
    <w:name w:val="id-label"/>
    <w:basedOn w:val="DefaultParagraphFont"/>
    <w:rsid w:val="00C212BF"/>
  </w:style>
  <w:style w:type="character" w:styleId="Strong">
    <w:name w:val="Strong"/>
    <w:basedOn w:val="DefaultParagraphFont"/>
    <w:uiPriority w:val="22"/>
    <w:qFormat/>
    <w:rsid w:val="00C21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97386">
      <w:bodyDiv w:val="1"/>
      <w:marLeft w:val="0"/>
      <w:marRight w:val="0"/>
      <w:marTop w:val="0"/>
      <w:marBottom w:val="0"/>
      <w:divBdr>
        <w:top w:val="none" w:sz="0" w:space="0" w:color="auto"/>
        <w:left w:val="none" w:sz="0" w:space="0" w:color="auto"/>
        <w:bottom w:val="none" w:sz="0" w:space="0" w:color="auto"/>
        <w:right w:val="none" w:sz="0" w:space="0" w:color="auto"/>
      </w:divBdr>
    </w:div>
    <w:div w:id="991367365">
      <w:bodyDiv w:val="1"/>
      <w:marLeft w:val="0"/>
      <w:marRight w:val="0"/>
      <w:marTop w:val="0"/>
      <w:marBottom w:val="0"/>
      <w:divBdr>
        <w:top w:val="none" w:sz="0" w:space="0" w:color="auto"/>
        <w:left w:val="none" w:sz="0" w:space="0" w:color="auto"/>
        <w:bottom w:val="none" w:sz="0" w:space="0" w:color="auto"/>
        <w:right w:val="none" w:sz="0" w:space="0" w:color="auto"/>
      </w:divBdr>
    </w:div>
    <w:div w:id="1015575133">
      <w:bodyDiv w:val="1"/>
      <w:marLeft w:val="0"/>
      <w:marRight w:val="0"/>
      <w:marTop w:val="0"/>
      <w:marBottom w:val="0"/>
      <w:divBdr>
        <w:top w:val="none" w:sz="0" w:space="0" w:color="auto"/>
        <w:left w:val="none" w:sz="0" w:space="0" w:color="auto"/>
        <w:bottom w:val="none" w:sz="0" w:space="0" w:color="auto"/>
        <w:right w:val="none" w:sz="0" w:space="0" w:color="auto"/>
      </w:divBdr>
    </w:div>
    <w:div w:id="1233734931">
      <w:bodyDiv w:val="1"/>
      <w:marLeft w:val="0"/>
      <w:marRight w:val="0"/>
      <w:marTop w:val="0"/>
      <w:marBottom w:val="0"/>
      <w:divBdr>
        <w:top w:val="none" w:sz="0" w:space="0" w:color="auto"/>
        <w:left w:val="none" w:sz="0" w:space="0" w:color="auto"/>
        <w:bottom w:val="none" w:sz="0" w:space="0" w:color="auto"/>
        <w:right w:val="none" w:sz="0" w:space="0" w:color="auto"/>
      </w:divBdr>
    </w:div>
    <w:div w:id="1533617593">
      <w:bodyDiv w:val="1"/>
      <w:marLeft w:val="0"/>
      <w:marRight w:val="0"/>
      <w:marTop w:val="0"/>
      <w:marBottom w:val="0"/>
      <w:divBdr>
        <w:top w:val="none" w:sz="0" w:space="0" w:color="auto"/>
        <w:left w:val="none" w:sz="0" w:space="0" w:color="auto"/>
        <w:bottom w:val="none" w:sz="0" w:space="0" w:color="auto"/>
        <w:right w:val="none" w:sz="0" w:space="0" w:color="auto"/>
      </w:divBdr>
    </w:div>
    <w:div w:id="1821187341">
      <w:bodyDiv w:val="1"/>
      <w:marLeft w:val="0"/>
      <w:marRight w:val="0"/>
      <w:marTop w:val="0"/>
      <w:marBottom w:val="0"/>
      <w:divBdr>
        <w:top w:val="none" w:sz="0" w:space="0" w:color="auto"/>
        <w:left w:val="none" w:sz="0" w:space="0" w:color="auto"/>
        <w:bottom w:val="none" w:sz="0" w:space="0" w:color="auto"/>
        <w:right w:val="none" w:sz="0" w:space="0" w:color="auto"/>
      </w:divBdr>
    </w:div>
    <w:div w:id="183194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3334</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2021-04-07T12:18:00Z</dcterms:created>
  <dcterms:modified xsi:type="dcterms:W3CDTF">2021-04-07T12:19:00Z</dcterms:modified>
</cp:coreProperties>
</file>