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BCC73" w14:textId="77777777" w:rsidR="006B6616" w:rsidRDefault="00E473AD">
      <w:pPr>
        <w:pStyle w:val="Standard"/>
        <w:spacing w:after="0" w:line="240" w:lineRule="auto"/>
        <w:rPr>
          <w:rFonts w:cs="Calibri"/>
        </w:rPr>
      </w:pPr>
      <w:r>
        <w:rPr>
          <w:rFonts w:cs="Calibri"/>
          <w:b/>
          <w:bCs/>
          <w:sz w:val="24"/>
          <w:szCs w:val="24"/>
          <w:lang w:val="en-US"/>
        </w:rPr>
        <w:t>TITLE:</w:t>
      </w:r>
    </w:p>
    <w:p w14:paraId="280F216F" w14:textId="77777777" w:rsidR="006B6616" w:rsidRDefault="00E473AD">
      <w:pPr>
        <w:pStyle w:val="Standard"/>
        <w:spacing w:after="0" w:line="240" w:lineRule="auto"/>
        <w:rPr>
          <w:rFonts w:cs="Calibri"/>
        </w:rPr>
      </w:pPr>
      <w:r>
        <w:rPr>
          <w:rFonts w:cs="Calibri"/>
          <w:sz w:val="24"/>
          <w:szCs w:val="24"/>
          <w:lang w:val="en-US"/>
        </w:rPr>
        <w:t xml:space="preserve">Rapid </w:t>
      </w:r>
      <w:r>
        <w:rPr>
          <w:rFonts w:cs="Calibri"/>
          <w:i/>
          <w:iCs/>
          <w:sz w:val="24"/>
          <w:szCs w:val="24"/>
          <w:lang w:val="en-US"/>
        </w:rPr>
        <w:t>In Vivo</w:t>
      </w:r>
      <w:r>
        <w:rPr>
          <w:rFonts w:cs="Calibri"/>
          <w:sz w:val="24"/>
          <w:szCs w:val="24"/>
          <w:lang w:val="en-US"/>
        </w:rPr>
        <w:t xml:space="preserve"> Fixation and Isolation of Translational Complexes from Eukaryotic Cells</w:t>
      </w:r>
    </w:p>
    <w:p w14:paraId="67826801" w14:textId="77777777" w:rsidR="006B6616" w:rsidRDefault="006B6616">
      <w:pPr>
        <w:pStyle w:val="Standard"/>
        <w:spacing w:after="0" w:line="240" w:lineRule="auto"/>
        <w:rPr>
          <w:rFonts w:cs="Calibri"/>
          <w:b/>
          <w:bCs/>
          <w:sz w:val="24"/>
          <w:szCs w:val="24"/>
          <w:lang w:val="en-US"/>
        </w:rPr>
      </w:pPr>
    </w:p>
    <w:p w14:paraId="10DCCF8C" w14:textId="77777777" w:rsidR="006B6616" w:rsidRDefault="00E473AD">
      <w:pPr>
        <w:pStyle w:val="Standard"/>
        <w:spacing w:after="0" w:line="240" w:lineRule="auto"/>
        <w:rPr>
          <w:rFonts w:cs="Calibri"/>
        </w:rPr>
      </w:pPr>
      <w:r>
        <w:rPr>
          <w:rFonts w:cs="Calibri"/>
          <w:b/>
          <w:bCs/>
          <w:sz w:val="24"/>
          <w:szCs w:val="24"/>
          <w:lang w:val="en-US"/>
        </w:rPr>
        <w:t>AUTHORS AND AFFILIATIONS:</w:t>
      </w:r>
    </w:p>
    <w:p w14:paraId="0212F7E5" w14:textId="77777777" w:rsidR="006B6616" w:rsidRDefault="00E473AD">
      <w:pPr>
        <w:pStyle w:val="Standard"/>
        <w:spacing w:after="0" w:line="240" w:lineRule="auto"/>
      </w:pPr>
      <w:r>
        <w:rPr>
          <w:rFonts w:eastAsia="Times New Roman" w:cs="Calibri"/>
          <w:color w:val="000000"/>
          <w:sz w:val="24"/>
          <w:szCs w:val="24"/>
          <w:lang w:val="en-US" w:eastAsia="en-AU"/>
        </w:rPr>
        <w:t>Yoshika Janapala</w:t>
      </w:r>
      <w:r>
        <w:rPr>
          <w:rFonts w:eastAsia="Times New Roman" w:cs="Calibri"/>
          <w:color w:val="000000"/>
          <w:sz w:val="24"/>
          <w:szCs w:val="24"/>
          <w:vertAlign w:val="superscript"/>
          <w:lang w:val="en-US" w:eastAsia="en-AU"/>
        </w:rPr>
        <w:t>1</w:t>
      </w:r>
      <w:r>
        <w:rPr>
          <w:rFonts w:eastAsia="Liberation Serif" w:cs="Calibri"/>
          <w:color w:val="000000"/>
          <w:sz w:val="24"/>
          <w:szCs w:val="24"/>
          <w:vertAlign w:val="superscript"/>
          <w:lang w:val="en-US" w:eastAsia="en-AU"/>
        </w:rPr>
        <w:t>†</w:t>
      </w:r>
      <w:r>
        <w:rPr>
          <w:rFonts w:eastAsia="Times New Roman" w:cs="Calibri"/>
          <w:color w:val="000000"/>
          <w:sz w:val="24"/>
          <w:szCs w:val="24"/>
          <w:lang w:val="en-US" w:eastAsia="en-AU"/>
        </w:rPr>
        <w:t>, Katrina Woodward</w:t>
      </w:r>
      <w:r>
        <w:rPr>
          <w:rFonts w:eastAsia="Times New Roman" w:cs="Calibri"/>
          <w:color w:val="000000"/>
          <w:sz w:val="24"/>
          <w:szCs w:val="24"/>
          <w:vertAlign w:val="superscript"/>
          <w:lang w:val="en-US" w:eastAsia="en-AU"/>
        </w:rPr>
        <w:t>1</w:t>
      </w:r>
      <w:r>
        <w:rPr>
          <w:rFonts w:eastAsia="Liberation Serif" w:cs="Calibri"/>
          <w:color w:val="000000"/>
          <w:sz w:val="24"/>
          <w:szCs w:val="24"/>
          <w:vertAlign w:val="superscript"/>
          <w:lang w:val="en-US" w:eastAsia="en-AU"/>
        </w:rPr>
        <w:t>†</w:t>
      </w:r>
      <w:r>
        <w:rPr>
          <w:rFonts w:eastAsia="Times New Roman" w:cs="Calibri"/>
          <w:color w:val="000000"/>
          <w:sz w:val="24"/>
          <w:szCs w:val="24"/>
          <w:lang w:val="en-US" w:eastAsia="en-AU"/>
        </w:rPr>
        <w:t xml:space="preserve">, </w:t>
      </w:r>
      <w:proofErr w:type="spellStart"/>
      <w:r>
        <w:rPr>
          <w:rFonts w:eastAsia="Times New Roman" w:cs="Calibri"/>
          <w:color w:val="000000"/>
          <w:sz w:val="24"/>
          <w:szCs w:val="24"/>
          <w:lang w:val="en-US" w:eastAsia="en-AU"/>
        </w:rPr>
        <w:t>Jiwon</w:t>
      </w:r>
      <w:proofErr w:type="spellEnd"/>
      <w:r>
        <w:rPr>
          <w:rFonts w:eastAsia="Times New Roman" w:cs="Calibri"/>
          <w:color w:val="000000"/>
          <w:sz w:val="24"/>
          <w:szCs w:val="24"/>
          <w:lang w:val="en-US" w:eastAsia="en-AU"/>
        </w:rPr>
        <w:t xml:space="preserve"> Lee</w:t>
      </w:r>
      <w:r>
        <w:rPr>
          <w:rFonts w:eastAsia="Times New Roman" w:cs="Calibri"/>
          <w:color w:val="000000"/>
          <w:sz w:val="24"/>
          <w:szCs w:val="24"/>
          <w:vertAlign w:val="superscript"/>
          <w:lang w:val="en-US" w:eastAsia="en-AU"/>
        </w:rPr>
        <w:t>2</w:t>
      </w:r>
      <w:r>
        <w:rPr>
          <w:rFonts w:eastAsia="Times New Roman" w:cs="Calibri"/>
          <w:color w:val="000000"/>
          <w:sz w:val="24"/>
          <w:szCs w:val="24"/>
          <w:lang w:val="en-US" w:eastAsia="en-AU"/>
        </w:rPr>
        <w:t>, Melanie Rug</w:t>
      </w:r>
      <w:r>
        <w:rPr>
          <w:rFonts w:eastAsia="Times New Roman" w:cs="Calibri"/>
          <w:color w:val="000000"/>
          <w:sz w:val="24"/>
          <w:szCs w:val="24"/>
          <w:vertAlign w:val="superscript"/>
          <w:lang w:val="en-US" w:eastAsia="en-AU"/>
        </w:rPr>
        <w:t>2</w:t>
      </w:r>
      <w:r>
        <w:rPr>
          <w:rFonts w:eastAsia="Times New Roman" w:cs="Calibri"/>
          <w:color w:val="000000"/>
          <w:sz w:val="24"/>
          <w:szCs w:val="24"/>
          <w:lang w:val="en-US" w:eastAsia="en-AU"/>
        </w:rPr>
        <w:t>, Thomas Preiss</w:t>
      </w:r>
      <w:r>
        <w:rPr>
          <w:rFonts w:eastAsia="Times New Roman" w:cs="Calibri"/>
          <w:color w:val="000000"/>
          <w:sz w:val="24"/>
          <w:szCs w:val="24"/>
          <w:vertAlign w:val="superscript"/>
          <w:lang w:val="en-US" w:eastAsia="en-AU"/>
        </w:rPr>
        <w:t>1,3*</w:t>
      </w:r>
      <w:r>
        <w:rPr>
          <w:rFonts w:eastAsia="Times New Roman" w:cs="Calibri"/>
          <w:color w:val="000000"/>
          <w:sz w:val="24"/>
          <w:szCs w:val="24"/>
          <w:lang w:val="en-US" w:eastAsia="en-AU"/>
        </w:rPr>
        <w:t>, Nikolay E. Shirokikh</w:t>
      </w:r>
      <w:r>
        <w:rPr>
          <w:rStyle w:val="Hyperlink"/>
          <w:rFonts w:eastAsia="Times New Roman" w:cs="Calibri"/>
          <w:color w:val="000000"/>
          <w:sz w:val="24"/>
          <w:szCs w:val="24"/>
          <w:u w:val="none"/>
          <w:vertAlign w:val="superscript"/>
          <w:lang w:val="en-US" w:eastAsia="en-AU"/>
        </w:rPr>
        <w:t>1*</w:t>
      </w:r>
    </w:p>
    <w:p w14:paraId="2CBCAAFD" w14:textId="77777777" w:rsidR="006B6616" w:rsidRDefault="006B6616">
      <w:pPr>
        <w:pStyle w:val="Standard"/>
        <w:spacing w:after="0" w:line="240" w:lineRule="auto"/>
        <w:jc w:val="both"/>
        <w:rPr>
          <w:rFonts w:eastAsia="Times New Roman" w:cs="Calibri"/>
          <w:color w:val="000000"/>
          <w:sz w:val="24"/>
          <w:szCs w:val="24"/>
          <w:lang w:val="en-US" w:eastAsia="en-AU"/>
        </w:rPr>
      </w:pPr>
    </w:p>
    <w:p w14:paraId="5CF8787D" w14:textId="77777777" w:rsidR="006B6616" w:rsidRDefault="00E473AD">
      <w:pPr>
        <w:pStyle w:val="Standard"/>
        <w:spacing w:after="0" w:line="240" w:lineRule="auto"/>
        <w:jc w:val="both"/>
        <w:rPr>
          <w:rFonts w:cs="Calibri"/>
        </w:rPr>
      </w:pPr>
      <w:r>
        <w:rPr>
          <w:rFonts w:eastAsia="Times New Roman" w:cs="Calibri"/>
          <w:color w:val="000000"/>
          <w:sz w:val="24"/>
          <w:szCs w:val="24"/>
          <w:vertAlign w:val="superscript"/>
          <w:lang w:val="en-US" w:eastAsia="en-AU"/>
        </w:rPr>
        <w:t>1</w:t>
      </w:r>
      <w:r>
        <w:rPr>
          <w:rFonts w:eastAsia="Times New Roman" w:cs="Calibri"/>
          <w:color w:val="000000"/>
          <w:sz w:val="24"/>
          <w:szCs w:val="24"/>
          <w:lang w:val="en-US" w:eastAsia="en-AU"/>
        </w:rPr>
        <w:t>Division of Genome Sciences and Cancer, The John Curtin School of Medical Research, The Australian National University, Canberra, ACT 2601, Australia</w:t>
      </w:r>
    </w:p>
    <w:p w14:paraId="43333651" w14:textId="77777777" w:rsidR="006B6616" w:rsidRDefault="00E473AD">
      <w:pPr>
        <w:pStyle w:val="Standard"/>
        <w:spacing w:after="0" w:line="240" w:lineRule="auto"/>
        <w:jc w:val="both"/>
        <w:rPr>
          <w:rFonts w:cs="Calibri"/>
        </w:rPr>
      </w:pPr>
      <w:r>
        <w:rPr>
          <w:rFonts w:eastAsia="Times New Roman" w:cs="Calibri"/>
          <w:color w:val="000000"/>
          <w:sz w:val="24"/>
          <w:szCs w:val="24"/>
          <w:vertAlign w:val="superscript"/>
          <w:lang w:val="en-US" w:eastAsia="en-AU"/>
        </w:rPr>
        <w:t>2</w:t>
      </w:r>
      <w:r>
        <w:rPr>
          <w:rFonts w:eastAsia="Times New Roman" w:cs="Calibri"/>
          <w:color w:val="000000"/>
          <w:sz w:val="24"/>
          <w:szCs w:val="24"/>
          <w:lang w:val="en-US" w:eastAsia="en-AU"/>
        </w:rPr>
        <w:t>Centre for Advanced Microscopy, The Australian National University, Canberra, ACT 2601, Australia</w:t>
      </w:r>
    </w:p>
    <w:p w14:paraId="1EB79247" w14:textId="77777777" w:rsidR="006B6616" w:rsidRDefault="00E473AD">
      <w:pPr>
        <w:pStyle w:val="Standard"/>
        <w:spacing w:after="0" w:line="240" w:lineRule="auto"/>
        <w:jc w:val="both"/>
        <w:rPr>
          <w:rFonts w:cs="Calibri"/>
        </w:rPr>
      </w:pPr>
      <w:r>
        <w:rPr>
          <w:rFonts w:cs="Calibri"/>
          <w:sz w:val="24"/>
          <w:szCs w:val="24"/>
          <w:vertAlign w:val="superscript"/>
          <w:lang w:val="en-US"/>
        </w:rPr>
        <w:t>3</w:t>
      </w:r>
      <w:r>
        <w:rPr>
          <w:rFonts w:cs="Calibri"/>
          <w:sz w:val="24"/>
          <w:szCs w:val="24"/>
          <w:lang w:val="en-US"/>
        </w:rPr>
        <w:t>Victor Chang Cardiac Research Institute, Darlinghurst, NSW 2010, Australia</w:t>
      </w:r>
    </w:p>
    <w:p w14:paraId="037360E6" w14:textId="77777777" w:rsidR="006B6616" w:rsidRDefault="006B6616">
      <w:pPr>
        <w:pStyle w:val="Standard"/>
        <w:spacing w:after="0" w:line="240" w:lineRule="auto"/>
        <w:jc w:val="both"/>
        <w:rPr>
          <w:rFonts w:cs="Calibri"/>
          <w:sz w:val="24"/>
          <w:szCs w:val="24"/>
          <w:lang w:val="en-US"/>
        </w:rPr>
      </w:pPr>
    </w:p>
    <w:p w14:paraId="7C590662" w14:textId="77777777" w:rsidR="006B6616" w:rsidRDefault="00E473AD">
      <w:pPr>
        <w:pStyle w:val="Standard"/>
        <w:spacing w:after="0" w:line="240" w:lineRule="auto"/>
        <w:rPr>
          <w:rFonts w:cs="Calibri"/>
        </w:rPr>
      </w:pPr>
      <w:r>
        <w:rPr>
          <w:rFonts w:eastAsia="Liberation Serif" w:cs="Calibri"/>
          <w:color w:val="000000"/>
          <w:sz w:val="24"/>
          <w:szCs w:val="24"/>
          <w:lang w:val="en-US" w:eastAsia="en-AU"/>
        </w:rPr>
        <w:t>†These authors have contributed equally</w:t>
      </w:r>
    </w:p>
    <w:p w14:paraId="7E56CB98" w14:textId="77777777" w:rsidR="006B6616" w:rsidRDefault="006B6616">
      <w:pPr>
        <w:pStyle w:val="Standard"/>
        <w:spacing w:after="0" w:line="240" w:lineRule="auto"/>
        <w:rPr>
          <w:rFonts w:eastAsia="Liberation Serif" w:cs="Calibri"/>
          <w:color w:val="000000"/>
          <w:sz w:val="24"/>
          <w:szCs w:val="24"/>
          <w:lang w:val="en-US" w:eastAsia="en-AU"/>
        </w:rPr>
      </w:pPr>
    </w:p>
    <w:p w14:paraId="62CD78EF" w14:textId="77777777" w:rsidR="006B6616" w:rsidRDefault="00E473AD">
      <w:pPr>
        <w:pStyle w:val="Standard"/>
        <w:spacing w:after="0" w:line="240" w:lineRule="auto"/>
        <w:jc w:val="both"/>
        <w:rPr>
          <w:rFonts w:cs="Calibri"/>
        </w:rPr>
      </w:pPr>
      <w:r>
        <w:rPr>
          <w:rFonts w:cs="Calibri"/>
          <w:sz w:val="24"/>
          <w:szCs w:val="24"/>
          <w:lang w:val="en-US"/>
        </w:rPr>
        <w:t>Corresponding Authors:</w:t>
      </w:r>
    </w:p>
    <w:p w14:paraId="7FA54642" w14:textId="77777777" w:rsidR="006B6616" w:rsidRDefault="00E473AD">
      <w:pPr>
        <w:pStyle w:val="Standard"/>
        <w:spacing w:after="0" w:line="240" w:lineRule="auto"/>
        <w:jc w:val="both"/>
      </w:pPr>
      <w:r>
        <w:rPr>
          <w:rFonts w:cs="Calibri"/>
          <w:sz w:val="24"/>
          <w:szCs w:val="24"/>
          <w:lang w:val="en-US"/>
        </w:rPr>
        <w:t xml:space="preserve">Nikolay E. </w:t>
      </w:r>
      <w:proofErr w:type="spellStart"/>
      <w:r>
        <w:rPr>
          <w:rFonts w:cs="Calibri"/>
          <w:sz w:val="24"/>
          <w:szCs w:val="24"/>
          <w:lang w:val="en-US"/>
        </w:rPr>
        <w:t>Shirokikh</w:t>
      </w:r>
      <w:proofErr w:type="spellEnd"/>
      <w:r>
        <w:rPr>
          <w:rFonts w:cs="Calibri"/>
          <w:sz w:val="24"/>
          <w:szCs w:val="24"/>
          <w:lang w:val="en-US"/>
        </w:rPr>
        <w:tab/>
        <w:t>(</w:t>
      </w:r>
      <w:hyperlink r:id="rId9">
        <w:r>
          <w:rPr>
            <w:rStyle w:val="Hyperlink"/>
            <w:rFonts w:cs="Calibri"/>
            <w:sz w:val="24"/>
            <w:szCs w:val="24"/>
            <w:lang w:val="en-US"/>
          </w:rPr>
          <w:t>nikolay.shirokikh@anu.edu.au</w:t>
        </w:r>
      </w:hyperlink>
      <w:r>
        <w:rPr>
          <w:rFonts w:cs="Calibri"/>
          <w:sz w:val="24"/>
          <w:szCs w:val="24"/>
          <w:lang w:val="en-US"/>
        </w:rPr>
        <w:t>)</w:t>
      </w:r>
    </w:p>
    <w:p w14:paraId="02853F3A" w14:textId="77777777" w:rsidR="006B6616" w:rsidRDefault="00E473AD">
      <w:pPr>
        <w:pStyle w:val="Standard"/>
        <w:spacing w:after="0" w:line="240" w:lineRule="auto"/>
        <w:jc w:val="both"/>
      </w:pPr>
      <w:r>
        <w:rPr>
          <w:rFonts w:cs="Calibri"/>
          <w:sz w:val="24"/>
          <w:szCs w:val="24"/>
          <w:lang w:val="en-US"/>
        </w:rPr>
        <w:t>Thomas Preiss</w:t>
      </w:r>
      <w:r>
        <w:rPr>
          <w:rFonts w:cs="Calibri"/>
          <w:sz w:val="24"/>
          <w:szCs w:val="24"/>
          <w:lang w:val="en-US"/>
        </w:rPr>
        <w:tab/>
      </w:r>
      <w:r>
        <w:rPr>
          <w:rFonts w:cs="Calibri"/>
          <w:sz w:val="24"/>
          <w:szCs w:val="24"/>
          <w:lang w:val="en-US"/>
        </w:rPr>
        <w:tab/>
        <w:t>(</w:t>
      </w:r>
      <w:hyperlink r:id="rId10">
        <w:r>
          <w:rPr>
            <w:rStyle w:val="Hyperlink"/>
            <w:rFonts w:cs="Calibri"/>
            <w:sz w:val="24"/>
            <w:szCs w:val="24"/>
            <w:lang w:val="en-US"/>
          </w:rPr>
          <w:t>thomas.preiss@anu.edu.au</w:t>
        </w:r>
      </w:hyperlink>
      <w:r>
        <w:rPr>
          <w:rFonts w:cs="Calibri"/>
          <w:sz w:val="24"/>
          <w:szCs w:val="24"/>
          <w:lang w:val="en-US"/>
        </w:rPr>
        <w:t>)</w:t>
      </w:r>
    </w:p>
    <w:p w14:paraId="4CD74140" w14:textId="77777777" w:rsidR="006B6616" w:rsidRDefault="006B6616">
      <w:pPr>
        <w:pStyle w:val="Standard"/>
        <w:spacing w:after="0" w:line="240" w:lineRule="auto"/>
        <w:jc w:val="both"/>
        <w:rPr>
          <w:rFonts w:cs="Calibri"/>
          <w:sz w:val="24"/>
          <w:szCs w:val="24"/>
          <w:lang w:val="en-US"/>
        </w:rPr>
      </w:pPr>
    </w:p>
    <w:p w14:paraId="78EF2265" w14:textId="77777777" w:rsidR="006B6616" w:rsidRDefault="00E473AD">
      <w:pPr>
        <w:rPr>
          <w:rFonts w:ascii="Calibri" w:hAnsi="Calibri" w:cs="Calibri"/>
        </w:rPr>
      </w:pPr>
      <w:r>
        <w:rPr>
          <w:rFonts w:ascii="Calibri" w:hAnsi="Calibri" w:cs="Calibri"/>
          <w:lang w:val="en-US"/>
        </w:rPr>
        <w:t>Email Address of all Co-Authors:</w:t>
      </w:r>
    </w:p>
    <w:p w14:paraId="09076DFD" w14:textId="77777777" w:rsidR="006B6616" w:rsidRDefault="00E473AD">
      <w:r>
        <w:rPr>
          <w:rFonts w:asciiTheme="minorHAnsi" w:hAnsiTheme="minorHAnsi" w:cstheme="minorHAnsi"/>
          <w:lang w:val="en-US"/>
        </w:rPr>
        <w:t xml:space="preserve">Yoshika </w:t>
      </w:r>
      <w:proofErr w:type="spellStart"/>
      <w:r>
        <w:rPr>
          <w:rFonts w:asciiTheme="minorHAnsi" w:hAnsiTheme="minorHAnsi" w:cstheme="minorHAnsi"/>
          <w:lang w:val="en-US"/>
        </w:rPr>
        <w:t>Janapala</w:t>
      </w:r>
      <w:proofErr w:type="spellEnd"/>
      <w:r>
        <w:rPr>
          <w:rFonts w:asciiTheme="minorHAnsi" w:hAnsiTheme="minorHAnsi" w:cstheme="minorHAnsi"/>
          <w:lang w:val="en-US"/>
        </w:rPr>
        <w:tab/>
        <w:t>(</w:t>
      </w:r>
      <w:hyperlink r:id="rId11">
        <w:r>
          <w:rPr>
            <w:rStyle w:val="Hyperlink"/>
            <w:rFonts w:asciiTheme="minorHAnsi" w:hAnsiTheme="minorHAnsi" w:cstheme="minorHAnsi"/>
            <w:lang w:val="en-US"/>
          </w:rPr>
          <w:t>yoshika.janapala@anu.edu.au</w:t>
        </w:r>
      </w:hyperlink>
      <w:r>
        <w:rPr>
          <w:rFonts w:asciiTheme="minorHAnsi" w:hAnsiTheme="minorHAnsi" w:cstheme="minorHAnsi"/>
          <w:lang w:val="en-US"/>
        </w:rPr>
        <w:t>)</w:t>
      </w:r>
    </w:p>
    <w:p w14:paraId="7D132898" w14:textId="77777777" w:rsidR="006B6616" w:rsidRDefault="00E473AD">
      <w:r>
        <w:rPr>
          <w:rFonts w:asciiTheme="minorHAnsi" w:hAnsiTheme="minorHAnsi" w:cstheme="minorHAnsi"/>
          <w:lang w:val="en-US"/>
        </w:rPr>
        <w:t>Katrina Woodward</w:t>
      </w:r>
      <w:r>
        <w:rPr>
          <w:rFonts w:asciiTheme="minorHAnsi" w:hAnsiTheme="minorHAnsi" w:cstheme="minorHAnsi"/>
          <w:lang w:val="en-US"/>
        </w:rPr>
        <w:tab/>
        <w:t>(</w:t>
      </w:r>
      <w:hyperlink r:id="rId12">
        <w:r>
          <w:rPr>
            <w:rStyle w:val="Hyperlink"/>
            <w:rFonts w:ascii="Calibri" w:hAnsi="Calibri" w:cs="Calibri"/>
            <w:lang w:val="en-US"/>
          </w:rPr>
          <w:t>k</w:t>
        </w:r>
      </w:hyperlink>
      <w:r>
        <w:rPr>
          <w:rStyle w:val="Hyperlink"/>
          <w:rFonts w:asciiTheme="minorHAnsi" w:hAnsiTheme="minorHAnsi" w:cstheme="minorHAnsi"/>
          <w:lang w:val="en-US"/>
        </w:rPr>
        <w:t>atrina.woodward@anu.edu.au</w:t>
      </w:r>
      <w:r>
        <w:rPr>
          <w:rFonts w:asciiTheme="minorHAnsi" w:hAnsiTheme="minorHAnsi" w:cstheme="minorHAnsi"/>
          <w:lang w:val="en-US"/>
        </w:rPr>
        <w:t>)</w:t>
      </w:r>
    </w:p>
    <w:p w14:paraId="63095D6E" w14:textId="77777777" w:rsidR="006B6616" w:rsidRDefault="00E473AD">
      <w:proofErr w:type="spellStart"/>
      <w:r>
        <w:rPr>
          <w:rFonts w:asciiTheme="minorHAnsi" w:hAnsiTheme="minorHAnsi" w:cstheme="minorHAnsi"/>
          <w:lang w:val="en-US"/>
        </w:rPr>
        <w:t>Jiwon</w:t>
      </w:r>
      <w:proofErr w:type="spellEnd"/>
      <w:r>
        <w:rPr>
          <w:rFonts w:asciiTheme="minorHAnsi" w:hAnsiTheme="minorHAnsi" w:cstheme="minorHAnsi"/>
          <w:lang w:val="en-US"/>
        </w:rPr>
        <w:t xml:space="preserve"> Lee </w:t>
      </w:r>
      <w:r>
        <w:rPr>
          <w:rFonts w:asciiTheme="minorHAnsi" w:hAnsiTheme="minorHAnsi" w:cstheme="minorHAnsi"/>
          <w:lang w:val="en-US"/>
        </w:rPr>
        <w:tab/>
      </w:r>
      <w:r>
        <w:rPr>
          <w:rFonts w:asciiTheme="minorHAnsi" w:hAnsiTheme="minorHAnsi" w:cstheme="minorHAnsi"/>
          <w:lang w:val="en-US"/>
        </w:rPr>
        <w:tab/>
        <w:t>(</w:t>
      </w:r>
      <w:hyperlink r:id="rId13">
        <w:r>
          <w:rPr>
            <w:rStyle w:val="Hyperlink"/>
            <w:rFonts w:asciiTheme="minorHAnsi" w:hAnsiTheme="minorHAnsi" w:cstheme="minorHAnsi"/>
            <w:lang w:val="en-US"/>
          </w:rPr>
          <w:t>joanne.lee@anu.edu.au</w:t>
        </w:r>
      </w:hyperlink>
      <w:r>
        <w:rPr>
          <w:rFonts w:asciiTheme="minorHAnsi" w:hAnsiTheme="minorHAnsi" w:cstheme="minorHAnsi"/>
          <w:lang w:val="en-US"/>
        </w:rPr>
        <w:t>)</w:t>
      </w:r>
    </w:p>
    <w:p w14:paraId="79523BDE" w14:textId="77777777" w:rsidR="006B6616" w:rsidRDefault="00E473AD">
      <w:r>
        <w:rPr>
          <w:rFonts w:asciiTheme="minorHAnsi" w:hAnsiTheme="minorHAnsi" w:cstheme="minorHAnsi"/>
          <w:lang w:val="en-US"/>
        </w:rPr>
        <w:t>Melanie Rug</w:t>
      </w:r>
      <w:r>
        <w:rPr>
          <w:rFonts w:asciiTheme="minorHAnsi" w:hAnsiTheme="minorHAnsi" w:cstheme="minorHAnsi"/>
          <w:lang w:val="en-US"/>
        </w:rPr>
        <w:tab/>
      </w:r>
      <w:r>
        <w:rPr>
          <w:rFonts w:asciiTheme="minorHAnsi" w:hAnsiTheme="minorHAnsi" w:cstheme="minorHAnsi"/>
          <w:lang w:val="en-US"/>
        </w:rPr>
        <w:tab/>
        <w:t>(</w:t>
      </w:r>
      <w:hyperlink r:id="rId14">
        <w:r>
          <w:rPr>
            <w:rStyle w:val="Hyperlink"/>
            <w:rFonts w:asciiTheme="minorHAnsi" w:hAnsiTheme="minorHAnsi" w:cstheme="minorHAnsi"/>
            <w:lang w:val="en-US"/>
          </w:rPr>
          <w:t>melanie.rug@anu.edu.au</w:t>
        </w:r>
      </w:hyperlink>
      <w:r>
        <w:rPr>
          <w:rFonts w:asciiTheme="minorHAnsi" w:hAnsiTheme="minorHAnsi" w:cstheme="minorHAnsi"/>
          <w:lang w:val="en-US"/>
        </w:rPr>
        <w:t>)</w:t>
      </w:r>
    </w:p>
    <w:p w14:paraId="62CFBDF7" w14:textId="77777777" w:rsidR="006B6616" w:rsidRDefault="00E473AD">
      <w:pPr>
        <w:pStyle w:val="Standard"/>
        <w:spacing w:after="0" w:line="240" w:lineRule="auto"/>
        <w:jc w:val="both"/>
        <w:rPr>
          <w:rFonts w:cs="Calibri"/>
          <w:sz w:val="24"/>
          <w:szCs w:val="24"/>
          <w:lang w:val="en-US"/>
        </w:rPr>
      </w:pPr>
      <w:r>
        <w:rPr>
          <w:rFonts w:cs="Calibri"/>
          <w:sz w:val="24"/>
          <w:szCs w:val="24"/>
          <w:lang w:val="en-US"/>
        </w:rPr>
        <w:t>Thomas Preiss</w:t>
      </w:r>
      <w:r>
        <w:rPr>
          <w:rFonts w:cs="Calibri"/>
          <w:sz w:val="24"/>
          <w:szCs w:val="24"/>
          <w:lang w:val="en-US"/>
        </w:rPr>
        <w:tab/>
      </w:r>
      <w:r>
        <w:rPr>
          <w:rFonts w:cs="Calibri"/>
          <w:sz w:val="24"/>
          <w:szCs w:val="24"/>
          <w:lang w:val="en-US"/>
        </w:rPr>
        <w:tab/>
        <w:t>(</w:t>
      </w:r>
      <w:hyperlink r:id="rId15">
        <w:r>
          <w:rPr>
            <w:rStyle w:val="Hyperlink"/>
            <w:rFonts w:cs="Calibri"/>
            <w:sz w:val="24"/>
            <w:szCs w:val="24"/>
            <w:lang w:val="en-US"/>
          </w:rPr>
          <w:t>thomas.preiss@anu.edu.au</w:t>
        </w:r>
      </w:hyperlink>
      <w:r>
        <w:rPr>
          <w:rFonts w:cs="Calibri"/>
          <w:sz w:val="24"/>
          <w:szCs w:val="24"/>
          <w:lang w:val="en-US"/>
        </w:rPr>
        <w:t>)</w:t>
      </w:r>
    </w:p>
    <w:p w14:paraId="56B7928F" w14:textId="77777777" w:rsidR="006B6616" w:rsidRDefault="00E473AD">
      <w:pPr>
        <w:pStyle w:val="Standard"/>
        <w:spacing w:after="0" w:line="240" w:lineRule="auto"/>
        <w:jc w:val="both"/>
        <w:rPr>
          <w:rStyle w:val="Hyperlink"/>
          <w:rFonts w:cs="Calibri"/>
          <w:sz w:val="24"/>
          <w:szCs w:val="24"/>
          <w:lang w:val="en-US"/>
        </w:rPr>
      </w:pPr>
      <w:r>
        <w:rPr>
          <w:rFonts w:cs="Calibri"/>
          <w:sz w:val="24"/>
          <w:szCs w:val="24"/>
          <w:lang w:val="en-US"/>
        </w:rPr>
        <w:t xml:space="preserve">Nikolay E. </w:t>
      </w:r>
      <w:proofErr w:type="spellStart"/>
      <w:r>
        <w:rPr>
          <w:rFonts w:cs="Calibri"/>
          <w:sz w:val="24"/>
          <w:szCs w:val="24"/>
          <w:lang w:val="en-US"/>
        </w:rPr>
        <w:t>Shirokikh</w:t>
      </w:r>
      <w:proofErr w:type="spellEnd"/>
      <w:r>
        <w:rPr>
          <w:rFonts w:cs="Calibri"/>
          <w:sz w:val="24"/>
          <w:szCs w:val="24"/>
          <w:lang w:val="en-US"/>
        </w:rPr>
        <w:tab/>
        <w:t>(</w:t>
      </w:r>
      <w:hyperlink r:id="rId16">
        <w:r>
          <w:rPr>
            <w:rStyle w:val="Hyperlink"/>
            <w:rFonts w:cs="Calibri"/>
            <w:sz w:val="24"/>
            <w:szCs w:val="24"/>
            <w:lang w:val="en-US"/>
          </w:rPr>
          <w:t>nikolay.shirokikh@anu.edu.au</w:t>
        </w:r>
      </w:hyperlink>
      <w:r>
        <w:rPr>
          <w:rFonts w:cs="Calibri"/>
          <w:sz w:val="24"/>
          <w:szCs w:val="24"/>
          <w:lang w:val="en-US"/>
        </w:rPr>
        <w:t>)</w:t>
      </w:r>
    </w:p>
    <w:p w14:paraId="5B7E4C04" w14:textId="77777777" w:rsidR="006B6616" w:rsidRDefault="006B6616">
      <w:pPr>
        <w:pStyle w:val="Standard"/>
        <w:spacing w:after="0" w:line="240" w:lineRule="auto"/>
        <w:jc w:val="both"/>
      </w:pPr>
    </w:p>
    <w:p w14:paraId="17372E04" w14:textId="77777777" w:rsidR="006B6616" w:rsidRDefault="00E473AD">
      <w:pPr>
        <w:pStyle w:val="NormalWeb"/>
        <w:spacing w:before="0" w:after="0"/>
        <w:jc w:val="both"/>
        <w:rPr>
          <w:rFonts w:ascii="Calibri" w:hAnsi="Calibri" w:cs="Calibri"/>
        </w:rPr>
      </w:pPr>
      <w:r>
        <w:rPr>
          <w:rFonts w:ascii="Calibri" w:hAnsi="Calibri" w:cs="Calibri"/>
          <w:b/>
          <w:color w:val="000000"/>
          <w:lang w:val="en-US" w:eastAsia="en-AU"/>
        </w:rPr>
        <w:t>KEYWORDS:</w:t>
      </w:r>
    </w:p>
    <w:p w14:paraId="3AED0CE5" w14:textId="77777777" w:rsidR="006B6616" w:rsidRDefault="00E473AD">
      <w:pPr>
        <w:pStyle w:val="NormalWeb"/>
        <w:spacing w:before="0" w:after="0"/>
        <w:jc w:val="both"/>
        <w:rPr>
          <w:rFonts w:ascii="Calibri" w:hAnsi="Calibri" w:cs="Calibri"/>
        </w:rPr>
      </w:pPr>
      <w:r>
        <w:rPr>
          <w:rFonts w:ascii="Calibri" w:hAnsi="Calibri" w:cs="Calibri"/>
          <w:color w:val="000000"/>
          <w:lang w:val="en-US"/>
        </w:rPr>
        <w:t xml:space="preserve">protein biosynthesis snapshot capture, translation complex stabilization, rapid cell responses, cellular stress, ribosomal complexes, affinity purification of translation intermediates, translational control, translation complex profile sequencing, TCP-seq, ribosome (translation) profiling, </w:t>
      </w:r>
      <w:proofErr w:type="spellStart"/>
      <w:r>
        <w:rPr>
          <w:rFonts w:ascii="Calibri" w:hAnsi="Calibri" w:cs="Calibri"/>
          <w:color w:val="000000"/>
          <w:lang w:val="en-US"/>
        </w:rPr>
        <w:t>ribo</w:t>
      </w:r>
      <w:proofErr w:type="spellEnd"/>
      <w:r>
        <w:rPr>
          <w:rFonts w:ascii="Calibri" w:hAnsi="Calibri" w:cs="Calibri"/>
          <w:color w:val="000000"/>
          <w:lang w:val="en-US"/>
        </w:rPr>
        <w:t>-seq, ribosome sedimentation by ultracentrifugation in sucrose gradient</w:t>
      </w:r>
    </w:p>
    <w:p w14:paraId="331484EF" w14:textId="77777777" w:rsidR="006B6616" w:rsidRDefault="006B6616">
      <w:pPr>
        <w:jc w:val="both"/>
        <w:rPr>
          <w:rFonts w:ascii="Calibri" w:hAnsi="Calibri" w:cs="Calibri"/>
          <w:b/>
          <w:color w:val="000000"/>
          <w:lang w:val="en-US" w:eastAsia="en-AU"/>
        </w:rPr>
      </w:pPr>
    </w:p>
    <w:p w14:paraId="353C9333" w14:textId="77777777" w:rsidR="006B6616" w:rsidRDefault="00E473AD">
      <w:pPr>
        <w:jc w:val="both"/>
        <w:rPr>
          <w:rFonts w:ascii="Calibri" w:hAnsi="Calibri" w:cs="Calibri"/>
        </w:rPr>
      </w:pPr>
      <w:r>
        <w:rPr>
          <w:rFonts w:ascii="Calibri" w:hAnsi="Calibri" w:cs="Calibri"/>
          <w:b/>
          <w:color w:val="000000"/>
          <w:lang w:val="en-US" w:eastAsia="en-AU"/>
        </w:rPr>
        <w:t>SUMMARY:</w:t>
      </w:r>
    </w:p>
    <w:p w14:paraId="6FE7E537" w14:textId="77777777" w:rsidR="006B6616" w:rsidRDefault="00E473AD">
      <w:pPr>
        <w:jc w:val="both"/>
        <w:textAlignment w:val="baseline"/>
        <w:rPr>
          <w:rFonts w:ascii="Calibri" w:hAnsi="Calibri" w:cs="Calibri"/>
          <w:color w:val="000000" w:themeColor="text1"/>
        </w:rPr>
      </w:pPr>
      <w:r w:rsidRPr="007E2E3F">
        <w:rPr>
          <w:rFonts w:ascii="Calibri" w:hAnsi="Calibri" w:cs="Calibri"/>
          <w:color w:val="000000" w:themeColor="text1"/>
          <w:lang w:val="en-US"/>
        </w:rPr>
        <w:t>We present a technique to rapidly stabilize translation</w:t>
      </w:r>
      <w:r>
        <w:rPr>
          <w:rFonts w:ascii="Calibri" w:hAnsi="Calibri" w:cs="Calibri"/>
          <w:color w:val="000000" w:themeColor="text1"/>
          <w:lang w:val="en-US"/>
        </w:rPr>
        <w:t>al</w:t>
      </w:r>
      <w:r w:rsidRPr="007E2E3F">
        <w:rPr>
          <w:rFonts w:ascii="Calibri" w:hAnsi="Calibri" w:cs="Calibri"/>
          <w:color w:val="000000" w:themeColor="text1"/>
          <w:lang w:val="en-US"/>
        </w:rPr>
        <w:t xml:space="preserve"> (protein biosynthesis) complexes with formaldehyde crosslinking in live yeast and mammalian cells. The approach enables dissecting transient intermediates and dynamic </w:t>
      </w:r>
      <w:proofErr w:type="spellStart"/>
      <w:proofErr w:type="gramStart"/>
      <w:r w:rsidRPr="007E2E3F">
        <w:rPr>
          <w:rFonts w:ascii="Calibri" w:hAnsi="Calibri" w:cs="Calibri"/>
          <w:color w:val="000000" w:themeColor="text1"/>
          <w:lang w:val="en-US"/>
        </w:rPr>
        <w:t>RNA:protein</w:t>
      </w:r>
      <w:proofErr w:type="spellEnd"/>
      <w:proofErr w:type="gramEnd"/>
      <w:r w:rsidRPr="007E2E3F">
        <w:rPr>
          <w:rFonts w:ascii="Calibri" w:hAnsi="Calibri" w:cs="Calibri"/>
          <w:color w:val="000000" w:themeColor="text1"/>
          <w:lang w:val="en-US"/>
        </w:rPr>
        <w:t xml:space="preserve"> interactions. The crosslinked complexes can be used in multiple downstream applications such as in deep sequencing-based profiling methods, microscopy, and mass-spectrometry.</w:t>
      </w:r>
    </w:p>
    <w:p w14:paraId="2E515915" w14:textId="77777777" w:rsidR="006B6616" w:rsidRDefault="006B6616">
      <w:pPr>
        <w:pStyle w:val="Standard"/>
        <w:spacing w:after="0" w:line="240" w:lineRule="auto"/>
        <w:jc w:val="both"/>
        <w:rPr>
          <w:rFonts w:cs="Calibri"/>
          <w:b/>
          <w:bCs/>
          <w:sz w:val="24"/>
          <w:szCs w:val="24"/>
          <w:lang w:val="en-US"/>
        </w:rPr>
      </w:pPr>
    </w:p>
    <w:p w14:paraId="01D335E7" w14:textId="77777777" w:rsidR="006B6616" w:rsidRDefault="00E473AD">
      <w:pPr>
        <w:pStyle w:val="Standard"/>
        <w:spacing w:after="0" w:line="240" w:lineRule="auto"/>
        <w:jc w:val="both"/>
        <w:rPr>
          <w:rFonts w:cs="Calibri"/>
        </w:rPr>
      </w:pPr>
      <w:r>
        <w:rPr>
          <w:rFonts w:cs="Calibri"/>
          <w:b/>
          <w:bCs/>
          <w:sz w:val="24"/>
          <w:szCs w:val="24"/>
          <w:lang w:val="en-US"/>
        </w:rPr>
        <w:t>ABSTRACT:</w:t>
      </w:r>
    </w:p>
    <w:p w14:paraId="1EC78608" w14:textId="6991F58B" w:rsidR="006B6616" w:rsidRDefault="00E473AD">
      <w:pPr>
        <w:pStyle w:val="Standard"/>
        <w:spacing w:after="0" w:line="240" w:lineRule="auto"/>
        <w:jc w:val="both"/>
        <w:rPr>
          <w:rFonts w:cs="Calibri"/>
        </w:rPr>
      </w:pPr>
      <w:r>
        <w:rPr>
          <w:rFonts w:eastAsia="Times New Roman" w:cs="Calibri"/>
          <w:color w:val="000000"/>
          <w:sz w:val="24"/>
          <w:szCs w:val="24"/>
          <w:lang w:val="en-US"/>
        </w:rPr>
        <w:t xml:space="preserve">Rapid responses involving fast redistribution of messenger(m)RNA and alterations of mRNA translation are pertinent to ongoing homeostatic adjustments of the cells. These adjustments are critical to eukaryotic cell survivability and ‘damage control’ during fluctuating nutrient and salinity levels, temperature, and various chemical and radiation stresses. Due to the highly dynamic nature of the RNA-level responses, and the instability of many of the </w:t>
      </w:r>
      <w:proofErr w:type="gramStart"/>
      <w:r>
        <w:rPr>
          <w:rFonts w:eastAsia="Times New Roman" w:cs="Calibri"/>
          <w:color w:val="000000"/>
          <w:sz w:val="24"/>
          <w:szCs w:val="24"/>
          <w:lang w:val="en-US"/>
        </w:rPr>
        <w:t>RNA:RNA</w:t>
      </w:r>
      <w:proofErr w:type="gramEnd"/>
      <w:r>
        <w:rPr>
          <w:rFonts w:eastAsia="Times New Roman" w:cs="Calibri"/>
          <w:color w:val="000000"/>
          <w:sz w:val="24"/>
          <w:szCs w:val="24"/>
          <w:lang w:val="en-US"/>
        </w:rPr>
        <w:t xml:space="preserve"> and </w:t>
      </w:r>
      <w:proofErr w:type="spellStart"/>
      <w:r>
        <w:rPr>
          <w:rFonts w:eastAsia="Times New Roman" w:cs="Calibri"/>
          <w:color w:val="000000"/>
          <w:sz w:val="24"/>
          <w:szCs w:val="24"/>
          <w:lang w:val="en-US"/>
        </w:rPr>
        <w:t>RNA:protein</w:t>
      </w:r>
      <w:proofErr w:type="spellEnd"/>
      <w:r>
        <w:rPr>
          <w:rFonts w:eastAsia="Times New Roman" w:cs="Calibri"/>
          <w:color w:val="000000"/>
          <w:sz w:val="24"/>
          <w:szCs w:val="24"/>
          <w:lang w:val="en-US"/>
        </w:rPr>
        <w:t xml:space="preserve"> intermediates, obtaining a meaningful snapshot of the cytoplasmic RNA state is only possible with a limited number of methods. Transcriptome-wide, RNA-seq-based ribosome profiling-type experiments are among the most informative source of data for the control of translation. However, absence of a uniform RNA and </w:t>
      </w:r>
      <w:proofErr w:type="spellStart"/>
      <w:proofErr w:type="gramStart"/>
      <w:r>
        <w:rPr>
          <w:rFonts w:eastAsia="Times New Roman" w:cs="Calibri"/>
          <w:color w:val="000000"/>
          <w:sz w:val="24"/>
          <w:szCs w:val="24"/>
          <w:lang w:val="en-US"/>
        </w:rPr>
        <w:t>RNA:protein</w:t>
      </w:r>
      <w:proofErr w:type="spellEnd"/>
      <w:proofErr w:type="gramEnd"/>
      <w:r>
        <w:rPr>
          <w:rFonts w:eastAsia="Times New Roman" w:cs="Calibri"/>
          <w:color w:val="000000"/>
          <w:sz w:val="24"/>
          <w:szCs w:val="24"/>
          <w:lang w:val="en-US"/>
        </w:rPr>
        <w:t xml:space="preserve"> intermediate stabilization can lead to different biases, particularly in the fast-paced cellular response pathways. In this article, we provide a detailed protocol of rapid fixation applicable to eukaryotic cells of different permeability, to aid in RNA and </w:t>
      </w:r>
      <w:proofErr w:type="spellStart"/>
      <w:proofErr w:type="gramStart"/>
      <w:r>
        <w:rPr>
          <w:rFonts w:eastAsia="Times New Roman" w:cs="Calibri"/>
          <w:color w:val="000000"/>
          <w:sz w:val="24"/>
          <w:szCs w:val="24"/>
          <w:lang w:val="en-US"/>
        </w:rPr>
        <w:t>RNA:protein</w:t>
      </w:r>
      <w:proofErr w:type="spellEnd"/>
      <w:proofErr w:type="gramEnd"/>
      <w:r>
        <w:rPr>
          <w:rFonts w:eastAsia="Times New Roman" w:cs="Calibri"/>
          <w:color w:val="000000"/>
          <w:sz w:val="24"/>
          <w:szCs w:val="24"/>
          <w:lang w:val="en-US"/>
        </w:rPr>
        <w:t xml:space="preserve"> intermediate stabilization. We further provide examples of isolation of the stabilized </w:t>
      </w:r>
      <w:proofErr w:type="spellStart"/>
      <w:proofErr w:type="gramStart"/>
      <w:r>
        <w:rPr>
          <w:rFonts w:eastAsia="Times New Roman" w:cs="Calibri"/>
          <w:color w:val="000000"/>
          <w:sz w:val="24"/>
          <w:szCs w:val="24"/>
          <w:lang w:val="en-US"/>
        </w:rPr>
        <w:t>RNA:protein</w:t>
      </w:r>
      <w:proofErr w:type="spellEnd"/>
      <w:proofErr w:type="gramEnd"/>
      <w:r>
        <w:rPr>
          <w:rFonts w:eastAsia="Times New Roman" w:cs="Calibri"/>
          <w:color w:val="000000"/>
          <w:sz w:val="24"/>
          <w:szCs w:val="24"/>
          <w:lang w:val="en-US"/>
        </w:rPr>
        <w:t xml:space="preserve"> complexes based on their co-sedimentation with ribosomal and poly(</w:t>
      </w:r>
      <w:proofErr w:type="spellStart"/>
      <w:r>
        <w:rPr>
          <w:rFonts w:eastAsia="Times New Roman" w:cs="Calibri"/>
          <w:color w:val="000000"/>
          <w:sz w:val="24"/>
          <w:szCs w:val="24"/>
          <w:lang w:val="en-US"/>
        </w:rPr>
        <w:t>ribo</w:t>
      </w:r>
      <w:proofErr w:type="spellEnd"/>
      <w:r>
        <w:rPr>
          <w:rFonts w:eastAsia="Times New Roman" w:cs="Calibri"/>
          <w:color w:val="000000"/>
          <w:sz w:val="24"/>
          <w:szCs w:val="24"/>
          <w:lang w:val="en-US"/>
        </w:rPr>
        <w:t>)</w:t>
      </w:r>
      <w:proofErr w:type="spellStart"/>
      <w:r>
        <w:rPr>
          <w:rFonts w:eastAsia="Times New Roman" w:cs="Calibri"/>
          <w:color w:val="000000"/>
          <w:sz w:val="24"/>
          <w:szCs w:val="24"/>
          <w:lang w:val="en-US"/>
        </w:rPr>
        <w:t>somal</w:t>
      </w:r>
      <w:proofErr w:type="spellEnd"/>
      <w:r>
        <w:rPr>
          <w:rFonts w:eastAsia="Times New Roman" w:cs="Calibri"/>
          <w:color w:val="000000"/>
          <w:sz w:val="24"/>
          <w:szCs w:val="24"/>
          <w:lang w:val="en-US"/>
        </w:rPr>
        <w:t xml:space="preserve"> fractions. The separated stabilized material can be subsequently used as part of ribosome profiling-type experiments, such as in Translation Complex Profile sequencing (TCP-seq) approach and its derivatives. Versatility of the TCP-seq-style methods has now been demonstrated by the applications in a variety of organisms and cell types. The stabilized complexes can also be additionally affinity-purified and imaged using electron microscopy, separated into different poly(</w:t>
      </w:r>
      <w:proofErr w:type="spellStart"/>
      <w:r>
        <w:rPr>
          <w:rFonts w:eastAsia="Times New Roman" w:cs="Calibri"/>
          <w:color w:val="000000"/>
          <w:sz w:val="24"/>
          <w:szCs w:val="24"/>
          <w:lang w:val="en-US"/>
        </w:rPr>
        <w:t>ribo</w:t>
      </w:r>
      <w:proofErr w:type="spellEnd"/>
      <w:r>
        <w:rPr>
          <w:rFonts w:eastAsia="Times New Roman" w:cs="Calibri"/>
          <w:color w:val="000000"/>
          <w:sz w:val="24"/>
          <w:szCs w:val="24"/>
          <w:lang w:val="en-US"/>
        </w:rPr>
        <w:t>)</w:t>
      </w:r>
      <w:proofErr w:type="spellStart"/>
      <w:r>
        <w:rPr>
          <w:rFonts w:eastAsia="Times New Roman" w:cs="Calibri"/>
          <w:color w:val="000000"/>
          <w:sz w:val="24"/>
          <w:szCs w:val="24"/>
          <w:lang w:val="en-US"/>
        </w:rPr>
        <w:t>somal</w:t>
      </w:r>
      <w:proofErr w:type="spellEnd"/>
      <w:r>
        <w:rPr>
          <w:rFonts w:eastAsia="Times New Roman" w:cs="Calibri"/>
          <w:color w:val="000000"/>
          <w:sz w:val="24"/>
          <w:szCs w:val="24"/>
          <w:lang w:val="en-US"/>
        </w:rPr>
        <w:t xml:space="preserve"> </w:t>
      </w:r>
      <w:proofErr w:type="gramStart"/>
      <w:r>
        <w:rPr>
          <w:rFonts w:eastAsia="Times New Roman" w:cs="Calibri"/>
          <w:color w:val="000000"/>
          <w:sz w:val="24"/>
          <w:szCs w:val="24"/>
          <w:lang w:val="en-US"/>
        </w:rPr>
        <w:t>fractions</w:t>
      </w:r>
      <w:proofErr w:type="gramEnd"/>
      <w:r>
        <w:rPr>
          <w:rFonts w:eastAsia="Times New Roman" w:cs="Calibri"/>
          <w:color w:val="000000"/>
          <w:sz w:val="24"/>
          <w:szCs w:val="24"/>
          <w:lang w:val="en-US"/>
        </w:rPr>
        <w:t xml:space="preserve"> and subjected to RNA sequencing, owing to the ease of the crosslink reversal. Therefore, methods based on snap-chilling and formaldehyde fixation, followed by the sedimentation-based or other type of </w:t>
      </w:r>
      <w:proofErr w:type="spellStart"/>
      <w:proofErr w:type="gramStart"/>
      <w:r>
        <w:rPr>
          <w:rFonts w:eastAsia="Times New Roman" w:cs="Calibri"/>
          <w:color w:val="000000"/>
          <w:sz w:val="24"/>
          <w:szCs w:val="24"/>
          <w:lang w:val="en-US"/>
        </w:rPr>
        <w:t>RNA:protein</w:t>
      </w:r>
      <w:proofErr w:type="spellEnd"/>
      <w:proofErr w:type="gramEnd"/>
      <w:r>
        <w:rPr>
          <w:rFonts w:eastAsia="Times New Roman" w:cs="Calibri"/>
          <w:color w:val="000000"/>
          <w:sz w:val="24"/>
          <w:szCs w:val="24"/>
          <w:lang w:val="en-US"/>
        </w:rPr>
        <w:t xml:space="preserve"> complex enrichment, can be of particular interest in investigating finer details of rapid </w:t>
      </w:r>
      <w:proofErr w:type="spellStart"/>
      <w:r>
        <w:rPr>
          <w:rFonts w:eastAsia="Times New Roman" w:cs="Calibri"/>
          <w:color w:val="000000"/>
          <w:sz w:val="24"/>
          <w:szCs w:val="24"/>
          <w:lang w:val="en-US"/>
        </w:rPr>
        <w:t>RNA:protein</w:t>
      </w:r>
      <w:proofErr w:type="spellEnd"/>
      <w:r>
        <w:rPr>
          <w:rFonts w:eastAsia="Times New Roman" w:cs="Calibri"/>
          <w:color w:val="000000"/>
          <w:sz w:val="24"/>
          <w:szCs w:val="24"/>
          <w:lang w:val="en-US"/>
        </w:rPr>
        <w:t xml:space="preserve"> complex dynamics in live cells.</w:t>
      </w:r>
    </w:p>
    <w:p w14:paraId="676DB3B4" w14:textId="77777777" w:rsidR="006B6616" w:rsidRDefault="006B6616">
      <w:pPr>
        <w:pStyle w:val="Standard"/>
        <w:spacing w:after="0" w:line="240" w:lineRule="auto"/>
        <w:jc w:val="both"/>
        <w:rPr>
          <w:rFonts w:cs="Calibri"/>
          <w:b/>
          <w:bCs/>
          <w:sz w:val="24"/>
          <w:szCs w:val="24"/>
          <w:lang w:val="en-US"/>
        </w:rPr>
      </w:pPr>
    </w:p>
    <w:p w14:paraId="7693E637" w14:textId="77777777" w:rsidR="006B6616" w:rsidRDefault="00E473AD">
      <w:pPr>
        <w:pStyle w:val="Standard"/>
        <w:spacing w:after="0" w:line="240" w:lineRule="auto"/>
        <w:jc w:val="both"/>
        <w:rPr>
          <w:rFonts w:cs="Calibri"/>
        </w:rPr>
      </w:pPr>
      <w:r>
        <w:rPr>
          <w:rFonts w:cs="Calibri"/>
          <w:b/>
          <w:bCs/>
          <w:sz w:val="24"/>
          <w:szCs w:val="24"/>
          <w:lang w:val="en-US"/>
        </w:rPr>
        <w:t>INTRODUCTION:</w:t>
      </w:r>
    </w:p>
    <w:p w14:paraId="22F3C66A" w14:textId="77777777" w:rsidR="006B6616" w:rsidRDefault="00E473AD">
      <w:pPr>
        <w:widowControl w:val="0"/>
        <w:tabs>
          <w:tab w:val="left" w:pos="270"/>
        </w:tabs>
        <w:jc w:val="both"/>
        <w:rPr>
          <w:rFonts w:ascii="Calibri" w:hAnsi="Calibri" w:cs="Calibri"/>
        </w:rPr>
      </w:pPr>
      <w:bookmarkStart w:id="0" w:name="_Hlk62248407"/>
      <w:bookmarkEnd w:id="0"/>
      <w:r>
        <w:rPr>
          <w:rFonts w:ascii="Calibri" w:hAnsi="Calibri" w:cs="Calibri"/>
          <w:lang w:val="en-US"/>
        </w:rPr>
        <w:t xml:space="preserve">Living organisms are subject to dynamic intra- and extracellular changes across their lifespans, which require rapid responses in maintaining homeostasis and ensure survival. To allow environmental adaptation, eukaryotic cells adjust their metabolism </w:t>
      </w:r>
      <w:r>
        <w:rPr>
          <w:rFonts w:ascii="Calibri" w:hAnsi="Calibri" w:cs="Calibri"/>
          <w:i/>
          <w:iCs/>
          <w:lang w:val="en-US"/>
        </w:rPr>
        <w:t>via</w:t>
      </w:r>
      <w:r>
        <w:rPr>
          <w:rFonts w:ascii="Calibri" w:hAnsi="Calibri" w:cs="Calibri"/>
          <w:lang w:val="en-US"/>
        </w:rPr>
        <w:t xml:space="preserve"> gene expression control. Gene expression control can be exerted </w:t>
      </w:r>
      <w:r>
        <w:rPr>
          <w:rFonts w:ascii="Calibri" w:hAnsi="Calibri" w:cs="Calibri"/>
          <w:color w:val="000000"/>
          <w:lang w:val="en-US"/>
        </w:rPr>
        <w:t>during</w:t>
      </w:r>
      <w:r>
        <w:rPr>
          <w:rFonts w:ascii="Calibri" w:hAnsi="Calibri" w:cs="Calibri"/>
          <w:lang w:val="en-US"/>
        </w:rPr>
        <w:t xml:space="preserve"> transcription </w:t>
      </w:r>
      <w:r>
        <w:rPr>
          <w:rFonts w:ascii="Calibri" w:hAnsi="Calibri" w:cs="Calibri"/>
          <w:color w:val="000000"/>
          <w:lang w:val="en-US"/>
        </w:rPr>
        <w:t>and/or</w:t>
      </w:r>
      <w:r>
        <w:rPr>
          <w:rFonts w:ascii="Calibri" w:hAnsi="Calibri" w:cs="Calibri"/>
          <w:lang w:val="en-US"/>
        </w:rPr>
        <w:t xml:space="preserve"> translation; </w:t>
      </w:r>
      <w:r>
        <w:rPr>
          <w:rFonts w:ascii="Calibri" w:hAnsi="Calibri" w:cs="Calibri"/>
          <w:color w:val="000000"/>
          <w:lang w:val="en-US"/>
        </w:rPr>
        <w:t>with</w:t>
      </w:r>
      <w:r>
        <w:rPr>
          <w:rFonts w:ascii="Calibri" w:hAnsi="Calibri" w:cs="Calibri"/>
          <w:lang w:val="en-US"/>
        </w:rPr>
        <w:t xml:space="preserve"> translational responses generally occurring more rapidly</w:t>
      </w:r>
      <w:r>
        <w:fldChar w:fldCharType="begin"/>
      </w:r>
      <w:r>
        <w:rPr>
          <w:rFonts w:ascii="Calibri" w:hAnsi="Calibri" w:cs="Calibri"/>
          <w:lang w:val="en-US"/>
        </w:rPr>
        <w:instrText>ADDIN ZOTERO_ITEM CSL_CITATION {"citationID":"pGSKaCeJ","properties":{"formattedCitation":"\\super 1, 2\\nosupersub{}","plainCitation":"1, 2","dontUpdate":true,"noteIndex":0},"citationItems":[{"id":406,"uris":["http://zotero.org/users/6977825/items/3UC97V3N"],"uri":["http://zotero.org/users/6977825/items/3UC97V3N"],"itemData":{"id":406,"type":"article-journal","abstract":"Glucose is one of the most important sources of carbon across all life. Glucose starvation is a key stress relevant to all eukaryotic cells. Glucose starvation responses have important implications in diseases, such as diabetes and cancer. In yeast, glucose starvation causes rapid and dramatic effects on the synthesis of proteins (mRNA translation). Response to glucose deficiency targets the initiation phase of translation by different mechanisms and with diverse dynamics. Concomitantly, translationally repressed mRNAs and components of the protein synthesis machinery may enter a variety of cytoplasmic foci, which also form with variable kinetics and may store or degrade mRNA. Much progress has been made in understanding these processes in the last decade, including with the use of high-throughput/omics methods of RNA and RNA:protein detection. This review dissects the current knowledge of yeast reactions to glucose starvation systematized by the stage of translation initiation, with the focus on rapid responses. We provide parallels to mechanisms found in higher eukaryotes, such as metazoans, for the most critical responses, and point out major remaining gaps in knowledge and possible future directions of research on translational responses to glucose starvation.","container-title":"International Journal of Molecular Sciences","DOI":"10.3390/ijms20164043","ISSN":"1422-0067","issue":"16","journalAbbreviation":"IJMS","language":"en","page":"4043","source":"DOI.org (Crossref)","title":"Control of Translation at the Initiation Phase During Glucose Starvation in Yeast","volume":"20","author":[{"family":"Janapala","given":"Yoshika"},{"family":"Preiss","given":"Thomas"},{"family":"Shirokikh","given":"Nikolay E."}],"issued":{"date-parts":[["2019",8,19]]}}},{"id":345,"uris":["http://zotero.org/users/6977825/items/DKG4Z7HT"],"uri":["http://zotero.org/users/6977825/items/DKG4Z7HT"],"itemData":{"id":345,"type":"article-journal","abstract":"Translation is fundamental for many biologic processes as it enables cells to rapidly respond to stimuli without requiring de novo mRNA synthesis. The mammalian/mechanistic target of rapamycin (mTOR) is a key regulator of translation. Although mTOR affects global protein synthesis, translation of a subset of mRNAs appears to be exceptionally sensitive to changes in mTOR activity. Recent efforts to catalog these mTOR-sensitive mRNAs resulted in conflicting results. Whereas ribosome-profiling almost exclusively identified 5'-terminal oligopyrimidine (TOP) mRNAs as mTOR-sensitive, polysome-profiling suggested that mTOR also regulates translation of non-TOP mRNAs. This inconsistency was explained by analytical and technical biases limiting the efficiency of ribosome-profiling in detecting mRNAs showing differential translation. Moreover, genome-wide characterization of 5'UTRs of non-TOP mTOR-sensitive mRNAs revealed 2 subsets of transcripts which differ in their requirement for translation initiation factors and biologic functions. We summarize these recent advances and their impact on the understanding of mTOR-sensitive translation.","archive_location":"28277937","container-title":"RNA Biology","DOI":"10.1080/15476286.2017.1290041","ISSN":"1547-6286 (Print) 1547-6286","issue":"10","language":"eng","note":"edition: 2017/03/10","page":"1299-1305","source":"NLM","title":"mTOR-sensitive translation: Cleared fog reveals more trees","volume":"14","author":[{"family":"Masvidal","given":"L."},{"family":"Hulea","given":"L."},{"family":"Furic","given":"L."},{"family":"Topisirovic","given":"I."},{"family":"Larsson","given":"O."}],"issued":{"date-parts":[["2017",10,3]]}}}],"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1,2</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EN.CITE.DATA1-3</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For example, translational changes typically arise within 1–30 min of the stress onset, while transcription-level changes follow hours after the exposure</w:t>
      </w:r>
      <w:r>
        <w:fldChar w:fldCharType="begin"/>
      </w:r>
      <w:r>
        <w:rPr>
          <w:rFonts w:ascii="Calibri" w:hAnsi="Calibri" w:cs="Calibri"/>
          <w:lang w:val="en-US"/>
        </w:rPr>
        <w:instrText>ADDIN ZOTERO_ITEM CSL_CITATION {"citationID":"Nm2nbiG9","properties":{"formattedCitation":"\\super 3\\uc0\\u8211{}5\\nosupersub{}","plainCitation":"3–5","noteIndex":0},"citationItems":[{"id":276,"uris":["http://zotero.org/users/6977825/items/NIUQC8MW"],"uri":["http://zotero.org/users/6977825/items/NIUQC8MW"],"itemData":{"id":276,"type":"article-journal","abstract":"Glucose performs key functions as a signaling molecule in the yeast Saccharomyces cerevisiae. Glucose depletion is known to regulate gene expression via pathways that lead to derepression of genes at the transcriptional level. In this study, we have investigated the effect of glucose depletion on protein synthesis. We discovered that glucose withdrawal from the growth medium led to a rapid inhibition of protein synthesis and that this effect was readily reversed upon readdition of glucose. Neither the inhibition nor the reactivation of translation required new transcription. This inhibition also did not require activation of the amino acid starvation pathway or inactivation of the TOR kinase pathway. However, mutants in the glucose repression (reg1, glc7, hxk2, and ssn6), hexose transporter induction (snf3 rgt2), and cAMP-dependent protein kinase (tpk1(w) and tpk2(w)) pathways were resistant to the inhibitory effects of glucose withdrawal on translation. These findings highlight the intimate connection between the nutrient status of the cell and its translational capacity. They also help to define a new area of posttranscriptional regulation in yeast.","archive_location":"10712503","container-title":"Molecular Biology of the Cell","DOI":"10.1091/mbc.11.3.833","ISSN":"1059-1524 (Print) 1059-1524","issue":"3","language":"eng","note":"edition: 2000/03/11","page":"833-48","source":"NLM","title":"Glucose depletion rapidly inhibits translation initiation in yeast","volume":"11","author":[{"family":"Ashe","given":"M. P."},{"family":"De Long","given":"S. K."},{"family":"Sachs","given":"A. B."}],"issued":{"date-parts":[["2000",3]]}}},{"id":292,"uris":["http://zotero.org/users/6977825/items/ZQR3KA2P"],"uri":["http://zotero.org/users/6977825/items/ZQR3KA2P"],"itemData":{"id":292,"type":"article-journal","abstract":"The budding yeast Saccharomyces cerevisiae must dynamically alter the composition of its proteome in order to respond to diverse stresses. The reprogramming of gene expression during stress typically involves initial global repression of protein synthesis, accompanied by the activation of stress-responsive mRNAs through both translational and transcriptional responses. The ability of specific mRNAs to counter the global translational repression is therefore crucial to the overall response to stress. Here we summarize the major repressive mechanisms and discuss mechanisms of translational activation in response to different stresses in S. cerevisiae. Taken together, a wide range of studies indicate that multiple elements act in concert to bring about appropriate translational responses. These include regulatory elements within mRNAs, altered mRNA interactions with RNA-binding proteins and the specialization of ribosomes that each contribute towards regulating protein expression to suit the changing environmental conditions.","archive_location":"30019452","container-title":"Yeast","DOI":"10.1002/yea.3349","ISSN":"0749-503X (Print) 0749-503x","issue":"1","language":"eng","note":"edition: 2018/07/19","page":"5-21","source":"NLM","title":"Translational regulation in response to stress in Saccharomyces cerevisiae","volume":"36","author":[{"family":"Crawford","given":"R. A."},{"family":"Pavitt","given":"G. D."}],"issued":{"date-parts":[["2019",1]]}}},{"id":644,"uris":["http://zotero.org/groups/2579997/items/USCMCSL6"],"uri":["http://zotero.org/groups/2579997/items/USCMCSL6"],"itemData":{"id":644,"type":"article-journal","abstract":"Genome-wide studies of steady-state mRNA levels revealed common principles underlying transcriptional changes in response to external stimuli. To uncover principles that govern other stages of the gene-expression response, we analyzed the translational response and its coordination with transcriptome changes following exposure to severe stress. Yeast cells were grown for 1 h in medium containing 1 M NaCl, which elicits a maximal but transient translation inhibition, and nonpolysomal or polysomal mRNA pools were subjected to DNA-microarray analyses. We observed a strong repression in polysomal association for most mRNAs, with no simple correlation with the changes in transcript levels. This led to an apparent accumulation of many mRNAs as a nontranslating pool, presumably waiting for recovery from the stress. However, some mRNAs demonstrated a correlated change in their polysomal association and their transcript levels (i.e., potentiation). This group was enriched with targets of the transcription factors Msn2/Msn4, and the translational induction of several tested mRNAs was diminished in an Msn2/Msn4 deletion strain. Genome-wide analysis of a strain lacking the high salinity response kinase Hog1p revealed that the group of translationally affected genes is significantly enriched with motifs that were shown to be associated with the ARE-binding protein Pub1. Since a relatively small number of genes was affected by Hog1p deletion, additional signaling pathways are likely to be involved in coordinating the translational response to severe salinity stress.","archive_location":"18495938","container-title":"Rna","DOI":"10.1261/rna.864908","ISSN":"1355-8382 (PRINT) 1355-8382","issue":"7","language":"eng","note":"number: 7\nedition: 2008/05/23","page":"1337-51","source":"NLM","title":"Yeast translational response to high salinity: global analysis reveals regulation at multiple levels","volume":"14","author":[{"family":"Melamed","given":"D."},{"family":"Pnueli","given":"L."},{"family":"Arava","given":"Y."}],"issued":{"date-parts":[["2008",7]]}}}],"schema":"https://github.com/citation-style-language/schema/raw/master/csl-citation.json"}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3–5</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EN.CITE.DATA4-6</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Alterations to translation output are achieved more rapidly due to the persistent availability of messenger (m)RNA molecules in the cytoplasm. Conversely, at the transcription level, new mRNA molecules must be synthesized, and in eukaryotes, processed and exported from the nucleus, producing extensive delays in the response time</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ZOTERO_ITEM CSL_CITATION {"citationID":"GIdIdneP","properties":{"formattedCitation":"\\super 2, 4, 6\\uc0\\u8211{}8\\nosupersub{}","plainCitation":"2, 4, 6–8","dontUpdate":true,"noteIndex":0},"citationItems":[{"id":345,"uris":["http://zotero.org/users/6977825/items/DKG4Z7HT"],"uri":["http://zotero.org/users/6977825/items/DKG4Z7HT"],"itemData":{"id":345,"type":"article-journal","abstract":"Translation is fundamental for many biologic processes as it enables cells to rapidly respond to stimuli without requiring de novo mRNA synthesis. The mammalian/mechanistic target of rapamycin (mTOR) is a key regulator of translation. Although mTOR affects global protein synthesis, translation of a subset of mRNAs appears to be exceptionally sensitive to changes in mTOR activity. Recent efforts to catalog these mTOR-sensitive mRNAs resulted in conflicting results. Whereas ribosome-profiling almost exclusively identified 5'-terminal oligopyrimidine (TOP) mRNAs as mTOR-sensitive, polysome-profiling suggested that mTOR also regulates translation of non-TOP mRNAs. This inconsistency was explained by analytical and technical biases limiting the efficiency of ribosome-profiling in detecting mRNAs showing differential translation. Moreover, genome-wide characterization of 5'UTRs of non-TOP mTOR-sensitive mRNAs revealed 2 subsets of transcripts which differ in their requirement for translation initiation factors and biologic functions. We summarize these recent advances and their impact on the understanding of mTOR-sensitive translation.","archive_location":"28277937","container-title":"RNA Biology","DOI":"10.1080/15476286.2017.1290041","ISSN":"1547-6286 (Print) 1547-6286","issue":"10","language":"eng","note":"edition: 2017/03/10","page":"1299-1305","source":"NLM","title":"mTOR-sensitive translation: Cleared fog reveals more trees","volume":"14","author":[{"family":"Masvidal","given":"L."},{"family":"Hulea","given":"L."},{"family":"Furic","given":"L."},{"family":"Topisirovic","given":"I."},{"family":"Larsson","given":"O."}],"issued":{"date-parts":[["2017",10,3]]}}},{"id":292,"uris":["http://zotero.org/users/6977825/items/ZQR3KA2P"],"uri":["http://zotero.org/users/6977825/items/ZQR3KA2P"],"itemData":{"id":292,"type":"article-journal","abstract":"The budding yeast Saccharomyces cerevisiae must dynamically alter the composition of its proteome in order to respond to diverse stresses. The reprogramming of gene expression during stress typically involves initial global repression of protein synthesis, accompanied by the activation of stress-responsive mRNAs through both translational and transcriptional responses. The ability of specific mRNAs to counter the global translational repression is therefore crucial to the overall response to stress. Here we summarize the major repressive mechanisms and discuss mechanisms of translational activation in response to different stresses in S. cerevisiae. Taken together, a wide range of studies indicate that multiple elements act in concert to bring about appropriate translational responses. These include regulatory elements within mRNAs, altered mRNA interactions with RNA-binding proteins and the specialization of ribosomes that each contribute towards regulating protein expression to suit the changing environmental conditions.","archive_location":"30019452","container-title":"Yeast","DOI":"10.1002/yea.3349","ISSN":"0749-503X (Print) 0749-503x","issue":"1","language":"eng","note":"edition: 2018/07/19","page":"5-21","source":"NLM","title":"Translational regulation in response to stress in Saccharomyces cerevisiae","volume":"36","author":[{"family":"Crawford","given":"R. A."},{"family":"Pavitt","given":"G. D."}],"issued":{"date-parts":[["2019",1]]}}},{"id":307,"uris":["http://zotero.org/users/6977825/items/CXE8KS8X"],"uri":["http://zotero.org/users/6977825/items/CXE8KS8X"],"itemData":{"id":307,"type":"article-journal","abstract":"Translational control plays an essential role in the regulation of gene expression. It is especially important in defining the proteome, maintaining homeostasis, and controlling cell proliferation, growth, and development. Numerous disease states result from aberrant regulation of protein synthesis, so understanding the molecular basis and mechanisms of translational control is critical. Here we outline the pathway of protein synthesis, with special emphasis on the initiation phase, and identify areas needing further clarification. Features of translational control are described together with numerous specific examples, and we discuss prospects for future conceptual advances.","archive_location":"23209153","container-title":"Cold Spring Harbor Perspectives in Biology","DOI":"10.1101/cshperspect.a011528","ISSN":"1943-0264","issue":"12","language":"eng","note":"edition: 2012/12/05","source":"NLM","title":"Principles of translational control: an overview","volume":"4","author":[{"family":"Hershey","given":"J. W."},{"family":"Sonenberg","given":"N."},{"family":"Mathews","given":"M. B."}],"issued":{"date-parts":[["2012",12,1]]}}},{"id":347,"uris":["http://zotero.org/users/6977825/items/H6C53P6U"],"uri":["http://zotero.org/users/6977825/items/H6C53P6U"],"itemData":{"id":347,"type":"article-journal","abstract":"Gene expression is regulated at multiple levels, and cells need to integrate and coordinate different layers of control to implement the information in the genome. Post-transcriptional levels of regulation such as transcript turnover and translational control are an integral part of gene expression and might rival the sophistication and importance of transcriptional control. Microarray-based methods are increasingly used to study not only transcription but also global patterns of transcript decay and translation rates in addition to comprehensively identify targets of RNA-binding proteins. Such large-scale analyses have recently provided supplementary and unique insights into gene expression programs. Integration of several different datasets will ultimately lead to a system-wide understanding of the varied and complex mechanisms for gene expression control.","archive_location":"16054366","container-title":"Trends in Biochemical Sciences","DOI":"10.1016/j.tibs.2005.07.005","ISSN":"0968-0004 (Print) 0968-0004","issue":"9","language":"eng","note":"edition: 2005/08/02","page":"506-14","source":"NLM","title":"Post-transcriptional control of gene expression: a genome-wide perspective","volume":"30","author":[{"family":"Mata","given":"J."},{"family":"Marguerat","given":"S."},{"family":"Bähler","given":"J."}],"issued":{"date-parts":[["2005",9]]}}},{"id":384,"uris":["http://zotero.org/users/6977825/items/3P2YPUZ3"],"uri":["http://zotero.org/users/6977825/items/3P2YPUZ3"],"itemData":{"id":384,"type":"article-journal","abstract":"A number of stresses, including nutrient stress, temperature shock, DNA damage, and hypoxia, can lead to changes in gene expression patterns caused by a general shutdown and reprogramming of protein synthesis. Each of these stress conditions results in selective recruitment of ribosomes to mRNAs whose protein products are required for responding to stress. This recruitment is regulated by elements within the 5' and 3' untranslated regions of mRNAs, including internal ribosome entry segments, upstream open reading frames, and microRNA target sites. These elements can act singly or in combination and are themselves regulated by trans-acting factors. Translational reprogramming can result in increased life span, and conversely, deregulation of these translation pathways is associated with disease including cancer and diabetes.","archive_location":"20965418","container-title":"Molecular Cell","DOI":"10.1016/j.molcel.2010.09.028","ISSN":"1097-2765","issue":"2","language":"eng","note":"edition: 2010/10/23","page":"228-37","source":"NLM","title":"Translational regulation of gene expression during conditions of cell stress","volume":"40","author":[{"family":"Spriggs","given":"K. A."},{"family":"Bushell","given":"M."},{"family":"Willis","given":"A. E."}],"issued":{"date-parts":[["2010",10,22]]}}}],"schema":"https://github.com/citation-style-language/schema/raw/master/csl-citation.json"}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2,4,6–8</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w:t>
      </w:r>
    </w:p>
    <w:p w14:paraId="7D0FA2DA" w14:textId="77777777" w:rsidR="006B6616" w:rsidRDefault="006B6616">
      <w:pPr>
        <w:widowControl w:val="0"/>
        <w:tabs>
          <w:tab w:val="left" w:pos="270"/>
        </w:tabs>
        <w:jc w:val="both"/>
        <w:rPr>
          <w:rFonts w:ascii="Calibri" w:hAnsi="Calibri" w:cs="Calibri"/>
          <w:lang w:val="en-US"/>
        </w:rPr>
      </w:pPr>
    </w:p>
    <w:p w14:paraId="5BE776EF" w14:textId="34C3AAA3" w:rsidR="006B6616" w:rsidRDefault="00E473AD">
      <w:pPr>
        <w:widowControl w:val="0"/>
        <w:tabs>
          <w:tab w:val="left" w:pos="270"/>
        </w:tabs>
        <w:jc w:val="both"/>
        <w:rPr>
          <w:rFonts w:ascii="Calibri" w:hAnsi="Calibri" w:cs="Calibri"/>
        </w:rPr>
      </w:pPr>
      <w:r>
        <w:rPr>
          <w:rFonts w:ascii="Calibri" w:hAnsi="Calibri" w:cs="Calibri"/>
          <w:lang w:val="en-US"/>
        </w:rPr>
        <w:t xml:space="preserve">Acute translational response to stress is generally characterized by an overall decrease in translation output, with the selective upregulation of proteins necessary </w:t>
      </w:r>
      <w:r>
        <w:rPr>
          <w:rFonts w:ascii="Calibri" w:hAnsi="Calibri" w:cs="Calibri"/>
          <w:color w:val="000000"/>
          <w:lang w:val="en-US"/>
        </w:rPr>
        <w:t>for cell survival</w:t>
      </w:r>
      <w:r>
        <w:fldChar w:fldCharType="begin"/>
      </w:r>
      <w:r>
        <w:rPr>
          <w:rFonts w:ascii="Calibri" w:hAnsi="Calibri" w:cs="Calibri"/>
          <w:color w:val="000000"/>
          <w:lang w:val="en-US"/>
        </w:rPr>
        <w:instrText>ADDIN ZOTERO_ITEM CSL_CITATION {"citationID":"dmakIMjn","properties":{"formattedCitation":"\\super 1, 3, 4, 9\\nosupersub{}","plainCitation":"1, 3, 4, 9","dontUpdate":true,"noteIndex":0},"citationItems":[{"id":292,"uris":["http://zotero.org/users/6977825/items/ZQR3KA2P"],"uri":["http://zotero.org/users/6977825/items/ZQR3KA2P"],"itemData":{"id":292,"type":"article-journal","abstract":"The budding yeast Saccharomyces cerevisiae must dynamically alter the composition of its proteome in order to respond to diverse stresses. The reprogramming of gene expression during stress typically involves initial global repression of protein synthesis, accompanied by the activation of stress-responsive mRNAs through both translational and transcriptional responses. The ability of specific mRNAs to counter the global translational repression is therefore crucial to the overall response to stress. Here we summarize the major repressive mechanisms and discuss mechanisms of translational activation in response to different stresses in S. cerevisiae. Taken together, a wide range of studies indicate that multiple elements act in concert to bring about appropriate translational responses. These include regulatory elements within mRNAs, altered mRNA interactions with RNA-binding proteins and the specialization of ribosomes that each contribute towards regulating protein expression to suit the changing environmental conditions.","archive_location":"30019452","container-title":"Yeast","DOI":"10.1002/yea.3349","ISSN":"0749-503X (Print) 0749-503x","issue":"1","language":"eng","note":"edition: 2018/07/19","page":"5-21","source":"NLM","title":"Translational regulation in response to stress in Saccharomyces cerevisiae","volume":"36","author":[{"family":"Crawford","given":"R. A."},{"family":"Pavitt","given":"G. D."}],"issued":{"date-parts":[["2019",1]]}}},{"id":276,"uris":["http://zotero.org/users/6977825/items/NIUQC8MW"],"uri":["http://zotero.org/users/6977825/items/NIUQC8MW"],"itemData":{"id":276,"type":"article-journal","abstract":"Glucose performs key functions as a signaling molecule in the yeast Saccharomyces cerevisiae. Glucose depletion is known to regulate gene expression via pathways that lead to derepression of genes at the transcriptional level. In this study, we have investigated the effect of glucose depletion on protein synthesis. We discovered that glucose withdrawal from the growth medium led to a rapid inhibition of protein synthesis and that this effect was readily reversed upon readdition of glucose. Neither the inhibition nor the reactivation of translation required new transcription. This inhibition also did not require activation of the amino acid starvation pathway or inactivation of the TOR kinase pathway. However, mutants in the glucose repression (reg1, glc7, hxk2, and ssn6), hexose transporter induction (snf3 rgt2), and cAMP-dependent protein kinase (tpk1(w) and tpk2(w)) pathways were resistant to the inhibitory effects of glucose withdrawal on translation. These findings highlight the intimate connection between the nutrient status of the cell and its translational capacity. They also help to define a new area of posttranscriptional regulation in yeast.","archive_location":"10712503","container-title":"Molecular Biology of the Cell","DOI":"10.1091/mbc.11.3.833","ISSN":"1059-1524 (Print) 1059-1524","issue":"3","language":"eng","note":"edition: 2000/03/11","page":"833-48","source":"NLM","title":"Glucose depletion rapidly inhibits translation initiation in yeast","volume":"11","author":[{"family":"Ashe","given":"M. P."},{"family":"De Long","given":"S. K."},{"family":"Sachs","given":"A. B."}],"issued":{"date-parts":[["2000",3]]}}},{"id":338,"uris":["http://zotero.org/users/6977825/items/TFCZ9Y3Z"],"uri":["http://zotero.org/users/6977825/items/TFCZ9Y3Z"],"itemData":{"id":338,"type":"article-journal","abstract":"Cell survival in changing environments requires appropriate regulation of gene expression, including translational control. Multiple stress signaling pathways converge on several key translation factors, such as eIF4F and eIF2, and rapidly modulate messenger RNA (mRNA) translation at both the initiation and the elongation stages. Repression of global protein synthesis is often accompanied with selective translation of mRNAs encoding proteins that are vital for cell survival and stress recovery. The past decade has seen significant progress in our understanding of translational reprogramming in part due to the development of technologies that allow the dissection of the interplay between mRNA elements and corresponding binding proteins. Recent genome-wide studies using ribosome profiling have revealed unprecedented proteome complexity and flexibility through alternative translation, raising intriguing questions about stress-induced translational reprogramming. Many surprises emerged from these studies, including wide-spread alternative translation initiation, ribosome pausing during elongation, and reversible modification of mRNAs. Elucidation of the regulatory mechanisms underlying translational reprogramming will ultimately lead to the development of novel therapeutic strategies for human diseases.","archive_location":"24375939","container-title":"Wiley Interdisciplinary Reviews RNA","DOI":"10.1002/wrna.1212","ISSN":"1757-7004 (Print) 1757-7004","issue":"3","language":"eng","note":"edition: 2014/01/01","page":"301-15","source":"NLM","title":"Translational reprogramming in cellular stress response","volume":"5","author":[{"family":"Liu","given":"B."},{"family":"Qian","given":"S. B."}],"issued":{"date-parts":[["2014",5]]}}},{"id":406,"uris":["http://zotero.org/users/6977825/items/3UC97V3N"],"uri":["http://zotero.org/users/6977825/items/3UC97V3N"],"itemData":{"id":406,"type":"article-journal","abstract":"Glucose is one of the most important sources of carbon across all life. Glucose starvation is a key stress relevant to all eukaryotic cells. Glucose starvation responses have important implications in diseases, such as diabetes and cancer. In yeast, glucose starvation causes rapid and dramatic effects on the synthesis of proteins (mRNA translation). Response to glucose deficiency targets the initiation phase of translation by different mechanisms and with diverse dynamics. Concomitantly, translationally repressed mRNAs and components of the protein synthesis machinery may enter a variety of cytoplasmic foci, which also form with variable kinetics and may store or degrade mRNA. Much progress has been made in understanding these processes in the last decade, including with the use of high-throughput/omics methods of RNA and RNA:protein detection. This review dissects the current knowledge of yeast reactions to glucose starvation systematized by the stage of translation initiation, with the focus on rapid responses. We provide parallels to mechanisms found in higher eukaryotes, such as metazoans, for the most critical responses, and point out major remaining gaps in knowledge and possible future directions of research on translational responses to glucose starvation.","container-title":"International Journal of Molecular Sciences","DOI":"10.3390/ijms20164043","ISSN":"1422-0067","issue":"16","journalAbbreviation":"IJMS","language":"en","page":"4043","source":"DOI.org (Crossref)","title":"Control of Translation at the Initiation Phase During Glucose Starvation in Yeast","volume":"20","author":[{"family":"Janapala","given":"Yoshika"},{"family":"Preiss","given":"Thomas"},{"family":"Shirokikh","given":"Nikolay E."}],"issued":{"date-parts":[["2019",8,19]]}}}],"schema":"https://github.com/citation-style-language/schema/raw/master/csl-citation.json"}</w:instrText>
      </w:r>
      <w:r>
        <w:rPr>
          <w:rFonts w:ascii="Calibri" w:hAnsi="Calibri" w:cs="Calibri"/>
          <w:color w:val="000000"/>
          <w:lang w:val="en-US"/>
        </w:rPr>
        <w:fldChar w:fldCharType="separate"/>
      </w:r>
      <w:r>
        <w:rPr>
          <w:rFonts w:ascii="Calibri" w:hAnsi="Calibri" w:cs="Calibri"/>
          <w:vertAlign w:val="superscript"/>
          <w:lang w:val="en-US"/>
        </w:rPr>
        <w:t>1,3,4,9</w:t>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rPr>
          <w:rFonts w:ascii="Calibri" w:hAnsi="Calibri" w:cs="Calibri"/>
          <w:lang w:val="en-US"/>
        </w:rPr>
        <w:t xml:space="preserve">. Decreasing the </w:t>
      </w:r>
      <w:r>
        <w:rPr>
          <w:rFonts w:ascii="Calibri" w:hAnsi="Calibri" w:cs="Calibri"/>
          <w:color w:val="000000"/>
          <w:lang w:val="en-US"/>
        </w:rPr>
        <w:t>protein production output</w:t>
      </w:r>
      <w:r>
        <w:rPr>
          <w:rFonts w:ascii="Calibri" w:hAnsi="Calibri" w:cs="Calibri"/>
          <w:lang w:val="en-US"/>
        </w:rPr>
        <w:t xml:space="preserve"> is </w:t>
      </w:r>
      <w:r>
        <w:rPr>
          <w:rFonts w:ascii="Calibri" w:hAnsi="Calibri" w:cs="Calibri"/>
          <w:color w:val="000000"/>
          <w:lang w:val="en-US"/>
        </w:rPr>
        <w:t>thought to be crucial</w:t>
      </w:r>
      <w:r>
        <w:rPr>
          <w:rFonts w:ascii="Calibri" w:hAnsi="Calibri" w:cs="Calibri"/>
          <w:lang w:val="en-US"/>
        </w:rPr>
        <w:t xml:space="preserve"> due to the high energy expense of the process</w:t>
      </w:r>
      <w:r>
        <w:fldChar w:fldCharType="begin"/>
      </w:r>
      <w:r>
        <w:rPr>
          <w:rFonts w:ascii="Calibri" w:hAnsi="Calibri" w:cs="Calibri"/>
          <w:lang w:val="en-US"/>
        </w:rPr>
        <w:instrText>ADDIN ZOTERO_ITEM CSL_CITATION {"citationID":"wxeJcPgV","properties":{"formattedCitation":"\\super 3, 7\\nosupersub{}","plainCitation":"3, 7","dontUpdate":true,"noteIndex":0},"citationItems":[{"id":307,"uris":["http://zotero.org/users/6977825/items/CXE8KS8X"],"uri":["http://zotero.org/users/6977825/items/CXE8KS8X"],"itemData":{"id":307,"type":"article-journal","abstract":"Translational control plays an essential role in the regulation of gene expression. It is especially important in defining the proteome, maintaining homeostasis, and controlling cell proliferation, growth, and development. Numerous disease states result from aberrant regulation of protein synthesis, so understanding the molecular basis and mechanisms of translational control is critical. Here we outline the pathway of protein synthesis, with special emphasis on the initiation phase, and identify areas needing further clarification. Features of translational control are described together with numerous specific examples, and we discuss prospects for future conceptual advances.","archive_location":"23209153","container-title":"Cold Spring Harbor Perspectives in Biology","DOI":"10.1101/cshperspect.a011528","ISSN":"1943-0264","issue":"12","language":"eng","note":"edition: 2012/12/05","source":"NLM","title":"Principles of translational control: an overview","volume":"4","author":[{"family":"Hershey","given":"J. W."},{"family":"Sonenberg","given":"N."},{"family":"Mathews","given":"M. B."}],"issued":{"date-parts":[["2012",12,1]]}}},{"id":338,"uris":["http://zotero.org/users/6977825/items/TFCZ9Y3Z"],"uri":["http://zotero.org/users/6977825/items/TFCZ9Y3Z"],"itemData":{"id":338,"type":"article-journal","abstract":"Cell survival in changing environments requires appropriate regulation of gene expression, including translational control. Multiple stress signaling pathways converge on several key translation factors, such as eIF4F and eIF2, and rapidly modulate messenger RNA (mRNA) translation at both the initiation and the elongation stages. Repression of global protein synthesis is often accompanied with selective translation of mRNAs encoding proteins that are vital for cell survival and stress recovery. The past decade has seen significant progress in our understanding of translational reprogramming in part due to the development of technologies that allow the dissection of the interplay between mRNA elements and corresponding binding proteins. Recent genome-wide studies using ribosome profiling have revealed unprecedented proteome complexity and flexibility through alternative translation, raising intriguing questions about stress-induced translational reprogramming. Many surprises emerged from these studies, including wide-spread alternative translation initiation, ribosome pausing during elongation, and reversible modification of mRNAs. Elucidation of the regulatory mechanisms underlying translational reprogramming will ultimately lead to the development of novel therapeutic strategies for human diseases.","archive_location":"24375939","container-title":"Wiley Interdisciplinary Reviews RNA","DOI":"10.1002/wrna.1212","ISSN":"1757-7004 (Print) 1757-7004","issue":"3","language":"eng","note":"edition: 2014/01/01","page":"301-15","source":"NLM","title":"Translational reprogramming in cellular stress response","volume":"5","author":[{"family":"Liu","given":"B."},{"family":"Qian","given":"S. B."}],"issued":{"date-parts":[["2014",5]]}}}],"schema":"https://github.com/citation-style-language/schema/raw/master/csl-citation.json"}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3,7</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 To facilitate </w:t>
      </w:r>
      <w:r>
        <w:rPr>
          <w:rFonts w:ascii="Calibri" w:hAnsi="Calibri" w:cs="Calibri"/>
          <w:color w:val="000000"/>
          <w:lang w:val="en-US"/>
        </w:rPr>
        <w:t>the</w:t>
      </w:r>
      <w:r>
        <w:rPr>
          <w:rFonts w:ascii="Calibri" w:hAnsi="Calibri" w:cs="Calibri"/>
          <w:lang w:val="en-US"/>
        </w:rPr>
        <w:t xml:space="preserve"> selective inhibition and upregulation, translational responses are </w:t>
      </w:r>
      <w:r>
        <w:rPr>
          <w:rFonts w:ascii="Calibri" w:hAnsi="Calibri" w:cs="Calibri"/>
          <w:color w:val="000000"/>
          <w:lang w:val="en-US"/>
        </w:rPr>
        <w:t>served</w:t>
      </w:r>
      <w:r>
        <w:rPr>
          <w:rFonts w:ascii="Calibri" w:hAnsi="Calibri" w:cs="Calibri"/>
          <w:lang w:val="en-US"/>
        </w:rPr>
        <w:t xml:space="preserve"> by a range of complex regulatory mechanisms. Regulation can be exerted across all stages of translation: initiation, elongation, termination of polypeptide biosynthesis and ribosomal recycling</w:t>
      </w:r>
      <w:r>
        <w:fldChar w:fldCharType="begin"/>
      </w:r>
      <w:r>
        <w:rPr>
          <w:rFonts w:ascii="Calibri" w:hAnsi="Calibri" w:cs="Calibri"/>
          <w:lang w:val="en-US"/>
        </w:rPr>
        <w:instrText>ADDIN EN.CITE &lt;EndNote&gt;&lt;Cite&gt;&lt;Author&gt;Dever&lt;/Author&gt;&lt;Year&gt;2012&lt;/Year&gt;&lt;RecNum&gt;17&lt;/RecNum&gt;&lt;DisplayText&gt;&lt;style face="superscript"&gt;11&lt;/style&gt;&lt;/DisplayText&gt;&lt;record&gt;&lt;rec-number&gt;17&lt;/rec-number&gt;&lt;foreign-keys&gt;&lt;key app="EN" db-id="pax2w20wtrf02kez5zr5ssez02e2ds2d0ztz" timestamp="1614308930"&gt;17&lt;/key&gt;&lt;/foreign-keys&gt;&lt;ref-type name="Journal Article"&gt;17&lt;/ref-type&gt;&lt;contributors&gt;&lt;authors&gt;&lt;author&gt;Dever, T. E.&lt;/author&gt;&lt;author&gt;Green, R.&lt;/author&gt;&lt;/authors&gt;&lt;/contributors&gt;&lt;auth-address&gt;Laboratory of Gene Regulation and Development, Eunice Kennedy Shriver National Institute of Child Health and Human Development, National Institutes of Health, Bethesda, Maryland 20892, USA. tdever@nih.gov&lt;/auth-address&gt;&lt;titles&gt;&lt;title&gt;The elongation, termination, and recycling phases of translation in eukaryotes&lt;/title&gt;&lt;secondary-title&gt;Cold Spring Harb Perspect Biol&lt;/secondary-title&gt;&lt;/titles&gt;&lt;periodical&gt;&lt;full-title&gt;Cold Spring Harb Perspect Biol&lt;/full-title&gt;&lt;/periodical&gt;&lt;pages&gt;a013706&lt;/pages&gt;&lt;volume&gt;4&lt;/volume&gt;&lt;number&gt;7&lt;/number&gt;&lt;edition&gt;2012/07/04&lt;/edition&gt;&lt;keywords&gt;&lt;keyword&gt;Eukaryotic Cells/*metabolism&lt;/keyword&gt;&lt;keyword&gt;Peptide Elongation Factors/*metabolism&lt;/keyword&gt;&lt;keyword&gt;*Protein Biosynthesis&lt;/keyword&gt;&lt;keyword&gt;*Terminator Regions, Genetic&lt;/keyword&gt;&lt;/keywords&gt;&lt;dates&gt;&lt;year&gt;2012&lt;/year&gt;&lt;pub-dates&gt;&lt;date&gt;Jul 1&lt;/date&gt;&lt;/pub-dates&gt;&lt;/dates&gt;&lt;isbn&gt;1943-0264 (Electronic)&amp;#xD;1943-0264 (Linking)&lt;/isbn&gt;&lt;accession-num&gt;22751155&lt;/accession-num&gt;&lt;urls&gt;&lt;related-urls&gt;&lt;url&gt;https://www.ncbi.nlm.nih.gov/pubmed/22751155&lt;/url&gt;&lt;/related-urls&gt;&lt;/urls&gt;&lt;custom2&gt;PMC3385960&lt;/custom2&gt;&lt;electronic-resource-num&gt;10.1101/cshperspect.a013706&lt;/electronic-resource-num&gt;&lt;/record&gt;&lt;/Cite&gt;&lt;/EndNote&gt;</w:instrText>
      </w:r>
      <w:r>
        <w:rPr>
          <w:rFonts w:ascii="Calibri" w:hAnsi="Calibri" w:cs="Calibri"/>
          <w:lang w:val="en-US"/>
        </w:rPr>
        <w:fldChar w:fldCharType="separate"/>
      </w:r>
      <w:r>
        <w:rPr>
          <w:rFonts w:ascii="Calibri" w:hAnsi="Calibri" w:cs="Calibri"/>
          <w:vertAlign w:val="superscript"/>
          <w:lang w:val="en-US"/>
        </w:rPr>
        <w:t>10-13</w:t>
      </w:r>
      <w:r>
        <w:rPr>
          <w:rFonts w:ascii="Calibri" w:hAnsi="Calibri" w:cs="Calibri"/>
          <w:lang w:val="en-US"/>
        </w:rPr>
        <w:fldChar w:fldCharType="end"/>
      </w:r>
      <w:r>
        <w:rPr>
          <w:rFonts w:ascii="Calibri" w:hAnsi="Calibri" w:cs="Calibri"/>
          <w:lang w:val="en-US"/>
        </w:rPr>
        <w:t>,</w:t>
      </w:r>
      <w:r>
        <w:fldChar w:fldCharType="begin"/>
      </w:r>
      <w:r>
        <w:rPr>
          <w:rFonts w:ascii="Calibri" w:hAnsi="Calibri" w:cs="Calibri"/>
          <w:lang w:val="en-US"/>
        </w:rPr>
        <w:instrText>ADDIN EN.CITE &lt;EndNote&gt;&lt;Cite&gt;&lt;Author&gt;Dever&lt;/Author&gt;&lt;Year&gt;2012&lt;/Year&gt;&lt;RecNum&gt;5&lt;/RecNum&gt;&lt;DisplayText&gt;&lt;style face="superscript"&gt;11&lt;/style&gt;&lt;/DisplayText&gt;&lt;record&gt;&lt;rec-number&gt;5&lt;/rec-number&gt;&lt;foreign-keys&gt;&lt;key app="EN" db-id="wpr922529xf2die52wfpxxrm0faw0dp9ppp2" timestamp="1613455890"&gt;5&lt;/key&gt;&lt;/foreign-keys&gt;&lt;ref-type name="Journal Article"&gt;17&lt;/ref-type&gt;&lt;contributors&gt;&lt;authors&gt;&lt;author&gt;Dever, T. E.&lt;/author&gt;&lt;author&gt;Green, R.&lt;/author&gt;&lt;/authors&gt;&lt;/contributors&gt;&lt;auth-address&gt;Laboratory of Gene Regulation and Development, Eunice Kennedy Shriver National Institute of Child Health and Human Development, National Institutes of Health, Bethesda, Maryland 20892, USA. tdever@nih.gov&lt;/auth-address&gt;&lt;titles&gt;&lt;title&gt;The elongation, termination, and recycling phases of translation in eukaryotes&lt;/title&gt;&lt;secondary-title&gt;Cold Spring Harb Perspect Biol&lt;/secondary-title&gt;&lt;/titles&gt;&lt;periodical&gt;&lt;full-title&gt;Cold Spring Harb Perspect Biol&lt;/full-title&gt;&lt;/periodical&gt;&lt;pages&gt;a013706&lt;/pages&gt;&lt;volume&gt;4&lt;/volume&gt;&lt;number&gt;7&lt;/number&gt;&lt;edition&gt;2012/07/04&lt;/edition&gt;&lt;keywords&gt;&lt;keyword&gt;Eukaryotic Cells/*metabolism&lt;/keyword&gt;&lt;keyword&gt;Peptide Elongation Factors/*metabolism&lt;/keyword&gt;&lt;keyword&gt;*Protein Biosynthesis&lt;/keyword&gt;&lt;keyword&gt;*Terminator Regions, Genetic&lt;/keyword&gt;&lt;/keywords&gt;&lt;dates&gt;&lt;year&gt;2012&lt;/year&gt;&lt;pub-dates&gt;&lt;date&gt;Jul 1&lt;/date&gt;&lt;/pub-dates&gt;&lt;/dates&gt;&lt;isbn&gt;1943-0264 (Electronic)&amp;#xD;1943-0264 (Linking)&lt;/isbn&gt;&lt;accession-num&gt;22751155&lt;/accession-num&gt;&lt;urls&gt;&lt;related-urls&gt;&lt;url&gt;https://www.ncbi.nlm.nih.gov/pubmed/22751155&lt;/url&gt;&lt;/related-urls&gt;&lt;/urls&gt;&lt;custom2&gt;PMC3385960&lt;/custom2&gt;&lt;electronic-resource-num&gt;10.1101/cshperspect.a013706&lt;/electronic-resource-num&gt;&lt;/record&gt;&lt;/Cite&gt;&lt;/EndNote&gt;</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t xml:space="preserve"> but is exhibited most strongly at the initiation stage</w:t>
      </w:r>
      <w:r>
        <w:fldChar w:fldCharType="begin"/>
      </w:r>
      <w:r>
        <w:rPr>
          <w:rFonts w:ascii="Calibri" w:hAnsi="Calibri" w:cs="Calibri"/>
          <w:lang w:val="en-US"/>
        </w:rPr>
        <w:instrText>ADDIN ZOTERO_ITEM CSL_CITATION {"citationID":"KEaZDHuH","properties":{"formattedCitation":"\\super 5, 7, 9\\uc0\\u8211{}11\\nosupersub{}","plainCitation":"5, 7, 9–11","dontUpdate":true,"noteIndex":0},"citationItems":[{"id":384,"uris":["http://zotero.org/users/6977825/items/3P2YPUZ3"],"uri":["http://zotero.org/users/6977825/items/3P2YPUZ3"],"itemData":{"id":384,"type":"article-journal","abstract":"A number of stresses, including nutrient stress, temperature shock, DNA damage, and hypoxia, can lead to changes in gene expression patterns caused by a general shutdown and reprogramming of protein synthesis. Each of these stress conditions results in selective recruitment of ribosomes to mRNAs whose protein products are required for responding to stress. This recruitment is regulated by elements within the 5' and 3' untranslated regions of mRNAs, including internal ribosome entry segments, upstream open reading frames, and microRNA target sites. These elements can act singly or in combination and are themselves regulated by trans-acting factors. Translational reprogramming can result in increased life span, and conversely, deregulation of these translation pathways is associated with disease including cancer and diabetes.","archive_location":"20965418","container-title":"Molecular Cell","DOI":"10.1016/j.molcel.2010.09.028","ISSN":"1097-2765","issue":"2","language":"eng","note":"edition: 2010/10/23","page":"228-37","source":"NLM","title":"Translational regulation of gene expression during conditions of cell stress","volume":"40","author":[{"family":"Spriggs","given":"K. A."},{"family":"Bushell","given":"M."},{"family":"Willis","given":"A. E."}],"issued":{"date-parts":[["2010",10,22]]}}},{"id":338,"uris":["http://zotero.org/users/6977825/items/TFCZ9Y3Z"],"uri":["http://zotero.org/users/6977825/items/TFCZ9Y3Z"],"itemData":{"id":338,"type":"article-journal","abstract":"Cell survival in changing environments requires appropriate regulation of gene expression, including translational control. Multiple stress signaling pathways converge on several key translation factors, such as eIF4F and eIF2, and rapidly modulate messenger RNA (mRNA) translation at both the initiation and the elongation stages. Repression of global protein synthesis is often accompanied with selective translation of mRNAs encoding proteins that are vital for cell survival and stress recovery. The past decade has seen significant progress in our understanding of translational reprogramming in part due to the development of technologies that allow the dissection of the interplay between mRNA elements and corresponding binding proteins. Recent genome-wide studies using ribosome profiling have revealed unprecedented proteome complexity and flexibility through alternative translation, raising intriguing questions about stress-induced translational reprogramming. Many surprises emerged from these studies, including wide-spread alternative translation initiation, ribosome pausing during elongation, and reversible modification of mRNAs. Elucidation of the regulatory mechanisms underlying translational reprogramming will ultimately lead to the development of novel therapeutic strategies for human diseases.","archive_location":"24375939","container-title":"Wiley Interdisciplinary Reviews RNA","DOI":"10.1002/wrna.1212","ISSN":"1757-7004 (Print) 1757-7004","issue":"3","language":"eng","note":"edition: 2014/01/01","page":"301-15","source":"NLM","title":"Translational reprogramming in cellular stress response","volume":"5","author":[{"family":"Liu","given":"B."},{"family":"Qian","given":"S. B."}],"issued":{"date-parts":[["2014",5]]}}},{"id":274,"uris":["http://zotero.org/users/6977825/items/NRI4UE8J"],"uri":["http://zotero.org/users/6977825/items/NRI4UE8J"],"itemData":{"id":274,"type":"article-journal","abstract":"Regulation of messenger RNA translation is central to eukaryotic gene expression control. Regulatory inputs are specified by them RNA untranslated regions (UTRs) and often target translation initiation. Initiation involves binding of the 40S ribosomal small subunit (SSU) and associated eukaryotic initiation factors (eIFs)near the mRNA 5′ cap; the SSU then scans in the 3′ direction until it detects the start codon and is joined by the 60S ribosomal large subunit (LSU) to form the 80S ribosome. Scanning and other dynamic aspects of the initiation model have remained as conjectures because methods to trap early intermediates were lacking. Here we uncover the dynamics of the complete translation cycle in live yeast cells using translation complex profile sequencing (TCP-seq), a method developed from the ribosome profiling approach. We document scanning by observing SSU footprints along 5′ UTRs. Scanning SSU have 5′-extended footprints (up to~75 nucleotides), indicative of additional interactions with mRNA emerging from the exit channel, promoting forward movement. We visualized changes in initiation complex conformation as SSU footprints coalesced into three major sizes at start codons (19, 29 and 37 nucleotides). These share the same 5′ start site but differ at the 3′ end, reflecting successive changes at the entry channel from an open to a closed state following start codon recognition. We also observe SSU 'lingering' at stop codons after LSU departure. Our results underpin mechanistic models of translation initiation and termination, built on decades of biochemical and structural investigation, with direct genome-wide in vivo evidence. Our approach captures ribosomal complexes at all phases of translation and will aid in studying translation dynamics in diverse cellular contexts. Dysregulation of translation is common in disease and, for example, SSU scanning is a target of anti-cancer drug development. TCP-seq will prove useful in discerning differences in mRNA-specific initiation in pathologies and their response to treatment.","archive_location":"27437580","container-title":"Nature","DOI":"10.1038/nature18647","ISSN":"0028-0836","issue":"7613","language":"eng","note":"edition: 2016/07/21","page":"570-4","source":"NLM","title":"Dynamics of ribosome scanning and recycling revealed by translation complex profiling","volume":"535","author":[{"family":"Archer","given":"S. K."},{"family":"Shirokikh","given":"N. E."},{"family":"Beilharz","given":"T. H."},{"family":"Preiss","given":"T."}],"issued":{"date-parts":[["2016",7,28]]}}},{"id":309,"uris":["http://zotero.org/users/6977825/items/BAXLMVQL"],"uri":["http://zotero.org/users/6977825/items/BAXLMVQL"],"itemData":{"id":309,"type":"article-journal","abstract":"The eukaryotic 5' untranslated region (UTR) is critical for ribosome recruitment to the messenger RNA (mRNA) and start codon choice and plays a major role in the control of translation efficiency and shaping the cellular proteome. The ribosomal initiation complex is assembled on the mRNA via a cap-dependent or cap-independent mechanism. We describe various mechanisms controlling ribosome scanning and initiation codon selection by 5' upstream open reading frames, translation initiation factors, and primary and secondary structures of the 5'UTR, including particular sequence motifs. We also discuss translational control via phosphorylation of eukaryotic initiation factor 2, which is implicated in learning and memory, neurodegenerative diseases, and cancer.","archive_location":"27313038","container-title":"Science","DOI":"10.1126/science.aad9868","ISSN":"0036-8075 (Print) 0036-8075","issue":"6292","language":"eng","note":"edition: 2016/06/18","page":"1413-6","source":"NLM","title":"Translational control by 5'-untranslated regions of eukaryotic mRNAs","volume":"352","author":[{"family":"Hinnebusch","given":"A. G."},{"family":"Ivanov","given":"I. P."},{"family":"Sonenberg","given":"N."}],"issued":{"date-parts":[["2016",6,17]]}}},{"id":376,"uris":["http://zotero.org/users/6977825/items/H9FZNY4L"],"uri":["http://zotero.org/users/6977825/items/H9FZNY4L"],"itemData":{"id":376,"type":"article-journal","abstract":"Gene expression universally relies on protein synthesis, where ribosomes recognize and decode the messenger RNA template by cycling through translation initiation, elongation, and termination phases. All aspects of translation have been studied for decades using the tools of biochemistry and molecular biology available at the time. Here, we focus on the mechanism of translation initiation in eukaryotes, which is remarkably more complex than prokaryotic initiation and is the target of multiple types of regulatory intervention. The \"consensus\" model, featuring cap-dependent ribosome entry and scanning of mRNA leader sequences, represents the predominantly utilized initiation pathway across eukaryotes, although several variations of the model and alternative initiation mechanisms are also known. Recent advances in structural biology techniques have enabled remarkable molecular-level insights into the functional states of eukaryotic ribosomes, including a range of ribosomal complexes with different combinations of translation initiation factors that are thought to represent bona fide intermediates of the initiation process. Similarly, high-throughput sequencing-based ribosome profiling or \"footprinting\" approaches have allowed much progress in understanding the elongation phase of translation, and variants of them are beginning to reveal the remaining mysteries of initiation, as well as aspects of translation termination and ribosomal recycling. A current view on the eukaryotic initiation mechanism is presented here with an emphasis on how recent structural and footprinting results underpin axioms of the consensus model. Along the way, we further outline some contested mechanistic issues and major open questions still to be addressed. This article is categorized under: Translation &gt; Translation Mechanisms Translation &gt; Translation Regulation RNA Interactions with Proteins and Other Molecules &gt; Protein-RNA Interactions: Functional Implications.","archive_location":"29624880","container-title":"Wiley Interdisciplinary Reviews RNA","DOI":"10.1002/wrna.1473","ISSN":"1757-7004","issue":"4","language":"eng","note":"edition: 2018/04/07","page":"e1473","source":"NLM","title":"Translation initiation by cap-dependent ribosome recruitment: Recent insights and open questions","volume":"9","author":[{"family":"Shirokikh","given":"N. E."},{"family":"Preiss","given":"T."}],"issued":{"date-parts":[["2018",7]]}}}],"schema":"https://github.com/citation-style-language/schema/raw/master/csl-citation.json"}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5,7,9,10,13</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During initiation, the small ribosomal subunit (SSU), assisted by eukaryotic initiation factors (</w:t>
      </w:r>
      <w:proofErr w:type="spellStart"/>
      <w:r>
        <w:rPr>
          <w:rFonts w:ascii="Calibri" w:hAnsi="Calibri" w:cs="Calibri"/>
          <w:lang w:val="en-US"/>
        </w:rPr>
        <w:t>eIFs</w:t>
      </w:r>
      <w:proofErr w:type="spellEnd"/>
      <w:r>
        <w:rPr>
          <w:rFonts w:ascii="Calibri" w:hAnsi="Calibri" w:cs="Calibri"/>
          <w:lang w:val="en-US"/>
        </w:rPr>
        <w:t>), binds to, and scans the 5' untranslated region (UTR) until a start codon is recognized</w:t>
      </w:r>
      <w:r>
        <w:fldChar w:fldCharType="begin"/>
      </w:r>
      <w:r>
        <w:rPr>
          <w:rFonts w:ascii="Calibri" w:hAnsi="Calibri" w:cs="Calibri"/>
          <w:lang w:val="en-US"/>
        </w:rPr>
        <w:instrText>ADDIN ZOTERO_ITEM CSL_CITATION {"citationID":"GuHWWcYH","properties":{"formattedCitation":"\\super 2, 5, 8, 12\\nosupersub{}","plainCitation":"2, 5, 8, 12","dontUpdate":true,"noteIndex":0},"citationItems":[{"id":292,"uris":["http://zotero.org/users/6977825/items/ZQR3KA2P"],"uri":["http://zotero.org/users/6977825/items/ZQR3KA2P"],"itemData":{"id":292,"type":"article-journal","abstract":"The budding yeast Saccharomyces cerevisiae must dynamically alter the composition of its proteome in order to respond to diverse stresses. The reprogramming of gene expression during stress typically involves initial global repression of protein synthesis, accompanied by the activation of stress-responsive mRNAs through both translational and transcriptional responses. The ability of specific mRNAs to counter the global translational repression is therefore crucial to the overall response to stress. Here we summarize the major repressive mechanisms and discuss mechanisms of translational activation in response to different stresses in S. cerevisiae. Taken together, a wide range of studies indicate that multiple elements act in concert to bring about appropriate translational responses. These include regulatory elements within mRNAs, altered mRNA interactions with RNA-binding proteins and the specialization of ribosomes that each contribute towards regulating protein expression to suit the changing environmental conditions.","archive_location":"30019452","container-title":"Yeast","DOI":"10.1002/yea.3349","ISSN":"0749-503X (Print) 0749-503x","issue":"1","language":"eng","note":"edition: 2018/07/19","page":"5-21","source":"NLM","title":"Translational regulation in response to stress in Saccharomyces cerevisiae","volume":"36","author":[{"family":"Crawford","given":"R. A."},{"family":"Pavitt","given":"G. D."}],"issued":{"date-parts":[["2019",1]]}}},{"id":384,"uris":["http://zotero.org/users/6977825/items/3P2YPUZ3"],"uri":["http://zotero.org/users/6977825/items/3P2YPUZ3"],"itemData":{"id":384,"type":"article-journal","abstract":"A number of stresses, including nutrient stress, temperature shock, DNA damage, and hypoxia, can lead to changes in gene expression patterns caused by a general shutdown and reprogramming of protein synthesis. Each of these stress conditions results in selective recruitment of ribosomes to mRNAs whose protein products are required for responding to stress. This recruitment is regulated by elements within the 5' and 3' untranslated regions of mRNAs, including internal ribosome entry segments, upstream open reading frames, and microRNA target sites. These elements can act singly or in combination and are themselves regulated by trans-acting factors. Translational reprogramming can result in increased life span, and conversely, deregulation of these translation pathways is associated with disease including cancer and diabetes.","archive_location":"20965418","container-title":"Molecular Cell","DOI":"10.1016/j.molcel.2010.09.028","ISSN":"1097-2765","issue":"2","language":"eng","note":"edition: 2010/10/23","page":"228-37","source":"NLM","title":"Translational regulation of gene expression during conditions of cell stress","volume":"40","author":[{"family":"Spriggs","given":"K. A."},{"family":"Bushell","given":"M."},{"family":"Willis","given":"A. E."}],"issued":{"date-parts":[["2010",10,22]]}}},{"id":406,"uris":["http://zotero.org/users/6977825/items/3UC97V3N"],"uri":["http://zotero.org/users/6977825/items/3UC97V3N"],"itemData":{"id":406,"type":"article-journal","abstract":"Glucose is one of the most important sources of carbon across all life. Glucose starvation is a key stress relevant to all eukaryotic cells. Glucose starvation responses have important implications in diseases, such as diabetes and cancer. In yeast, glucose starvation causes rapid and dramatic effects on the synthesis of proteins (mRNA translation). Response to glucose deficiency targets the initiation phase of translation by different mechanisms and with diverse dynamics. Concomitantly, translationally repressed mRNAs and components of the protein synthesis machinery may enter a variety of cytoplasmic foci, which also form with variable kinetics and may store or degrade mRNA. Much progress has been made in understanding these processes in the last decade, including with the use of high-throughput/omics methods of RNA and RNA:protein detection. This review dissects the current knowledge of yeast reactions to glucose starvation systematized by the stage of translation initiation, with the focus on rapid responses. We provide parallels to mechanisms found in higher eukaryotes, such as metazoans, for the most critical responses, and point out major remaining gaps in knowledge and possible future directions of research on translational responses to glucose starvation.","container-title":"International Journal of Molecular Sciences","DOI":"10.3390/ijms20164043","ISSN":"1422-0067","issue":"16","journalAbbreviation":"IJMS","language":"en","page":"4043","source":"DOI.org (Crossref)","title":"Control of Translation at the Initiation Phase During Glucose Starvation in Yeast","volume":"20","author":[{"family":"Janapala","given":"Yoshika"},{"family":"Preiss","given":"Thomas"},{"family":"Shirokikh","given":"Nikolay E."}],"issued":{"date-parts":[["2019",8,19]]}}},{"id":299,"uris":["http://zotero.org/users/6977825/items/DMTD4I3H"],"uri":["http://zotero.org/users/6977825/items/DMTD4I3H"],"itemData":{"id":299,"type":"article-journal","abstract":"This work summarizes our current understanding of the elongation and termination/recycling phases of eukaryotic protein synthesis. We focus here on recent advances in the field. In addition to an overview of translation elongation, we discuss unique aspects of eukaryotic translation elongation including eEF1 recycling, eEF2 modification, and eEF3 and eIF5A function. Likewise, we highlight the function of the eukaryotic release factors eRF1 and eRF3 in translation termination, and the functions of ABCE1/Rli1, the Dom34:Hbs1 complex, and Ligatin (eIF2D) in ribosome recycling. Finally, we present some of the key questions in translation elongation, termination, and recycling that remain to be answered.","archive_location":"22751155","container-title":"Cold Spring Harbor Perspectives in Biology","DOI":"10.1101/cshperspect.a013706","ISSN":"1943-0264 (Electronic) 1943-0264 (Linking)","issue":"7","note":"edition: 2012/07/04","page":"a013706","title":"The elongation, termination, and recycling phases of translation in eukaryotes","volume":"4","author":[{"family":"Dever","given":"T. E."},{"family":"Green","given":"R."}],"issued":{"date-parts":[["2012",7,1]]}}}],"schema":"https://github.com/citation-style-language/schema/raw/master/csl-citation.json"}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2,5-6,8,11-13</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 Regulatory mechanisms often target </w:t>
      </w:r>
      <w:proofErr w:type="spellStart"/>
      <w:r>
        <w:rPr>
          <w:rFonts w:ascii="Calibri" w:hAnsi="Calibri" w:cs="Calibri"/>
          <w:lang w:val="en-US"/>
        </w:rPr>
        <w:t>eIFs</w:t>
      </w:r>
      <w:proofErr w:type="spellEnd"/>
      <w:r>
        <w:rPr>
          <w:rFonts w:ascii="Calibri" w:hAnsi="Calibri" w:cs="Calibri"/>
          <w:lang w:val="en-US"/>
        </w:rPr>
        <w:t xml:space="preserve"> affecting attachment, scanning, and start codon recognition. For example, the initiation factor eIF2, an essential translation factor that aids in the recruitment of an initiator Met-</w:t>
      </w:r>
      <w:proofErr w:type="spellStart"/>
      <w:r>
        <w:rPr>
          <w:rFonts w:ascii="Calibri" w:hAnsi="Calibri" w:cs="Calibri"/>
          <w:lang w:val="en-US"/>
        </w:rPr>
        <w:t>tRNA</w:t>
      </w:r>
      <w:r>
        <w:rPr>
          <w:rFonts w:ascii="Calibri" w:hAnsi="Calibri" w:cs="Calibri"/>
          <w:i/>
          <w:iCs/>
          <w:vertAlign w:val="subscript"/>
          <w:lang w:val="en-US"/>
        </w:rPr>
        <w:t>i</w:t>
      </w:r>
      <w:r>
        <w:rPr>
          <w:rFonts w:ascii="Calibri" w:hAnsi="Calibri" w:cs="Calibri"/>
          <w:i/>
          <w:iCs/>
          <w:vertAlign w:val="superscript"/>
          <w:lang w:val="en-US"/>
        </w:rPr>
        <w:t>Met</w:t>
      </w:r>
      <w:proofErr w:type="spellEnd"/>
      <w:r>
        <w:rPr>
          <w:rFonts w:ascii="Calibri" w:hAnsi="Calibri" w:cs="Calibri"/>
          <w:lang w:val="en-US"/>
        </w:rPr>
        <w:t xml:space="preserve"> to the SSU, is often targeted in eukaryotes under stress conditions</w:t>
      </w:r>
      <w:r>
        <w:fldChar w:fldCharType="begin"/>
      </w:r>
      <w:r>
        <w:rPr>
          <w:rFonts w:ascii="Calibri" w:hAnsi="Calibri" w:cs="Calibri"/>
          <w:lang w:val="en-US"/>
        </w:rPr>
        <w:instrText>ADDIN ZOTERO_ITEM CSL_CITATION {"citationID":"0TpLLoLm","properties":{"formattedCitation":"\\super 4, 6, 11\\nosupersub{}","plainCitation":"4, 6, 11","dontUpdate":true,"noteIndex":0},"citationItems":[{"id":292,"uris":["http://zotero.org/users/6977825/items/ZQR3KA2P"],"uri":["http://zotero.org/users/6977825/items/ZQR3KA2P"],"itemData":{"id":292,"type":"article-journal","abstract":"The budding yeast Saccharomyces cerevisiae must dynamically alter the composition of its proteome in order to respond to diverse stresses. The reprogramming of gene expression during stress typically involves initial global repression of protein synthesis, accompanied by the activation of stress-responsive mRNAs through both translational and transcriptional responses. The ability of specific mRNAs to counter the global translational repression is therefore crucial to the overall response to stress. Here we summarize the major repressive mechanisms and discuss mechanisms of translational activation in response to different stresses in S. cerevisiae. Taken together, a wide range of studies indicate that multiple elements act in concert to bring about appropriate translational responses. These include regulatory elements within mRNAs, altered mRNA interactions with RNA-binding proteins and the specialization of ribosomes that each contribute towards regulating protein expression to suit the changing environmental conditions.","archive_location":"30019452","container-title":"Yeast","DOI":"10.1002/yea.3349","ISSN":"0749-503X (Print) 0749-503x","issue":"1","language":"eng","note":"edition: 2018/07/19","page":"5-21","source":"NLM","title":"Translational regulation in response to stress in Saccharomyces cerevisiae","volume":"36","author":[{"family":"Crawford","given":"R. A."},{"family":"Pavitt","given":"G. D."}],"issued":{"date-parts":[["2019",1]]}}},{"id":307,"uris":["http://zotero.org/users/6977825/items/CXE8KS8X"],"uri":["http://zotero.org/users/6977825/items/CXE8KS8X"],"itemData":{"id":307,"type":"article-journal","abstract":"Translational control plays an essential role in the regulation of gene expression. It is especially important in defining the proteome, maintaining homeostasis, and controlling cell proliferation, growth, and development. Numerous disease states result from aberrant regulation of protein synthesis, so understanding the molecular basis and mechanisms of translational control is critical. Here we outline the pathway of protein synthesis, with special emphasis on the initiation phase, and identify areas needing further clarification. Features of translational control are described together with numerous specific examples, and we discuss prospects for future conceptual advances.","archive_location":"23209153","container-title":"Cold Spring Harbor Perspectives in Biology","DOI":"10.1101/cshperspect.a011528","ISSN":"1943-0264","issue":"12","language":"eng","note":"edition: 2012/12/05","source":"NLM","title":"Principles of translational control: an overview","volume":"4","author":[{"family":"Hershey","given":"J. W."},{"family":"Sonenberg","given":"N."},{"family":"Mathews","given":"M. B."}],"issued":{"date-parts":[["2012",12,1]]}}},{"id":309,"uris":["http://zotero.org/users/6977825/items/BAXLMVQL"],"uri":["http://zotero.org/users/6977825/items/BAXLMVQL"],"itemData":{"id":309,"type":"article-journal","abstract":"The eukaryotic 5' untranslated region (UTR) is critical for ribosome recruitment to the messenger RNA (mRNA) and start codon choice and plays a major role in the control of translation efficiency and shaping the cellular proteome. The ribosomal initiation complex is assembled on the mRNA via a cap-dependent or cap-independent mechanism. We describe various mechanisms controlling ribosome scanning and initiation codon selection by 5' upstream open reading frames, translation initiation factors, and primary and secondary structures of the 5'UTR, including particular sequence motifs. We also discuss translational control via phosphorylation of eukaryotic initiation factor 2, which is implicated in learning and memory, neurodegenerative diseases, and cancer.","archive_location":"27313038","container-title":"Science","DOI":"10.1126/science.aad9868","ISSN":"0036-8075 (Print) 0036-8075","issue":"6292","language":"eng","note":"edition: 2016/06/18","page":"1413-6","source":"NLM","title":"Translational control by 5'-untranslated regions of eukaryotic mRNAs","volume":"352","author":[{"family":"Hinnebusch","given":"A. G."},{"family":"Ivanov","given":"I. P."},{"family":"Sonenberg","given":"N."}],"issued":{"date-parts":[["2016",6,17]]}}}],"schema":"https://github.com/citation-style-language/schema/raw/master/csl-citation.json"}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4,6,11</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In yeast, phosphorylation of this factor can be induced under nutrient deprivation and osmotic stress</w:t>
      </w:r>
      <w:r>
        <w:fldChar w:fldCharType="begin"/>
      </w:r>
      <w:r>
        <w:rPr>
          <w:rFonts w:ascii="Calibri" w:hAnsi="Calibri" w:cs="Calibri"/>
          <w:lang w:val="en-US"/>
        </w:rPr>
        <w:instrText>ADDIN ZOTERO_ITEM CSL_CITATION {"citationID":"TsDMZ5OW","properties":{"formattedCitation":"\\super 1, 4, 11, 14, 15\\nosupersub{}","plainCitation":"1, 4, 11, 14, 15","dontUpdate":true,"noteIndex":0},"citationItems":[{"id":292,"uris":["http://zotero.org/users/6977825/items/ZQR3KA2P"],"uri":["http://zotero.org/users/6977825/items/ZQR3KA2P"],"itemData":{"id":292,"type":"article-journal","abstract":"The budding yeast Saccharomyces cerevisiae must dynamically alter the composition of its proteome in order to respond to diverse stresses. The reprogramming of gene expression during stress typically involves initial global repression of protein synthesis, accompanied by the activation of stress-responsive mRNAs through both translational and transcriptional responses. The ability of specific mRNAs to counter the global translational repression is therefore crucial to the overall response to stress. Here we summarize the major repressive mechanisms and discuss mechanisms of translational activation in response to different stresses in S. cerevisiae. Taken together, a wide range of studies indicate that multiple elements act in concert to bring about appropriate translational responses. These include regulatory elements within mRNAs, altered mRNA interactions with RNA-binding proteins and the specialization of ribosomes that each contribute towards regulating protein expression to suit the changing environmental conditions.","archive_location":"30019452","container-title":"Yeast","DOI":"10.1002/yea.3349","ISSN":"0749-503X (Print) 0749-503x","issue":"1","language":"eng","note":"edition: 2018/07/19","page":"5-21","source":"NLM","title":"Translational regulation in response to stress in Saccharomyces cerevisiae","volume":"36","author":[{"family":"Crawford","given":"R. A."},{"family":"Pavitt","given":"G. D."}],"issued":{"date-parts":[["2019",1]]}}},{"id":406,"uris":["http://zotero.org/users/6977825/items/3UC97V3N"],"uri":["http://zotero.org/users/6977825/items/3UC97V3N"],"itemData":{"id":406,"type":"article-journal","abstract":"Glucose is one of the most important sources of carbon across all life. Glucose starvation is a key stress relevant to all eukaryotic cells. Glucose starvation responses have important implications in diseases, such as diabetes and cancer. In yeast, glucose starvation causes rapid and dramatic effects on the synthesis of proteins (mRNA translation). Response to glucose deficiency targets the initiation phase of translation by different mechanisms and with diverse dynamics. Concomitantly, translationally repressed mRNAs and components of the protein synthesis machinery may enter a variety of cytoplasmic foci, which also form with variable kinetics and may store or degrade mRNA. Much progress has been made in understanding these processes in the last decade, including with the use of high-throughput/omics methods of RNA and RNA:protein detection. This review dissects the current knowledge of yeast reactions to glucose starvation systematized by the stage of translation initiation, with the focus on rapid responses. We provide parallels to mechanisms found in higher eukaryotes, such as metazoans, for the most critical responses, and point out major remaining gaps in knowledge and possible future directions of research on translational responses to glucose starvation.","container-title":"International Journal of Molecular Sciences","DOI":"10.3390/ijms20164043","ISSN":"1422-0067","issue":"16","journalAbbreviation":"IJMS","language":"en","page":"4043","source":"DOI.org (Crossref)","title":"Control of Translation at the Initiation Phase During Glucose Starvation in Yeast","volume":"20","author":[{"family":"Janapala","given":"Yoshika"},{"family":"Preiss","given":"Thomas"},{"family":"Shirokikh","given":"Nikolay E."}],"issued":{"date-parts":[["2019",8,19]]}}},{"id":309,"uris":["http://zotero.org/users/6977825/items/BAXLMVQL"],"uri":["http://zotero.org/users/6977825/items/BAXLMVQL"],"itemData":{"id":309,"type":"article-journal","abstract":"The eukaryotic 5' untranslated region (UTR) is critical for ribosome recruitment to the messenger RNA (mRNA) and start codon choice and plays a major role in the control of translation efficiency and shaping the cellular proteome. The ribosomal initiation complex is assembled on the mRNA via a cap-dependent or cap-independent mechanism. We describe various mechanisms controlling ribosome scanning and initiation codon selection by 5' upstream open reading frames, translation initiation factors, and primary and secondary structures of the 5'UTR, including particular sequence motifs. We also discuss translational control via phosphorylation of eukaryotic initiation factor 2, which is implicated in learning and memory, neurodegenerative diseases, and cancer.","archive_location":"27313038","container-title":"Science","DOI":"10.1126/science.aad9868","ISSN":"0036-8075 (Print) 0036-8075","issue":"6292","language":"eng","note":"edition: 2016/06/18","page":"1413-6","source":"NLM","title":"Translational control by 5'-untranslated regions of eukaryotic mRNAs","volume":"352","author":[{"family":"Hinnebusch","given":"A. G."},{"family":"Ivanov","given":"I. P."},{"family":"Sonenberg","given":"N."}],"issued":{"date-parts":[["2016",6,17]]}}},{"id":327,"uris":["http://zotero.org/users/6977825/items/TYCQG3AX"],"uri":["http://zotero.org/users/6977825/items/TYCQG3AX"],"itemData":{"id":327,"type":"article-journal","abstract":"Eukaryotic cells contain an unusually large cytoplasmic pool of P1/P2 phosphoproteins, which form the highly flexible 60S subunit stalk that is required to interact with and activate soluble translation factors. In cells, cytoplasmic P1/P2 proteins are exchanged for ribosome-bound proteins in a process that can modulate ribosome function and translation. Here, we analysed different S. cerevisiae stalk mutants grown under stress conditions that result in eIF2α phosphorylation. These mutants either lack a cytoplasmic pool of stalk proteins or contain free but not ribosome-bound proteins. Only cells that contain free P1/P2 proteins induce eIF2 phosphorylation in vivo in response to glucose starvation or osmotic stress. Moreover, we show that free S. cerevisiae P1/P2 proteins can induce in vitro phosphorylation of the initiation factor eIF2 by stimulating the autophosphorylation and activation of GCN2 kinase. Indeed, these ribosomal proteins do not stimulate other eIF2α kinases, such as PKR and HRI. P1/P2 and the known GCN2 activator deacylated tRNA compete for stimulating the eIF2α kinase activity of GCN2, although the P1/P2 proteins are considerably more active. These findings reveal a capacity of free cytoplasmic ribosomal stalk components to stimulate eIF2α phosphorylation, which in turn would modulate translation in response to specific forms of stress that may be linked with the previously described regulatory function of the ribosomal stalk.","archive_location":"24391917","container-title":"PLoS ONE","DOI":"10.1371/journal.pone.0084219","ISSN":"1932-6203","issue":"12","language":"eng","note":"edition: 2014/01/07","page":"e84219","source":"NLM","title":"Phosphorylation of initiation factor eIF2 in response to stress conditions is mediated by acidic ribosomal P1/P2 proteins in Saccharomyces cerevisiae","volume":"8","author":[{"family":"Jiménez-Díaz","given":"A."},{"family":"Remacha","given":"M."},{"family":"Ballesta","given":"J. P."},{"family":"Berlanga","given":"J. J."}],"issued":{"date-parts":[["2013"]]}}},{"id":382,"uris":["http://zotero.org/users/6977825/items/46B72KSU"],"uri":["http://zotero.org/users/6977825/items/46B72KSU"],"itemData":{"id":382,"type":"article-journal","abstract":"Translational control in eukaryotic cells is critical for gene regulation during nutrient deprivation and stress, development and differentiation, nervous system function, aging, and disease. We describe recent advances in our understanding of the molecular structures and biochemical functions of the translation initiation machinery and summarize key strategies that mediate general or gene-specific translational control, particularly in mammalian systems.","archive_location":"19239892","container-title":"Cell","DOI":"10.1016/j.cell.2009.01.042","ISSN":"0092-8674 (Print) 0092-8674","issue":"4","language":"eng","note":"edition: 2009/02/26","page":"731-45","source":"NLM","title":"Regulation of translation initiation in eukaryotes: mechanisms and biological targets","volume":"136","author":[{"family":"Sonenberg","given":"N."},{"family":"Hinnebusch","given":"A. G."}],"issued":{"date-parts":[["2009",2,20]]}}}],"schema":"https://github.com/citation-style-language/schema/raw/master/csl-citation.json"}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1,4,11,14,15</w:t>
      </w:r>
      <w:r>
        <w:rPr>
          <w:rFonts w:ascii="Calibri" w:hAnsi="Calibri" w:cs="Calibri"/>
          <w:lang w:val="en-US"/>
        </w:rPr>
        <w:fldChar w:fldCharType="end"/>
      </w:r>
      <w:r>
        <w:fldChar w:fldCharType="begin"/>
      </w:r>
      <w:r>
        <w:rPr>
          <w:rFonts w:ascii="Calibri" w:hAnsi="Calibri" w:cs="Calibri"/>
          <w:lang w:val="en-US"/>
        </w:rPr>
        <w:instrText>ADDIN EN.CITEThis breaks the order of citations, 12 was the last one, please check.We have checked and if necessary, corrected.</w:instrText>
      </w:r>
      <w:r>
        <w:rPr>
          <w:rFonts w:ascii="Calibri" w:hAnsi="Calibri"/>
        </w:rPr>
        <w:fldChar w:fldCharType="separate"/>
      </w:r>
      <w:r>
        <w:fldChar w:fldCharType="begin"/>
      </w:r>
      <w:r>
        <w:rPr>
          <w:rFonts w:ascii="Calibri" w:hAnsi="Calibri"/>
        </w:rPr>
        <w:instrText>ADDIN EN.CITE.DATA</w:instrText>
      </w:r>
      <w:r w:rsidR="0021610B">
        <w:rPr>
          <w:rFonts w:ascii="Calibri" w:hAnsi="Calibri"/>
        </w:rPr>
        <w:fldChar w:fldCharType="separate"/>
      </w:r>
      <w:r>
        <w:rPr>
          <w:rFonts w:ascii="Calibri" w:hAnsi="Calibri"/>
        </w:rPr>
        <w:fldChar w:fldCharType="end"/>
      </w:r>
      <w:r>
        <w:rPr>
          <w:rFonts w:ascii="Calibri" w:hAnsi="Calibri"/>
        </w:rPr>
        <w:fldChar w:fldCharType="end"/>
      </w:r>
      <w:r>
        <w:fldChar w:fldCharType="begin"/>
      </w:r>
      <w:r>
        <w:rPr>
          <w:rFonts w:ascii="Calibri" w:hAnsi="Calibri"/>
        </w:rPr>
        <w:instrText>ADDIN EN.CITE</w:instrText>
      </w:r>
      <w:r>
        <w:rPr>
          <w:rFonts w:ascii="Calibri" w:hAnsi="Calibri"/>
        </w:rPr>
        <w:fldChar w:fldCharType="separate"/>
      </w:r>
      <w:r>
        <w:fldChar w:fldCharType="begin"/>
      </w:r>
      <w:r>
        <w:rPr>
          <w:rFonts w:ascii="Calibri" w:hAnsi="Calibri"/>
        </w:rPr>
        <w:instrText>ADDIN EN.CITE.DATA</w:instrText>
      </w:r>
      <w:r w:rsidR="0021610B">
        <w:rPr>
          <w:rFonts w:ascii="Calibri" w:hAnsi="Calibri"/>
        </w:rPr>
        <w:fldChar w:fldCharType="separate"/>
      </w:r>
      <w:r>
        <w:rPr>
          <w:rFonts w:ascii="Calibri" w:hAnsi="Calibri"/>
        </w:rPr>
        <w:fldChar w:fldCharType="end"/>
      </w:r>
      <w:r>
        <w:rPr>
          <w:rFonts w:ascii="Calibri" w:hAnsi="Calibri"/>
        </w:rPr>
        <w:fldChar w:fldCharType="end"/>
      </w:r>
      <w:r>
        <w:fldChar w:fldCharType="begin"/>
      </w:r>
      <w:r>
        <w:rPr>
          <w:rFonts w:ascii="Calibri" w:hAnsi="Calibri"/>
        </w:rPr>
        <w:instrText>ADDIN EN.CITE</w:instrText>
      </w:r>
      <w:r>
        <w:rPr>
          <w:rFonts w:ascii="Calibri" w:hAnsi="Calibri"/>
        </w:rPr>
        <w:fldChar w:fldCharType="separate"/>
      </w:r>
      <w:r>
        <w:fldChar w:fldCharType="begin"/>
      </w:r>
      <w:r>
        <w:rPr>
          <w:rFonts w:ascii="Calibri" w:hAnsi="Calibri"/>
        </w:rPr>
        <w:instrText>ADDIN EN.CITE.DATA</w:instrText>
      </w:r>
      <w:r w:rsidR="0021610B">
        <w:rPr>
          <w:rFonts w:ascii="Calibri" w:hAnsi="Calibri"/>
        </w:rPr>
        <w:fldChar w:fldCharType="separate"/>
      </w:r>
      <w:r>
        <w:rPr>
          <w:rFonts w:ascii="Calibri" w:hAnsi="Calibri"/>
        </w:rPr>
        <w:fldChar w:fldCharType="end"/>
      </w:r>
      <w:r>
        <w:rPr>
          <w:rFonts w:ascii="Calibri" w:hAnsi="Calibri"/>
        </w:rPr>
        <w:fldChar w:fldCharType="end"/>
      </w:r>
      <w:r>
        <w:rPr>
          <w:rFonts w:ascii="Calibri" w:hAnsi="Calibri" w:cs="Calibri"/>
          <w:lang w:val="en-US"/>
        </w:rPr>
        <w:t>, and in mammalian cells, amino acid starvation, endoplasmic reticulum (ER) stress, UV stress, viral infection, and altered oxygen levels may trigger this response</w:t>
      </w:r>
      <w:r>
        <w:fldChar w:fldCharType="begin"/>
      </w:r>
      <w:r>
        <w:rPr>
          <w:rFonts w:ascii="Calibri" w:hAnsi="Calibri" w:cs="Calibri"/>
          <w:lang w:val="en-US"/>
        </w:rPr>
        <w:instrText>ADDIN ZOTERO_ITEM CSL_CITATION {"citationID":"n9onsbEP","properties":{"formattedCitation":"\\super 8, 9, 11\\nosupersub{}","plainCitation":"8, 9, 11","dontUpdate":true,"noteIndex":0},"citationItems":[{"id":384,"uris":["http://zotero.org/users/6977825/items/3P2YPUZ3"],"uri":["http://zotero.org/users/6977825/items/3P2YPUZ3"],"itemData":{"id":384,"type":"article-journal","abstract":"A number of stresses, including nutrient stress, temperature shock, DNA damage, and hypoxia, can lead to changes in gene expression patterns caused by a general shutdown and reprogramming of protein synthesis. Each of these stress conditions results in selective recruitment of ribosomes to mRNAs whose protein products are required for responding to stress. This recruitment is regulated by elements within the 5' and 3' untranslated regions of mRNAs, including internal ribosome entry segments, upstream open reading frames, and microRNA target sites. These elements can act singly or in combination and are themselves regulated by trans-acting factors. Translational reprogramming can result in increased life span, and conversely, deregulation of these translation pathways is associated with disease including cancer and diabetes.","archive_location":"20965418","container-title":"Molecular Cell","DOI":"10.1016/j.molcel.2010.09.028","ISSN":"1097-2765","issue":"2","language":"eng","note":"edition: 2010/10/23","page":"228-37","source":"NLM","title":"Translational regulation of gene expression during conditions of cell stress","volume":"40","author":[{"family":"Spriggs","given":"K. A."},{"family":"Bushell","given":"M."},{"family":"Willis","given":"A. E."}],"issued":{"date-parts":[["2010",10,22]]}}},{"id":338,"uris":["http://zotero.org/users/6977825/items/TFCZ9Y3Z"],"uri":["http://zotero.org/users/6977825/items/TFCZ9Y3Z"],"itemData":{"id":338,"type":"article-journal","abstract":"Cell survival in changing environments requires appropriate regulation of gene expression, including translational control. Multiple stress signaling pathways converge on several key translation factors, such as eIF4F and eIF2, and rapidly modulate messenger RNA (mRNA) translation at both the initiation and the elongation stages. Repression of global protein synthesis is often accompanied with selective translation of mRNAs encoding proteins that are vital for cell survival and stress recovery. The past decade has seen significant progress in our understanding of translational reprogramming in part due to the development of technologies that allow the dissection of the interplay between mRNA elements and corresponding binding proteins. Recent genome-wide studies using ribosome profiling have revealed unprecedented proteome complexity and flexibility through alternative translation, raising intriguing questions about stress-induced translational reprogramming. Many surprises emerged from these studies, including wide-spread alternative translation initiation, ribosome pausing during elongation, and reversible modification of mRNAs. Elucidation of the regulatory mechanisms underlying translational reprogramming will ultimately lead to the development of novel therapeutic strategies for human diseases.","archive_location":"24375939","container-title":"Wiley Interdisciplinary Reviews RNA","DOI":"10.1002/wrna.1212","ISSN":"1757-7004 (Print) 1757-7004","issue":"3","language":"eng","note":"edition: 2014/01/01","page":"301-15","source":"NLM","title":"Translational reprogramming in cellular stress response","volume":"5","author":[{"family":"Liu","given":"B."},{"family":"Qian","given":"S. B."}],"issued":{"date-parts":[["2014",5]]}}},{"id":309,"uris":["http://zotero.org/users/6977825/items/BAXLMVQL"],"uri":["http://zotero.org/users/6977825/items/BAXLMVQL"],"itemData":{"id":309,"type":"article-journal","abstract":"The eukaryotic 5' untranslated region (UTR) is critical for ribosome recruitment to the messenger RNA (mRNA) and start codon choice and plays a major role in the control of translation efficiency and shaping the cellular proteome. The ribosomal initiation complex is assembled on the mRNA via a cap-dependent or cap-independent mechanism. We describe various mechanisms controlling ribosome scanning and initiation codon selection by 5' upstream open reading frames, translation initiation factors, and primary and secondary structures of the 5'UTR, including particular sequence motifs. We also discuss translational control via phosphorylation of eukaryotic initiation factor 2, which is implicated in learning and memory, neurodegenerative diseases, and cancer.","archive_location":"27313038","container-title":"Science","DOI":"10.1126/science.aad9868","ISSN":"0036-8075 (Print) 0036-8075","issue":"6292","language":"eng","note":"edition: 2016/06/18","page":"1413-6","source":"NLM","title":"Translational control by 5'-untranslated regions of eukaryotic mRNAs","volume":"352","author":[{"family":"Hinnebusch","given":"A. G."},{"family":"Ivanov","given":"I. P."},{"family":"Sonenberg","given":"N."}],"issued":{"date-parts":[["2016",6,17]]}}}],"schema":"https://github.com/citation-style-language/schema/raw/master/csl-citation.json"}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8,9,11</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Rapid upregulation of specific mRNA translation is evident in the mammalian cell response to hypoxia, which exhibits a global rapid translation inhibition and selective upregulation of hypoxia-inducible factors (HIFs) biosynthesis. HIFs are transcription factors, which then elicit longer term cellular reprogramming at the DNA transcription level</w:t>
      </w:r>
      <w:r>
        <w:fldChar w:fldCharType="begin"/>
      </w:r>
      <w:r>
        <w:rPr>
          <w:rFonts w:ascii="Calibri" w:hAnsi="Calibri" w:cs="Calibri"/>
          <w:lang w:val="en-US"/>
        </w:rPr>
        <w:instrText>ADDIN ZOTERO_ITEM CSL_CITATION {"citationID":"spICbqfy","properties":{"formattedCitation":"\\super 5, 7, 15\\nosupersub{}","plainCitation":"5, 7, 15","dontUpdate":true,"noteIndex":0},"citationItems":[{"id":384,"uris":["http://zotero.org/users/6977825/items/3P2YPUZ3"],"uri":["http://zotero.org/users/6977825/items/3P2YPUZ3"],"itemData":{"id":384,"type":"article-journal","abstract":"A number of stresses, including nutrient stress, temperature shock, DNA damage, and hypoxia, can lead to changes in gene expression patterns caused by a general shutdown and reprogramming of protein synthesis. Each of these stress conditions results in selective recruitment of ribosomes to mRNAs whose protein products are required for responding to stress. This recruitment is regulated by elements within the 5' and 3' untranslated regions of mRNAs, including internal ribosome entry segments, upstream open reading frames, and microRNA target sites. These elements can act singly or in combination and are themselves regulated by trans-acting factors. Translational reprogramming can result in increased life span, and conversely, deregulation of these translation pathways is associated with disease including cancer and diabetes.","archive_location":"20965418","container-title":"Molecular Cell","DOI":"10.1016/j.molcel.2010.09.028","ISSN":"1097-2765","issue":"2","language":"eng","note":"edition: 2010/10/23","page":"228-37","source":"NLM","title":"Translational regulation of gene expression during conditions of cell stress","volume":"40","author":[{"family":"Spriggs","given":"K. A."},{"family":"Bushell","given":"M."},{"family":"Willis","given":"A. E."}],"issued":{"date-parts":[["2010",10,22]]}}},{"id":338,"uris":["http://zotero.org/users/6977825/items/TFCZ9Y3Z"],"uri":["http://zotero.org/users/6977825/items/TFCZ9Y3Z"],"itemData":{"id":338,"type":"article-journal","abstract":"Cell survival in changing environments requires appropriate regulation of gene expression, including translational control. Multiple stress signaling pathways converge on several key translation factors, such as eIF4F and eIF2, and rapidly modulate messenger RNA (mRNA) translation at both the initiation and the elongation stages. Repression of global protein synthesis is often accompanied with selective translation of mRNAs encoding proteins that are vital for cell survival and stress recovery. The past decade has seen significant progress in our understanding of translational reprogramming in part due to the development of technologies that allow the dissection of the interplay between mRNA elements and corresponding binding proteins. Recent genome-wide studies using ribosome profiling have revealed unprecedented proteome complexity and flexibility through alternative translation, raising intriguing questions about stress-induced translational reprogramming. Many surprises emerged from these studies, including wide-spread alternative translation initiation, ribosome pausing during elongation, and reversible modification of mRNAs. Elucidation of the regulatory mechanisms underlying translational reprogramming will ultimately lead to the development of novel therapeutic strategies for human diseases.","archive_location":"24375939","container-title":"Wiley Interdisciplinary Reviews RNA","DOI":"10.1002/wrna.1212","ISSN":"1757-7004 (Print) 1757-7004","issue":"3","language":"eng","note":"edition: 2014/01/01","page":"301-15","source":"NLM","title":"Translational reprogramming in cellular stress response","volume":"5","author":[{"family":"Liu","given":"B."},{"family":"Qian","given":"S. B."}],"issued":{"date-parts":[["2014",5]]}}},{"id":341,"uris":["http://zotero.org/users/6977825/items/DCWGNVPM"],"uri":["http://zotero.org/users/6977825/items/DCWGNVPM"],"itemData":{"id":341,"type":"article-journal","abstract":"Oxygen (O(2)) is an essential nutrient that serves as a key substrate in cellular metabolism and bioenergetics. In a variety of physiological and pathological states, organisms encounter insufficient O(2) availability, or hypoxia. In order to cope with this stress, evolutionarily conserved responses are engaged. In mammals, the primary transcriptional response to hypoxic stress is mediated by the hypoxia-inducible factors (HIFs). While canonically regulated by prolyl hydroxylase domain-containing enzymes (PHDs), the HIFα subunits are intricately responsive to numerous other factors, including factor-inhibiting HIF1α (FIH1), sirtuins, and metabolites. These transcription factors function in normal tissue homeostasis and impinge on critical aspects of disease progression and recovery. Insights from basic HIF biology are being translated into pharmaceuticals targeting the HIF pathway.","archive_location":"20965423","container-title":"Molecular Cell","DOI":"10.1016/j.molcel.2010.09.022","ISSN":"1097-2765 (Print) 1097-2765","issue":"2","language":"eng","note":"edition: 2010/10/23","page":"294-309","source":"NLM","title":"Hypoxia-inducible factors and the response to hypoxic stress","volume":"40","author":[{"family":"Majmundar","given":"A. J."},{"family":"Wong","given":"W. J."},{"family":"Simon","given":"M. C."}],"issued":{"date-parts":[["2010",10,22]]}}}],"schema":"https://github.com/citation-style-language/schema/raw/master/csl-citation.json"}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8,9,16</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Similar responses have been observed in yeast under heat stress, with rapid translational expression of Heat Shock Proteins (HSPs) followed by delayed transcription-level responses</w:t>
      </w:r>
      <w:r>
        <w:fldChar w:fldCharType="begin"/>
      </w:r>
      <w:r>
        <w:rPr>
          <w:rFonts w:ascii="Calibri" w:hAnsi="Calibri" w:cs="Calibri"/>
          <w:lang w:val="en-US"/>
        </w:rPr>
        <w:instrText>ADDIN ZOTERO_ITEM CSL_CITATION {"citationID":"iIHuwTtN","properties":{"formattedCitation":"\\super 17, 18\\nosupersub{}","plainCitation":"17, 18","dontUpdate":true,"noteIndex":0},"citationItems":[{"id":278,"uris":["http://zotero.org/users/6977825/items/496SDVEC"],"uri":["http://zotero.org/users/6977825/items/496SDVEC"],"itemData":{"id":278,"type":"article-journal","abstract":"Cellular responses to stress stem from a variety of different mechanisms, including translation arrest and relocation of the translationally repressed mRNAs to ribonucleoprotein particles like stress granules (SGs) and processing bodies (PBs). Here, we examine the role of PKA in the S. cerevisiae heat shock response. Under mild heat stress Tpk3 aggregates and promotes aggregation of eIF4G, Pab1 and eIF4E, whereas severe heat stress leads to the formation of PBs and SGs that contain both Tpk2 and Tpk3 and a larger 48S translation initiation complex. Deletion of TPK2 or TPK3 impacts upon the translational response to heat stress of several mRNAs including CYC1, HSP42, HSP30 and ENO2. TPK2 deletion leads to a robust translational arrest, an increase in SGs/PBs aggregation and translational hypersensitivity to heat stress, whereas TPK3 deletion represses SGs/PBs formation, translational arrest and response for the analyzed mRNAs. Therefore, this work provides evidence indicating that Tpk2 and Tpk3 have opposing roles in translational adaptation during heat stress, and highlight how the same signaling pathway can be regulated to generate strikingly distinct physiological outputs.","archive_location":"29045428","container-title":"PLoS One","DOI":"10.1371/journal.pone.0185416","ISSN":"1932-6203","issue":"10","language":"eng","note":"edition: 2017/10/19","page":"e0185416","source":"NLM","title":"The role of PKA in the translational response to heat stress in Saccharomyces cerevisiae","volume":"12","author":[{"family":"Barraza","given":"C. E."},{"family":"Solari","given":"C. A."},{"family":"Marcovich","given":"I."},{"family":"Kershaw","given":"C."},{"family":"Galello","given":"F."},{"family":"Rossi","given":"S."},{"family":"Ashe","given":"M. P."},{"family":"Portela","given":"P."}],"issued":{"date-parts":[["2017"]]}}},{"id":363,"uris":["http://zotero.org/users/6977825/items/M3NFGY63"],"uri":["http://zotero.org/users/6977825/items/M3NFGY63"],"itemData":{"id":363,"type":"article-journal","abstract":"Organisms must survive a variety of stressful conditions, including sudden temperature increases that damage important cellular structures and interfere with essential functions. In response to heat stress, cells activate an ancient signaling pathway leading to the transient expression of heat shock or heat stress proteins (Hsps). Hsps exhibit sophisticated protection mechanisms, and the most conserved Hsps are molecular chaperones that prevent the formation of nonspecific protein aggregates and assist proteins in the acquisition of their native structures. In this Review, we summarize the concepts of the protective Hsp network.","archive_location":"20965420","container-title":"Molecular Cell","DOI":"10.1016/j.molcel.2010.10.006","ISSN":"1097-2765","issue":"2","language":"eng","note":"edition: 2010/10/23","page":"253-66","source":"NLM","title":"The heat shock response: life on the verge of death","volume":"40","author":[{"family":"Richter","given":"K."},{"family":"Haslbeck","given":"M."},{"family":"Buchner","given":"J."}],"issued":{"date-parts":[["2010",10,22]]}}}],"schema":"https://github.com/citation-style-language/schema/raw/master/csl-citation.json"}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17,18</w:t>
      </w:r>
      <w:r>
        <w:rPr>
          <w:rFonts w:ascii="Calibri" w:hAnsi="Calibri" w:cs="Calibri"/>
          <w:lang w:val="en-US"/>
        </w:rPr>
        <w:fldChar w:fldCharType="end"/>
      </w:r>
      <w:r>
        <w:fldChar w:fldCharType="begin"/>
      </w:r>
      <w:r>
        <w:rPr>
          <w:rFonts w:ascii="Calibri" w:hAnsi="Calibri" w:cs="Calibri"/>
          <w:lang w:val="en-US"/>
        </w:rPr>
        <w:instrText>ADDIN EN.CITEThis breaks the order of citations, 15 was the last one, please check.</w:instrText>
      </w:r>
      <w:r>
        <w:rPr>
          <w:rFonts w:ascii="Calibri" w:hAnsi="Calibri"/>
        </w:rPr>
        <w:fldChar w:fldCharType="separate"/>
      </w:r>
      <w:r>
        <w:fldChar w:fldCharType="begin"/>
      </w:r>
      <w:r>
        <w:rPr>
          <w:rFonts w:ascii="Calibri" w:hAnsi="Calibri"/>
        </w:rPr>
        <w:instrText>ADDIN EN.CITE.DATA</w:instrText>
      </w:r>
      <w:r w:rsidR="0021610B">
        <w:rPr>
          <w:rFonts w:ascii="Calibri" w:hAnsi="Calibri"/>
        </w:rPr>
        <w:fldChar w:fldCharType="separate"/>
      </w:r>
      <w:r>
        <w:rPr>
          <w:rFonts w:ascii="Calibri" w:hAnsi="Calibri"/>
        </w:rPr>
        <w:fldChar w:fldCharType="end"/>
      </w:r>
      <w:r>
        <w:rPr>
          <w:rFonts w:ascii="Calibri" w:hAnsi="Calibri"/>
        </w:rPr>
        <w:fldChar w:fldCharType="end"/>
      </w:r>
      <w:r>
        <w:fldChar w:fldCharType="begin"/>
      </w:r>
      <w:r>
        <w:rPr>
          <w:rFonts w:ascii="Calibri" w:hAnsi="Calibri"/>
        </w:rPr>
        <w:instrText>ADDIN EN.CITE</w:instrText>
      </w:r>
      <w:r>
        <w:rPr>
          <w:rFonts w:ascii="Calibri" w:hAnsi="Calibri"/>
        </w:rPr>
        <w:fldChar w:fldCharType="separate"/>
      </w:r>
      <w:r>
        <w:fldChar w:fldCharType="begin"/>
      </w:r>
      <w:r>
        <w:rPr>
          <w:rFonts w:ascii="Calibri" w:hAnsi="Calibri"/>
        </w:rPr>
        <w:instrText>ADDIN EN.CITE.DATA</w:instrText>
      </w:r>
      <w:r w:rsidR="0021610B">
        <w:rPr>
          <w:rFonts w:ascii="Calibri" w:hAnsi="Calibri"/>
        </w:rPr>
        <w:fldChar w:fldCharType="separate"/>
      </w:r>
      <w:r>
        <w:rPr>
          <w:rFonts w:ascii="Calibri" w:hAnsi="Calibri"/>
        </w:rPr>
        <w:fldChar w:fldCharType="end"/>
      </w:r>
      <w:r>
        <w:rPr>
          <w:rFonts w:ascii="Calibri" w:hAnsi="Calibri"/>
        </w:rPr>
        <w:fldChar w:fldCharType="end"/>
      </w:r>
      <w:r>
        <w:rPr>
          <w:rFonts w:ascii="Calibri" w:hAnsi="Calibri" w:cs="Calibri"/>
          <w:lang w:val="en-US"/>
        </w:rPr>
        <w:t>. In addition to nutrient deprivation and heat shock, translational responses in yeast have been studied under varying oxygen</w:t>
      </w:r>
      <w:r>
        <w:fldChar w:fldCharType="begin"/>
      </w:r>
      <w:r>
        <w:rPr>
          <w:rFonts w:ascii="Calibri" w:hAnsi="Calibri" w:cs="Calibri"/>
          <w:lang w:val="en-US"/>
        </w:rPr>
        <w:instrText>ADDIN ZOTERO_ITEM CSL_CITATION {"citationID":"IbEme0qh","properties":{"formattedCitation":"\\super 8, 19\\nosupersub{}","plainCitation":"8, 19","dontUpdate":true,"noteIndex":0},"citationItems":[{"id":384,"uris":["http://zotero.org/users/6977825/items/3P2YPUZ3"],"uri":["http://zotero.org/users/6977825/items/3P2YPUZ3"],"itemData":{"id":384,"type":"article-journal","abstract":"A number of stresses, including nutrient stress, temperature shock, DNA damage, and hypoxia, can lead to changes in gene expression patterns caused by a general shutdown and reprogramming of protein synthesis. Each of these stress conditions results in selective recruitment of ribosomes to mRNAs whose protein products are required for responding to stress. This recruitment is regulated by elements within the 5' and 3' untranslated regions of mRNAs, including internal ribosome entry segments, upstream open reading frames, and microRNA target sites. These elements can act singly or in combination and are themselves regulated by trans-acting factors. Translational reprogramming can result in increased life span, and conversely, deregulation of these translation pathways is associated with disease including cancer and diabetes.","archive_location":"20965418","container-title":"Molecular Cell","DOI":"10.1016/j.molcel.2010.09.028","ISSN":"1097-2765","issue":"2","language":"eng","note":"edition: 2010/10/23","page":"228-37","source":"NLM","title":"Translational regulation of gene expression during conditions of cell stress","volume":"40","author":[{"family":"Spriggs","given":"K. A."},{"family":"Bushell","given":"M."},{"family":"Willis","given":"A. E."}],"issued":{"date-parts":[["2010",10,22]]}}},{"id":323,"uris":["http://zotero.org/users/6977825/items/FXTSRBV6"],"uri":["http://zotero.org/users/6977825/items/FXTSRBV6"],"itemData":{"id":323,"type":"article-journal","abstract":"Reactive oxygen species (ROS) are toxic by-products of normal aerobic metabolism. ROS can damage mRNAs and the translational apparatus resulting in translational defects and aberrant protein production. Three mRNA quality control systems monitor mRNAs for translational errors: nonsense-mediated decay, non-stop decay (NSD) and no-go decay (NGD) pathways. Here, we show that factors required for the recognition of NSD substrates and components of the SKI complex are required for oxidant tolerance. We found an overlapping requirement for Ski7, which bridges the interaction between the SKI complex and the exosome, and NGD components (Dom34/Hbs1) which have been shown to function in both NSD and NGD. We show that ski7 dom34 and ski7 hbs1 mutants are sensitive to hydrogen peroxide stress and accumulate an NSD substrate. We further show that NSD substrates are generated during ROS exposure as a result of aggregation of the Sup35 translation termination factor, which increases stop codon read-through allowing ribosomes to translate into the 3΄-end of mRNAs. Overexpression of Sup35 decreases stop codon read-through and rescues oxidant tolerance consistent with this model. Our data reveal an unanticipated requirement for the NSD pathway during oxidative stress conditions which prevents the production of aberrant proteins from NSD mRNAs.","archive_location":"28472342","container-title":"Nucleic Acids Research","DOI":"10.1093/nar/gkx306","ISSN":"0305-1048 (Print) 0305-1048","issue":"11","language":"eng","note":"edition: 2017/05/05","page":"6881-6893","source":"NLM","title":"The non-stop decay mRNA surveillance pathway is required for oxidative stress tolerance","volume":"45","author":[{"family":"Jamar","given":"N. H."},{"family":"Kritsiligkou","given":"P."},{"family":"Grant","given":"C. M."}],"issued":{"date-parts":[["2017",6,20]]}}}],"schema":"https://github.com/citation-style-language/schema/raw/master/csl-citation.json"}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8,19</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salinity</w:t>
      </w:r>
      <w:r>
        <w:rPr>
          <w:rFonts w:ascii="Calibri" w:hAnsi="Calibri" w:cs="Calibri"/>
          <w:vertAlign w:val="superscript"/>
          <w:lang w:val="en-US"/>
        </w:rPr>
        <w:t>5</w:t>
      </w:r>
      <w:r>
        <w:fldChar w:fldCharType="begin"/>
      </w:r>
      <w:r>
        <w:rPr>
          <w:rFonts w:ascii="Calibri" w:hAnsi="Calibri" w:cs="Calibri"/>
          <w:vertAlign w:val="superscript"/>
          <w:lang w:val="en-US"/>
        </w:rPr>
        <w:instrText>ADDIN EN.CITE &lt;EndNote&gt;&lt;Cite&gt;&lt;Author&gt;Melamed&lt;/Author&gt;&lt;Year&gt;2008&lt;/Year&gt;&lt;RecNum&gt;102&lt;/RecNum&gt;&lt;DisplayText&gt;&lt;style face="superscript"&gt;6&lt;/style&gt;&lt;/DisplayText&gt;&lt;record&gt;&lt;rec-number&gt;102&lt;/rec-number&gt;&lt;foreign-keys&gt;&lt;key app="EN" db-id="av52axsxop2fwbe0dpc5a0ak5rev99w02x2w" timestamp="1610323294"&gt;102&lt;/key&gt;&lt;/foreign-keys&gt;&lt;ref-type name="Journal Article"&gt;17&lt;/ref-type&gt;&lt;contributors&gt;&lt;authors&gt;&lt;author&gt;Melamed, D.&lt;/author&gt;&lt;author&gt;Pnueli, L.&lt;/author&gt;&lt;author&gt;Arava, Y.&lt;/author&gt;&lt;/authors&gt;&lt;/contributors&gt;&lt;auth-address&gt;Faculty of Biology, Technion-Israel Institute of Technology, Haifa 32000, Israel.&lt;/auth-address&gt;&lt;titles&gt;&lt;title&gt;Yeast translational response to high salinity: global analysis reveals regulation at multiple levels&lt;/title&gt;&lt;secondary-title&gt;Rna&lt;/secondary-title&gt;&lt;/titles&gt;&lt;periodical&gt;&lt;full-title&gt;Rna&lt;/full-title&gt;&lt;/periodical&gt;&lt;pages&gt;1337-51&lt;/pages&gt;&lt;volume&gt;14&lt;/volume&gt;&lt;number&gt;7&lt;/number&gt;&lt;edition&gt;2008/05/23&lt;/edition&gt;&lt;keywords&gt;&lt;keyword&gt;Gene Expression Profiling&lt;/keyword&gt;&lt;keyword&gt;*Gene Expression Regulation, Fungal&lt;/keyword&gt;&lt;keyword&gt;Genome, Fungal&lt;/keyword&gt;&lt;keyword&gt;Mitogen-Activated Protein Kinases/metabolism&lt;/keyword&gt;&lt;keyword&gt;Polyribosomes/metabolism&lt;/keyword&gt;&lt;keyword&gt;Protein Biosynthesis&lt;/keyword&gt;&lt;keyword&gt;Saccharomyces cerevisiae/*metabolism&lt;/keyword&gt;&lt;keyword&gt;Saccharomyces cerevisiae Proteins/metabolism&lt;/keyword&gt;&lt;keyword&gt;Salinity&lt;/keyword&gt;&lt;keyword&gt;Sodium Chloride/*metabolism&lt;/keyword&gt;&lt;keyword&gt;Up-Regulation&lt;/keyword&gt;&lt;/keywords&gt;&lt;dates&gt;&lt;year&gt;2008&lt;/year&gt;&lt;pub-dates&gt;&lt;date&gt;Jul&lt;/date&gt;&lt;/pub-dates&gt;&lt;/dates&gt;&lt;isbn&gt;1355-8382 (Print)&amp;#xD;1355-8382&lt;/isbn&gt;&lt;accession-num&gt;18495938&lt;/accession-num&gt;&lt;urls&gt;&lt;/urls&gt;&lt;custom2&gt;PMC2441982&lt;/custom2&gt;&lt;electronic-resource-num&gt;10.1261/rna.864908&lt;/electronic-resource-num&gt;&lt;remote-database-provider&gt;NLM&lt;/remote-database-provider&gt;&lt;language&gt;eng&lt;/language&gt;&lt;/record&gt;&lt;/Cite&gt;&lt;/EndNote&gt;</w:instrText>
      </w:r>
      <w:r w:rsidR="0021610B">
        <w:rPr>
          <w:rFonts w:ascii="Calibri" w:hAnsi="Calibri" w:cs="Calibri"/>
          <w:vertAlign w:val="superscript"/>
          <w:lang w:val="en-US"/>
        </w:rPr>
        <w:fldChar w:fldCharType="separate"/>
      </w:r>
      <w:r>
        <w:rPr>
          <w:rFonts w:ascii="Calibri" w:hAnsi="Calibri" w:cs="Calibri"/>
          <w:vertAlign w:val="superscript"/>
          <w:lang w:val="en-US"/>
        </w:rPr>
        <w:fldChar w:fldCharType="end"/>
      </w:r>
      <w:r>
        <w:rPr>
          <w:rFonts w:ascii="Calibri" w:hAnsi="Calibri" w:cs="Calibri"/>
          <w:lang w:val="en-US"/>
        </w:rPr>
        <w:t>, phosphate</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EN.CITE.DATA21</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sulfur</w:t>
      </w:r>
      <w:r>
        <w:fldChar w:fldCharType="begin"/>
      </w:r>
      <w:r>
        <w:rPr>
          <w:rFonts w:ascii="Calibri" w:hAnsi="Calibri" w:cs="Calibri"/>
          <w:lang w:val="en-US"/>
        </w:rPr>
        <w:instrText>ADDIN ZOTERO_ITEM CSL_CITATION {"citationID":"WIPLz32i","properties":{"formattedCitation":"\\super 20, 21\\nosupersub{}","plainCitation":"20, 21","dontUpdate":true,"noteIndex":0},"citationItems":[{"id":290,"uris":["http://zotero.org/users/6977825/items/7UCGU3EI"],"uri":["http://zotero.org/users/6977825/items/7UCGU3EI"],"itemData":{"id":290,"type":"article-journal","abstract":"Saccharomyces cerevisiae is known to grow with thiosulfate as a sulfur source, and it produces more ethanol when using thiosulfate than using sulfate. Here, we report how it assimilates thiosulfate. S. cerevisiae absorbed thiosulfate into the cell through two sulfate permeases, Sul1 and Sul2. Two rhodaneses, Rdl1 and Rdl2, converted thiosulfate to a persulfide and sulfite. The persulfide was reduced by cellular thiols to H(2)S, and sulfite was reduced by sulfite reductase to H(2)S. Cysteine synthase incorporated H(2)S into O-acetyl-l-homoserine to produce l-homocysteine, which is the precursor for cysteine and methionine in S. cerevisiae Several other rhodaneses replaced Rdl1 and Rdl2 for thiosulfate utilization in the yeast. Thus, any organisms with the sulfate assimilation system potentially could use thiosulfate as a sulfur source, since rhodaneses are common in most organisms.IMPORTANCE The complete pathway of thiosulfate assimilation in baker's yeast is determined. The finding reveals the extensive overlap between sulfate and thiosulfate assimilation. Rhodanese is the only additional enzyme for thiosulfate utilization. The common presence of rhodanese in most organisms, including Bacteria, Archaea, and Eukarya, suggests that most organisms with the sulfate assimilation system also use thiosulfate. Since it takes less energy to reduce thiosulfate than sulfate for assimilation, thiosulfate has the potential to become a choice of sulfur in optimized media for industrial fermentation.","archive_location":"30217845","container-title":"Applied and Environmental Microbiology","DOI":"10.1128/aem.01241-18","ISSN":"0099-2240 (Print) 0099-2240","issue":"22","language":"eng","note":"edition: 2018/09/16","source":"NLM","title":"The Complete Pathway for Thiosulfate Utilization in Saccharomyces cerevisiae","volume":"84","author":[{"family":"Chen","given":"Z."},{"family":"Zhang","given":"X."},{"family":"Li","given":"H."},{"family":"Liu","given":"H."},{"family":"Xia","given":"Y."},{"family":"Xun","given":"L."}],"issued":{"date-parts":[["2018",11,15]]}}},{"id":343,"uris":["http://zotero.org/users/6977825/items/KBPUZZSN"],"uri":["http://zotero.org/users/6977825/items/KBPUZZSN"],"itemData":{"id":343,"type":"article-journal","abstract":"The filamentous fungi Aspergillus nidulans and Neurospora crassa and the yeast Saccharomyces cerevisiae each possess a global regulatory circuit that controls the expression of permeases and enzymes that function both in the acquisition of sulfur from the environment and in its assimilation. Control of the structural genes that specify an array of enzymes that catalyze reactions of sulfur metabolism occurs at the transcriptional level and involves both positive-acting and negative-acting regulatory factors. Positive trans-acting regulatory proteins that contain a basic region, leucine zipper-DNA binding domain, are found in Neurospora and yeast. Each of these fungi contain a sulfur regulatory protein of the beta-transducin family that acts in a negative fashion to control gene expression. Sulfur regulation in yeast also involves the general DNA binding protein, centromere binding factor I. Sulfate uptake is a highly regulated step and appears to occur in fungi, plants, and mammals via a family of related transporter proteins. Recent developments have provided new insight into the nature and control of the enzymes ATP sulfurylase and APS kinase, which catalyze the early steps of sulfate assimilation, and of the Aspergillus enzyme, cysteine synthase, which produces cysteine from O-acetylserine.","archive_location":"9343344","container-title":"Annual Review of Microbiology","DOI":"10.1146/annurev.micro.51.1.73","ISSN":"0066-4227 (Print) 0066-4227","language":"eng","note":"edition: 1997/01/01","page":"73-96","source":"NLM","title":"Molecular genetics of sulfur assimilation in filamentous fungi and yeast","volume":"51","author":[{"family":"Marzluf","given":"G. A."}],"issued":{"date-parts":[["1997"]]}}}],"schema":"https://github.com/citation-style-language/schema/raw/master/csl-citation.json"}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20,21</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 and nitrogen</w:t>
      </w:r>
      <w:r>
        <w:fldChar w:fldCharType="begin"/>
      </w:r>
      <w:r>
        <w:rPr>
          <w:rFonts w:ascii="Calibri" w:hAnsi="Calibri" w:cs="Calibri"/>
          <w:lang w:val="en-US"/>
        </w:rPr>
        <w:instrText>ADDIN ZOTERO_ITEM CSL_CITATION {"citationID":"e9kRNT3g","properties":{"formattedCitation":"\\super 22, 23\\nosupersub{}","plainCitation":"22, 23","dontUpdate":true,"noteIndex":0},"citationItems":[{"id":355,"uris":["http://zotero.org/users/6977825/items/5DN63SGS"],"uri":["http://zotero.org/users/6977825/items/5DN63SGS"],"itemData":{"id":355,"type":"article-journal","abstract":"Cellular responses to changing environments frequently involve rapid reprogramming of the transcriptome. Regulated changes in mRNA degradation rates can accelerate reprogramming by clearing or stabilizing extant transcripts. Here, we measured mRNA stability using 4-thiouracil labeling in the budding yeast Saccharomyces cerevisiae during a nitrogen upshift and found that 78 mRNAs are subject to destabilization. These transcripts include Nitrogen Catabolite Repression (NCR) and carbon metabolism mRNAs, suggesting that mRNA destabilization is a mechanism for targeted reprogramming of the transcriptome. To explore the molecular basis of destabilization we implemented a SortSeq approach to screen the pooled deletion collection library for trans factors that mediate rapid GAP1 mRNA repression. We combined low-input multiplexed Barcode sequencing with branched-DNA single-molecule mRNA FISH and Fluorescence-activated cell sorting (BFF) to identify the Lsm1-7p/Pat1p complex and general mRNA decay machinery as important for GAP1 mRNA clearance. We also find that the decapping modulators EDC3 and SCD6, translation factor eIF4G2, and the 5' UTR of GAP1 are factors that mediate rapid repression of GAP1 mRNA, suggesting that translational control may impact the post-transcriptional fate of mRNAs in response to environmental changes.","archive_location":"29782489","container-title":"PLoS Genetics","DOI":"10.1371/journal.pgen.1007406","ISSN":"1553-7390 (Print) 1553-7390","issue":"5","language":"eng","note":"edition: 2018/05/22","page":"e1007406","source":"NLM","title":"Systematic identification of factors mediating accelerated mRNA degradation in response to changes in environmental nitrogen","volume":"14","author":[{"family":"Miller","given":"D."},{"family":"Brandt","given":"N."},{"family":"Gresham","given":"D."}],"issued":{"date-parts":[["2018",5]]}}},{"id":399,"uris":["http://zotero.org/users/6977825/items/7MTTSWXF"],"uri":["http://zotero.org/users/6977825/items/7MTTSWXF"],"itemData":{"id":399,"type":"article-journal","abstract":"Nitrogen is one of the most important essential nutrient sources for biogenic activities. Regulation of nitrogen metabolism in microorganisms is complicated and elaborate. For this review, the yeast Saccharomyces cerevisiae was chosen to demonstrate the regulatory mechanism of nitrogen metabolism because of its relative clear genetic background. Current opinions on the regulation processes of nitrogen metabolism in S. cerevisiae, including nitrogen sensing, transport, and catabolism, are systematically reviewed. Two major upstream signaling pathways, the Ssy1-Ptr3-Ssy5 sensor system and the target of rapamycin pathway, which are responsible for sensing extracellular and intracellular nitrogen, respectively, are discussed. The ubiquitination of nitrogen transporters, which is the most general and efficient means for controlling nitrogen transport, is also summarized. The following metabolic step, nitrogen catabolism, is demonstrated at two levels: the transcriptional regulation process related to GATA transcriptional factors and the translational regulation process related to the general amino acid control pathway. The interplay between nitrogen regulation and carbon regulation is also discussed. As a model system, understanding the meticulous process by which nitrogen metabolism is regulated in S. cerevisiae not only could facilitate research on global regulation mechanisms and yeast metabolic engineering but also could provide important insights and inspiration for future studies of other common microorganisms and higher eukaryotic cells.","archive_location":"29436478","container-title":"Microbiology and Molecular Biology Reviews","DOI":"10.1128/mmbr.00040-17","ISSN":"1092-2172 (Print) 1092-2172","issue":"1","language":"eng","note":"edition: 2018/02/14","source":"NLM","title":"Regulation of Sensing, Transportation, and Catabolism of Nitrogen Sources in Saccharomyces cerevisiae","volume":"82","author":[{"family":"Zhang","given":"W."},{"family":"Du","given":"G."},{"family":"Zhou","given":"J."},{"family":"Chen","given":"J."}],"issued":{"date-parts":[["2018",6]]}}}],"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22,23</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 levels. This research has widespread implications for the industrial uses of yeast, such as baking and fermentation</w:t>
      </w:r>
      <w:r>
        <w:fldChar w:fldCharType="begin"/>
      </w:r>
      <w:r>
        <w:rPr>
          <w:rFonts w:ascii="Calibri" w:hAnsi="Calibri" w:cs="Calibri"/>
          <w:lang w:val="en-US"/>
        </w:rPr>
        <w:instrText>ADDIN ZOTERO_ITEM CSL_CITATION {"citationID":"MmjXlimz","properties":{"formattedCitation":"\\super 24, 25\\nosupersub{}","plainCitation":"24, 25","dontUpdate":true,"noteIndex":0},"citationItems":[{"id":386,"uris":["http://zotero.org/users/6977825/items/WG3AW3XS"],"uri":["http://zotero.org/users/6977825/items/WG3AW3XS"],"itemData":{"id":386,"type":"article-journal","abstract":"The selection of Saccharomyces yeast which is able to produce high amounts of relevant aroma components from sorghum wort has been scarcely explored. Furthermore, generating sorghum beer with low levels of vicinal diketones (VDKs) is a permanent concern of brewers because of the wort's low amino acid content. To address these challenges, a performant Saccharomyces cerevisiae yeast was selected based on the higher alcohols and esters it synthesizes, and conditions influencing the young beer's VDK content were studied. Our results confirm that the low amino acid content limits aromagenesis by industrial ale yeast. By contrast, the selected yeast is able to efficiently produce higher alcohols and esters and is well adapted to tropical temperatures (27 °C). The young beer obtained from 13 °P sorghum wort using the isolated strain is characterized by a higher amount of aroma-active components such as isoamyl alcohol (116.25 ± 0.38 mg/L), isoamyl acetate (1.81 ± 0.02 mg/L) and ethyl acetate (22.07 ± 0.74 mg/L). The VDK content, however, is not only yeast strain dependent; it is strongly reduced by high fermentation temperature (27 °C) and increased wort gravity.","archive_location":"31202411","container-title":"Food Microbiology","DOI":"10.1016/j.fm.2019.05.014","ISSN":"0740-0020","language":"eng","note":"edition: 2019/06/17","page":"181-186","source":"NLM","title":"Selection of a new Saccharomyces yeast to enhance relevant sorghum beer aroma components, higher alcohols and esters","volume":"83","author":[{"family":"Tokpohozin","given":"S. E."},{"family":"Fischer","given":"S."},{"family":"Becker","given":"T."}],"issued":{"date-parts":[["2019",10]]}}},{"id":390,"uris":["http://zotero.org/users/6977825/items/YHHUNU33"],"uri":["http://zotero.org/users/6977825/items/YHHUNU33"],"itemData":{"id":390,"type":"article-journal","archive_location":"doi:10.3390/beverages2040030","container-title":"Beverages","ISSN":"2306-5710","issue":"4","page":"30","title":"Saccharomyces cerevisiae in the Production of Fermented Beverages","volume":"2","author":[{"family":"Walker","given":"Graeme M"},{"family":"Stewart","given":"Graham G"}],"issued":{"date-parts":[["2016"]]}}}],"schema":"https://github.com/citation-style-language/schema/raw/master/csl-citation.json"}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24,25</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Translational responses may also be instrumental in furthering understanding of diseases such as neurodegenerative disorders and heart disease, that are characterized by intracellular stresses like oxidative stress</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EN.CITE.DATA28-30</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Overall, the translational responses are integral to the gene expression control and facilitate rapid adaptation to a broad range of stress conditions in eukaryotic organisms.</w:t>
      </w:r>
    </w:p>
    <w:p w14:paraId="05BFEB72" w14:textId="77777777" w:rsidR="006B6616" w:rsidRDefault="006B6616">
      <w:pPr>
        <w:widowControl w:val="0"/>
        <w:tabs>
          <w:tab w:val="left" w:pos="270"/>
        </w:tabs>
        <w:jc w:val="both"/>
        <w:rPr>
          <w:rFonts w:ascii="Calibri" w:hAnsi="Calibri" w:cs="Calibri"/>
          <w:lang w:val="en-US"/>
        </w:rPr>
      </w:pPr>
    </w:p>
    <w:p w14:paraId="2EB8239F" w14:textId="77777777" w:rsidR="006B6616" w:rsidRDefault="00E473AD">
      <w:pPr>
        <w:widowControl w:val="0"/>
        <w:tabs>
          <w:tab w:val="left" w:pos="270"/>
        </w:tabs>
        <w:jc w:val="both"/>
        <w:rPr>
          <w:rFonts w:ascii="Calibri" w:hAnsi="Calibri" w:cs="Calibri"/>
        </w:rPr>
      </w:pPr>
      <w:proofErr w:type="gramStart"/>
      <w:r>
        <w:rPr>
          <w:rFonts w:ascii="Calibri" w:hAnsi="Calibri" w:cs="Calibri"/>
          <w:lang w:val="en-US"/>
        </w:rPr>
        <w:t>In order to</w:t>
      </w:r>
      <w:proofErr w:type="gramEnd"/>
      <w:r>
        <w:rPr>
          <w:rFonts w:ascii="Calibri" w:hAnsi="Calibri" w:cs="Calibri"/>
          <w:lang w:val="en-US"/>
        </w:rPr>
        <w:t xml:space="preserve"> study translational responses, methods are required that provide </w:t>
      </w:r>
      <w:r>
        <w:rPr>
          <w:rFonts w:ascii="Calibri" w:hAnsi="Calibri" w:cs="Calibri"/>
          <w:color w:val="000000"/>
          <w:lang w:val="en-US"/>
        </w:rPr>
        <w:t>minimally distorted</w:t>
      </w:r>
      <w:r>
        <w:rPr>
          <w:rFonts w:ascii="Calibri" w:hAnsi="Calibri" w:cs="Calibri"/>
          <w:lang w:val="en-US"/>
        </w:rPr>
        <w:t xml:space="preserve"> snapshots of the translation landscape. Polysome profiling is a classical approach used in the study of translation across mRNA, involving the separation of poly(</w:t>
      </w:r>
      <w:proofErr w:type="spellStart"/>
      <w:r>
        <w:rPr>
          <w:rFonts w:ascii="Calibri" w:hAnsi="Calibri" w:cs="Calibri"/>
          <w:lang w:val="en-US"/>
        </w:rPr>
        <w:t>ribo</w:t>
      </w:r>
      <w:proofErr w:type="spellEnd"/>
      <w:r>
        <w:rPr>
          <w:rFonts w:ascii="Calibri" w:hAnsi="Calibri" w:cs="Calibri"/>
          <w:lang w:val="en-US"/>
        </w:rPr>
        <w:t>)</w:t>
      </w:r>
      <w:proofErr w:type="spellStart"/>
      <w:r>
        <w:rPr>
          <w:rFonts w:ascii="Calibri" w:hAnsi="Calibri" w:cs="Calibri"/>
          <w:lang w:val="en-US"/>
        </w:rPr>
        <w:t>somal</w:t>
      </w:r>
      <w:proofErr w:type="spellEnd"/>
      <w:r>
        <w:rPr>
          <w:rFonts w:ascii="Calibri" w:hAnsi="Calibri" w:cs="Calibri"/>
          <w:lang w:val="en-US"/>
        </w:rPr>
        <w:t xml:space="preserve"> fractions of mRNA </w:t>
      </w:r>
      <w:r>
        <w:rPr>
          <w:rFonts w:ascii="Calibri" w:hAnsi="Calibri" w:cs="Calibri"/>
          <w:i/>
          <w:iCs/>
          <w:lang w:val="en-US"/>
        </w:rPr>
        <w:t>via</w:t>
      </w:r>
      <w:r>
        <w:rPr>
          <w:rFonts w:ascii="Calibri" w:hAnsi="Calibri" w:cs="Calibri"/>
          <w:lang w:val="en-US"/>
        </w:rPr>
        <w:t xml:space="preserve"> ultracentrifugation through sucrose gradients</w:t>
      </w:r>
      <w:r>
        <w:fldChar w:fldCharType="begin"/>
      </w:r>
      <w:r>
        <w:rPr>
          <w:rFonts w:ascii="Calibri" w:hAnsi="Calibri" w:cs="Calibri"/>
          <w:lang w:val="en-US"/>
        </w:rPr>
        <w:instrText>ADDIN ZOTERO_ITEM CSL_CITATION {"citationID":"f5kz7W4C","properties":{"formattedCitation":"\\super 26, 27\\nosupersub{}","plainCitation":"26, 27","dontUpdate":true,"noteIndex":0},"citationItems":[{"id":288,"uris":["http://zotero.org/users/6977825/items/4IXBHEV6"],"uri":["http://zotero.org/users/6977825/items/4IXBHEV6"],"itemData":{"id":288,"type":"article-journal","abstract":"During the past decade, there has been growing interest in the role of translational regulation of gene expression in many organisms. Polysome profiling has been developed to infer the translational status of a specific mRNA species or to analyze the translatome, i.e. the subset of mRNAs actively translated in a cell. Polysome profiling is especially suitable for emergent model organisms for which genomic data are limited. In this paper, we describe an optimized protocol for the purification of sea urchin polysomes and highlight the critical steps involved in polysome purification. We applied this protocol to obtain experimental results on translational regulation of mRNAs following fertilization. Our protocol should prove useful for integrating the study of the role of translational regulation in gene regulatory networks in any biological model. In addition, we demonstrate how to carry out high-throughput processing of polysome gradient fractions, for the simultaneous screening of multiple biological conditions and large-scale preparation of samples for next-generation sequencing.","archive_location":"28180329","container-title":"Nucleic Acids Research","DOI":"10.1093/nar/gkw907","ISSN":"0305-1048 (Print) 0305-1048","issue":"3","language":"eng","note":"edition: 2017/02/10","page":"e15","source":"NLM","title":"Analysis of translation using polysome profiling","volume":"45","author":[{"family":"Chassé","given":"H."},{"family":"Boulben","given":"S."},{"family":"Costache","given":"V."},{"family":"Cormier","given":"P."},{"family":"Morales","given":"J."}],"issued":{"date-parts":[["2017",2,17]]}}},{"id":329,"uris":["http://zotero.org/users/6977825/items/PNNUVLC3"],"uri":["http://zotero.org/users/6977825/items/PNNUVLC3"],"itemData":{"id":329,"type":"article-journal","abstract":"Recent advances in global translatome analysis technologies enable us to understand how translational regulation of gene expression modulates cellular functions. In this chapter, we present an integrated method to measure various aspects of translatome by polysome profiling and ribosome profiling using purified B cells. We standardized our protocols to directly compare the results from these two approaches. Parallel assessment of translatome with these two approaches can generate a comprehensive picture on how translational regulation determines protein output.","archive_location":"29224064","container-title":"Methods in Molecular Biology","DOI":"10.1007/978-1-4939-7514-3_1","ISSN":"1064-3745 (Print) 1064-3745","language":"eng","note":"edition: 2017/12/11","page":"1-18","source":"NLM","title":"An Integrated Polysome Profiling and Ribosome Profiling Method to Investigate In Vivo Translatome","volume":"1712","author":[{"family":"Jin","given":"H. Y."},{"family":"Xiao","given":"C."}],"issued":{"date-parts":[["2018"]]}}}],"schema":"https://github.com/citation-style-language/schema/raw/master/csl-citation.json"}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26,27</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 The approach may be used to explore levels of translation for individual mRNAs (with the </w:t>
      </w:r>
      <w:r>
        <w:rPr>
          <w:rFonts w:ascii="Calibri" w:hAnsi="Calibri" w:cs="Calibri"/>
          <w:color w:val="000000"/>
          <w:lang w:val="en-US"/>
        </w:rPr>
        <w:t>detection</w:t>
      </w:r>
      <w:r>
        <w:rPr>
          <w:rFonts w:ascii="Calibri" w:hAnsi="Calibri" w:cs="Calibri"/>
          <w:lang w:val="en-US"/>
        </w:rPr>
        <w:t xml:space="preserve"> methods such as reverse transcription and polymerase chain reaction, RT-PCR</w:t>
      </w:r>
      <w:r>
        <w:fldChar w:fldCharType="begin"/>
      </w:r>
      <w:r>
        <w:rPr>
          <w:rFonts w:ascii="Calibri" w:hAnsi="Calibri" w:cs="Calibri"/>
          <w:lang w:val="en-US"/>
        </w:rPr>
        <w:instrText>ADDIN EN.CITE &lt;EndNote&gt;&lt;Cite&gt;&lt;Author&gt;Chassé&lt;/Author&gt;&lt;Year&gt;2017&lt;/Year&gt;&lt;RecNum&gt;11&lt;/RecNum&gt;&lt;DisplayText&gt;&lt;style face="superscript"&gt;31&lt;/style&gt;&lt;/DisplayText&gt;&lt;record&gt;&lt;rec-number&gt;11&lt;/rec-number&gt;&lt;foreign-keys&gt;&lt;key app="EN" db-id="pax2w20wtrf02kez5zr5ssez02e2ds2d0ztz" timestamp="1614308930"&gt;11&lt;/key&gt;&lt;/foreign-keys&gt;&lt;ref-type name="Journal Article"&gt;17&lt;/ref-type&gt;&lt;contributors&gt;&lt;authors&gt;&lt;author&gt;Chassé, H.&lt;/author&gt;&lt;author&gt;Boulben, S.&lt;/author&gt;&lt;author&gt;Costache, V.&lt;/author&gt;&lt;author&gt;Cormier, P.&lt;/author&gt;&lt;author&gt;Morales, J.&lt;/author&gt;&lt;/authors&gt;&lt;/contributors&gt;&lt;auth-address&gt;CNRS, UMR 8227, Integrative Biology of Marine Models, Station Biologique de Roscoff, Roscoff cedex, France.&amp;#xD;Sorbonne Universités, UPMC Univ Paris 06, UMR 8227, Integrative Biology of Marine Models, Station Biologique de Roscoff, Roscoff cedex, France.&lt;/auth-address&gt;&lt;titles&gt;&lt;title&gt;Analysis of translation using polysome profiling&lt;/title&gt;&lt;secondary-title&gt;Nucleic Acids Res&lt;/secondary-title&gt;&lt;/titles&gt;&lt;periodical&gt;&lt;full-title&gt;Nucleic Acids Res&lt;/full-title&gt;&lt;/periodical&gt;&lt;pages&gt;e15&lt;/pages&gt;&lt;volume&gt;45&lt;/volume&gt;&lt;number&gt;3&lt;/number&gt;&lt;edition&gt;2017/02/10&lt;/edition&gt;&lt;keywords&gt;&lt;keyword&gt;Animals&lt;/keyword&gt;&lt;keyword&gt;Female&lt;/keyword&gt;&lt;keyword&gt;Fertilization/genetics&lt;/keyword&gt;&lt;keyword&gt;Gene Expression Profiling/*methods&lt;/keyword&gt;&lt;keyword&gt;High-Throughput Nucleotide Sequencing&lt;/keyword&gt;&lt;keyword&gt;Male&lt;/keyword&gt;&lt;keyword&gt;Paracentrotus/embryology/genetics/physiology&lt;/keyword&gt;&lt;keyword&gt;Polyribosomes/*genetics/*metabolism&lt;/keyword&gt;&lt;keyword&gt;*Protein Biosynthesis&lt;/keyword&gt;&lt;keyword&gt;RNA, Messenger/genetics/metabolism&lt;/keyword&gt;&lt;keyword&gt;Sequence Analysis, RNA&lt;/keyword&gt;&lt;/keywords&gt;&lt;dates&gt;&lt;year&gt;2017&lt;/year&gt;&lt;pub-dates&gt;&lt;date&gt;Feb 17&lt;/date&gt;&lt;/pub-dates&gt;&lt;/dates&gt;&lt;isbn&gt;0305-1048 (Print)&amp;#xD;0305-1048&lt;/isbn&gt;&lt;accession-num&gt;28180329&lt;/accession-num&gt;&lt;urls&gt;&lt;/urls&gt;&lt;custom2&gt;PMC5388431&lt;/custom2&gt;&lt;electronic-resource-num&gt;10.1093/nar/gkw907&lt;/electronic-resource-num&gt;&lt;remote-database-provider&gt;NLM&lt;/remote-database-provider&gt;&lt;language&gt;eng&lt;/language&gt;&lt;/record&gt;&lt;/Cite&gt;&lt;/EndNote&gt;</w:instrText>
      </w:r>
      <w:r>
        <w:rPr>
          <w:rFonts w:ascii="Calibri" w:hAnsi="Calibri" w:cs="Calibri"/>
          <w:lang w:val="en-US"/>
        </w:rPr>
        <w:fldChar w:fldCharType="separate"/>
      </w:r>
      <w:r>
        <w:rPr>
          <w:rFonts w:ascii="Calibri" w:hAnsi="Calibri" w:cs="Calibri"/>
          <w:vertAlign w:val="superscript"/>
          <w:lang w:val="en-US"/>
        </w:rPr>
        <w:t>2</w:t>
      </w:r>
      <w:r>
        <w:rPr>
          <w:rFonts w:ascii="Calibri" w:hAnsi="Calibri" w:cs="Calibri"/>
          <w:lang w:val="en-US"/>
        </w:rPr>
        <w:fldChar w:fldCharType="end"/>
      </w:r>
      <w:r>
        <w:rPr>
          <w:rFonts w:ascii="Calibri" w:hAnsi="Calibri" w:cs="Calibri"/>
          <w:vertAlign w:val="superscript"/>
          <w:lang w:val="en-US"/>
        </w:rPr>
        <w:t>6</w:t>
      </w:r>
      <w:r>
        <w:fldChar w:fldCharType="begin"/>
      </w:r>
      <w:r>
        <w:rPr>
          <w:rFonts w:ascii="Calibri" w:hAnsi="Calibri" w:cs="Calibri"/>
          <w:vertAlign w:val="superscript"/>
          <w:lang w:val="en-US"/>
        </w:rPr>
        <w:instrText>ADDIN EN.CITE &lt;EndNote&gt;&lt;Cite&gt;&lt;Author&gt;Chassé&lt;/Author&gt;&lt;Year&gt;2017&lt;/Year&gt;&lt;RecNum&gt;134&lt;/RecNum&gt;&lt;DisplayText&gt;&lt;style face="superscript"&gt;31&lt;/style&gt;&lt;/DisplayText&gt;&lt;record&gt;&lt;rec-number&gt;134&lt;/rec-number&gt;&lt;foreign-keys&gt;&lt;key app="EN" db-id="av52axsxop2fwbe0dpc5a0ak5rev99w02x2w" timestamp="1611306088"&gt;134&lt;/key&gt;&lt;/foreign-keys&gt;&lt;ref-type name="Journal Article"&gt;17&lt;/ref-type&gt;&lt;contributors&gt;&lt;authors&gt;&lt;author&gt;Chassé, H.&lt;/author&gt;&lt;author&gt;Boulben, S.&lt;/author&gt;&lt;author&gt;Costache, V.&lt;/author&gt;&lt;author&gt;Cormier, P.&lt;/author&gt;&lt;author&gt;Morales, J.&lt;/author&gt;&lt;/authors&gt;&lt;/contributors&gt;&lt;auth-address&gt;CNRS, UMR 8227, Integrative Biology of Marine Models, Station Biologique de Roscoff, Roscoff cedex, France.&amp;#xD;Sorbonne Universités, UPMC Univ Paris 06, UMR 8227, Integrative Biology of Marine Models, Station Biologique de Roscoff, Roscoff cedex, France.&lt;/auth-address&gt;&lt;titles&gt;&lt;title&gt;Analysis of translation using polysome profiling&lt;/title&gt;&lt;secondary-title&gt;Nucleic Acids Res&lt;/secondary-title&gt;&lt;/titles&gt;&lt;periodical&gt;&lt;full-title&gt;Nucleic Acids Res&lt;/full-title&gt;&lt;/periodical&gt;&lt;pages&gt;e15&lt;/pages&gt;&lt;volume&gt;45&lt;/volume&gt;&lt;number&gt;3&lt;/number&gt;&lt;edition&gt;2017/02/10&lt;/edition&gt;&lt;keywords&gt;&lt;keyword&gt;Animals&lt;/keyword&gt;&lt;keyword&gt;Female&lt;/keyword&gt;&lt;keyword&gt;Fertilization/genetics&lt;/keyword&gt;&lt;keyword&gt;Gene Expression Profiling/*methods&lt;/keyword&gt;&lt;keyword&gt;High-Throughput Nucleotide Sequencing&lt;/keyword&gt;&lt;keyword&gt;Male&lt;/keyword&gt;&lt;keyword&gt;Paracentrotus/embryology/genetics/physiology&lt;/keyword&gt;&lt;keyword&gt;Polyribosomes/*genetics/*metabolism&lt;/keyword&gt;&lt;keyword&gt;*Protein Biosynthesis&lt;/keyword&gt;&lt;keyword&gt;RNA, Messenger/genetics/metabolism&lt;/keyword&gt;&lt;keyword&gt;Sequence Analysis, RNA&lt;/keyword&gt;&lt;/keywords&gt;&lt;dates&gt;&lt;year&gt;2017&lt;/year&gt;&lt;pub-dates&gt;&lt;date&gt;Feb 17&lt;/date&gt;&lt;/pub-dates&gt;&lt;/dates&gt;&lt;isbn&gt;0305-1048 (Print)&amp;#xD;0305-1048&lt;/isbn&gt;&lt;accession-num&gt;28180329&lt;/accession-num&gt;&lt;urls&gt;&lt;/urls&gt;&lt;custom2&gt;PMC5388431&lt;/custom2&gt;&lt;electronic-resource-num&gt;10.1093/nar/gkw907&lt;/electronic-resource-num&gt;&lt;remote-database-provider&gt;NLM&lt;/remote-database-provider&gt;&lt;language&gt;eng&lt;/language&gt;&lt;/record&gt;&lt;/Cite&gt;&lt;/EndNote&gt;</w:instrText>
      </w:r>
      <w:r w:rsidR="0021610B">
        <w:rPr>
          <w:rFonts w:ascii="Calibri" w:hAnsi="Calibri" w:cs="Calibri"/>
          <w:vertAlign w:val="superscript"/>
          <w:lang w:val="en-US"/>
        </w:rPr>
        <w:fldChar w:fldCharType="separate"/>
      </w:r>
      <w:r>
        <w:rPr>
          <w:rFonts w:ascii="Calibri" w:hAnsi="Calibri" w:cs="Calibri"/>
          <w:vertAlign w:val="superscript"/>
          <w:lang w:val="en-US"/>
        </w:rPr>
        <w:fldChar w:fldCharType="end"/>
      </w:r>
      <w:r>
        <w:rPr>
          <w:rFonts w:ascii="Calibri" w:hAnsi="Calibri" w:cs="Calibri"/>
          <w:lang w:val="en-US"/>
        </w:rPr>
        <w:t>), or globally in conjunction with high-throughput techniques (microarray or RNA-seq</w:t>
      </w:r>
      <w:r>
        <w:fldChar w:fldCharType="begin"/>
      </w:r>
      <w:r>
        <w:rPr>
          <w:rFonts w:ascii="Calibri" w:hAnsi="Calibri" w:cs="Calibri"/>
          <w:lang w:val="en-US"/>
        </w:rPr>
        <w:instrText>ADDIN ZOTERO_ITEM CSL_CITATION {"citationID":"tCOjmmW5","properties":{"formattedCitation":"\\super 28, 29\\nosupersub{}","plainCitation":"28, 29","dontUpdate":true,"noteIndex":0},"citationItems":[{"id":272,"uris":["http://zotero.org/users/6977825/items/VX4WWCAW"],"uri":["http://zotero.org/users/6977825/items/VX4WWCAW"],"itemData":{"id":272,"type":"article-journal","abstract":"We have analyzed the translational status of each mRNA in rapidly growing Saccharomyces cerevisiae. mRNAs were separated by velocity sedimentation on a sucrose gradient, and 14 fractions across the gradient were analyzed by quantitative microarray analysis, providing a profile of ribosome association with mRNAs for thousands of genes. For most genes, the majority of mRNA molecules were associated with ribosomes and presumably engaged in translation. This systematic approach enabled us to recognize genes with unusual behavior. For 43 genes, most mRNA molecules were not associated with ribosomes, suggesting that they may be translationally controlled. For 53 genes, including GCN4, CPA1, and ICY2, three genes for which translational control is known to play a key role in regulation, most mRNA molecules were associated with a single ribosome. The number of ribosomes associated with mRNAs increased with increasing length of the putative protein-coding sequence, consistent with longer transit times for ribosomes translating longer coding sequences. The density at which ribosomes were distributed on each mRNA (i.e., the number of ribosomes per unit ORF length) was well below the maximum packing density for nearly all mRNAs, consistent with initiation as the rate-limiting step in translation. Global analysis revealed an unexpected correlation: Ribosome density decreases with increasing ORF length. Models to account for this surprising observation are discussed.","archive_location":"12660367","container-title":"Proceedings of the National Academy of Sciences of the United States of America","DOI":"10.1073/pnas.0635171100","ISSN":"0027-8424 (Print) 0027-8424","issue":"7","language":"eng","note":"edition: 2003/03/28","page":"3889-94","source":"NLM","title":"Genome-wide analysis of mRNA translation profiles in Saccharomyces cerevisiae","volume":"100","author":[{"family":"Arava","given":"Y."},{"family":"Wang","given":"Y."},{"family":"Storey","given":"J. D."},{"family":"Liu","given":"C. L."},{"family":"Brown","given":"P. O."},{"family":"Herschlag","given":"D."}],"issued":{"date-parts":[["2003",4,1]]}}},{"id":332,"uris":["http://zotero.org/users/6977825/items/MGWEFWVU"],"uri":["http://zotero.org/users/6977825/items/MGWEFWVU"],"itemData":{"id":332,"type":"article-journal","abstract":"Gene expression is controlled at multiple layers, and cells may integrate different regulatory steps for coherent production of proper protein levels. We applied various microarray-based approaches to determine key gene-expression intermediates in exponentially growing fission yeast, providing genome-wide data for translational profiles, mRNA steady-state levels, polyadenylation profiles, start-codon sequence context, mRNA half-lives, and RNA polymerase II occupancy. We uncovered widespread and unexpected relationships between distinct aspects of gene expression. Translation and polyadenylation are aligned on a global scale with both the lengths and levels of mRNAs: efficiently translated mRNAs have longer poly(A) tails and are shorter, more stable, and more efficiently transcribed on average. Transcription and translation may be independently but congruently optimized to streamline protein production. These rich data sets, all acquired under a standardized condition, reveal a substantial coordination between regulatory layers and provide a basis for a systems-level understanding of multilayered gene-expression programs.","archive_location":"17434133","container-title":"Molecular Cell","DOI":"10.1016/j.molcel.2007.03.002","ISSN":"1097-2765 (Print) 1097-2765","issue":"1","language":"eng","note":"edition: 2007/04/17","page":"145-55","source":"NLM","title":"A network of multiple regulatory layers shapes gene expression in fission yeast","volume":"26","author":[{"family":"Lackner","given":"D. H."},{"family":"Beilharz","given":"T. H."},{"family":"Marguerat","given":"S."},{"family":"Mata","given":"J."},{"family":"Watt","given":"S."},{"family":"Schubert","given":"F."},{"family":"Preiss","given":"T."},{"family":"Bähler","given":"J."}],"issued":{"date-parts":[["2007",4,13]]}}}],"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28,29</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 </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A more evolved approach is ribosome profiling, that allows the study of positions of elongating ribosomes along an mRNA molecule at a genome-wide scale, as well as the inference of </w:t>
      </w:r>
      <w:r>
        <w:rPr>
          <w:rFonts w:ascii="Calibri" w:hAnsi="Calibri" w:cs="Calibri"/>
          <w:color w:val="000000"/>
          <w:lang w:val="en-US"/>
        </w:rPr>
        <w:t>efficiency</w:t>
      </w:r>
      <w:r>
        <w:rPr>
          <w:rFonts w:ascii="Calibri" w:hAnsi="Calibri" w:cs="Calibri"/>
          <w:lang w:val="en-US"/>
        </w:rPr>
        <w:t xml:space="preserve"> of translation across transcriptome and utilization of the main and alternative start sites</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EN.CITE.DATA35-38</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 </w:t>
      </w:r>
      <w:r>
        <w:rPr>
          <w:rFonts w:ascii="Calibri" w:hAnsi="Calibri" w:cs="Calibri"/>
          <w:color w:val="000000"/>
          <w:lang w:val="en-US"/>
        </w:rPr>
        <w:t>Ribosome profiling</w:t>
      </w:r>
      <w:r>
        <w:rPr>
          <w:rFonts w:ascii="Calibri" w:hAnsi="Calibri" w:cs="Calibri"/>
          <w:lang w:val="en-US"/>
        </w:rPr>
        <w:t xml:space="preserve"> involves the isolation and sequencing of mRNA fragments protected by ribosomal presence over them</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EN.CITE.DATA32</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Ribosome profiling has provided considerable insight into translation dynamics across a number of conditions, including hypoxic stress</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EN.CITE.DATA39</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heat shock and oxidative stress</w:t>
      </w:r>
      <w:r>
        <w:fldChar w:fldCharType="begin"/>
      </w:r>
      <w:r>
        <w:rPr>
          <w:rFonts w:ascii="Calibri" w:hAnsi="Calibri" w:cs="Calibri"/>
          <w:lang w:val="en-US"/>
        </w:rPr>
        <w:instrText>ADDIN EN.CITE &lt;EndNote&gt;&lt;Cite&gt;&lt;Author&gt;Gerashchenko&lt;/Author&gt;&lt;Year&gt;2012&lt;/Year&gt;&lt;RecNum&gt;21&lt;/RecNum&gt;&lt;DisplayText&gt;&lt;style face="superscript"&gt;40&lt;/style&gt;&lt;/DisplayText&gt;&lt;record&gt;&lt;rec-number&gt;21&lt;/rec-number&gt;&lt;foreign-keys&gt;&lt;key app="EN" db-id="pax2w20wtrf02kez5zr5ssez02e2ds2d0ztz" timestamp="1614308930"&gt;21&lt;/key&gt;&lt;/foreign-keys&gt;&lt;ref-type name="Journal Article"&gt;17&lt;/ref-type&gt;&lt;contributors&gt;&lt;authors&gt;&lt;author&gt;Gerashchenko, M. V.&lt;/author&gt;&lt;author&gt;Lobanov, A. V.&lt;/author&gt;&lt;author&gt;Gladyshev, V. N.&lt;/author&gt;&lt;/authors&gt;&lt;/contributors&gt;&lt;auth-address&gt;Division of Genetics, Department of Medicine, Brigham and Women&amp;apos;s Hospital and Harvard Medical School, Boston, MA 02115, USA.&lt;/auth-address&gt;&lt;titles&gt;&lt;title&gt;Genome-wide ribosome profiling reveals complex translational regulation in response to oxidative stress&lt;/title&gt;&lt;secondary-title&gt;Proc Natl Acad Sci U S A&lt;/secondary-title&gt;&lt;/titles&gt;&lt;periodical&gt;&lt;full-title&gt;Proc Natl Acad Sci U S A&lt;/full-title&gt;&lt;/periodical&gt;&lt;pages&gt;17394-9&lt;/pages&gt;&lt;volume&gt;109&lt;/volume&gt;&lt;number&gt;43&lt;/number&gt;&lt;edition&gt;2012/10/10&lt;/edition&gt;&lt;keywords&gt;&lt;keyword&gt;Codon, Initiator&lt;/keyword&gt;&lt;keyword&gt;Codon, Terminator&lt;/keyword&gt;&lt;keyword&gt;*Genome, Fungal&lt;/keyword&gt;&lt;keyword&gt;Hydrogen Peroxide/pharmacology&lt;/keyword&gt;&lt;keyword&gt;Open Reading Frames&lt;/keyword&gt;&lt;keyword&gt;*Oxidative Stress&lt;/keyword&gt;&lt;keyword&gt;*Protein Biosynthesis&lt;/keyword&gt;&lt;keyword&gt;*Ribosomes&lt;/keyword&gt;&lt;keyword&gt;Saccharomyces cerevisiae/drug effects&lt;/keyword&gt;&lt;keyword&gt;Transcription, Genetic&lt;/keyword&gt;&lt;/keywords&gt;&lt;dates&gt;&lt;year&gt;2012&lt;/year&gt;&lt;pub-dates&gt;&lt;date&gt;Oct 23&lt;/date&gt;&lt;/pub-dates&gt;&lt;/dates&gt;&lt;isbn&gt;0027-8424 (Print)&amp;#xD;0027-8424&lt;/isbn&gt;&lt;accession-num&gt;23045643&lt;/accession-num&gt;&lt;urls&gt;&lt;/urls&gt;&lt;custom2&gt;PMC3491468&lt;/custom2&gt;&lt;electronic-resource-num&gt;10.1073/pnas.1120799109&lt;/electronic-resource-num&gt;&lt;remote-database-provider&gt;NLM&lt;/remote-database-provider&gt;&lt;language&gt;eng&lt;/language&gt;&lt;/record&gt;&lt;/Cite&gt;&lt;/EndNote&gt;</w:instrText>
      </w:r>
      <w:r>
        <w:rPr>
          <w:rFonts w:ascii="Calibri" w:hAnsi="Calibri" w:cs="Calibri"/>
          <w:lang w:val="en-US"/>
        </w:rPr>
        <w:fldChar w:fldCharType="separate"/>
      </w:r>
      <w:r>
        <w:rPr>
          <w:rFonts w:ascii="Calibri" w:hAnsi="Calibri" w:cs="Calibri"/>
          <w:vertAlign w:val="superscript"/>
          <w:lang w:val="en-US"/>
        </w:rPr>
        <w:t>30</w:t>
      </w:r>
      <w:r>
        <w:rPr>
          <w:rFonts w:ascii="Calibri" w:hAnsi="Calibri" w:cs="Calibri"/>
          <w:lang w:val="en-US"/>
        </w:rPr>
        <w:fldChar w:fldCharType="end"/>
      </w:r>
      <w:r>
        <w:fldChar w:fldCharType="begin"/>
      </w:r>
      <w:r>
        <w:rPr>
          <w:rFonts w:ascii="Calibri" w:hAnsi="Calibri" w:cs="Calibri"/>
          <w:lang w:val="en-US"/>
        </w:rPr>
        <w:instrText>ADDIN EN.CITE &lt;EndNote&gt;&lt;Cite&gt;&lt;Author&gt;Gerashchenko&lt;/Author&gt;&lt;Year&gt;2012&lt;/Year&gt;&lt;RecNum&gt;93&lt;/RecNum&gt;&lt;DisplayText&gt;&lt;style face="superscript"&gt;40&lt;/style&gt;&lt;/DisplayText&gt;&lt;record&gt;&lt;rec-number&gt;93&lt;/rec-number&gt;&lt;foreign-keys&gt;&lt;key app="EN" db-id="av52axsxop2fwbe0dpc5a0ak5rev99w02x2w" timestamp="1607986726"&gt;93&lt;/key&gt;&lt;/foreign-keys&gt;&lt;ref-type name="Journal Article"&gt;17&lt;/ref-type&gt;&lt;contributors&gt;&lt;authors&gt;&lt;author&gt;Gerashchenko, M. V.&lt;/author&gt;&lt;author&gt;Lobanov, A. V.&lt;/author&gt;&lt;author&gt;Gladyshev, V. N.&lt;/author&gt;&lt;/authors&gt;&lt;/contributors&gt;&lt;auth-address&gt;Division of Genetics, Department of Medicine, Brigham and Women&amp;apos;s Hospital and Harvard Medical School, Boston, MA 02115, USA.&lt;/auth-address&gt;&lt;titles&gt;&lt;title&gt;Genome-wide ribosome profiling reveals complex translational regulation in response to oxidative stress&lt;/title&gt;&lt;secondary-title&gt;Proc Natl Acad Sci U S A&lt;/secondary-title&gt;&lt;/titles&gt;&lt;periodical&gt;&lt;full-title&gt;Proc Natl Acad Sci U S A&lt;/full-title&gt;&lt;/periodical&gt;&lt;pages&gt;17394-9&lt;/pages&gt;&lt;volume&gt;109&lt;/volume&gt;&lt;number&gt;43&lt;/number&gt;&lt;edition&gt;2012/10/10&lt;/edition&gt;&lt;keywords&gt;&lt;keyword&gt;Codon, Initiator&lt;/keyword&gt;&lt;keyword&gt;Codon, Terminator&lt;/keyword&gt;&lt;keyword&gt;*Genome, Fungal&lt;/keyword&gt;&lt;keyword&gt;Hydrogen Peroxide/pharmacology&lt;/keyword&gt;&lt;keyword&gt;Open Reading Frames&lt;/keyword&gt;&lt;keyword&gt;*Oxidative Stress&lt;/keyword&gt;&lt;keyword&gt;*Protein Biosynthesis&lt;/keyword&gt;&lt;keyword&gt;*Ribosomes&lt;/keyword&gt;&lt;keyword&gt;Saccharomyces cerevisiae/drug effects&lt;/keyword&gt;&lt;keyword&gt;Transcription, Genetic&lt;/keyword&gt;&lt;/keywords&gt;&lt;dates&gt;&lt;year&gt;2012&lt;/year&gt;&lt;pub-dates&gt;&lt;date&gt;Oct 23&lt;/date&gt;&lt;/pub-dates&gt;&lt;/dates&gt;&lt;isbn&gt;0027-8424 (Print)&amp;#xD;0027-8424&lt;/isbn&gt;&lt;accession-num&gt;23045643&lt;/accession-num&gt;&lt;urls&gt;&lt;/urls&gt;&lt;custom2&gt;PMC3491468&lt;/custom2&gt;&lt;electronic-resource-num&gt;10.1073/pnas.1120799109&lt;/electronic-resource-num&gt;&lt;remote-database-provider&gt;NLM&lt;/remote-database-provider&gt;&lt;language&gt;eng&lt;/language&gt;&lt;/record&gt;&lt;/Cite&gt;&lt;/EndNote&gt;This breaks the order of citations. 31 was the last one, please check.Reply to Vineeta Bajaj (22/11/2021, 15:50): "..."We have checked and if necessary, corrected.</w:instrText>
      </w:r>
      <w:r w:rsidR="0021610B">
        <w:rPr>
          <w:rFonts w:ascii="Calibri" w:hAnsi="Calibri"/>
        </w:rPr>
        <w:fldChar w:fldCharType="separate"/>
      </w:r>
      <w:r>
        <w:rPr>
          <w:rFonts w:ascii="Calibri" w:hAnsi="Calibri"/>
        </w:rPr>
        <w:fldChar w:fldCharType="end"/>
      </w:r>
      <w:r>
        <w:rPr>
          <w:rFonts w:ascii="Calibri" w:hAnsi="Calibri" w:cs="Calibri"/>
          <w:lang w:val="en-US"/>
        </w:rPr>
        <w:t xml:space="preserve">. The technique has been </w:t>
      </w:r>
      <w:r>
        <w:rPr>
          <w:rFonts w:ascii="Calibri" w:hAnsi="Calibri" w:cs="Calibri"/>
          <w:color w:val="000000"/>
          <w:lang w:val="en-US"/>
        </w:rPr>
        <w:t>adapted to multiple source material types, including</w:t>
      </w:r>
      <w:r>
        <w:rPr>
          <w:rFonts w:ascii="Calibri" w:hAnsi="Calibri" w:cs="Calibri"/>
          <w:lang w:val="en-US"/>
        </w:rPr>
        <w:t xml:space="preserve"> yeast and mammalian cells</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EN.CITE.DATA35-39</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w:t>
      </w:r>
    </w:p>
    <w:p w14:paraId="3D576D91" w14:textId="77777777" w:rsidR="006B6616" w:rsidRDefault="006B6616">
      <w:pPr>
        <w:widowControl w:val="0"/>
        <w:tabs>
          <w:tab w:val="left" w:pos="270"/>
        </w:tabs>
        <w:jc w:val="both"/>
        <w:rPr>
          <w:rFonts w:ascii="Calibri" w:hAnsi="Calibri" w:cs="Calibri"/>
          <w:lang w:val="en-US"/>
        </w:rPr>
      </w:pPr>
    </w:p>
    <w:p w14:paraId="5E132472" w14:textId="77777777" w:rsidR="006B6616" w:rsidRDefault="00E473AD">
      <w:pPr>
        <w:widowControl w:val="0"/>
        <w:tabs>
          <w:tab w:val="left" w:pos="270"/>
        </w:tabs>
        <w:jc w:val="both"/>
        <w:rPr>
          <w:rFonts w:ascii="Calibri" w:hAnsi="Calibri" w:cs="Calibri"/>
        </w:rPr>
      </w:pPr>
      <w:r>
        <w:rPr>
          <w:rFonts w:ascii="Calibri" w:hAnsi="Calibri" w:cs="Calibri"/>
          <w:lang w:val="en-US"/>
        </w:rPr>
        <w:t xml:space="preserve">While polysome and ribosome profiling have been fundamental in extending translational research, the process of translation is accompanied by various translation intermediates and complexes that are </w:t>
      </w:r>
      <w:r>
        <w:rPr>
          <w:rFonts w:ascii="Calibri" w:hAnsi="Calibri" w:cs="Calibri"/>
          <w:color w:val="000000"/>
          <w:lang w:val="en-US"/>
        </w:rPr>
        <w:t>difficult</w:t>
      </w:r>
      <w:r>
        <w:rPr>
          <w:rFonts w:ascii="Calibri" w:hAnsi="Calibri" w:cs="Calibri"/>
          <w:lang w:val="en-US"/>
        </w:rPr>
        <w:t xml:space="preserve"> </w:t>
      </w:r>
      <w:r>
        <w:rPr>
          <w:rFonts w:ascii="Calibri" w:hAnsi="Calibri" w:cs="Calibri"/>
          <w:color w:val="000000"/>
          <w:lang w:val="en-US"/>
        </w:rPr>
        <w:t>to capture with these methods</w:t>
      </w:r>
      <w:r>
        <w:fldChar w:fldCharType="begin"/>
      </w:r>
      <w:r>
        <w:rPr>
          <w:rFonts w:ascii="Calibri" w:hAnsi="Calibri" w:cs="Calibri"/>
          <w:color w:val="000000"/>
          <w:lang w:val="en-US"/>
        </w:rPr>
        <w:instrText>ADDIN ZOTERO_ITEM CSL_CITATION {"citationID":"lf2Obdn9","properties":{"formattedCitation":"\\super 11, 12\\nosupersub{}","plainCitation":"11, 12","dontUpdate":true,"noteIndex":0},"citationItems":[{"id":309,"uris":["http://zotero.org/users/6977825/items/BAXLMVQL"],"uri":["http://zotero.org/users/6977825/items/BAXLMVQL"],"itemData":{"id":309,"type":"article-journal","abstract":"The eukaryotic 5' untranslated region (UTR) is critical for ribosome recruitment to the messenger RNA (mRNA) and start codon choice and plays a major role in the control of translation efficiency and shaping the cellular proteome. The ribosomal initiation complex is assembled on the mRNA via a cap-dependent or cap-independent mechanism. We describe various mechanisms controlling ribosome scanning and initiation codon selection by 5' upstream open reading frames, translation initiation factors, and primary and secondary structures of the 5'UTR, including particular sequence motifs. We also discuss translational control via phosphorylation of eukaryotic initiation factor 2, which is implicated in learning and memory, neurodegenerative diseases, and cancer.","archive_location":"27313038","container-title":"Science","DOI":"10.1126/science.aad9868","ISSN":"0036-8075 (Print) 0036-8075","issue":"6292","language":"eng","note":"edition: 2016/06/18","page":"1413-6","source":"NLM","title":"Translational control by 5'-untranslated regions of eukaryotic mRNAs","volume":"352","author":[{"family":"Hinnebusch","given":"A. G."},{"family":"Ivanov","given":"I. P."},{"family":"Sonenberg","given":"N."}],"issued":{"date-parts":[["2016",6,17]]}}},{"id":376,"uris":["http://zotero.org/users/6977825/items/H9FZNY4L"],"uri":["http://zotero.org/users/6977825/items/H9FZNY4L"],"itemData":{"id":376,"type":"article-journal","abstract":"Gene expression universally relies on protein synthesis, where ribosomes recognize and decode the messenger RNA template by cycling through translation initiation, elongation, and termination phases. All aspects of translation have been studied for decades using the tools of biochemistry and molecular biology available at the time. Here, we focus on the mechanism of translation initiation in eukaryotes, which is remarkably more complex than prokaryotic initiation and is the target of multiple types of regulatory intervention. The \"consensus\" model, featuring cap-dependent ribosome entry and scanning of mRNA leader sequences, represents the predominantly utilized initiation pathway across eukaryotes, although several variations of the model and alternative initiation mechanisms are also known. Recent advances in structural biology techniques have enabled remarkable molecular-level insights into the functional states of eukaryotic ribosomes, including a range of ribosomal complexes with different combinations of translation initiation factors that are thought to represent bona fide intermediates of the initiation process. Similarly, high-throughput sequencing-based ribosome profiling or \"footprinting\" approaches have allowed much progress in understanding the elongation phase of translation, and variants of them are beginning to reveal the remaining mysteries of initiation, as well as aspects of translation termination and ribosomal recycling. A current view on the eukaryotic initiation mechanism is presented here with an emphasis on how recent structural and footprinting results underpin axioms of the consensus model. Along the way, we further outline some contested mechanistic issues and major open questions still to be addressed. This article is categorized under: Translation &gt; Translation Mechanisms Translation &gt; Translation Regulation RNA Interactions with Proteins and Other Molecules &gt; Protein-RNA Interactions: Functional Implications.","archive_location":"29624880","container-title":"Wiley Interdisciplinary Reviews RNA","DOI":"10.1002/wrna.1473","ISSN":"1757-7004","issue":"4","language":"eng","note":"edition: 2018/04/07","page":"e1473","source":"NLM","title":"Translation initiation by cap-dependent ribosome recruitment: Recent insights and open questions","volume":"9","author":[{"family":"Shirokikh","given":"N. E."},{"family":"Preiss","given":"T."}],"issued":{"date-parts":[["2018",7]]}}}],"schema":"https://github.com/citation-style-language/schema/raw/master/csl-citation.json"}</w:instrText>
      </w:r>
      <w:r>
        <w:rPr>
          <w:rFonts w:ascii="Calibri" w:hAnsi="Calibri" w:cs="Calibri"/>
          <w:color w:val="000000"/>
          <w:lang w:val="en-US"/>
        </w:rPr>
        <w:fldChar w:fldCharType="separate"/>
      </w:r>
      <w:r>
        <w:rPr>
          <w:rFonts w:ascii="Calibri" w:hAnsi="Calibri" w:cs="Calibri"/>
          <w:vertAlign w:val="superscript"/>
          <w:lang w:val="en-US"/>
        </w:rPr>
        <w:t>11,13</w:t>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rPr>
          <w:rFonts w:ascii="Calibri" w:hAnsi="Calibri" w:cs="Calibri"/>
          <w:lang w:val="en-US"/>
        </w:rPr>
        <w:t xml:space="preserve">. </w:t>
      </w:r>
      <w:r>
        <w:rPr>
          <w:rFonts w:ascii="Calibri" w:hAnsi="Calibri" w:cs="Calibri"/>
          <w:color w:val="000000"/>
          <w:lang w:val="en-US"/>
        </w:rPr>
        <w:t xml:space="preserve">An additional limitation stems from the </w:t>
      </w:r>
      <w:r>
        <w:rPr>
          <w:rFonts w:ascii="Calibri" w:hAnsi="Calibri" w:cs="Calibri"/>
          <w:lang w:val="en-US"/>
        </w:rPr>
        <w:t xml:space="preserve">lack of ability to study rapid response types, as translational complexes are either stabilized </w:t>
      </w:r>
      <w:r>
        <w:rPr>
          <w:rFonts w:ascii="Calibri" w:hAnsi="Calibri" w:cs="Calibri"/>
          <w:i/>
          <w:iCs/>
          <w:lang w:val="en-US"/>
        </w:rPr>
        <w:t>in vivo</w:t>
      </w:r>
      <w:r>
        <w:rPr>
          <w:rFonts w:ascii="Calibri" w:hAnsi="Calibri" w:cs="Calibri"/>
          <w:lang w:val="en-US"/>
        </w:rPr>
        <w:t xml:space="preserve"> by the addition of specific translation inhibitors (antibiotics), leading to </w:t>
      </w:r>
      <w:r>
        <w:rPr>
          <w:rFonts w:ascii="Calibri" w:hAnsi="Calibri" w:cs="Calibri"/>
          <w:color w:val="000000"/>
          <w:lang w:val="en-US"/>
        </w:rPr>
        <w:t>certain</w:t>
      </w:r>
      <w:r>
        <w:rPr>
          <w:rFonts w:ascii="Calibri" w:hAnsi="Calibri" w:cs="Calibri"/>
          <w:lang w:val="en-US"/>
        </w:rPr>
        <w:t xml:space="preserve"> </w:t>
      </w:r>
      <w:r>
        <w:rPr>
          <w:rFonts w:ascii="Calibri" w:hAnsi="Calibri" w:cs="Calibri"/>
          <w:color w:val="000000"/>
          <w:lang w:val="en-US"/>
        </w:rPr>
        <w:t>ribosome</w:t>
      </w:r>
      <w:r>
        <w:rPr>
          <w:rFonts w:ascii="Calibri" w:hAnsi="Calibri" w:cs="Calibri"/>
          <w:lang w:val="en-US"/>
        </w:rPr>
        <w:t xml:space="preserve"> distribution artifacts, or </w:t>
      </w:r>
      <w:r>
        <w:rPr>
          <w:rFonts w:ascii="Calibri" w:hAnsi="Calibri" w:cs="Calibri"/>
          <w:i/>
          <w:iCs/>
          <w:lang w:val="en-US"/>
        </w:rPr>
        <w:t>ex vivo</w:t>
      </w:r>
      <w:r>
        <w:rPr>
          <w:rFonts w:ascii="Calibri" w:hAnsi="Calibri" w:cs="Calibri"/>
          <w:lang w:val="en-US"/>
        </w:rPr>
        <w:t xml:space="preserve"> upon cell lysis specifically (antibiotics) or </w:t>
      </w:r>
      <w:proofErr w:type="spellStart"/>
      <w:r>
        <w:rPr>
          <w:rFonts w:ascii="Calibri" w:hAnsi="Calibri" w:cs="Calibri"/>
          <w:lang w:val="en-US"/>
        </w:rPr>
        <w:t>unspecifically</w:t>
      </w:r>
      <w:proofErr w:type="spellEnd"/>
      <w:r>
        <w:rPr>
          <w:rFonts w:ascii="Calibri" w:hAnsi="Calibri" w:cs="Calibri"/>
          <w:lang w:val="en-US"/>
        </w:rPr>
        <w:t xml:space="preserve"> (high salt or magnesium ions), leading to the deprivation of the shorter-lived or less stable intermediates</w:t>
      </w:r>
      <w:r>
        <w:rPr>
          <w:rFonts w:ascii="Calibri" w:hAnsi="Calibri" w:cs="Calibri"/>
          <w:vertAlign w:val="superscript"/>
          <w:lang w:val="en-US"/>
        </w:rPr>
        <w:t>31-33</w:t>
      </w:r>
      <w:r>
        <w:fldChar w:fldCharType="begin"/>
      </w:r>
      <w:r>
        <w:rPr>
          <w:rFonts w:ascii="Calibri" w:hAnsi="Calibri" w:cs="Calibri"/>
          <w:vertAlign w:val="superscript"/>
          <w:lang w:val="en-US"/>
        </w:rPr>
        <w:instrText>ADDIN EN.CITE</w:instrText>
      </w:r>
      <w:r>
        <w:rPr>
          <w:rFonts w:ascii="Calibri" w:hAnsi="Calibri" w:cs="Calibri"/>
          <w:vertAlign w:val="superscript"/>
          <w:lang w:val="en-US"/>
        </w:rPr>
        <w:fldChar w:fldCharType="separate"/>
      </w:r>
      <w:r>
        <w:fldChar w:fldCharType="begin"/>
      </w:r>
      <w:r>
        <w:rPr>
          <w:rFonts w:ascii="Calibri" w:hAnsi="Calibri" w:cs="Calibri"/>
          <w:vertAlign w:val="superscript"/>
          <w:lang w:val="en-US"/>
        </w:rPr>
        <w:instrText>ADDIN EN.CITE.DATA41-46</w:instrText>
      </w:r>
      <w:r w:rsidR="0021610B">
        <w:rPr>
          <w:rFonts w:ascii="Calibri" w:hAnsi="Calibri" w:cs="Calibri"/>
          <w:vertAlign w:val="superscript"/>
          <w:lang w:val="en-US"/>
        </w:rPr>
        <w:fldChar w:fldCharType="separate"/>
      </w:r>
      <w:r>
        <w:rPr>
          <w:rFonts w:ascii="Calibri" w:hAnsi="Calibri" w:cs="Calibri"/>
          <w:vertAlign w:val="superscript"/>
          <w:lang w:val="en-US"/>
        </w:rPr>
        <w:fldChar w:fldCharType="end"/>
      </w:r>
      <w:r>
        <w:rPr>
          <w:rFonts w:ascii="Calibri" w:hAnsi="Calibri" w:cs="Calibri"/>
          <w:vertAlign w:val="superscript"/>
          <w:lang w:val="en-US"/>
        </w:rPr>
        <w:fldChar w:fldCharType="end"/>
      </w:r>
      <w:r>
        <w:fldChar w:fldCharType="begin"/>
      </w:r>
      <w:r>
        <w:rPr>
          <w:rFonts w:ascii="Calibri" w:hAnsi="Calibri" w:cs="Calibri"/>
          <w:vertAlign w:val="superscript"/>
          <w:lang w:val="en-US"/>
        </w:rPr>
        <w:instrText>ADDIN EN.CITE &lt;EndNote&gt;&lt;Cite&gt;&lt;Author&gt;Brar&lt;/Author&gt;&lt;Year&gt;2015&lt;/Year&gt;&lt;RecNum&gt;104&lt;/RecNum&gt;&lt;DisplayText&gt;&lt;style face="superscript"&gt;41&lt;/style&gt;&lt;/DisplayText&gt;&lt;record&gt;&lt;rec-number&gt;104&lt;/rec-number&gt;&lt;foreign-keys&gt;&lt;key app="EN" db-id="av52axsxop2fwbe0dpc5a0ak5rev99w02x2w" timestamp="1610411619"&gt;104&lt;/key&gt;&lt;/foreign-keys&gt;&lt;ref-type name="Journal Article"&gt;17&lt;/ref-type&gt;&lt;contributors&gt;&lt;authors&gt;&lt;author&gt;Brar, G. A.&lt;/author&gt;&lt;author&gt;Weissman, J. S.&lt;/author&gt;&lt;/authors&gt;&lt;/contributors&gt;&lt;auth-address&gt;Department of Molecular and Cell Biology, University of California, Berkeley, California 94720, USA.&amp;#xD;Center for RNA Systems Biology, University of California, Berkeley, California 94720, USA.&amp;#xD;California Institute for Quantitative Biosciences (QB3), University of California, San Francisco, California 94158, USA.&amp;#xD;Howard Hughes Medical Institute, Department of Cellular and Molecular Pharmacology, University of California, San Francisco, California 94158, USA.&lt;/auth-address&gt;&lt;titles&gt;&lt;title&gt;Ribosome profiling reveals the what, when, where and how of protein synthesis&lt;/title&gt;&lt;secondary-title&gt;Nat Rev Mol Cell Biol&lt;/secondary-title&gt;&lt;/titles&gt;&lt;periodical&gt;&lt;full-title&gt;Nat Rev Mol Cell Biol&lt;/full-title&gt;&lt;/periodical&gt;&lt;pages&gt;651-64&lt;/pages&gt;&lt;volume&gt;16&lt;/volume&gt;&lt;number&gt;11&lt;/number&gt;&lt;edition&gt;2015/10/16&lt;/edition&gt;&lt;keywords&gt;&lt;keyword&gt;Base Sequence&lt;/keyword&gt;&lt;keyword&gt;High-Throughput Nucleotide Sequencing&lt;/keyword&gt;&lt;keyword&gt;Humans&lt;/keyword&gt;&lt;keyword&gt;Protein Biosynthesis/*genetics&lt;/keyword&gt;&lt;keyword&gt;Proteins/metabolism&lt;/keyword&gt;&lt;keyword&gt;RNA, Messenger/*genetics&lt;/keyword&gt;&lt;keyword&gt;Ribosomes/*genetics&lt;/keyword&gt;&lt;keyword&gt;Sequence Analysis, RNA&lt;/keyword&gt;&lt;/keywords&gt;&lt;dates&gt;&lt;year&gt;2015&lt;/year&gt;&lt;pub-dates&gt;&lt;date&gt;Nov&lt;/date&gt;&lt;/pub-dates&gt;&lt;/dates&gt;&lt;isbn&gt;1471-0072 (Print)&amp;#xD;1471-0072&lt;/isbn&gt;&lt;accession-num&gt;26465719&lt;/accession-num&gt;&lt;urls&gt;&lt;/urls&gt;&lt;custom2&gt;PMC5522010&lt;/custom2&gt;&lt;custom6&gt;NIHMS870137 profiling.&lt;/custom6&gt;&lt;electronic-resource-num&gt;10.1038/nrm4069&lt;/electronic-resource-num&gt;&lt;remote-database-provider&gt;NLM&lt;/remote-database-provider&gt;&lt;language&gt;eng&lt;/language&gt;&lt;/record&gt;&lt;/Cite&gt;&lt;/EndNote&gt;</w:instrText>
      </w:r>
      <w:r w:rsidR="0021610B">
        <w:rPr>
          <w:rFonts w:ascii="Calibri" w:hAnsi="Calibri" w:cs="Calibri"/>
          <w:vertAlign w:val="superscript"/>
          <w:lang w:val="en-US"/>
        </w:rPr>
        <w:fldChar w:fldCharType="separate"/>
      </w:r>
      <w:r>
        <w:rPr>
          <w:rFonts w:ascii="Calibri" w:hAnsi="Calibri" w:cs="Calibri"/>
          <w:vertAlign w:val="superscript"/>
          <w:lang w:val="en-US"/>
        </w:rPr>
        <w:fldChar w:fldCharType="end"/>
      </w:r>
      <w:r>
        <w:rPr>
          <w:rFonts w:ascii="Calibri" w:hAnsi="Calibri" w:cs="Calibri"/>
          <w:lang w:val="en-US"/>
        </w:rPr>
        <w:t>.</w:t>
      </w:r>
    </w:p>
    <w:p w14:paraId="1F6A2247" w14:textId="77777777" w:rsidR="006B6616" w:rsidRDefault="006B6616">
      <w:pPr>
        <w:widowControl w:val="0"/>
        <w:tabs>
          <w:tab w:val="left" w:pos="270"/>
        </w:tabs>
        <w:jc w:val="both"/>
        <w:rPr>
          <w:rFonts w:ascii="Calibri" w:hAnsi="Calibri" w:cs="Calibri"/>
          <w:color w:val="000000"/>
          <w:lang w:val="en-US"/>
        </w:rPr>
      </w:pPr>
    </w:p>
    <w:p w14:paraId="45B1B0BF" w14:textId="77777777" w:rsidR="006B6616" w:rsidRDefault="00E473AD">
      <w:pPr>
        <w:widowControl w:val="0"/>
        <w:tabs>
          <w:tab w:val="left" w:pos="270"/>
        </w:tabs>
        <w:jc w:val="both"/>
        <w:rPr>
          <w:rFonts w:ascii="Calibri" w:hAnsi="Calibri" w:cs="Calibri"/>
        </w:rPr>
      </w:pPr>
      <w:r>
        <w:rPr>
          <w:rFonts w:ascii="Calibri" w:hAnsi="Calibri" w:cs="Calibri"/>
          <w:color w:val="000000"/>
          <w:lang w:val="en-US"/>
        </w:rPr>
        <w:t>Formaldehyde is widely used to crosslink nucleic acids and proteins, such as in chromatin immunoprecipitation (</w:t>
      </w:r>
      <w:proofErr w:type="spellStart"/>
      <w:r>
        <w:rPr>
          <w:rFonts w:ascii="Calibri" w:hAnsi="Calibri" w:cs="Calibri"/>
          <w:color w:val="000000"/>
          <w:lang w:val="en-US"/>
        </w:rPr>
        <w:t>ChIP</w:t>
      </w:r>
      <w:proofErr w:type="spellEnd"/>
      <w:r>
        <w:rPr>
          <w:rFonts w:ascii="Calibri" w:hAnsi="Calibri" w:cs="Calibri"/>
          <w:color w:val="000000"/>
          <w:lang w:val="en-US"/>
        </w:rPr>
        <w:t xml:space="preserve">) and crosslinking immunoprecipitation (CLIP) studies. Its small size and excellent cell permeability allow for a rapid </w:t>
      </w:r>
      <w:r>
        <w:rPr>
          <w:rFonts w:ascii="Calibri" w:hAnsi="Calibri" w:cs="Calibri"/>
          <w:i/>
          <w:iCs/>
          <w:color w:val="000000"/>
          <w:lang w:val="en-US"/>
        </w:rPr>
        <w:t>in vivo</w:t>
      </w:r>
      <w:r>
        <w:rPr>
          <w:rFonts w:ascii="Calibri" w:hAnsi="Calibri" w:cs="Calibri"/>
          <w:color w:val="000000"/>
          <w:lang w:val="en-US"/>
        </w:rPr>
        <w:t xml:space="preserve"> action</w:t>
      </w:r>
      <w:r>
        <w:rPr>
          <w:rFonts w:ascii="Calibri" w:hAnsi="Calibri" w:cs="Calibri"/>
          <w:color w:val="000000"/>
          <w:vertAlign w:val="superscript"/>
          <w:lang w:val="en-US"/>
        </w:rPr>
        <w:t>34</w:t>
      </w:r>
      <w:r>
        <w:fldChar w:fldCharType="begin"/>
      </w:r>
      <w:r>
        <w:rPr>
          <w:rFonts w:ascii="Calibri" w:hAnsi="Calibri" w:cs="Calibri"/>
          <w:color w:val="000000"/>
          <w:vertAlign w:val="superscript"/>
          <w:lang w:val="en-US"/>
        </w:rPr>
        <w:instrText>ADDIN EN.CITE</w:instrText>
      </w:r>
      <w:r>
        <w:rPr>
          <w:rFonts w:ascii="Calibri" w:hAnsi="Calibri" w:cs="Calibri"/>
          <w:color w:val="000000"/>
          <w:vertAlign w:val="superscript"/>
          <w:lang w:val="en-US"/>
        </w:rPr>
        <w:fldChar w:fldCharType="separate"/>
      </w:r>
      <w:r>
        <w:fldChar w:fldCharType="begin"/>
      </w:r>
      <w:r>
        <w:rPr>
          <w:rFonts w:ascii="Calibri" w:hAnsi="Calibri" w:cs="Calibri"/>
          <w:color w:val="000000"/>
          <w:vertAlign w:val="superscript"/>
          <w:lang w:val="en-US"/>
        </w:rPr>
        <w:instrText>ADDIN EN.CITE.DATA47</w:instrText>
      </w:r>
      <w:r w:rsidR="0021610B">
        <w:rPr>
          <w:rFonts w:ascii="Calibri" w:hAnsi="Calibri" w:cs="Calibri"/>
          <w:color w:val="000000"/>
          <w:vertAlign w:val="superscript"/>
          <w:lang w:val="en-US"/>
        </w:rPr>
        <w:fldChar w:fldCharType="separate"/>
      </w:r>
      <w:r>
        <w:rPr>
          <w:rFonts w:ascii="Calibri" w:hAnsi="Calibri" w:cs="Calibri"/>
          <w:color w:val="000000"/>
          <w:vertAlign w:val="superscript"/>
          <w:lang w:val="en-US"/>
        </w:rPr>
        <w:fldChar w:fldCharType="end"/>
      </w:r>
      <w:r>
        <w:rPr>
          <w:rFonts w:ascii="Calibri" w:hAnsi="Calibri" w:cs="Calibri"/>
          <w:color w:val="000000"/>
          <w:vertAlign w:val="superscript"/>
          <w:lang w:val="en-US"/>
        </w:rPr>
        <w:fldChar w:fldCharType="end"/>
      </w:r>
      <w:r>
        <w:fldChar w:fldCharType="begin"/>
      </w:r>
      <w:r>
        <w:rPr>
          <w:rFonts w:ascii="Calibri" w:hAnsi="Calibri" w:cs="Calibri"/>
          <w:color w:val="000000"/>
          <w:vertAlign w:val="superscript"/>
          <w:lang w:val="en-US"/>
        </w:rPr>
        <w:instrText>ADDIN EN.CITE</w:instrText>
      </w:r>
      <w:r>
        <w:rPr>
          <w:rFonts w:ascii="Calibri" w:hAnsi="Calibri" w:cs="Calibri"/>
          <w:color w:val="000000"/>
          <w:vertAlign w:val="superscript"/>
          <w:lang w:val="en-US"/>
        </w:rPr>
        <w:fldChar w:fldCharType="separate"/>
      </w:r>
      <w:r>
        <w:fldChar w:fldCharType="begin"/>
      </w:r>
      <w:r>
        <w:rPr>
          <w:rFonts w:ascii="Calibri" w:hAnsi="Calibri" w:cs="Calibri"/>
          <w:color w:val="000000"/>
          <w:vertAlign w:val="superscript"/>
          <w:lang w:val="en-US"/>
        </w:rPr>
        <w:instrText>ADDIN EN.CITE.DATA</w:instrText>
      </w:r>
      <w:r w:rsidR="0021610B">
        <w:rPr>
          <w:rFonts w:ascii="Calibri" w:hAnsi="Calibri" w:cs="Calibri"/>
          <w:color w:val="000000"/>
          <w:vertAlign w:val="superscript"/>
          <w:lang w:val="en-US"/>
        </w:rPr>
        <w:fldChar w:fldCharType="separate"/>
      </w:r>
      <w:r>
        <w:rPr>
          <w:rFonts w:ascii="Calibri" w:hAnsi="Calibri" w:cs="Calibri"/>
          <w:color w:val="000000"/>
          <w:vertAlign w:val="superscript"/>
          <w:lang w:val="en-US"/>
        </w:rPr>
        <w:fldChar w:fldCharType="end"/>
      </w:r>
      <w:r>
        <w:rPr>
          <w:rFonts w:ascii="Calibri" w:hAnsi="Calibri" w:cs="Calibri"/>
          <w:color w:val="000000"/>
          <w:vertAlign w:val="superscript"/>
          <w:lang w:val="en-US"/>
        </w:rPr>
        <w:fldChar w:fldCharType="end"/>
      </w:r>
      <w:r>
        <w:rPr>
          <w:rFonts w:ascii="Calibri" w:hAnsi="Calibri" w:cs="Calibri"/>
          <w:color w:val="000000"/>
          <w:lang w:val="en-US"/>
        </w:rPr>
        <w:t>. Based on the rapid formaldehyde crosslinking, the</w:t>
      </w:r>
      <w:r>
        <w:rPr>
          <w:rFonts w:ascii="Calibri" w:hAnsi="Calibri" w:cs="Calibri"/>
          <w:lang w:val="en-US"/>
        </w:rPr>
        <w:t xml:space="preserve"> ribosome profiling approach has been extended with the Translation Complex Profile Sequencing (TCP-seq)</w:t>
      </w:r>
      <w:r>
        <w:fldChar w:fldCharType="begin"/>
      </w:r>
      <w:r>
        <w:rPr>
          <w:rFonts w:ascii="Calibri" w:hAnsi="Calibri" w:cs="Calibri"/>
          <w:lang w:val="en-US"/>
        </w:rPr>
        <w:instrText>ADDIN ZOTERO_ITEM CSL_CITATION {"citationID":"IbJ6X4Ic","properties":{"formattedCitation":"\\super 10, 30\\uc0\\u8211{}34\\nosupersub{}","plainCitation":"10, 30–34","dontUpdate":true,"noteIndex":0},"citationItems":[{"id":274,"uris":["http://zotero.org/users/6977825/items/NRI4UE8J"],"uri":["http://zotero.org/users/6977825/items/NRI4UE8J"],"itemData":{"id":274,"type":"article-journal","abstract":"Regulation of messenger RNA translation is central to eukaryotic gene expression control. Regulatory inputs are specified by them RNA untranslated regions (UTRs) and often target translation initiation. Initiation involves binding of the 40S ribosomal small subunit (SSU) and associated eukaryotic initiation factors (eIFs)near the mRNA 5′ cap; the SSU then scans in the 3′ direction until it detects the start codon and is joined by the 60S ribosomal large subunit (LSU) to form the 80S ribosome. Scanning and other dynamic aspects of the initiation model have remained as conjectures because methods to trap early intermediates were lacking. Here we uncover the dynamics of the complete translation cycle in live yeast cells using translation complex profile sequencing (TCP-seq), a method developed from the ribosome profiling approach. We document scanning by observing SSU footprints along 5′ UTRs. Scanning SSU have 5′-extended footprints (up to~75 nucleotides), indicative of additional interactions with mRNA emerging from the exit channel, promoting forward movement. We visualized changes in initiation complex conformation as SSU footprints coalesced into three major sizes at start codons (19, 29 and 37 nucleotides). These share the same 5′ start site but differ at the 3′ end, reflecting successive changes at the entry channel from an open to a closed state following start codon recognition. We also observe SSU 'lingering' at stop codons after LSU departure. Our results underpin mechanistic models of translation initiation and termination, built on decades of biochemical and structural investigation, with direct genome-wide in vivo evidence. Our approach captures ribosomal complexes at all phases of translation and will aid in studying translation dynamics in diverse cellular contexts. Dysregulation of translation is common in disease and, for example, SSU scanning is a target of anti-cancer drug development. TCP-seq will prove useful in discerning differences in mRNA-specific initiation in pathologies and their response to treatment.","archive_location":"27437580","container-title":"Nature","DOI":"10.1038/nature18647","ISSN":"0028-0836","issue":"7613","language":"eng","note":"edition: 2016/07/21","page":"570-4","source":"NLM","title":"Dynamics of ribosome scanning and recycling revealed by translation complex profiling","volume":"535","author":[{"family":"Archer","given":"S. K."},{"family":"Shirokikh","given":"N. E."},{"family":"Beilharz","given":"T. H."},{"family":"Preiss","given":"T."}],"issued":{"date-parts":[["2016",7,28]]}}},{"id":311,"uris":["http://zotero.org/users/6977825/items/KTGZXGNW"],"uri":["http://zotero.org/users/6977825/items/KTGZXGNW"],"itemData":{"id":311,"type":"article-journal","abstract":"Formaldehyde has been used for decades to probe macromolecular structure and function and to trap complexes, cells, and tissues for further analysis. Formaldehyde crosslinking is routinely employed for detection and quantification of protein-DNA interactions, interactions between chromatin proteins, and interactions between distal segments of the chromatin fiber. Despite widespread use and a rich biochemical literature, important aspects of formaldehyde behavior in cells have not been well described. Here, we highlight features of formaldehyde chemistry relevant to its use in analyses of chromatin complexes, focusing on how its properties may influence studies of chromatin structure and function.","archive_location":"26354429","container-title":"Journal of Biological Chemistry","DOI":"10.1074/jbc.R115.651679","ISSN":"0021-9258 (Print) 0021-9258","issue":"44","language":"eng","note":"edition: 2015/09/12","page":"26404-11","source":"NLM","title":"Formaldehyde crosslinking: a tool for the study of chromatin complexes","volume":"290","author":[{"family":"Hoffman","given":"E. A."},{"family":"Frey","given":"B. L."},{"family":"Smith","given":"L. M."},{"family":"Auble","given":"D. T."}],"issued":{"date-parts":[["2015",10,30]]}}},{"id":331,"uris":["http://zotero.org/users/6977825/items/6HV8GFXL"],"uri":["http://zotero.org/users/6977825/items/6HV8GFXL"],"itemData":{"id":331,"type":"article-journal","abstract":"Translation is a highly dynamic cellular process whereby genetic information residing in an mRNA molecule is converted into a protein that in turn executes specific functions. However, pre-synthesized mRNA levels do not always correlate with corresponding protein levels, suggesting that translational control plays an essential role in gene regulation. A better understanding of how gene expression is regulated during translation will enable the discovery of new genes and mechanisms that control important traits in plants. Therefore, in recent years, several methods have been developed to analyse the translatome; that is, all mRNAs being actively translated at a given time, tissue, and/or developmental stage. Ribosome profiling or ribo-seq is one such technology revolutionizing our ability to analyse the translatome and in turn understand translational control of gene expression. Ribo-seq involves isolating mRNA–ribosome complexes, treating them with a RNase, and then identifying ribosome-protected mRNA regions by deep sequencing. Here, we briefly review recent ribosome profiling studies that revealed new insights into plant biology. Manipulation of novel genes identified using ribosome profiling could prove useful for increasing yield through improved biotic and abiotic stress tolerance.","container-title":"Journal of Experimental Botany","DOI":"10.1093/jxb/eraa227","ISSN":"0022-0957","issue":"18","page":"5323-5332","title":"Ribosome profiling in plants: what is not lost in translation?","volume":"71","author":[{"family":"Kage","given":"Udaykumar"},{"family":"Powell","given":"Jonathan J"},{"family":"Gardiner","given":"Donald M"},{"family":"Kazan","given":"Kemal"}],"issued":{"date-parts":[["2020"]]}}},{"id":374,"uris":["http://zotero.org/users/6977825/items/DXAVYW7C"],"uri":["http://zotero.org/users/6977825/items/DXAVYW7C"],"itemData":{"id":374,"type":"article-journal","abstract":"Messenger RNA (mRNA) translation is a tightly controlled process that is integral to gene expression. It features intricate and dynamic interactions of the small and large subunits of the ribosome with mRNAs, aided by multiple auxiliary factors during distinct initiation, elongation and termination phases. The recently developed ribosome profiling method can generate transcriptome-wide surveys of translation and its regulation. Ribosome profiling records the footprints of fully assembled ribosomes along mRNAs and thus primarily interrogates the elongation phase of translation. Importantly, it does not monitor multiple substeps of initiation and termination that involve complexes between the small ribosomal subunit (SSU) and mRNA. Here we describe a related method, termed 'translation complex profile sequencing' (TCP-seq), that is uniquely capable of recording positions of any type of ribosome-mRNA complex transcriptome-wide. It uses fast covalent fixation of translation complexes in live cells, followed by RNase footprinting of translation intermediates and their separation into complexes involving either the full ribosome or the SSU. The footprints derived from each type of complex are then deep-sequenced separately, generating native distribution profiles during the elongation, as well as the initiation and termination stages of translation. We provide the full TCP-seq protocol for Saccharomyces cerevisiae liquid suspension culture, including a data analysis pipeline. The protocol takes ∼3 weeks to complete by a researcher who is well acquainted with standard molecular biology techniques and who has some experience in ultracentrifugation and the preparation of RNA sequencing (RNA-seq) libraries. Basic Bash and UNIX/Linux command skills are required to use the bioinformatics tools provided.","archive_location":"28253237","container-title":"Nature Protocols","DOI":"10.1038/nprot.2016.189","ISSN":"1750-2799","issue":"4","language":"eng","note":"edition: 2017/03/03","page":"697-731","source":"NLM","title":"Translation complex profile sequencing to study the in vivo dynamics of mRNA-ribosome interactions during translation initiation, elongation and termination","volume":"12","author":[{"family":"Shirokikh","given":"N. E."},{"family":"Archer","given":"S. K."},{"family":"Beilharz","given":"T. H."},{"family":"Powell","given":"D."},{"family":"Preiss","given":"T."}],"issued":{"date-parts":[["2017",4]]}}},{"id":388,"uris":["http://zotero.org/users/6977825/items/UPH2VTW4"],"uri":["http://zotero.org/users/6977825/items/UPH2VTW4"],"itemData":{"id":388,"type":"article-journal","abstract":"Translational control targeting the initiation phase is central to the regulation of gene expression. Understanding all of its aspects requires substantial technological advancements. Here we modified yeast translation complex profile sequencing (TCP-seq), related to ribosome profiling, and adapted it for mammalian cells. Human TCP-seq, capable of capturing footprints of 40S subunits (40Ss) in addition to 80S ribosomes (80Ss), revealed that mammalian and yeast 40Ss distribute similarly across 5'TRs, indicating considerable evolutionary conservation. We further developed yeast and human selective TCP-seq (Sel-TCP-seq), enabling selection of 40Ss and 80Ss associated with immuno-targeted factors. Sel-TCP-seq demonstrated that eIF2 and eIF3 travel along 5' UTRs with scanning 40Ss to successively dissociate upon AUG recognition; notably, a proportion of eIF3 lingers on during the initial elongation cycles. Highlighting Sel-TCP-seq versatility, we also identified four initiating 48S conformational intermediates, provided novel insights into ATF4 and GCN4 mRNA translational control, and demonstrated co-translational assembly of initiation factor complexes.","archive_location":"32589964","container-title":"Molecular Cell","DOI":"10.1016/j.molcel.2020.06.004","ISSN":"1097-2765 (Print) 1097-2765","issue":"4","language":"eng","note":"edition: 2020/06/27","page":"546-560.e7","source":"NLM","title":"Selective Translation Complex Profiling Reveals Staged Initiation and Co-translational Assembly of Initiation Factor Complexes","volume":"79","author":[{"family":"Wagner","given":"S."},{"family":"Herrmannová","given":"A."},{"family":"Hronová","given":"V."},{"family":"Gunišová","given":"S."},{"family":"Sen","given":"N. D."},{"family":"Hannan","given":"R. D."},{"family":"Hinnebusch","given":"A. G."},{"family":"Shirokikh","given":"N. E."},{"family":"Preiss","given":"T."},{"family":"Valášek","given":"L. S."}],"issued":{"date-parts":[["2020",8,20]]}}},{"id":405,"uris":["http://zotero.org/users/6977825/items/QMQCI8RX"],"uri":["http://zotero.org/users/6977825/items/QMQCI8RX"],"itemData":{"id":405,"type":"article-journal","abstract":"A new method, translation complex profile sequencing (TCP-seq), enables the study of translation regulation and dynamics in live cells.","container-title":"Nature Reviews Molecular Cell Biology","DOI":"10.1038/nrm.2016.109","ISSN":"1471-0080","issue":"9","page":"535-535","title":"Profiling ribosome dynamics","volume":"17","author":[{"family":"Zlotorynski","given":"Eytan"}],"issued":{"date-parts":[["2016",9,1]]}}}],"schema":"https://github.com/citation-style-language/schema/raw/master/csl-citation.json"}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10,34–38</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 TCP-seq, first developed in yeast, </w:t>
      </w:r>
      <w:r>
        <w:rPr>
          <w:rFonts w:ascii="Calibri" w:hAnsi="Calibri" w:cs="Calibri"/>
          <w:color w:val="000000"/>
          <w:lang w:val="en-US"/>
        </w:rPr>
        <w:t>allows</w:t>
      </w:r>
      <w:r>
        <w:rPr>
          <w:rFonts w:ascii="Calibri" w:hAnsi="Calibri" w:cs="Calibri"/>
          <w:lang w:val="en-US"/>
        </w:rPr>
        <w:t xml:space="preserve"> </w:t>
      </w:r>
      <w:r>
        <w:rPr>
          <w:rFonts w:ascii="Calibri" w:hAnsi="Calibri" w:cs="Calibri"/>
          <w:color w:val="000000"/>
          <w:lang w:val="en-US"/>
        </w:rPr>
        <w:t>the</w:t>
      </w:r>
      <w:r>
        <w:rPr>
          <w:rFonts w:ascii="Calibri" w:hAnsi="Calibri" w:cs="Calibri"/>
          <w:lang w:val="en-US"/>
        </w:rPr>
        <w:t xml:space="preserve"> capture of all translation intermediates, </w:t>
      </w:r>
      <w:r>
        <w:rPr>
          <w:rFonts w:ascii="Calibri" w:hAnsi="Calibri" w:cs="Calibri"/>
          <w:color w:val="000000"/>
          <w:lang w:val="en-US"/>
        </w:rPr>
        <w:t>including scanning or post-termination</w:t>
      </w:r>
      <w:r>
        <w:rPr>
          <w:rFonts w:ascii="Calibri" w:hAnsi="Calibri" w:cs="Calibri"/>
          <w:lang w:val="en-US"/>
        </w:rPr>
        <w:t xml:space="preserve"> SSU complexes and multiple ribosomal configurations</w:t>
      </w:r>
      <w:r>
        <w:fldChar w:fldCharType="begin"/>
      </w:r>
      <w:r>
        <w:rPr>
          <w:rFonts w:ascii="Calibri" w:hAnsi="Calibri" w:cs="Calibri"/>
          <w:lang w:val="en-US"/>
        </w:rPr>
        <w:instrText>ADDIN ZOTERO_ITEM CSL_CITATION {"citationID":"FqdJZwZ6","properties":{"formattedCitation":"\\super 31, 32, 35, 36\\nosupersub{}","plainCitation":"31, 32, 35, 36","dontUpdate":true,"noteIndex":0},"citationItems":[{"id":331,"uris":["http://zotero.org/users/6977825/items/6HV8GFXL"],"uri":["http://zotero.org/users/6977825/items/6HV8GFXL"],"itemData":{"id":331,"type":"article-journal","abstract":"Translation is a highly dynamic cellular process whereby genetic information residing in an mRNA molecule is converted into a protein that in turn executes specific functions. However, pre-synthesized mRNA levels do not always correlate with corresponding protein levels, suggesting that translational control plays an essential role in gene regulation. A better understanding of how gene expression is regulated during translation will enable the discovery of new genes and mechanisms that control important traits in plants. Therefore, in recent years, several methods have been developed to analyse the translatome; that is, all mRNAs being actively translated at a given time, tissue, and/or developmental stage. Ribosome profiling or ribo-seq is one such technology revolutionizing our ability to analyse the translatome and in turn understand translational control of gene expression. Ribo-seq involves isolating mRNA–ribosome complexes, treating them with a RNase, and then identifying ribosome-protected mRNA regions by deep sequencing. Here, we briefly review recent ribosome profiling studies that revealed new insights into plant biology. Manipulation of novel genes identified using ribosome profiling could prove useful for increasing yield through improved biotic and abiotic stress tolerance.","container-title":"Journal of Experimental Botany","DOI":"10.1093/jxb/eraa227","ISSN":"0022-0957","issue":"18","page":"5323-5332","title":"Ribosome profiling in plants: what is not lost in translation?","volume":"71","author":[{"family":"Kage","given":"Udaykumar"},{"family":"Powell","given":"Jonathan J"},{"family":"Gardiner","given":"Donald M"},{"family":"Kazan","given":"Kemal"}],"issued":{"date-parts":[["2020"]]}}},{"id":374,"uris":["http://zotero.org/users/6977825/items/DXAVYW7C"],"uri":["http://zotero.org/users/6977825/items/DXAVYW7C"],"itemData":{"id":374,"type":"article-journal","abstract":"Messenger RNA (mRNA) translation is a tightly controlled process that is integral to gene expression. It features intricate and dynamic interactions of the small and large subunits of the ribosome with mRNAs, aided by multiple auxiliary factors during distinct initiation, elongation and termination phases. The recently developed ribosome profiling method can generate transcriptome-wide surveys of translation and its regulation. Ribosome profiling records the footprints of fully assembled ribosomes along mRNAs and thus primarily interrogates the elongation phase of translation. Importantly, it does not monitor multiple substeps of initiation and termination that involve complexes between the small ribosomal subunit (SSU) and mRNA. Here we describe a related method, termed 'translation complex profile sequencing' (TCP-seq), that is uniquely capable of recording positions of any type of ribosome-mRNA complex transcriptome-wide. It uses fast covalent fixation of translation complexes in live cells, followed by RNase footprinting of translation intermediates and their separation into complexes involving either the full ribosome or the SSU. The footprints derived from each type of complex are then deep-sequenced separately, generating native distribution profiles during the elongation, as well as the initiation and termination stages of translation. We provide the full TCP-seq protocol for Saccharomyces cerevisiae liquid suspension culture, including a data analysis pipeline. The protocol takes ∼3 weeks to complete by a researcher who is well acquainted with standard molecular biology techniques and who has some experience in ultracentrifugation and the preparation of RNA sequencing (RNA-seq) libraries. Basic Bash and UNIX/Linux command skills are required to use the bioinformatics tools provided.","archive_location":"28253237","container-title":"Nature Protocols","DOI":"10.1038/nprot.2016.189","ISSN":"1750-2799","issue":"4","language":"eng","note":"edition: 2017/03/03","page":"697-731","source":"NLM","title":"Translation complex profile sequencing to study the in vivo dynamics of mRNA-ribosome interactions during translation initiation, elongation and termination","volume":"12","author":[{"family":"Shirokikh","given":"N. E."},{"family":"Archer","given":"S. K."},{"family":"Beilharz","given":"T. H."},{"family":"Powell","given":"D."},{"family":"Preiss","given":"T."}],"issued":{"date-parts":[["2017",4]]}}},{"id":367,"uris":["http://zotero.org/users/6977825/items/W56ZHGD4"],"uri":["http://zotero.org/users/6977825/items/W56ZHGD4"],"itemData":{"id":367,"type":"article-journal","abstract":"RNA structures that impede ribosome binding or subsequent scanning of the 5'-untranslated region (5'-UTR) for the AUG initiation codon reduce translation efficiency. Yeast DEAD-box RNA helicase Ded1 appears to promote translation by resolving 5'-UTR structures, but whether its paralog, Dbp1, performs similar functions is unknown. Furthermore, direct in vivo evidence was lacking that Ded1 or Dbp1 resolves 5'-UTR structures that impede attachment of the 43S preinitiation complex (PIC) or scanning. Here, profiling of translating 80S ribosomes reveals that the translational efficiencies of many more mRNAs are reduced in a ded1-ts dbp1Δ double mutant versus either single mutant, becoming highly dependent on Dbp1 or Ded1 only when the other helicase is impaired. Such 'conditionally hyperdependent' mRNAs contain unusually long 5'-UTRs with heightened propensity for secondary structure and longer transcript lengths. Consistently, overexpressing Dbp1 in ded1 cells improves the translation of many such Ded1-hyperdependent mRNAs. Importantly, Dbp1 mimics Ded1 in conferring greater acceleration of 48S PIC assembly in a purified system on mRNAs harboring structured 5'-UTRs. Profiling 40S initiation complexes in ded1 and dbp1 mutants provides direct evidence that Ded1 and Dbp1 cooperate to stimulate both PIC attachment and scanning on many Ded1/Dbp1-hyperdependent mRNAs in vivo.","archive_location":"31299079","container-title":"Nucleic Acids Research","DOI":"10.1093/nar/gkz595","ISSN":"0305-1048 (Print) 0305-1048","issue":"16","language":"eng","note":"edition: 2019/07/13","page":"8785-8806","source":"NLM","title":"Functional interplay between DEAD-box RNA helicases Ded1 and Dbp1 in preinitiation complex attachment and scanning on structured mRNAs in vivo","volume":"47","author":[{"family":"Sen","given":"N. D."},{"family":"Gupta","given":"N."},{"family":"S","given":"K. Archer"},{"family":"Preiss","given":"T."},{"family":"Lorsch","given":"J. R."},{"family":"Hinnebusch","given":"A. G."}],"issued":{"date-parts":[["2019",9,19]]}}},{"id":403,"uris":["http://zotero.org/users/6977825/items/LHKVBH99"],"uri":["http://zotero.org/users/6977825/items/LHKVBH99"],"itemData":{"id":403,"type":"article-journal","abstract":"In all kingdoms of life, proteins are synthesized by ribosomes in a process referred to as translation. The amplitude of translational regulation exceeds the sum of transcription, mRNA degradation and protein degradation. Therefore, it is essential to investigate translation in a global scale. Like the other \"omics\"-methods, translatomics investigates the totality of the components in the translation process, including but not limited to translating mRNAs, ribosomes, tRNAs, regulatory RNAs and nascent polypeptide chains. Technical advances in recent years have brought breakthroughs in the investigation of these components at global scale, both for their composition and dynamics. These methods have been applied in a rapidly increasing number of studies to reveal multifaceted aspects of translation control. The process of translation is not restricted to the conversion of mRNA coding sequences into polypeptide chains, it also controls the composition of the proteome in a delicate and responsive way. Therefore, translatomics has extended its unique and innovative power to many fields including proteomics, cancer research, bacterial stress response, biological rhythmicity and plant biology. Rational design in translation can enhance recombinant protein production for thousands of times. This brief review summarizes the main state-of-the-art methods of translatomics, highlights recent discoveries made in this field and introduces applications of translatomics on basic biological and biomedical research.","archive_location":"30626072","container-title":"International Journal of Molecular Sciences","DOI":"10.3390/ijms20010212","ISSN":"1422-0067","issue":"1","language":"eng","note":"edition: 2019/01/11","source":"NLM","title":"Translatomics: The Global View of Translation","volume":"20","author":[{"family":"Zhao","given":"J."},{"family":"Qin","given":"B."},{"family":"Nikolay","given":"R."},{"family":"Spahn","given":"C. M. T."},{"family":"Zhang","given":"G."}],"issued":{"date-parts":[["2019",1,8]]}}}],"schema":"https://github.com/citation-style-language/schema/raw/master/csl-citation.json"}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35,36,39,40</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The method has been utilized in several studies</w:t>
      </w:r>
      <w:r>
        <w:fldChar w:fldCharType="begin"/>
      </w:r>
      <w:r>
        <w:rPr>
          <w:rFonts w:ascii="Calibri" w:hAnsi="Calibri" w:cs="Calibri"/>
          <w:lang w:val="en-US"/>
        </w:rPr>
        <w:instrText>ADDIN ZOTERO_ITEM CSL_CITATION {"citationID":"P7IZNKIM","properties":{"formattedCitation":"\\super 10, 32, 33, 35\\uc0\\u8211{}37\\nosupersub{}","plainCitation":"10, 32, 33, 35–37","dontUpdate":true,"noteIndex":0},"citationItems":[{"id":274,"uris":["http://zotero.org/users/6977825/items/NRI4UE8J"],"uri":["http://zotero.org/users/6977825/items/NRI4UE8J"],"itemData":{"id":274,"type":"article-journal","abstract":"Regulation of messenger RNA translation is central to eukaryotic gene expression control. Regulatory inputs are specified by them RNA untranslated regions (UTRs) and often target translation initiation. Initiation involves binding of the 40S ribosomal small subunit (SSU) and associated eukaryotic initiation factors (eIFs)near the mRNA 5′ cap; the SSU then scans in the 3′ direction until it detects the start codon and is joined by the 60S ribosomal large subunit (LSU) to form the 80S ribosome. Scanning and other dynamic aspects of the initiation model have remained as conjectures because methods to trap early intermediates were lacking. Here we uncover the dynamics of the complete translation cycle in live yeast cells using translation complex profile sequencing (TCP-seq), a method developed from the ribosome profiling approach. We document scanning by observing SSU footprints along 5′ UTRs. Scanning SSU have 5′-extended footprints (up to~75 nucleotides), indicative of additional interactions with mRNA emerging from the exit channel, promoting forward movement. We visualized changes in initiation complex conformation as SSU footprints coalesced into three major sizes at start codons (19, 29 and 37 nucleotides). These share the same 5′ start site but differ at the 3′ end, reflecting successive changes at the entry channel from an open to a closed state following start codon recognition. We also observe SSU 'lingering' at stop codons after LSU departure. Our results underpin mechanistic models of translation initiation and termination, built on decades of biochemical and structural investigation, with direct genome-wide in vivo evidence. Our approach captures ribosomal complexes at all phases of translation and will aid in studying translation dynamics in diverse cellular contexts. Dysregulation of translation is common in disease and, for example, SSU scanning is a target of anti-cancer drug development. TCP-seq will prove useful in discerning differences in mRNA-specific initiation in pathologies and their response to treatment.","archive_location":"27437580","container-title":"Nature","DOI":"10.1038/nature18647","ISSN":"0028-0836","issue":"7613","language":"eng","note":"edition: 2016/07/21","page":"570-4","source":"NLM","title":"Dynamics of ribosome scanning and recycling revealed by translation complex profiling","volume":"535","author":[{"family":"Archer","given":"S. K."},{"family":"Shirokikh","given":"N. E."},{"family":"Beilharz","given":"T. H."},{"family":"Preiss","given":"T."}],"issued":{"date-parts":[["2016",7,28]]}}},{"id":374,"uris":["http://zotero.org/users/6977825/items/DXAVYW7C"],"uri":["http://zotero.org/users/6977825/items/DXAVYW7C"],"itemData":{"id":374,"type":"article-journal","abstract":"Messenger RNA (mRNA) translation is a tightly controlled process that is integral to gene expression. It features intricate and dynamic interactions of the small and large subunits of the ribosome with mRNAs, aided by multiple auxiliary factors during distinct initiation, elongation and termination phases. The recently developed ribosome profiling method can generate transcriptome-wide surveys of translation and its regulation. Ribosome profiling records the footprints of fully assembled ribosomes along mRNAs and thus primarily interrogates the elongation phase of translation. Importantly, it does not monitor multiple substeps of initiation and termination that involve complexes between the small ribosomal subunit (SSU) and mRNA. Here we describe a related method, termed 'translation complex profile sequencing' (TCP-seq), that is uniquely capable of recording positions of any type of ribosome-mRNA complex transcriptome-wide. It uses fast covalent fixation of translation complexes in live cells, followed by RNase footprinting of translation intermediates and their separation into complexes involving either the full ribosome or the SSU. The footprints derived from each type of complex are then deep-sequenced separately, generating native distribution profiles during the elongation, as well as the initiation and termination stages of translation. We provide the full TCP-seq protocol for Saccharomyces cerevisiae liquid suspension culture, including a data analysis pipeline. The protocol takes ∼3 weeks to complete by a researcher who is well acquainted with standard molecular biology techniques and who has some experience in ultracentrifugation and the preparation of RNA sequencing (RNA-seq) libraries. Basic Bash and UNIX/Linux command skills are required to use the bioinformatics tools provided.","archive_location":"28253237","container-title":"Nature Protocols","DOI":"10.1038/nprot.2016.189","ISSN":"1750-2799","issue":"4","language":"eng","note":"edition: 2017/03/03","page":"697-731","source":"NLM","title":"Translation complex profile sequencing to study the in vivo dynamics of mRNA-ribosome interactions during translation initiation, elongation and termination","volume":"12","author":[{"family":"Shirokikh","given":"N. E."},{"family":"Archer","given":"S. K."},{"family":"Beilharz","given":"T. H."},{"family":"Powell","given":"D."},{"family":"Preiss","given":"T."}],"issued":{"date-parts":[["2017",4]]}}},{"id":388,"uris":["http://zotero.org/users/6977825/items/UPH2VTW4"],"uri":["http://zotero.org/users/6977825/items/UPH2VTW4"],"itemData":{"id":388,"type":"article-journal","abstract":"Translational control targeting the initiation phase is central to the regulation of gene expression. Understanding all of its aspects requires substantial technological advancements. Here we modified yeast translation complex profile sequencing (TCP-seq), related to ribosome profiling, and adapted it for mammalian cells. Human TCP-seq, capable of capturing footprints of 40S subunits (40Ss) in addition to 80S ribosomes (80Ss), revealed that mammalian and yeast 40Ss distribute similarly across 5'TRs, indicating considerable evolutionary conservation. We further developed yeast and human selective TCP-seq (Sel-TCP-seq), enabling selection of 40Ss and 80Ss associated with immuno-targeted factors. Sel-TCP-seq demonstrated that eIF2 and eIF3 travel along 5' UTRs with scanning 40Ss to successively dissociate upon AUG recognition; notably, a proportion of eIF3 lingers on during the initial elongation cycles. Highlighting Sel-TCP-seq versatility, we also identified four initiating 48S conformational intermediates, provided novel insights into ATF4 and GCN4 mRNA translational control, and demonstrated co-translational assembly of initiation factor complexes.","archive_location":"32589964","container-title":"Molecular Cell","DOI":"10.1016/j.molcel.2020.06.004","ISSN":"1097-2765 (Print) 1097-2765","issue":"4","language":"eng","note":"edition: 2020/06/27","page":"546-560.e7","source":"NLM","title":"Selective Translation Complex Profiling Reveals Staged Initiation and Co-translational Assembly of Initiation Factor Complexes","volume":"79","author":[{"family":"Wagner","given":"S."},{"family":"Herrmannová","given":"A."},{"family":"Hronová","given":"V."},{"family":"Gunišová","given":"S."},{"family":"Sen","given":"N. D."},{"family":"Hannan","given":"R. D."},{"family":"Hinnebusch","given":"A. G."},{"family":"Shirokikh","given":"N. E."},{"family":"Preiss","given":"T."},{"family":"Valášek","given":"L. S."}],"issued":{"date-parts":[["2020",8,20]]}}},{"id":367,"uris":["http://zotero.org/users/6977825/items/W56ZHGD4"],"uri":["http://zotero.org/users/6977825/items/W56ZHGD4"],"itemData":{"id":367,"type":"article-journal","abstract":"RNA structures that impede ribosome binding or subsequent scanning of the 5'-untranslated region (5'-UTR) for the AUG initiation codon reduce translation efficiency. Yeast DEAD-box RNA helicase Ded1 appears to promote translation by resolving 5'-UTR structures, but whether its paralog, Dbp1, performs similar functions is unknown. Furthermore, direct in vivo evidence was lacking that Ded1 or Dbp1 resolves 5'-UTR structures that impede attachment of the 43S preinitiation complex (PIC) or scanning. Here, profiling of translating 80S ribosomes reveals that the translational efficiencies of many more mRNAs are reduced in a ded1-ts dbp1Δ double mutant versus either single mutant, becoming highly dependent on Dbp1 or Ded1 only when the other helicase is impaired. Such 'conditionally hyperdependent' mRNAs contain unusually long 5'-UTRs with heightened propensity for secondary structure and longer transcript lengths. Consistently, overexpressing Dbp1 in ded1 cells improves the translation of many such Ded1-hyperdependent mRNAs. Importantly, Dbp1 mimics Ded1 in conferring greater acceleration of 48S PIC assembly in a purified system on mRNAs harboring structured 5'-UTRs. Profiling 40S initiation complexes in ded1 and dbp1 mutants provides direct evidence that Ded1 and Dbp1 cooperate to stimulate both PIC attachment and scanning on many Ded1/Dbp1-hyperdependent mRNAs in vivo.","archive_location":"31299079","container-title":"Nucleic Acids Research","DOI":"10.1093/nar/gkz595","ISSN":"0305-1048 (Print) 0305-1048","issue":"16","language":"eng","note":"edition: 2019/07/13","page":"8785-8806","source":"NLM","title":"Functional interplay between DEAD-box RNA helicases Ded1 and Dbp1 in preinitiation complex attachment and scanning on structured mRNAs in vivo","volume":"47","author":[{"family":"Sen","given":"N. D."},{"family":"Gupta","given":"N."},{"family":"S","given":"K. Archer"},{"family":"Preiss","given":"T."},{"family":"Lorsch","given":"J. R."},{"family":"Hinnebusch","given":"A. G."}],"issued":{"date-parts":[["2019",9,19]]}}},{"id":403,"uris":["http://zotero.org/users/6977825/items/LHKVBH99"],"uri":["http://zotero.org/users/6977825/items/LHKVBH99"],"itemData":{"id":403,"type":"article-journal","abstract":"In all kingdoms of life, proteins are synthesized by ribosomes in a process referred to as translation. The amplitude of translational regulation exceeds the sum of transcription, mRNA degradation and protein degradation. Therefore, it is essential to investigate translation in a global scale. Like the other \"omics\"-methods, translatomics investigates the totality of the components in the translation process, including but not limited to translating mRNAs, ribosomes, tRNAs, regulatory RNAs and nascent polypeptide chains. Technical advances in recent years have brought breakthroughs in the investigation of these components at global scale, both for their composition and dynamics. These methods have been applied in a rapidly increasing number of studies to reveal multifaceted aspects of translation control. The process of translation is not restricted to the conversion of mRNA coding sequences into polypeptide chains, it also controls the composition of the proteome in a delicate and responsive way. Therefore, translatomics has extended its unique and innovative power to many fields including proteomics, cancer research, bacterial stress response, biological rhythmicity and plant biology. Rational design in translation can enhance recombinant protein production for thousands of times. This brief review summarizes the main state-of-the-art methods of translatomics, highlights recent discoveries made in this field and introduces applications of translatomics on basic biological and biomedical research.","archive_location":"30626072","container-title":"International Journal of Molecular Sciences","DOI":"10.3390/ijms20010212","ISSN":"1422-0067","issue":"1","language":"eng","note":"edition: 2019/01/11","source":"NLM","title":"Translatomics: The Global View of Translation","volume":"20","author":[{"family":"Zhao","given":"J."},{"family":"Qin","given":"B."},{"family":"Nikolay","given":"R."},{"family":"Spahn","given":"C. M. T."},{"family":"Zhang","given":"G."}],"issued":{"date-parts":[["2019",1,8]]}}},{"id":395,"uris":["http://zotero.org/users/6977825/items/CWU2RV9S"],"uri":["http://zotero.org/users/6977825/items/CWU2RV9S"],"itemData":{"id":395,"type":"article-journal","abstract":"Oxidation and alkylation of nucleobases are known to disrupt their base-pairing properties within RNA. It is, however, unclear whether organisms have evolved general mechanism(s) to deal with this damage. Here we show that the mRNA-surveillance pathway of no-go decay and the associated ribosome-quality control are activated in response to nucleobase alkylation and oxidation. Our findings reveal that these processes are important for clearing chemically modified mRNA and the resulting aberrant-protein products. In the absence of Xrn1, the level of damaged mRNA significantly increases. Furthermore, deletion of LTN1 results in the accumulation of protein aggregates in the presence of oxidizing and alkylating agents. This accumulation is accompanied by Hel2-dependent regulatory ubiquitylation of ribosomal proteins. Collectively, our data highlight the burden of chemically damaged mRNA on cellular homeostasis and suggest that organisms evolved mechanisms to counter their accumulation.","archive_location":"31819057","container-title":"Nat Communications","DOI":"10.1038/s41467-019-13579-3","ISSN":"2041-1723","issue":"1","language":"eng","note":"edition: 2019/12/11","page":"5611","source":"NLM","title":"Oxidation and alkylation stresses activate ribosome-quality control","volume":"10","author":[{"family":"Yan","given":"L. L."},{"family":"Simms","given":"C. L."},{"family":"McLoughlin","given":"F."},{"family":"Vierstra","given":"R. D."},{"family":"Zaher","given":"H. S."}],"issued":{"date-parts":[["2019",12,9]]}}}],"schema":"https://github.com/citation-style-language/schema/raw/master/csl-citation.json"}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10,36,37,39,40</w:t>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some of which use a combinatory approach of both translation inhibitors and formaldehyde crosslinking to facilitate the arrest of translation</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EN.CITE.DATA54</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 xml:space="preserve">. A further modified version of the technique, </w:t>
      </w:r>
      <w:r>
        <w:rPr>
          <w:rFonts w:ascii="Calibri" w:hAnsi="Calibri" w:cs="Calibri"/>
          <w:color w:val="000000"/>
          <w:lang w:val="en-US"/>
        </w:rPr>
        <w:t>s</w:t>
      </w:r>
      <w:r>
        <w:rPr>
          <w:rFonts w:ascii="Calibri" w:hAnsi="Calibri" w:cs="Calibri"/>
          <w:lang w:val="en-US"/>
        </w:rPr>
        <w:t>elective TCP-seq</w:t>
      </w:r>
      <w:r>
        <w:fldChar w:fldCharType="begin"/>
      </w:r>
      <w:r>
        <w:rPr>
          <w:rFonts w:ascii="Calibri" w:hAnsi="Calibri" w:cs="Calibri"/>
          <w:lang w:val="en-US"/>
        </w:rPr>
        <w:instrText>ADDIN ZOTERO_ITEM CSL_CITATION {"citationID":"frfY7Ek5","properties":{"formattedCitation":"\\super 33\\nosupersub{}","plainCitation":"33","noteIndex":0},"citationItems":[{"id":388,"uris":["http://zotero.org/users/6977825/items/UPH2VTW4"],"uri":["http://zotero.org/users/6977825/items/UPH2VTW4"],"itemData":{"id":388,"type":"article-journal","abstract":"Translational control targeting the initiation phase is central to the regulation of gene expression. Understanding all of its aspects requires substantial technological advancements. Here we modified yeast translation complex profile sequencing (TCP-seq), related to ribosome profiling, and adapted it for mammalian cells. Human TCP-seq, capable of capturing footprints of 40S subunits (40Ss) in addition to 80S ribosomes (80Ss), revealed that mammalian and yeast 40Ss distribute similarly across 5'TRs, indicating considerable evolutionary conservation. We further developed yeast and human selective TCP-seq (Sel-TCP-seq), enabling selection of 40Ss and 80Ss associated with immuno-targeted factors. Sel-TCP-seq demonstrated that eIF2 and eIF3 travel along 5' UTRs with scanning 40Ss to successively dissociate upon AUG recognition; notably, a proportion of eIF3 lingers on during the initial elongation cycles. Highlighting Sel-TCP-seq versatility, we also identified four initiating 48S conformational intermediates, provided novel insights into ATF4 and GCN4 mRNA translational control, and demonstrated co-translational assembly of initiation factor complexes.","archive_location":"32589964","container-title":"Molecular Cell","DOI":"10.1016/j.molcel.2020.06.004","ISSN":"1097-2765 (Print) 1097-2765","issue":"4","language":"eng","note":"edition: 2020/06/27","page":"546-560.e7","source":"NLM","title":"Selective Translation Complex Profiling Reveals Staged Initiation and Co-translational Assembly of Initiation Factor Complexes","volume":"79","author":[{"family":"Wagner","given":"S."},{"family":"Herrmannová","given":"A."},{"family":"Hronová","given":"V."},{"family":"Gunišová","given":"S."},{"family":"Sen","given":"N. D."},{"family":"Hannan","given":"R. D."},{"family":"Hinnebusch","given":"A. G."},{"family":"Shirokikh","given":"N. E."},{"family":"Preiss","given":"T."},{"family":"Valášek","given":"L. S."}],"issued":{"date-parts":[["2020",8,20]]}}}],"schema":"https://github.com/citation-style-language/schema/raw/master/csl-citation.json"}</w:instrText>
      </w:r>
      <w:r>
        <w:rPr>
          <w:rFonts w:ascii="Calibri" w:hAnsi="Calibri" w:cs="Calibri"/>
          <w:lang w:val="en-US"/>
        </w:rPr>
        <w:fldChar w:fldCharType="separate"/>
      </w:r>
      <w:r>
        <w:rPr>
          <w:rFonts w:ascii="Calibri" w:hAnsi="Calibri" w:cs="Calibri"/>
          <w:vertAlign w:val="superscript"/>
          <w:lang w:val="en-US"/>
        </w:rPr>
        <w:t>37</w:t>
      </w:r>
      <w:r>
        <w:rPr>
          <w:rFonts w:ascii="Calibri" w:hAnsi="Calibri" w:cs="Calibri"/>
          <w:lang w:val="en-US"/>
        </w:rPr>
        <w:fldChar w:fldCharType="end"/>
      </w:r>
      <w:r>
        <w:rPr>
          <w:rFonts w:ascii="Calibri" w:hAnsi="Calibri" w:cs="Calibri"/>
          <w:lang w:val="en-US"/>
        </w:rPr>
        <w:t xml:space="preserve">, has recently been </w:t>
      </w:r>
      <w:r>
        <w:rPr>
          <w:rFonts w:ascii="Calibri" w:hAnsi="Calibri" w:cs="Calibri"/>
          <w:color w:val="000000"/>
          <w:lang w:val="en-US"/>
        </w:rPr>
        <w:t xml:space="preserve">employed to include </w:t>
      </w:r>
      <w:proofErr w:type="spellStart"/>
      <w:r>
        <w:rPr>
          <w:rFonts w:ascii="Calibri" w:hAnsi="Calibri" w:cs="Calibri"/>
          <w:color w:val="000000"/>
          <w:lang w:val="en-US"/>
        </w:rPr>
        <w:t>immunopurification</w:t>
      </w:r>
      <w:proofErr w:type="spellEnd"/>
      <w:r>
        <w:rPr>
          <w:rFonts w:ascii="Calibri" w:hAnsi="Calibri" w:cs="Calibri"/>
          <w:lang w:val="en-US"/>
        </w:rPr>
        <w:t xml:space="preserve"> of the crosslinked complexes, broadening the scope of the TCP-seq applications</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EN.CITE.DATA50</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lang w:val="en-US"/>
        </w:rPr>
        <w:t>.</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ADDIN EN.CITE &lt;EndNote&gt;&lt;Cite&gt;&lt;Author&gt;Niranjanakumari&lt;/Author&gt;&lt;Year&gt;2002&lt;/Year&gt;&lt;RecNum&gt;97&lt;/RecNum&gt;&lt;DisplayText&gt;&lt;style face="superscript"&gt;47&lt;/style&gt;&lt;/DisplayText&gt;&lt;record&gt;&lt;rec-number&gt;97&lt;/rec-number&gt;&lt;foreign-keys&gt;&lt;key app="EN" db-id="av52axsxop2fwbe0dpc5a0ak5rev99w02x2w" timestamp="1608254415"&gt;97&lt;/key&gt;&lt;/foreign-keys&gt;&lt;ref-type name="Journal Article"&gt;17&lt;/ref-type&gt;&lt;contributors&gt;&lt;authors&gt;&lt;author&gt;Niranjanakumari, S.&lt;/author&gt;&lt;author&gt;Lasda, E.&lt;/author&gt;&lt;author&gt;Brazas, R.&lt;/author&gt;&lt;author&gt;Garcia-Blanco, M. A.&lt;/author&gt;&lt;/authors&gt;&lt;/contributors&gt;&lt;auth-address&gt;Department of Genetics, Duke University Medical Center, Durham, NC 27710, USA.&lt;/auth-address&gt;&lt;titles&gt;&lt;title&gt;Reversible cross-linking combined with immunoprecipitation to study RNA-protein interactions in vivo&lt;/title&gt;&lt;secondary-title&gt;Methods&lt;/secondary-title&gt;&lt;/titles&gt;&lt;periodical&gt;&lt;full-title&gt;Methods&lt;/full-title&gt;&lt;/periodical&gt;&lt;pages&gt;182-90&lt;/pages&gt;&lt;volume&gt;26&lt;/volume&gt;&lt;number&gt;2&lt;/number&gt;&lt;edition&gt;2002/06/11&lt;/edition&gt;&lt;keywords&gt;&lt;keyword&gt;Cross-Linking Reagents/*pharmacology&lt;/keyword&gt;&lt;keyword&gt;Formaldehyde/pharmacology&lt;/keyword&gt;&lt;keyword&gt;*Genetic Techniques&lt;/keyword&gt;&lt;keyword&gt;Hepatitis Delta Virus/metabolism&lt;/keyword&gt;&lt;keyword&gt;Precipitin Tests&lt;/keyword&gt;&lt;keyword&gt;Protein Binding&lt;/keyword&gt;&lt;keyword&gt;RNA/chemistry/*metabolism&lt;/keyword&gt;&lt;keyword&gt;RNA-Binding Proteins/*chemistry&lt;/keyword&gt;&lt;keyword&gt;Reverse Transcriptase Polymerase Chain Reaction&lt;/keyword&gt;&lt;keyword&gt;Ribonucleoprotein, U1 Small Nuclear/chemistry/*metabolism&lt;/keyword&gt;&lt;/keywords&gt;&lt;dates&gt;&lt;year&gt;2002&lt;/year&gt;&lt;pub-dates&gt;&lt;date&gt;Feb&lt;/date&gt;&lt;/pub-dates&gt;&lt;/dates&gt;&lt;isbn&gt;1046-2023 (Print)&amp;#xD;1046-2023&lt;/isbn&gt;&lt;accession-num&gt;12054895&lt;/accession-num&gt;&lt;urls&gt;&lt;/urls&gt;&lt;electronic-resource-num&gt;10.1016/s1046-2023(02)00021-x&lt;/electronic-resource-num&gt;&lt;remote-database-provider&gt;NLM&lt;/remote-database-provider&gt;&lt;language&gt;eng&lt;/language&gt;&lt;/record&gt;&lt;/Cite&gt;&lt;/EndNote&gt;</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t xml:space="preserve"> The rapid, efficient and reversible nature of formaldehyde crosslinking makes these approaches suitable for studying transient </w:t>
      </w:r>
      <w:proofErr w:type="spellStart"/>
      <w:r>
        <w:rPr>
          <w:rFonts w:ascii="Calibri" w:hAnsi="Calibri" w:cs="Calibri"/>
          <w:lang w:val="en-US"/>
        </w:rPr>
        <w:t>mRNA:translation</w:t>
      </w:r>
      <w:proofErr w:type="spellEnd"/>
      <w:r>
        <w:rPr>
          <w:rFonts w:ascii="Calibri" w:hAnsi="Calibri" w:cs="Calibri"/>
          <w:lang w:val="en-US"/>
        </w:rPr>
        <w:t xml:space="preserve"> complex interactions, particularly in the context of </w:t>
      </w:r>
      <w:r>
        <w:rPr>
          <w:rFonts w:ascii="Calibri" w:hAnsi="Calibri" w:cs="Calibri"/>
          <w:color w:val="000000"/>
          <w:lang w:val="en-US"/>
        </w:rPr>
        <w:t>highly dynamic</w:t>
      </w:r>
      <w:r>
        <w:rPr>
          <w:rFonts w:ascii="Calibri" w:hAnsi="Calibri" w:cs="Calibri"/>
          <w:lang w:val="en-US"/>
        </w:rPr>
        <w:t xml:space="preserve"> translation-level response pathways.</w:t>
      </w:r>
    </w:p>
    <w:p w14:paraId="4CD656A5" w14:textId="77777777" w:rsidR="006B6616" w:rsidRDefault="006B6616">
      <w:pPr>
        <w:widowControl w:val="0"/>
        <w:tabs>
          <w:tab w:val="left" w:pos="270"/>
        </w:tabs>
        <w:jc w:val="both"/>
        <w:rPr>
          <w:rFonts w:ascii="Calibri" w:hAnsi="Calibri" w:cs="Calibri"/>
          <w:lang w:val="en-US"/>
        </w:rPr>
      </w:pPr>
    </w:p>
    <w:p w14:paraId="55C6C7D0" w14:textId="77777777" w:rsidR="006B6616" w:rsidRDefault="00E473AD">
      <w:pPr>
        <w:widowControl w:val="0"/>
        <w:tabs>
          <w:tab w:val="left" w:pos="270"/>
        </w:tabs>
        <w:jc w:val="both"/>
        <w:rPr>
          <w:rFonts w:ascii="Calibri" w:hAnsi="Calibri" w:cs="Calibri"/>
        </w:rPr>
      </w:pPr>
      <w:r>
        <w:fldChar w:fldCharType="begin"/>
      </w:r>
      <w:r>
        <w:rPr>
          <w:rFonts w:ascii="Calibri" w:hAnsi="Calibri"/>
        </w:rPr>
        <w:instrText>ADDIN EN.CITE</w:instrText>
      </w:r>
      <w:r>
        <w:rPr>
          <w:rFonts w:ascii="Calibri" w:hAnsi="Calibri"/>
        </w:rPr>
        <w:fldChar w:fldCharType="separate"/>
      </w:r>
      <w:r>
        <w:fldChar w:fldCharType="begin"/>
      </w:r>
      <w:r>
        <w:rPr>
          <w:rFonts w:ascii="Calibri" w:hAnsi="Calibri"/>
        </w:rPr>
        <w:instrText>ADDIN EN.CITE.DATA</w:instrText>
      </w:r>
      <w:r w:rsidR="0021610B">
        <w:rPr>
          <w:rFonts w:ascii="Calibri" w:hAnsi="Calibri"/>
        </w:rPr>
        <w:fldChar w:fldCharType="separate"/>
      </w:r>
      <w:r>
        <w:rPr>
          <w:rFonts w:ascii="Calibri" w:hAnsi="Calibri"/>
        </w:rPr>
        <w:fldChar w:fldCharType="end"/>
      </w:r>
      <w:r>
        <w:rPr>
          <w:rFonts w:ascii="Calibri" w:hAnsi="Calibri"/>
        </w:rPr>
        <w:fldChar w:fldCharType="end"/>
      </w:r>
      <w:r>
        <w:fldChar w:fldCharType="begin"/>
      </w:r>
      <w:r>
        <w:rPr>
          <w:rFonts w:ascii="Calibri" w:hAnsi="Calibri"/>
        </w:rPr>
        <w:instrText>Henc</w:instrText>
      </w:r>
      <w:r>
        <w:rPr>
          <w:rFonts w:ascii="Calibri" w:hAnsi="Calibri"/>
        </w:rPr>
        <w:fldChar w:fldCharType="separate"/>
      </w:r>
      <w:r>
        <w:fldChar w:fldCharType="begin"/>
      </w:r>
      <w:r>
        <w:rPr>
          <w:rFonts w:ascii="Calibri" w:hAnsi="Calibri"/>
        </w:rPr>
        <w:instrText>48.</w:instrText>
      </w:r>
      <w:r w:rsidR="0021610B">
        <w:rPr>
          <w:rFonts w:ascii="Calibri" w:hAnsi="Calibri"/>
        </w:rPr>
        <w:fldChar w:fldCharType="separate"/>
      </w:r>
      <w:r>
        <w:rPr>
          <w:rFonts w:ascii="Calibri" w:hAnsi="Calibri"/>
        </w:rPr>
        <w:fldChar w:fldCharType="end"/>
      </w:r>
      <w:r>
        <w:rPr>
          <w:rFonts w:ascii="Calibri" w:hAnsi="Calibri"/>
        </w:rPr>
        <w:fldChar w:fldCharType="end"/>
      </w:r>
      <w:r>
        <w:fldChar w:fldCharType="begin"/>
      </w:r>
      <w:r>
        <w:rPr>
          <w:rFonts w:ascii="Calibri" w:hAnsi="Calibri"/>
        </w:rPr>
        <w:instrText>49. D</w:instrText>
      </w:r>
      <w:r w:rsidR="0021610B">
        <w:rPr>
          <w:rFonts w:ascii="Calibri" w:hAnsi="Calibri"/>
        </w:rPr>
        <w:fldChar w:fldCharType="separate"/>
      </w:r>
      <w:r>
        <w:rPr>
          <w:rFonts w:ascii="Calibri" w:hAnsi="Calibri"/>
        </w:rPr>
        <w:fldChar w:fldCharType="end"/>
      </w:r>
      <w:r>
        <w:rPr>
          <w:rFonts w:ascii="Calibri" w:hAnsi="Calibri" w:cs="Calibri"/>
          <w:lang w:val="en-US"/>
        </w:rPr>
        <w:t xml:space="preserve">Here </w:t>
      </w:r>
      <w:r>
        <w:rPr>
          <w:rFonts w:ascii="Calibri" w:hAnsi="Calibri" w:cs="Calibri"/>
          <w:color w:val="000000"/>
          <w:lang w:val="en-US"/>
        </w:rPr>
        <w:t xml:space="preserve">we </w:t>
      </w:r>
      <w:r>
        <w:fldChar w:fldCharType="begin"/>
      </w:r>
      <w:r>
        <w:rPr>
          <w:rFonts w:ascii="Calibri" w:hAnsi="Calibri" w:cs="Calibri"/>
          <w:color w:val="000000"/>
          <w:lang w:val="en-US"/>
        </w:rPr>
        <w:instrText>The</w:instrText>
      </w:r>
      <w:r>
        <w:rPr>
          <w:rFonts w:ascii="Calibri" w:hAnsi="Calibri" w:cs="Calibri"/>
          <w:color w:val="000000"/>
          <w:lang w:val="en-US"/>
        </w:rPr>
        <w:fldChar w:fldCharType="separate"/>
      </w:r>
      <w:r>
        <w:fldChar w:fldCharType="begin"/>
      </w:r>
      <w:r>
        <w:rPr>
          <w:rFonts w:ascii="Calibri" w:hAnsi="Calibri" w:cs="Calibri"/>
          <w:color w:val="000000"/>
          <w:lang w:val="en-US"/>
        </w:rPr>
        <w:instrText>43.</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43. This</w:instrText>
      </w:r>
      <w:r>
        <w:rPr>
          <w:rFonts w:ascii="Calibri" w:hAnsi="Calibri" w:cs="Calibri"/>
          <w:color w:val="000000"/>
          <w:lang w:val="en-US"/>
        </w:rPr>
        <w:fldChar w:fldCharType="separate"/>
      </w:r>
      <w:r>
        <w:fldChar w:fldCharType="begin"/>
      </w:r>
      <w:r>
        <w:rPr>
          <w:rFonts w:ascii="Calibri" w:hAnsi="Calibri" w:cs="Calibri"/>
          <w:color w:val="000000"/>
          <w:lang w:val="en-US"/>
        </w:rPr>
        <w:instrText>12,</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50,51. The</w:instrText>
      </w:r>
      <w:r>
        <w:rPr>
          <w:rFonts w:ascii="Calibri" w:hAnsi="Calibri" w:cs="Calibri"/>
          <w:color w:val="000000"/>
          <w:lang w:val="en-US"/>
        </w:rPr>
        <w:fldChar w:fldCharType="separate"/>
      </w:r>
      <w:r>
        <w:fldChar w:fldCharType="begin"/>
      </w:r>
      <w:r>
        <w:rPr>
          <w:rFonts w:ascii="Calibri" w:hAnsi="Calibri" w:cs="Calibri"/>
          <w:color w:val="000000"/>
          <w:lang w:val="en-US"/>
        </w:rPr>
        <w:instrText>14,</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and m</w:instrText>
      </w:r>
      <w:r>
        <w:rPr>
          <w:rFonts w:ascii="Calibri" w:hAnsi="Calibri" w:cs="Calibri"/>
          <w:color w:val="000000"/>
          <w:lang w:val="en-US"/>
        </w:rPr>
        <w:fldChar w:fldCharType="separate"/>
      </w:r>
      <w:r>
        <w:fldChar w:fldCharType="begin"/>
      </w:r>
      <w:r>
        <w:rPr>
          <w:rFonts w:ascii="Calibri" w:hAnsi="Calibri" w:cs="Calibri"/>
          <w:color w:val="000000"/>
          <w:lang w:val="en-US"/>
        </w:rPr>
        <w:instrText>43</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cells</w:instrText>
      </w:r>
      <w:r>
        <w:rPr>
          <w:rFonts w:ascii="Calibri" w:hAnsi="Calibri" w:cs="Calibri"/>
          <w:color w:val="000000"/>
          <w:lang w:val="en-US"/>
        </w:rPr>
        <w:fldChar w:fldCharType="separate"/>
      </w:r>
      <w:r>
        <w:fldChar w:fldCharType="begin"/>
      </w:r>
      <w:r>
        <w:rPr>
          <w:rFonts w:ascii="Calibri" w:hAnsi="Calibri" w:cs="Calibri"/>
          <w:color w:val="000000"/>
          <w:lang w:val="en-US"/>
        </w:rPr>
        <w:instrText>44</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whic</w:instrText>
      </w:r>
      <w:r>
        <w:rPr>
          <w:rFonts w:ascii="Calibri" w:hAnsi="Calibri" w:cs="Calibri"/>
          <w:color w:val="000000"/>
          <w:lang w:val="en-US"/>
        </w:rPr>
        <w:fldChar w:fldCharType="separate"/>
      </w:r>
      <w:r>
        <w:fldChar w:fldCharType="begin"/>
      </w:r>
      <w:r>
        <w:rPr>
          <w:rFonts w:ascii="Calibri" w:hAnsi="Calibri" w:cs="Calibri"/>
          <w:color w:val="000000"/>
          <w:lang w:val="en-US"/>
        </w:rPr>
        <w:instrText>43,</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51-53 IP co</w:instrText>
      </w:r>
      <w:r>
        <w:rPr>
          <w:rFonts w:ascii="Calibri" w:hAnsi="Calibri" w:cs="Calibri"/>
          <w:color w:val="000000"/>
          <w:lang w:val="en-US"/>
        </w:rPr>
        <w:fldChar w:fldCharType="separate"/>
      </w:r>
      <w:r>
        <w:fldChar w:fldCharType="begin"/>
      </w:r>
      <w:r>
        <w:rPr>
          <w:rFonts w:ascii="Calibri" w:hAnsi="Calibri" w:cs="Calibri"/>
          <w:color w:val="000000"/>
          <w:lang w:val="en-US"/>
        </w:rPr>
        <w:instrText>44,</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rPr>
          <w:rFonts w:ascii="Calibri" w:hAnsi="Calibri" w:cs="Calibri"/>
          <w:lang w:val="en-US"/>
        </w:rPr>
        <w:t xml:space="preserve">detail the processes of </w:t>
      </w:r>
      <w:r>
        <w:rPr>
          <w:rFonts w:ascii="Calibri" w:hAnsi="Calibri" w:cs="Calibri"/>
          <w:i/>
          <w:iCs/>
          <w:lang w:val="en-US"/>
        </w:rPr>
        <w:t>in vivo</w:t>
      </w:r>
      <w:r>
        <w:rPr>
          <w:rFonts w:ascii="Calibri" w:hAnsi="Calibri" w:cs="Calibri"/>
          <w:lang w:val="en-US"/>
        </w:rPr>
        <w:t xml:space="preserve"> formaldehyde crosslinking for the purpose of comprehensive translation complex stabilization and isolation. We provide separate protocols nuanced for yeast and mammalian cells (</w:t>
      </w:r>
      <w:r>
        <w:rPr>
          <w:rFonts w:ascii="Calibri" w:hAnsi="Calibri" w:cs="Calibri"/>
          <w:b/>
          <w:bCs/>
          <w:lang w:val="en-US"/>
        </w:rPr>
        <w:t>Figure 1</w:t>
      </w:r>
      <w:r>
        <w:rPr>
          <w:rFonts w:ascii="Calibri" w:hAnsi="Calibri" w:cs="Calibri"/>
          <w:lang w:val="en-US"/>
        </w:rPr>
        <w:t>). We further outline examples of the subsequent use of the crosslink-stabilized material (</w:t>
      </w:r>
      <w:r>
        <w:rPr>
          <w:rFonts w:ascii="Calibri" w:hAnsi="Calibri" w:cs="Calibri"/>
          <w:b/>
          <w:bCs/>
          <w:lang w:val="en-US"/>
        </w:rPr>
        <w:t>Figure 1</w:t>
      </w:r>
      <w:r>
        <w:rPr>
          <w:rFonts w:ascii="Calibri" w:hAnsi="Calibri" w:cs="Calibri"/>
          <w:lang w:val="en-US"/>
        </w:rPr>
        <w:t>), such as for co-purified protein factor detection using immunoblotting (western-blotting), immuno-assisted purification (or ‘immunoprecipitation’; IP) and enrichment of translational complexes containing specific factors of interest, electron microscopy and RNA sequencing.</w:t>
      </w:r>
    </w:p>
    <w:p w14:paraId="45EC6887" w14:textId="77777777" w:rsidR="006B6616" w:rsidRDefault="006B6616">
      <w:pPr>
        <w:widowControl w:val="0"/>
        <w:tabs>
          <w:tab w:val="left" w:pos="270"/>
        </w:tabs>
        <w:jc w:val="both"/>
        <w:rPr>
          <w:rFonts w:ascii="Calibri" w:hAnsi="Calibri" w:cs="Calibri"/>
          <w:lang w:val="en-US"/>
        </w:rPr>
      </w:pPr>
    </w:p>
    <w:p w14:paraId="1972E773" w14:textId="77777777" w:rsidR="006B6616" w:rsidRDefault="00E473AD">
      <w:pPr>
        <w:widowControl w:val="0"/>
        <w:tabs>
          <w:tab w:val="left" w:pos="270"/>
        </w:tabs>
        <w:jc w:val="both"/>
        <w:rPr>
          <w:rFonts w:ascii="Calibri" w:hAnsi="Calibri" w:cs="Calibri"/>
        </w:rPr>
      </w:pPr>
      <w:r>
        <w:rPr>
          <w:rFonts w:ascii="Calibri" w:hAnsi="Calibri" w:cs="Calibri"/>
          <w:lang w:val="en-US"/>
        </w:rPr>
        <w:t xml:space="preserve">[Place </w:t>
      </w:r>
      <w:r>
        <w:rPr>
          <w:rFonts w:ascii="Calibri" w:hAnsi="Calibri" w:cs="Calibri"/>
          <w:b/>
          <w:bCs/>
          <w:lang w:val="en-US"/>
        </w:rPr>
        <w:t>Figure 1</w:t>
      </w:r>
      <w:r>
        <w:rPr>
          <w:rFonts w:ascii="Calibri" w:hAnsi="Calibri" w:cs="Calibri"/>
          <w:lang w:val="en-US"/>
        </w:rPr>
        <w:t xml:space="preserve"> here]</w:t>
      </w:r>
      <w:r>
        <w:fldChar w:fldCharType="begin"/>
      </w:r>
      <w:r>
        <w:rPr>
          <w:rFonts w:ascii="Calibri" w:hAnsi="Calibri" w:cs="Calibri"/>
          <w:lang w:val="en-US"/>
        </w:rPr>
        <w:instrText>ADDIN EN.CITE</w:instrText>
      </w:r>
      <w:r>
        <w:rPr>
          <w:rFonts w:ascii="Calibri" w:hAnsi="Calibri" w:cs="Calibri"/>
          <w:lang w:val="en-US"/>
        </w:rPr>
        <w:fldChar w:fldCharType="separate"/>
      </w:r>
      <w:r>
        <w:fldChar w:fldCharType="begin"/>
      </w:r>
      <w:r>
        <w:rPr>
          <w:rFonts w:ascii="Calibri" w:hAnsi="Calibri" w:cs="Calibri"/>
          <w:lang w:val="en-US"/>
        </w:rPr>
        <w:instrText>ADDIN EN.CITE.DATA</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p>
    <w:p w14:paraId="6825E989" w14:textId="77777777" w:rsidR="006B6616" w:rsidRDefault="006B6616">
      <w:pPr>
        <w:widowControl w:val="0"/>
        <w:tabs>
          <w:tab w:val="left" w:pos="270"/>
        </w:tabs>
        <w:jc w:val="both"/>
        <w:rPr>
          <w:rFonts w:ascii="Calibri" w:hAnsi="Calibri" w:cs="Calibri"/>
          <w:b/>
          <w:lang w:val="en-US"/>
        </w:rPr>
      </w:pPr>
      <w:bookmarkStart w:id="1" w:name="_Hlk622484071"/>
      <w:bookmarkEnd w:id="1"/>
    </w:p>
    <w:p w14:paraId="117D26E8" w14:textId="77777777" w:rsidR="006B6616" w:rsidRDefault="00E473AD">
      <w:pPr>
        <w:widowControl w:val="0"/>
        <w:tabs>
          <w:tab w:val="left" w:pos="270"/>
        </w:tabs>
        <w:jc w:val="both"/>
        <w:rPr>
          <w:rFonts w:ascii="Calibri" w:hAnsi="Calibri" w:cs="Calibri"/>
        </w:rPr>
      </w:pPr>
      <w:bookmarkStart w:id="2" w:name="Protocol"/>
      <w:r>
        <w:rPr>
          <w:rFonts w:ascii="Calibri" w:hAnsi="Calibri" w:cs="Calibri"/>
          <w:b/>
          <w:lang w:val="en-US"/>
        </w:rPr>
        <w:t>PROTOCOL</w:t>
      </w:r>
      <w:bookmarkEnd w:id="2"/>
      <w:r>
        <w:rPr>
          <w:rFonts w:ascii="Calibri" w:hAnsi="Calibri" w:cs="Calibri"/>
          <w:b/>
          <w:lang w:val="en-US"/>
        </w:rPr>
        <w:t>:</w:t>
      </w:r>
    </w:p>
    <w:p w14:paraId="094A489C" w14:textId="77777777" w:rsidR="006B6616" w:rsidRDefault="006B6616">
      <w:pPr>
        <w:widowControl w:val="0"/>
        <w:tabs>
          <w:tab w:val="left" w:pos="270"/>
        </w:tabs>
        <w:jc w:val="both"/>
        <w:rPr>
          <w:rFonts w:ascii="Calibri" w:hAnsi="Calibri" w:cs="Calibri"/>
          <w:b/>
          <w:lang w:val="en-US"/>
        </w:rPr>
      </w:pPr>
    </w:p>
    <w:p w14:paraId="01D0303D" w14:textId="77777777" w:rsidR="006B6616" w:rsidRDefault="00E473AD">
      <w:pPr>
        <w:pStyle w:val="wStandard"/>
        <w:numPr>
          <w:ilvl w:val="0"/>
          <w:numId w:val="3"/>
        </w:numPr>
        <w:tabs>
          <w:tab w:val="left" w:pos="1077"/>
        </w:tabs>
        <w:spacing w:line="240" w:lineRule="auto"/>
        <w:jc w:val="both"/>
        <w:rPr>
          <w:rFonts w:cs="Calibri"/>
        </w:rPr>
      </w:pPr>
      <w:r>
        <w:rPr>
          <w:rFonts w:eastAsia="Arial" w:cs="Calibri"/>
          <w:b/>
          <w:bCs/>
          <w:sz w:val="24"/>
          <w:szCs w:val="24"/>
          <w:lang w:val="en-US"/>
        </w:rPr>
        <w:t>Yeast cell protocol</w:t>
      </w:r>
    </w:p>
    <w:p w14:paraId="2AD7440A" w14:textId="77777777" w:rsidR="006B6616" w:rsidRDefault="006B6616">
      <w:pPr>
        <w:pStyle w:val="wStandard"/>
        <w:tabs>
          <w:tab w:val="left" w:pos="1077"/>
        </w:tabs>
        <w:spacing w:line="240" w:lineRule="auto"/>
        <w:jc w:val="both"/>
        <w:rPr>
          <w:rFonts w:cs="Calibri"/>
        </w:rPr>
      </w:pPr>
    </w:p>
    <w:p w14:paraId="1F5A1019" w14:textId="77777777" w:rsidR="006B6616" w:rsidRDefault="00E473AD">
      <w:pPr>
        <w:pStyle w:val="wStandard"/>
        <w:numPr>
          <w:ilvl w:val="1"/>
          <w:numId w:val="2"/>
        </w:numPr>
        <w:tabs>
          <w:tab w:val="left" w:pos="1077"/>
        </w:tabs>
        <w:spacing w:line="240" w:lineRule="auto"/>
        <w:jc w:val="both"/>
        <w:rPr>
          <w:rFonts w:cs="Calibri"/>
        </w:rPr>
      </w:pPr>
      <w:r>
        <w:rPr>
          <w:rFonts w:eastAsia="Arial" w:cs="Calibri"/>
          <w:b/>
          <w:bCs/>
          <w:color w:val="000000" w:themeColor="text1"/>
          <w:sz w:val="24"/>
          <w:szCs w:val="24"/>
          <w:lang w:val="en-US"/>
        </w:rPr>
        <w:t>Yeast cell culture and fixation</w:t>
      </w:r>
    </w:p>
    <w:p w14:paraId="5D285F1B" w14:textId="77777777" w:rsidR="006B6616" w:rsidRDefault="006B6616">
      <w:pPr>
        <w:pStyle w:val="wStandard"/>
        <w:tabs>
          <w:tab w:val="left" w:pos="1077"/>
        </w:tabs>
        <w:spacing w:line="240" w:lineRule="auto"/>
        <w:jc w:val="both"/>
        <w:rPr>
          <w:rFonts w:eastAsia="Arial" w:cs="Calibri"/>
          <w:b/>
          <w:bCs/>
          <w:sz w:val="24"/>
          <w:szCs w:val="24"/>
        </w:rPr>
      </w:pPr>
    </w:p>
    <w:p w14:paraId="70D56858" w14:textId="77777777" w:rsidR="006B6616" w:rsidRDefault="00E473AD">
      <w:pPr>
        <w:pStyle w:val="wNormal"/>
        <w:spacing w:before="0" w:after="0" w:line="240" w:lineRule="auto"/>
        <w:rPr>
          <w:rFonts w:ascii="Calibri" w:hAnsi="Calibri" w:cs="Calibri"/>
        </w:rPr>
      </w:pPr>
      <w:r>
        <w:rPr>
          <w:rFonts w:ascii="Calibri" w:eastAsia="Arial" w:hAnsi="Calibri" w:cs="Calibri"/>
          <w:color w:val="000000"/>
          <w:lang w:val="en-US"/>
        </w:rPr>
        <w:t>NOTE: Cell fixation and harvesting are adapted from</w:t>
      </w:r>
      <w:r>
        <w:fldChar w:fldCharType="begin"/>
      </w:r>
      <w:r>
        <w:rPr>
          <w:rFonts w:ascii="Calibri" w:eastAsia="Arial" w:hAnsi="Calibri" w:cs="Calibri"/>
          <w:color w:val="000000"/>
          <w:lang w:val="en-US"/>
        </w:rPr>
        <w:instrText>ADDIN ZOTERO_ITEM CSL_CITATION {"citationID":"NbG2cAsw","properties":{"formattedCitation":"\\super 10, 32\\nosupersub{}","plainCitation":"10, 32","dontUpdate":true,"noteIndex":0},"citationItems":[{"id":274,"uris":["http://zotero.org/users/6977825/items/NRI4UE8J"],"uri":["http://zotero.org/users/6977825/items/NRI4UE8J"],"itemData":{"id":274,"type":"article-journal","abstract":"Regulation of messenger RNA translation is central to eukaryotic gene expression control. Regulatory inputs are specified by them RNA untranslated regions (UTRs) and often target translation initiation. Initiation involves binding of the 40S ribosomal small subunit (SSU) and associated eukaryotic initiation factors (eIFs)near the mRNA 5′ cap; the SSU then scans in the 3′ direction until it detects the start codon and is joined by the 60S ribosomal large subunit (LSU) to form the 80S ribosome. Scanning and other dynamic aspects of the initiation model have remained as conjectures because methods to trap early intermediates were lacking. Here we uncover the dynamics of the complete translation cycle in live yeast cells using translation complex profile sequencing (TCP-seq), a method developed from the ribosome profiling approach. We document scanning by observing SSU footprints along 5′ UTRs. Scanning SSU have 5′-extended footprints (up to~75 nucleotides), indicative of additional interactions with mRNA emerging from the exit channel, promoting forward movement. We visualized changes in initiation complex conformation as SSU footprints coalesced into three major sizes at start codons (19, 29 and 37 nucleotides). These share the same 5′ start site but differ at the 3′ end, reflecting successive changes at the entry channel from an open to a closed state following start codon recognition. We also observe SSU 'lingering' at stop codons after LSU departure. Our results underpin mechanistic models of translation initiation and termination, built on decades of biochemical and structural investigation, with direct genome-wide in vivo evidence. Our approach captures ribosomal complexes at all phases of translation and will aid in studying translation dynamics in diverse cellular contexts. Dysregulation of translation is common in disease and, for example, SSU scanning is a target of anti-cancer drug development. TCP-seq will prove useful in discerning differences in mRNA-specific initiation in pathologies and their response to treatment.","archive_location":"27437580","container-title":"Nature","DOI":"10.1038/nature18647","ISSN":"0028-0836","issue":"7613","language":"eng","note":"edition: 2016/07/21","page":"570-4","source":"NLM","title":"Dynamics of ribosome scanning and recycling revealed by translation complex profiling","volume":"535","author":[{"family":"Archer","given":"S. K."},{"family":"Shirokikh","given":"N. E."},{"family":"Beilharz","given":"T. H."},{"family":"Preiss","given":"T."}],"issued":{"date-parts":[["2016",7,28]]}}},{"id":374,"uris":["http://zotero.org/users/6977825/items/DXAVYW7C"],"uri":["http://zotero.org/users/6977825/items/DXAVYW7C"],"itemData":{"id":374,"type":"article-journal","abstract":"Messenger RNA (mRNA) translation is a tightly controlled process that is integral to gene expression. It features intricate and dynamic interactions of the small and large subunits of the ribosome with mRNAs, aided by multiple auxiliary factors during distinct initiation, elongation and termination phases. The recently developed ribosome profiling method can generate transcriptome-wide surveys of translation and its regulation. Ribosome profiling records the footprints of fully assembled ribosomes along mRNAs and thus primarily interrogates the elongation phase of translation. Importantly, it does not monitor multiple substeps of initiation and termination that involve complexes between the small ribosomal subunit (SSU) and mRNA. Here we describe a related method, termed 'translation complex profile sequencing' (TCP-seq), that is uniquely capable of recording positions of any type of ribosome-mRNA complex transcriptome-wide. It uses fast covalent fixation of translation complexes in live cells, followed by RNase footprinting of translation intermediates and their separation into complexes involving either the full ribosome or the SSU. The footprints derived from each type of complex are then deep-sequenced separately, generating native distribution profiles during the elongation, as well as the initiation and termination stages of translation. We provide the full TCP-seq protocol for Saccharomyces cerevisiae liquid suspension culture, including a data analysis pipeline. The protocol takes ∼3 weeks to complete by a researcher who is well acquainted with standard molecular biology techniques and who has some experience in ultracentrifugation and the preparation of RNA sequencing (RNA-seq) libraries. Basic Bash and UNIX/Linux command skills are required to use the bioinformatics tools provided.","archive_location":"28253237","container-title":"Nature Protocols","DOI":"10.1038/nprot.2016.189","ISSN":"1750-2799","issue":"4","language":"eng","note":"edition: 2017/03/03","page":"697-731","source":"NLM","title":"Translation complex profile sequencing to study the in vivo dynamics of mRNA-ribosome interactions during translation initiation, elongation and termination","volume":"12","author":[{"family":"Shirokikh","given":"N. E."},{"family":"Archer","given":"S. K."},{"family":"Beilharz","given":"T. H."},{"family":"Powell","given":"D."},{"family":"Preiss","given":"T."}],"issued":{"date-parts":[["2017",4]]}}}],"schema":"https://github.com/citation-style-language/schema/raw/master/csl-citation.json"}</w:instrText>
      </w:r>
      <w:r>
        <w:rPr>
          <w:rFonts w:ascii="Calibri" w:eastAsia="Arial" w:hAnsi="Calibri" w:cs="Calibri"/>
          <w:color w:val="000000"/>
          <w:lang w:val="en-US"/>
        </w:rPr>
        <w:fldChar w:fldCharType="separate"/>
      </w:r>
      <w:r>
        <w:rPr>
          <w:rFonts w:ascii="Calibri" w:hAnsi="Calibri" w:cs="Calibri"/>
          <w:vertAlign w:val="superscript"/>
          <w:lang w:val="en-US"/>
        </w:rPr>
        <w:t>10,36</w:t>
      </w:r>
      <w:r>
        <w:rPr>
          <w:rFonts w:ascii="Calibri" w:eastAsia="Arial" w:hAnsi="Calibri" w:cs="Calibri"/>
          <w:color w:val="000000"/>
          <w:lang w:val="en-US"/>
        </w:rPr>
        <w:fldChar w:fldCharType="end"/>
      </w:r>
      <w:r>
        <w:fldChar w:fldCharType="begin"/>
      </w:r>
      <w:r>
        <w:rPr>
          <w:rFonts w:ascii="Calibri" w:eastAsia="Arial" w:hAnsi="Calibri" w:cs="Calibri"/>
          <w:color w:val="000000"/>
          <w:lang w:val="en-US"/>
        </w:rPr>
        <w:instrText>ADDIN EN.CITE</w:instrText>
      </w:r>
      <w:r>
        <w:rPr>
          <w:rFonts w:ascii="Calibri" w:eastAsia="Arial" w:hAnsi="Calibri" w:cs="Calibri"/>
          <w:color w:val="000000"/>
          <w:lang w:val="en-US"/>
        </w:rPr>
        <w:fldChar w:fldCharType="separate"/>
      </w:r>
      <w:r>
        <w:fldChar w:fldCharType="begin"/>
      </w:r>
      <w:r>
        <w:rPr>
          <w:rFonts w:ascii="Calibri" w:eastAsia="Arial" w:hAnsi="Calibri" w:cs="Calibri"/>
          <w:color w:val="000000"/>
          <w:lang w:val="en-US"/>
        </w:rPr>
        <w:instrText>ADDIN EN.CITE.DATA49</w:instrText>
      </w:r>
      <w:r w:rsidR="0021610B">
        <w:rPr>
          <w:rFonts w:ascii="Calibri" w:eastAsia="Arial" w:hAnsi="Calibri" w:cs="Calibri"/>
          <w:color w:val="000000"/>
          <w:lang w:val="en-US"/>
        </w:rPr>
        <w:fldChar w:fldCharType="separate"/>
      </w:r>
      <w:r>
        <w:rPr>
          <w:rFonts w:ascii="Calibri" w:eastAsia="Arial" w:hAnsi="Calibri" w:cs="Calibri"/>
          <w:color w:val="000000"/>
          <w:lang w:val="en-US"/>
        </w:rPr>
        <w:fldChar w:fldCharType="end"/>
      </w:r>
      <w:r>
        <w:rPr>
          <w:rFonts w:ascii="Calibri" w:eastAsia="Arial" w:hAnsi="Calibri" w:cs="Calibri"/>
          <w:color w:val="000000"/>
          <w:lang w:val="en-US"/>
        </w:rPr>
        <w:fldChar w:fldCharType="end"/>
      </w:r>
      <w:r>
        <w:rPr>
          <w:rFonts w:ascii="Calibri" w:eastAsia="Arial" w:hAnsi="Calibri" w:cs="Calibri"/>
          <w:color w:val="000000"/>
          <w:vertAlign w:val="superscript"/>
          <w:lang w:val="en-US"/>
        </w:rPr>
        <w:t>﻿</w:t>
      </w:r>
      <w:r>
        <w:fldChar w:fldCharType="begin"/>
      </w:r>
      <w:r>
        <w:rPr>
          <w:rFonts w:ascii="Calibri" w:eastAsia="Arial" w:hAnsi="Calibri" w:cs="Calibri"/>
          <w:color w:val="000000"/>
          <w:vertAlign w:val="superscript"/>
          <w:lang w:val="en-US"/>
        </w:rPr>
        <w:instrText>ADDIN EN.CITE</w:instrText>
      </w:r>
      <w:r>
        <w:rPr>
          <w:rFonts w:ascii="Calibri" w:eastAsia="Arial" w:hAnsi="Calibri" w:cs="Calibri"/>
          <w:color w:val="000000"/>
          <w:vertAlign w:val="superscript"/>
          <w:lang w:val="en-US"/>
        </w:rPr>
        <w:fldChar w:fldCharType="separate"/>
      </w:r>
      <w:r>
        <w:fldChar w:fldCharType="begin"/>
      </w:r>
      <w:r>
        <w:rPr>
          <w:rFonts w:ascii="Calibri" w:eastAsia="Arial" w:hAnsi="Calibri" w:cs="Calibri"/>
          <w:color w:val="000000"/>
          <w:vertAlign w:val="superscript"/>
          <w:lang w:val="en-US"/>
        </w:rPr>
        <w:instrText>ADDIN EN.CITE.DATA</w:instrText>
      </w:r>
      <w:r w:rsidR="0021610B">
        <w:rPr>
          <w:rFonts w:ascii="Calibri" w:eastAsia="Arial" w:hAnsi="Calibri" w:cs="Calibri"/>
          <w:color w:val="000000"/>
          <w:vertAlign w:val="superscript"/>
          <w:lang w:val="en-US"/>
        </w:rPr>
        <w:fldChar w:fldCharType="separate"/>
      </w:r>
      <w:r>
        <w:rPr>
          <w:rFonts w:ascii="Calibri" w:eastAsia="Arial" w:hAnsi="Calibri" w:cs="Calibri"/>
          <w:color w:val="000000"/>
          <w:vertAlign w:val="superscript"/>
          <w:lang w:val="en-US"/>
        </w:rPr>
        <w:fldChar w:fldCharType="end"/>
      </w:r>
      <w:r>
        <w:rPr>
          <w:rFonts w:ascii="Calibri" w:eastAsia="Arial" w:hAnsi="Calibri" w:cs="Calibri"/>
          <w:color w:val="000000"/>
          <w:vertAlign w:val="superscript"/>
          <w:lang w:val="en-US"/>
        </w:rPr>
        <w:fldChar w:fldCharType="end"/>
      </w:r>
      <w:r>
        <w:rPr>
          <w:rFonts w:ascii="Calibri" w:eastAsia="Arial" w:hAnsi="Calibri" w:cs="Calibri"/>
          <w:color w:val="000000"/>
          <w:lang w:val="en-US"/>
        </w:rPr>
        <w:t xml:space="preserve"> with modifications.</w:t>
      </w:r>
    </w:p>
    <w:p w14:paraId="4610FA7E" w14:textId="77777777" w:rsidR="006B6616" w:rsidRDefault="006B6616">
      <w:pPr>
        <w:pStyle w:val="wNormal"/>
        <w:tabs>
          <w:tab w:val="clear" w:pos="733"/>
          <w:tab w:val="left" w:pos="1077"/>
        </w:tabs>
        <w:spacing w:before="0" w:after="0" w:line="240" w:lineRule="auto"/>
        <w:rPr>
          <w:rFonts w:ascii="Calibri" w:hAnsi="Calibri" w:cs="Calibri"/>
        </w:rPr>
      </w:pPr>
    </w:p>
    <w:p w14:paraId="14669DCD"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fldChar w:fldCharType="begin"/>
      </w:r>
      <w:r>
        <w:rPr>
          <w:rFonts w:ascii="Calibri" w:hAnsi="Calibri"/>
        </w:rPr>
        <w:instrText>ADDIN EN.CITE</w:instrText>
      </w:r>
      <w:r w:rsidR="0021610B">
        <w:rPr>
          <w:rFonts w:ascii="Calibri" w:hAnsi="Calibri"/>
        </w:rPr>
        <w:fldChar w:fldCharType="separate"/>
      </w:r>
      <w:r>
        <w:rPr>
          <w:rFonts w:ascii="Calibri" w:hAnsi="Calibri"/>
        </w:rPr>
        <w:fldChar w:fldCharType="end"/>
      </w:r>
      <w:r>
        <w:rPr>
          <w:rFonts w:asciiTheme="minorHAnsi" w:eastAsia="Arial" w:hAnsiTheme="minorHAnsi" w:cstheme="minorHAnsi"/>
          <w:color w:val="000000"/>
          <w:lang w:val="en-US"/>
        </w:rPr>
        <w:t>Set up 1 L yeast cell culture (wild-type (WT) BY4741 are given as an example) in an orbital shaker with the starting optical density of no more than 0.05 AU at 600 nm</w:t>
      </w:r>
      <w:r>
        <w:rPr>
          <w:rFonts w:ascii="Calibri" w:eastAsia="Arial" w:hAnsi="Calibri" w:cs="Calibri"/>
          <w:color w:val="000000"/>
          <w:lang w:val="en-US"/>
        </w:rPr>
        <w:t xml:space="preserve"> </w:t>
      </w:r>
      <w:r>
        <w:rPr>
          <w:rFonts w:ascii="Calibri" w:eastAsia="Arial" w:hAnsi="Calibri" w:cs="Calibri"/>
          <w:color w:val="222222"/>
          <w:lang w:val="en-US"/>
        </w:rPr>
        <w:t>(OD</w:t>
      </w:r>
      <w:r>
        <w:rPr>
          <w:rFonts w:ascii="Calibri" w:eastAsia="Arial" w:hAnsi="Calibri" w:cs="Calibri"/>
          <w:color w:val="222222"/>
          <w:vertAlign w:val="subscript"/>
          <w:lang w:val="en-US"/>
        </w:rPr>
        <w:t>600</w:t>
      </w:r>
      <w:r>
        <w:rPr>
          <w:rFonts w:ascii="Calibri" w:eastAsia="Arial" w:hAnsi="Calibri" w:cs="Calibri"/>
          <w:color w:val="222222"/>
          <w:lang w:val="en-US"/>
        </w:rPr>
        <w:t>)</w:t>
      </w:r>
      <w:r>
        <w:rPr>
          <w:rFonts w:asciiTheme="minorHAnsi" w:eastAsia="Arial" w:hAnsiTheme="minorHAnsi" w:cstheme="minorHAnsi"/>
          <w:color w:val="000000"/>
          <w:lang w:val="en-US"/>
        </w:rPr>
        <w:t xml:space="preserve"> in suitable media (1% w/v of yeast extract, 2% w/v of peptone, 2% w/v of dextrose (glucose), 40 mg/L of adenine </w:t>
      </w:r>
      <w:r>
        <w:rPr>
          <w:rFonts w:ascii="Calibri" w:eastAsia="Arial" w:hAnsi="Calibri" w:cs="Calibri"/>
          <w:color w:val="000000"/>
          <w:lang w:val="en-US"/>
        </w:rPr>
        <w:t xml:space="preserve">sulfate (YPD) used as an example) under the desired conditions (30 </w:t>
      </w:r>
      <w:r>
        <w:rPr>
          <w:rFonts w:ascii="Calibri" w:eastAsia="Symbol" w:hAnsi="Calibri" w:cs="Calibri"/>
          <w:color w:val="000000"/>
          <w:lang w:val="en-US"/>
        </w:rPr>
        <w:t>°</w:t>
      </w:r>
      <w:r>
        <w:rPr>
          <w:rFonts w:ascii="Calibri" w:eastAsia="Arial" w:hAnsi="Calibri" w:cs="Calibri"/>
          <w:color w:val="000000"/>
          <w:lang w:val="en-US"/>
        </w:rPr>
        <w:t>C used in this experiment).</w:t>
      </w:r>
    </w:p>
    <w:p w14:paraId="3FC075C6" w14:textId="77777777" w:rsidR="006B6616" w:rsidRDefault="006B6616">
      <w:pPr>
        <w:pStyle w:val="wNormal"/>
        <w:tabs>
          <w:tab w:val="clear" w:pos="733"/>
          <w:tab w:val="left" w:pos="1077"/>
        </w:tabs>
        <w:spacing w:before="0" w:after="0" w:line="240" w:lineRule="auto"/>
        <w:rPr>
          <w:rFonts w:asciiTheme="minorHAnsi" w:hAnsiTheme="minorHAnsi" w:cstheme="minorHAnsi"/>
          <w:lang w:val="en-US"/>
        </w:rPr>
      </w:pPr>
    </w:p>
    <w:p w14:paraId="5572FE87"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Set up a preparative centrifuge with compatible rotor and centrifuge bottles for pelleting the liquid suspension culture of yeast cells. For glucose starvation experiments, pellet the cells once the optical density of 0.6–0.8 AU at 600 nm </w:t>
      </w:r>
      <w:r>
        <w:rPr>
          <w:rFonts w:ascii="Calibri" w:eastAsia="Arial" w:hAnsi="Calibri" w:cs="Calibri"/>
          <w:color w:val="222222"/>
          <w:lang w:val="en-US"/>
        </w:rPr>
        <w:t>(OD</w:t>
      </w:r>
      <w:r>
        <w:rPr>
          <w:rFonts w:ascii="Calibri" w:eastAsia="Arial" w:hAnsi="Calibri" w:cs="Calibri"/>
          <w:color w:val="222222"/>
          <w:vertAlign w:val="subscript"/>
          <w:lang w:val="en-US"/>
        </w:rPr>
        <w:t>600</w:t>
      </w:r>
      <w:r>
        <w:rPr>
          <w:rFonts w:ascii="Calibri" w:eastAsia="Arial" w:hAnsi="Calibri" w:cs="Calibri"/>
          <w:color w:val="222222"/>
          <w:lang w:val="en-US"/>
        </w:rPr>
        <w:t xml:space="preserve">) is reached, using a brief centrifugation at 30 </w:t>
      </w:r>
      <w:r>
        <w:rPr>
          <w:rFonts w:ascii="Calibri" w:eastAsia="Symbol" w:hAnsi="Calibri" w:cs="Calibri"/>
          <w:color w:val="000000"/>
          <w:lang w:val="en-US"/>
        </w:rPr>
        <w:t>°</w:t>
      </w:r>
      <w:r>
        <w:rPr>
          <w:rFonts w:ascii="Calibri" w:eastAsia="Arial" w:hAnsi="Calibri" w:cs="Calibri"/>
          <w:color w:val="000000"/>
          <w:lang w:val="en-US"/>
        </w:rPr>
        <w:t xml:space="preserve">C, 5,000 x </w:t>
      </w:r>
      <w:r>
        <w:rPr>
          <w:rFonts w:ascii="Calibri" w:eastAsia="Arial" w:hAnsi="Calibri" w:cs="Calibri"/>
          <w:i/>
          <w:iCs/>
          <w:color w:val="000000"/>
          <w:lang w:val="en-US"/>
        </w:rPr>
        <w:t>g</w:t>
      </w:r>
      <w:r>
        <w:rPr>
          <w:rFonts w:ascii="Calibri" w:eastAsia="Arial" w:hAnsi="Calibri" w:cs="Calibri"/>
          <w:color w:val="000000"/>
          <w:lang w:val="en-US"/>
        </w:rPr>
        <w:t xml:space="preserve"> for 1 min.</w:t>
      </w:r>
    </w:p>
    <w:p w14:paraId="379B5377" w14:textId="77777777" w:rsidR="006B6616" w:rsidRDefault="006B6616">
      <w:pPr>
        <w:pStyle w:val="wNormal"/>
        <w:tabs>
          <w:tab w:val="clear" w:pos="733"/>
          <w:tab w:val="left" w:pos="1077"/>
        </w:tabs>
        <w:spacing w:before="0" w:after="0" w:line="240" w:lineRule="auto"/>
        <w:rPr>
          <w:rFonts w:ascii="Calibri" w:hAnsi="Calibri" w:cs="Calibri"/>
          <w:lang w:val="en-US"/>
        </w:rPr>
      </w:pPr>
    </w:p>
    <w:p w14:paraId="5CDDCE93" w14:textId="77777777" w:rsidR="006B6616" w:rsidRDefault="00E473AD">
      <w:pPr>
        <w:pStyle w:val="wNormal"/>
        <w:tabs>
          <w:tab w:val="clear" w:pos="733"/>
          <w:tab w:val="left" w:pos="1077"/>
        </w:tabs>
        <w:spacing w:before="0" w:after="0" w:line="240" w:lineRule="auto"/>
        <w:rPr>
          <w:rFonts w:ascii="Calibri" w:hAnsi="Calibri" w:cs="Calibri"/>
        </w:rPr>
      </w:pPr>
      <w:r>
        <w:rPr>
          <w:rFonts w:ascii="Calibri" w:eastAsia="Arial" w:hAnsi="Calibri" w:cs="Calibri"/>
          <w:color w:val="000000"/>
          <w:lang w:val="en-US"/>
        </w:rPr>
        <w:t xml:space="preserve">NOTE: Keep record of the OD of the growing cells and let the cells grow until the </w:t>
      </w:r>
      <w:r>
        <w:rPr>
          <w:rFonts w:ascii="Calibri" w:eastAsia="Arial" w:hAnsi="Calibri" w:cs="Calibri"/>
          <w:color w:val="222222"/>
          <w:lang w:val="en-US"/>
        </w:rPr>
        <w:t>OD</w:t>
      </w:r>
      <w:r>
        <w:rPr>
          <w:rFonts w:ascii="Calibri" w:eastAsia="Arial" w:hAnsi="Calibri" w:cs="Calibri"/>
          <w:color w:val="222222"/>
          <w:vertAlign w:val="subscript"/>
          <w:lang w:val="en-US"/>
        </w:rPr>
        <w:t>600</w:t>
      </w:r>
      <w:r>
        <w:rPr>
          <w:rFonts w:ascii="Calibri" w:eastAsia="Arial" w:hAnsi="Calibri" w:cs="Calibri"/>
          <w:color w:val="000000"/>
          <w:lang w:val="en-US"/>
        </w:rPr>
        <w:t xml:space="preserve"> reaches an optical density of 0.6–0.8 AU if the exponential growth phase is of an interest.</w:t>
      </w:r>
    </w:p>
    <w:p w14:paraId="444ACF25"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04F98DF2"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Resuspend the pellet immediately in warm (30 </w:t>
      </w:r>
      <w:r>
        <w:rPr>
          <w:rFonts w:ascii="Calibri" w:eastAsia="Symbol" w:hAnsi="Calibri" w:cs="Calibri"/>
          <w:color w:val="000000"/>
          <w:lang w:val="en-US"/>
        </w:rPr>
        <w:t>°</w:t>
      </w:r>
      <w:r>
        <w:rPr>
          <w:rFonts w:ascii="Calibri" w:eastAsia="Arial" w:hAnsi="Calibri" w:cs="Calibri"/>
          <w:color w:val="000000"/>
          <w:lang w:val="en-US"/>
        </w:rPr>
        <w:t xml:space="preserve">C) YP media containing </w:t>
      </w:r>
      <w:r>
        <w:rPr>
          <w:rFonts w:ascii="Calibri" w:eastAsia="Arial" w:hAnsi="Calibri" w:cs="Calibri"/>
          <w:bCs/>
          <w:color w:val="000000"/>
          <w:lang w:val="en-US"/>
        </w:rPr>
        <w:t xml:space="preserve">no </w:t>
      </w:r>
      <w:r>
        <w:rPr>
          <w:rFonts w:ascii="Calibri" w:eastAsia="Arial" w:hAnsi="Calibri" w:cs="Calibri"/>
          <w:color w:val="000000"/>
          <w:lang w:val="en-US"/>
        </w:rPr>
        <w:t xml:space="preserve">or </w:t>
      </w:r>
      <w:r>
        <w:rPr>
          <w:rFonts w:ascii="Calibri" w:eastAsia="Arial" w:hAnsi="Calibri" w:cs="Calibri"/>
          <w:bCs/>
          <w:color w:val="000000"/>
          <w:lang w:val="en-US"/>
        </w:rPr>
        <w:t xml:space="preserve">low </w:t>
      </w:r>
      <w:r>
        <w:rPr>
          <w:rFonts w:ascii="Calibri" w:eastAsia="Arial" w:hAnsi="Calibri" w:cs="Calibri"/>
          <w:color w:val="000000"/>
          <w:lang w:val="en-US"/>
        </w:rPr>
        <w:t>(</w:t>
      </w:r>
      <w:r>
        <w:rPr>
          <w:rFonts w:ascii="Calibri" w:eastAsia="Arial" w:hAnsi="Calibri" w:cs="Calibri"/>
          <w:bCs/>
          <w:color w:val="000000"/>
          <w:lang w:val="en-US"/>
        </w:rPr>
        <w:t>0.25% w/v) added</w:t>
      </w:r>
      <w:r>
        <w:rPr>
          <w:rFonts w:ascii="Calibri" w:eastAsia="Arial" w:hAnsi="Calibri" w:cs="Calibri"/>
          <w:color w:val="000000"/>
          <w:lang w:val="en-US"/>
        </w:rPr>
        <w:t xml:space="preserve"> glucose and incubate the culture for a further 10 min at 30 </w:t>
      </w:r>
      <w:r>
        <w:rPr>
          <w:rFonts w:ascii="Calibri" w:eastAsia="Symbol" w:hAnsi="Calibri" w:cs="Calibri"/>
          <w:color w:val="000000"/>
          <w:lang w:val="en-US"/>
        </w:rPr>
        <w:t>°</w:t>
      </w:r>
      <w:r>
        <w:rPr>
          <w:rFonts w:ascii="Calibri" w:eastAsia="Arial" w:hAnsi="Calibri" w:cs="Calibri"/>
          <w:color w:val="000000"/>
          <w:lang w:val="en-US"/>
        </w:rPr>
        <w:t>C in an orbital shaker-incubator.</w:t>
      </w:r>
    </w:p>
    <w:p w14:paraId="74C725AC"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16FD307F" w14:textId="77777777" w:rsidR="006B6616" w:rsidRDefault="00E473AD">
      <w:pPr>
        <w:pStyle w:val="wNormal"/>
        <w:spacing w:before="0" w:after="0" w:line="240" w:lineRule="auto"/>
        <w:rPr>
          <w:rFonts w:ascii="Calibri" w:hAnsi="Calibri" w:cs="Calibri"/>
        </w:rPr>
      </w:pPr>
      <w:r>
        <w:rPr>
          <w:rFonts w:ascii="Calibri" w:hAnsi="Calibri" w:cs="Calibri"/>
          <w:lang w:val="en-US"/>
        </w:rPr>
        <w:t xml:space="preserve">NOTE: Media composition might affect subsequent cross-linking efficiency. This protocol was tested using YPD only. </w:t>
      </w:r>
      <w:r>
        <w:rPr>
          <w:rFonts w:ascii="Calibri" w:hAnsi="Calibri" w:cs="Calibri"/>
          <w:bCs/>
          <w:lang w:val="en-US"/>
        </w:rPr>
        <w:t xml:space="preserve">When performing starvation experiments, adhering to the </w:t>
      </w:r>
      <w:proofErr w:type="gramStart"/>
      <w:r>
        <w:rPr>
          <w:rFonts w:ascii="Calibri" w:hAnsi="Calibri" w:cs="Calibri"/>
          <w:bCs/>
          <w:lang w:val="en-US"/>
        </w:rPr>
        <w:t>timing</w:t>
      </w:r>
      <w:proofErr w:type="gramEnd"/>
      <w:r>
        <w:rPr>
          <w:rFonts w:ascii="Calibri" w:hAnsi="Calibri" w:cs="Calibri"/>
          <w:bCs/>
          <w:lang w:val="en-US"/>
        </w:rPr>
        <w:t xml:space="preserve"> and minimizing the delays between procedures is critical.</w:t>
      </w:r>
    </w:p>
    <w:p w14:paraId="0A3A391A" w14:textId="77777777" w:rsidR="006B6616" w:rsidRDefault="006B6616">
      <w:pPr>
        <w:pStyle w:val="wNormal"/>
        <w:spacing w:before="0" w:after="0" w:line="240" w:lineRule="auto"/>
        <w:rPr>
          <w:rFonts w:ascii="Calibri" w:hAnsi="Calibri" w:cs="Calibri"/>
          <w:bCs/>
          <w:lang w:val="en-US"/>
        </w:rPr>
      </w:pPr>
    </w:p>
    <w:p w14:paraId="76AD606D"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Once the cells are ready, set up an ice box inside the fume hood with a beaker containing 250 g of clean crushed water ice. Ensure having 25 mL </w:t>
      </w:r>
      <w:proofErr w:type="spellStart"/>
      <w:r>
        <w:rPr>
          <w:rFonts w:ascii="Calibri" w:eastAsia="Arial" w:hAnsi="Calibri" w:cs="Calibri"/>
          <w:color w:val="000000"/>
          <w:lang w:val="en-US"/>
        </w:rPr>
        <w:t>stripettes</w:t>
      </w:r>
      <w:proofErr w:type="spellEnd"/>
      <w:r>
        <w:rPr>
          <w:rFonts w:ascii="Calibri" w:eastAsia="Arial" w:hAnsi="Calibri" w:cs="Calibri"/>
          <w:color w:val="000000"/>
          <w:lang w:val="en-US"/>
        </w:rPr>
        <w:t xml:space="preserve"> and freshly purchased methanol-stabilized 37% w/v of formaldehyde solution inside the hood. Pour the 1 L culture into the beaker containing 25% w/v of crushed water ice.</w:t>
      </w:r>
    </w:p>
    <w:p w14:paraId="74592876" w14:textId="77777777" w:rsidR="006B6616" w:rsidRDefault="006B6616">
      <w:pPr>
        <w:pStyle w:val="wNormal"/>
        <w:tabs>
          <w:tab w:val="clear" w:pos="733"/>
          <w:tab w:val="left" w:pos="1077"/>
        </w:tabs>
        <w:spacing w:before="0" w:after="0" w:line="240" w:lineRule="auto"/>
        <w:rPr>
          <w:rFonts w:ascii="Calibri" w:hAnsi="Calibri" w:cs="Calibri"/>
        </w:rPr>
      </w:pPr>
    </w:p>
    <w:p w14:paraId="1B72223E" w14:textId="77777777" w:rsidR="006B6616" w:rsidRDefault="00E473AD">
      <w:pPr>
        <w:pStyle w:val="wNormal"/>
        <w:tabs>
          <w:tab w:val="clear" w:pos="733"/>
          <w:tab w:val="left" w:pos="780"/>
          <w:tab w:val="left" w:pos="1077"/>
        </w:tabs>
        <w:spacing w:before="0" w:after="0" w:line="240" w:lineRule="auto"/>
        <w:rPr>
          <w:rFonts w:ascii="Calibri" w:hAnsi="Calibri" w:cs="Calibri"/>
        </w:rPr>
      </w:pPr>
      <w:r>
        <w:rPr>
          <w:rFonts w:ascii="Calibri" w:eastAsia="Arial" w:hAnsi="Calibri" w:cs="Calibri"/>
          <w:color w:val="000000"/>
          <w:lang w:val="en-US"/>
        </w:rPr>
        <w:t>NOTE: Keep the cells on ice throughout all subsequent operations until the cells are frozen, unless indicated otherwise.</w:t>
      </w:r>
    </w:p>
    <w:p w14:paraId="0498633E" w14:textId="77777777" w:rsidR="006B6616" w:rsidRDefault="006B6616">
      <w:pPr>
        <w:pStyle w:val="wNormal"/>
        <w:spacing w:before="0" w:after="0" w:line="240" w:lineRule="auto"/>
        <w:rPr>
          <w:rFonts w:ascii="Calibri" w:eastAsia="Arial" w:hAnsi="Calibri" w:cs="Calibri"/>
          <w:color w:val="000000"/>
          <w:lang w:val="en-US"/>
        </w:rPr>
      </w:pPr>
    </w:p>
    <w:p w14:paraId="6523F645"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Pour the 1 L culture into the beaker containing the ice. Then, add 75 mL of 37% w/v of formaldehyde solution to a final concentration of 2.2% w/v and intensely stir the mixture until the ice melts.</w:t>
      </w:r>
    </w:p>
    <w:p w14:paraId="2FABB07A"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689DF203"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Once the ice is melted, set up a timer for 10 min.</w:t>
      </w:r>
    </w:p>
    <w:p w14:paraId="0E5A580D" w14:textId="77777777" w:rsidR="006B6616" w:rsidRDefault="006B6616">
      <w:pPr>
        <w:pStyle w:val="wNormal"/>
        <w:tabs>
          <w:tab w:val="clear" w:pos="733"/>
          <w:tab w:val="left" w:pos="1077"/>
        </w:tabs>
        <w:spacing w:before="0" w:after="0" w:line="240" w:lineRule="auto"/>
        <w:rPr>
          <w:rFonts w:ascii="Calibri" w:hAnsi="Calibri" w:cs="Calibri"/>
          <w:lang w:val="en-US"/>
        </w:rPr>
      </w:pPr>
    </w:p>
    <w:p w14:paraId="3AF0A0F9" w14:textId="77777777" w:rsidR="006B6616" w:rsidRDefault="00E473AD">
      <w:pPr>
        <w:pStyle w:val="wNormal"/>
        <w:tabs>
          <w:tab w:val="clear" w:pos="733"/>
          <w:tab w:val="left" w:pos="1077"/>
        </w:tabs>
        <w:spacing w:before="0" w:after="0" w:line="240" w:lineRule="auto"/>
        <w:rPr>
          <w:rFonts w:ascii="Calibri" w:hAnsi="Calibri" w:cs="Calibri"/>
        </w:rPr>
      </w:pPr>
      <w:r>
        <w:rPr>
          <w:rFonts w:ascii="Calibri" w:eastAsia="Arial" w:hAnsi="Calibri" w:cs="Calibri"/>
          <w:color w:val="000000"/>
          <w:lang w:val="en-US"/>
        </w:rPr>
        <w:t>NOTE: Adhere to the recommended timings and temperature regimen to attain reproducible fixation results.</w:t>
      </w:r>
    </w:p>
    <w:p w14:paraId="3C5C376A"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38C6B7DF"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After incubating for 10 min, transfer the culture into the precooled centrifuge bottles and pellet the cells by centrifugation at 4 °C, 5,000 x </w:t>
      </w:r>
      <w:r>
        <w:rPr>
          <w:rFonts w:ascii="Calibri" w:eastAsia="Arial" w:hAnsi="Calibri" w:cs="Calibri"/>
          <w:i/>
          <w:iCs/>
          <w:color w:val="000000"/>
          <w:lang w:val="en-US"/>
        </w:rPr>
        <w:t>g</w:t>
      </w:r>
      <w:r>
        <w:rPr>
          <w:rFonts w:ascii="Calibri" w:eastAsia="Arial" w:hAnsi="Calibri" w:cs="Calibri"/>
          <w:color w:val="000000"/>
          <w:lang w:val="en-US"/>
        </w:rPr>
        <w:t xml:space="preserve"> for 5 min. While this spin is on, precool a 50 mL tube and keep freshly prepared </w:t>
      </w:r>
      <w:r w:rsidRPr="007E2E3F">
        <w:rPr>
          <w:rFonts w:ascii="Calibri" w:eastAsia="Arial" w:hAnsi="Calibri" w:cs="Calibri"/>
          <w:color w:val="000000"/>
          <w:lang w:val="en-US"/>
        </w:rPr>
        <w:t>buffer A</w:t>
      </w:r>
      <w:r>
        <w:rPr>
          <w:rFonts w:ascii="Calibri" w:eastAsia="Arial" w:hAnsi="Calibri" w:cs="Calibri"/>
          <w:color w:val="000000"/>
          <w:lang w:val="en-US"/>
        </w:rPr>
        <w:t xml:space="preserve"> (containing glycine to neutralize any remaining formaldehyde) on ice.</w:t>
      </w:r>
    </w:p>
    <w:p w14:paraId="3A88C219"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2B8B1BFD" w14:textId="5175FF9D" w:rsidR="006B6616" w:rsidRDefault="00E473AD">
      <w:pPr>
        <w:pStyle w:val="wNormal"/>
        <w:tabs>
          <w:tab w:val="clear" w:pos="733"/>
          <w:tab w:val="left" w:pos="1077"/>
        </w:tabs>
        <w:spacing w:before="0" w:after="0" w:line="240" w:lineRule="auto"/>
        <w:rPr>
          <w:rFonts w:ascii="Calibri" w:hAnsi="Calibri" w:cs="Calibri"/>
        </w:rPr>
      </w:pPr>
      <w:r>
        <w:rPr>
          <w:rFonts w:ascii="Calibri" w:eastAsia="Arial" w:hAnsi="Calibri" w:cs="Calibri"/>
          <w:color w:val="000000"/>
          <w:lang w:val="en-US"/>
        </w:rPr>
        <w:t>NOTE: Refer to the supplied table for the exact buffer compositions.</w:t>
      </w:r>
    </w:p>
    <w:p w14:paraId="12BD89C3"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0C5AB0F2"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After centrifuging, place the centrifuge tubes onto ice with the pellet side in contact with the ice. Bring the tubes into the fume hood and discard the supernatant into a formaldehyde waste container.</w:t>
      </w:r>
    </w:p>
    <w:p w14:paraId="0E42E2BF" w14:textId="77777777" w:rsidR="006B6616" w:rsidRDefault="006B6616">
      <w:pPr>
        <w:pStyle w:val="wNormal"/>
        <w:tabs>
          <w:tab w:val="clear" w:pos="733"/>
          <w:tab w:val="left" w:pos="1077"/>
        </w:tabs>
        <w:spacing w:before="0" w:after="0" w:line="240" w:lineRule="auto"/>
        <w:rPr>
          <w:rFonts w:ascii="Calibri" w:hAnsi="Calibri" w:cs="Calibri"/>
          <w:lang w:val="en-US"/>
        </w:rPr>
      </w:pPr>
    </w:p>
    <w:p w14:paraId="37018105"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Resuspend the cell pellet from all tubes in 20 mL of buffer A using a 25 mL </w:t>
      </w:r>
      <w:proofErr w:type="spellStart"/>
      <w:r>
        <w:rPr>
          <w:rFonts w:ascii="Calibri" w:eastAsia="Arial" w:hAnsi="Calibri" w:cs="Calibri"/>
          <w:color w:val="000000"/>
          <w:lang w:val="en-US"/>
        </w:rPr>
        <w:t>stripette</w:t>
      </w:r>
      <w:proofErr w:type="spellEnd"/>
      <w:r>
        <w:rPr>
          <w:rFonts w:ascii="Calibri" w:eastAsia="Arial" w:hAnsi="Calibri" w:cs="Calibri"/>
          <w:color w:val="000000"/>
          <w:lang w:val="en-US"/>
        </w:rPr>
        <w:t xml:space="preserve"> and transferring to a 50 mL tube.</w:t>
      </w:r>
    </w:p>
    <w:p w14:paraId="4FBF692B" w14:textId="77777777" w:rsidR="006B6616" w:rsidRDefault="006B6616">
      <w:pPr>
        <w:pStyle w:val="wNormal"/>
        <w:tabs>
          <w:tab w:val="clear" w:pos="733"/>
          <w:tab w:val="left" w:pos="1077"/>
        </w:tabs>
        <w:spacing w:before="0" w:after="0" w:line="240" w:lineRule="auto"/>
        <w:rPr>
          <w:rFonts w:ascii="Calibri" w:hAnsi="Calibri" w:cs="Calibri"/>
          <w:lang w:val="en-US"/>
        </w:rPr>
      </w:pPr>
    </w:p>
    <w:p w14:paraId="7D3273FA" w14:textId="77777777" w:rsidR="006B6616" w:rsidRDefault="00E473AD">
      <w:pPr>
        <w:pStyle w:val="wNormal"/>
        <w:tabs>
          <w:tab w:val="clear" w:pos="733"/>
          <w:tab w:val="left" w:pos="1077"/>
        </w:tabs>
        <w:spacing w:before="0" w:after="0" w:line="240" w:lineRule="auto"/>
        <w:rPr>
          <w:rFonts w:ascii="Calibri" w:hAnsi="Calibri" w:cs="Calibri"/>
        </w:rPr>
      </w:pPr>
      <w:r>
        <w:rPr>
          <w:rFonts w:ascii="Calibri" w:eastAsia="Arial" w:hAnsi="Calibri" w:cs="Calibri"/>
          <w:color w:val="000000"/>
          <w:lang w:val="en-US"/>
        </w:rPr>
        <w:t>NOTE: This wash is critical for avoiding irreproducible crosslinking and the buffer addition must not exceed 20 min of time from the cells’ harvest.</w:t>
      </w:r>
    </w:p>
    <w:p w14:paraId="13984A77"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546D6875"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Make the volume up to 40 mL with buffer A</w:t>
      </w:r>
      <w:r>
        <w:rPr>
          <w:rFonts w:ascii="Calibri" w:eastAsia="Arial" w:hAnsi="Calibri" w:cs="Calibri"/>
          <w:bCs/>
          <w:color w:val="000000"/>
          <w:lang w:val="en-US"/>
        </w:rPr>
        <w:t xml:space="preserve"> and </w:t>
      </w:r>
      <w:r>
        <w:rPr>
          <w:rFonts w:ascii="Calibri" w:eastAsia="Arial" w:hAnsi="Calibri" w:cs="Calibri"/>
          <w:color w:val="000000"/>
          <w:lang w:val="en-US"/>
        </w:rPr>
        <w:t xml:space="preserve">collect the washed cells by centrifugation at 4 °C, 5,000 x </w:t>
      </w:r>
      <w:r>
        <w:rPr>
          <w:rFonts w:ascii="Calibri" w:eastAsia="Arial" w:hAnsi="Calibri" w:cs="Calibri"/>
          <w:i/>
          <w:iCs/>
          <w:color w:val="000000"/>
          <w:lang w:val="en-US"/>
        </w:rPr>
        <w:t>g</w:t>
      </w:r>
      <w:r>
        <w:rPr>
          <w:rFonts w:ascii="Calibri" w:eastAsia="Arial" w:hAnsi="Calibri" w:cs="Calibri"/>
          <w:color w:val="000000"/>
          <w:lang w:val="en-US"/>
        </w:rPr>
        <w:t xml:space="preserve"> for 5 min.</w:t>
      </w:r>
    </w:p>
    <w:p w14:paraId="044D374F"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214F8D45" w14:textId="77777777" w:rsidR="006B6616" w:rsidRDefault="00E473AD">
      <w:pPr>
        <w:pStyle w:val="wNormal"/>
        <w:numPr>
          <w:ilvl w:val="2"/>
          <w:numId w:val="4"/>
        </w:numPr>
        <w:tabs>
          <w:tab w:val="clear" w:pos="733"/>
          <w:tab w:val="left" w:pos="1077"/>
        </w:tabs>
        <w:spacing w:before="0" w:after="0" w:line="240" w:lineRule="auto"/>
        <w:ind w:left="0" w:firstLine="0"/>
        <w:rPr>
          <w:rFonts w:ascii="Calibri" w:eastAsia="Arial" w:hAnsi="Calibri" w:cs="Calibri"/>
          <w:color w:val="000000"/>
        </w:rPr>
      </w:pPr>
      <w:r>
        <w:rPr>
          <w:rFonts w:ascii="Calibri" w:eastAsia="Arial" w:hAnsi="Calibri" w:cs="Calibri"/>
          <w:color w:val="000000"/>
          <w:lang w:val="en-US"/>
        </w:rPr>
        <w:t xml:space="preserve">Discard the supernatant and resuspend the cell pellet in 40 mL of </w:t>
      </w:r>
      <w:r>
        <w:rPr>
          <w:rFonts w:ascii="Calibri" w:eastAsia="Arial" w:hAnsi="Calibri" w:cs="Calibri"/>
          <w:bCs/>
          <w:color w:val="000000"/>
          <w:lang w:val="en-US"/>
        </w:rPr>
        <w:t>buffer A1,</w:t>
      </w:r>
      <w:r>
        <w:rPr>
          <w:rFonts w:ascii="Calibri" w:eastAsia="Arial" w:hAnsi="Calibri" w:cs="Calibri"/>
          <w:color w:val="000000"/>
          <w:lang w:val="en-US"/>
        </w:rPr>
        <w:t xml:space="preserve"> which is a buffer A not containing glycine, to remove any glycine contamination.</w:t>
      </w:r>
    </w:p>
    <w:p w14:paraId="03EB530E"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75DE0265"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Pellet cells again by centrifugation at 4 °C, 5,000 x </w:t>
      </w:r>
      <w:r>
        <w:rPr>
          <w:rFonts w:ascii="Calibri" w:eastAsia="Arial" w:hAnsi="Calibri" w:cs="Calibri"/>
          <w:i/>
          <w:iCs/>
          <w:color w:val="000000"/>
          <w:lang w:val="en-US"/>
        </w:rPr>
        <w:t>g</w:t>
      </w:r>
      <w:r>
        <w:rPr>
          <w:rFonts w:ascii="Calibri" w:eastAsia="Arial" w:hAnsi="Calibri" w:cs="Calibri"/>
          <w:color w:val="000000"/>
          <w:lang w:val="en-US"/>
        </w:rPr>
        <w:t xml:space="preserve"> for 5 min.</w:t>
      </w:r>
    </w:p>
    <w:p w14:paraId="610ED360"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10CFFF4A"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Repeat the washes with buffer A1 one more time. Discard the supernatant and place the cell pellet on ice. Weigh the tube with the pellet (wet cell mass should be ~1 g per 1 L of the cell culture).</w:t>
      </w:r>
    </w:p>
    <w:p w14:paraId="16818590" w14:textId="77777777" w:rsidR="006B6616" w:rsidRDefault="006B6616">
      <w:pPr>
        <w:pStyle w:val="wNormal"/>
        <w:tabs>
          <w:tab w:val="clear" w:pos="733"/>
          <w:tab w:val="left" w:pos="1077"/>
        </w:tabs>
        <w:spacing w:before="0" w:after="0" w:line="240" w:lineRule="auto"/>
        <w:rPr>
          <w:rFonts w:ascii="Calibri" w:hAnsi="Calibri" w:cs="Calibri"/>
        </w:rPr>
      </w:pPr>
    </w:p>
    <w:p w14:paraId="01EDAA53" w14:textId="77777777" w:rsidR="006B6616" w:rsidRDefault="00E473AD">
      <w:pPr>
        <w:pStyle w:val="wStandard"/>
        <w:numPr>
          <w:ilvl w:val="1"/>
          <w:numId w:val="4"/>
        </w:numPr>
        <w:tabs>
          <w:tab w:val="left" w:pos="1077"/>
        </w:tabs>
        <w:spacing w:line="240" w:lineRule="auto"/>
        <w:ind w:left="0" w:firstLine="0"/>
        <w:jc w:val="both"/>
        <w:rPr>
          <w:rFonts w:cs="Calibri"/>
        </w:rPr>
      </w:pPr>
      <w:r>
        <w:rPr>
          <w:rFonts w:eastAsia="Arial" w:cstheme="minorHAnsi"/>
          <w:b/>
          <w:bCs/>
          <w:color w:val="000000" w:themeColor="text1"/>
          <w:sz w:val="24"/>
          <w:szCs w:val="28"/>
          <w:lang w:val="en-US"/>
        </w:rPr>
        <w:t>Yeast cell disruption and cytosol collection</w:t>
      </w:r>
    </w:p>
    <w:p w14:paraId="15ABF0CC" w14:textId="77777777" w:rsidR="006B6616" w:rsidRDefault="006B6616">
      <w:pPr>
        <w:pStyle w:val="ListParagraph"/>
        <w:spacing w:after="0" w:line="240" w:lineRule="auto"/>
        <w:ind w:left="0"/>
        <w:rPr>
          <w:rFonts w:eastAsia="Arial" w:cs="Calibri"/>
          <w:color w:val="000000"/>
          <w:lang w:val="en-US"/>
        </w:rPr>
      </w:pPr>
    </w:p>
    <w:p w14:paraId="00416FE6" w14:textId="77777777" w:rsidR="006B6616" w:rsidRDefault="00E473AD">
      <w:pPr>
        <w:pStyle w:val="ListParagraph"/>
        <w:numPr>
          <w:ilvl w:val="2"/>
          <w:numId w:val="4"/>
        </w:numPr>
        <w:tabs>
          <w:tab w:val="left" w:pos="1078"/>
        </w:tabs>
        <w:spacing w:after="0" w:line="240" w:lineRule="auto"/>
        <w:ind w:left="0" w:firstLine="0"/>
        <w:rPr>
          <w:rFonts w:cs="Calibri"/>
        </w:rPr>
      </w:pPr>
      <w:r>
        <w:rPr>
          <w:rFonts w:cs="Calibri"/>
          <w:sz w:val="24"/>
          <w:szCs w:val="24"/>
          <w:lang w:val="en-US"/>
        </w:rPr>
        <w:t xml:space="preserve">Fill a </w:t>
      </w:r>
      <w:proofErr w:type="spellStart"/>
      <w:r>
        <w:rPr>
          <w:rFonts w:cs="Calibri"/>
          <w:sz w:val="24"/>
          <w:szCs w:val="24"/>
          <w:lang w:val="en-US"/>
        </w:rPr>
        <w:t>polystrene</w:t>
      </w:r>
      <w:proofErr w:type="spellEnd"/>
      <w:r>
        <w:rPr>
          <w:rFonts w:cs="Calibri"/>
          <w:sz w:val="24"/>
          <w:szCs w:val="24"/>
          <w:lang w:val="en-US"/>
        </w:rPr>
        <w:t xml:space="preserve"> firm box lined with aluminum foil with liquid nitrogen to a depth of approximately 3 cm. Place a </w:t>
      </w:r>
      <w:r>
        <w:rPr>
          <w:rFonts w:eastAsia="Arial" w:cs="Calibri"/>
          <w:sz w:val="24"/>
          <w:szCs w:val="24"/>
          <w:lang w:val="en-US"/>
        </w:rPr>
        <w:t>50 mL tube upright in the box.</w:t>
      </w:r>
    </w:p>
    <w:p w14:paraId="696E6DFE" w14:textId="77777777" w:rsidR="006B6616" w:rsidRDefault="006B6616">
      <w:pPr>
        <w:rPr>
          <w:rFonts w:ascii="Calibri" w:hAnsi="Calibri" w:cs="Calibri"/>
          <w:color w:val="000000"/>
          <w:lang w:val="en-US"/>
        </w:rPr>
      </w:pPr>
    </w:p>
    <w:p w14:paraId="4C7EA641"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Resuspend the pellet (~1 g wet cell mass) in 550 </w:t>
      </w:r>
      <w:r>
        <w:rPr>
          <w:rFonts w:ascii="Calibri" w:eastAsia="Symbol" w:hAnsi="Calibri" w:cs="Calibri"/>
          <w:color w:val="000000"/>
          <w:lang w:val="en-US"/>
        </w:rPr>
        <w:t>µ</w:t>
      </w:r>
      <w:r>
        <w:rPr>
          <w:rFonts w:ascii="Calibri" w:eastAsia="Arial" w:hAnsi="Calibri" w:cs="Calibri"/>
          <w:color w:val="000000"/>
          <w:lang w:val="en-US"/>
        </w:rPr>
        <w:t xml:space="preserve">L of </w:t>
      </w:r>
      <w:r>
        <w:rPr>
          <w:rFonts w:ascii="Calibri" w:eastAsia="Arial" w:hAnsi="Calibri" w:cs="Calibri"/>
          <w:bCs/>
          <w:color w:val="000000"/>
          <w:lang w:val="en-US"/>
        </w:rPr>
        <w:t>buffer A2</w:t>
      </w:r>
      <w:r>
        <w:rPr>
          <w:rFonts w:ascii="Calibri" w:eastAsia="Arial" w:hAnsi="Calibri" w:cs="Calibri"/>
          <w:color w:val="000000"/>
          <w:lang w:val="en-US"/>
        </w:rPr>
        <w:t xml:space="preserve"> by pipetting and </w:t>
      </w:r>
      <w:proofErr w:type="spellStart"/>
      <w:r>
        <w:rPr>
          <w:rFonts w:ascii="Calibri" w:eastAsia="Arial" w:hAnsi="Calibri" w:cs="Calibri"/>
          <w:color w:val="000000"/>
          <w:lang w:val="en-US"/>
        </w:rPr>
        <w:t>vortexing</w:t>
      </w:r>
      <w:proofErr w:type="spellEnd"/>
      <w:r>
        <w:rPr>
          <w:rFonts w:ascii="Calibri" w:eastAsia="Arial" w:hAnsi="Calibri" w:cs="Calibri"/>
          <w:color w:val="000000"/>
          <w:lang w:val="en-US"/>
        </w:rPr>
        <w:t xml:space="preserve"> for 10 s. Add 10 µL of 40 U/µL of RNase inhibitor and vortex again for 10 s.</w:t>
      </w:r>
    </w:p>
    <w:p w14:paraId="31BCF2F1" w14:textId="77777777" w:rsidR="006B6616" w:rsidRDefault="006B6616">
      <w:pPr>
        <w:pStyle w:val="wNormal"/>
        <w:tabs>
          <w:tab w:val="clear" w:pos="733"/>
          <w:tab w:val="left" w:pos="1077"/>
        </w:tabs>
        <w:spacing w:before="0" w:after="0" w:line="240" w:lineRule="auto"/>
        <w:rPr>
          <w:rFonts w:ascii="Calibri" w:hAnsi="Calibri" w:cs="Calibri"/>
          <w:color w:val="000000"/>
          <w:lang w:val="en-US"/>
        </w:rPr>
      </w:pPr>
    </w:p>
    <w:p w14:paraId="38C0CD89" w14:textId="77777777" w:rsidR="006B6616" w:rsidRDefault="00E473AD">
      <w:pPr>
        <w:pStyle w:val="wNormal"/>
        <w:tabs>
          <w:tab w:val="clear" w:pos="733"/>
          <w:tab w:val="left" w:pos="1077"/>
        </w:tabs>
        <w:spacing w:before="0" w:after="0" w:line="240" w:lineRule="auto"/>
        <w:rPr>
          <w:rFonts w:ascii="Calibri" w:hAnsi="Calibri" w:cs="Calibri"/>
        </w:rPr>
      </w:pPr>
      <w:r>
        <w:rPr>
          <w:rFonts w:ascii="Calibri" w:hAnsi="Calibri" w:cs="Calibri"/>
          <w:color w:val="000000"/>
          <w:lang w:val="en-US"/>
        </w:rPr>
        <w:t>CAUTION: Wear appropriate protective equipment, such as thermally insulated gloves, when handling liquid nitrogen. Ensure that any container used to hold liquid nitrogen does not leak, and that the tube rack inside will not float up or fall on its side. Work in a well-ventilated area to avoid oxygen depletion.</w:t>
      </w:r>
    </w:p>
    <w:p w14:paraId="5799CD45" w14:textId="77777777" w:rsidR="006B6616" w:rsidRDefault="006B6616">
      <w:pPr>
        <w:jc w:val="both"/>
        <w:rPr>
          <w:rFonts w:ascii="Calibri" w:hAnsi="Calibri" w:cs="Calibri"/>
          <w:color w:val="000000"/>
          <w:lang w:val="en-US"/>
        </w:rPr>
      </w:pPr>
    </w:p>
    <w:p w14:paraId="4264BB5D" w14:textId="77777777" w:rsidR="006B6616" w:rsidRDefault="00E473AD">
      <w:pPr>
        <w:pStyle w:val="ListParagraph"/>
        <w:numPr>
          <w:ilvl w:val="2"/>
          <w:numId w:val="4"/>
        </w:numPr>
        <w:tabs>
          <w:tab w:val="left" w:pos="1132"/>
        </w:tabs>
        <w:suppressAutoHyphens w:val="0"/>
        <w:spacing w:after="0" w:line="240" w:lineRule="auto"/>
        <w:ind w:left="0" w:firstLine="0"/>
        <w:jc w:val="both"/>
        <w:textAlignment w:val="auto"/>
        <w:rPr>
          <w:rFonts w:cs="Calibri"/>
        </w:rPr>
      </w:pPr>
      <w:r>
        <w:rPr>
          <w:rFonts w:eastAsia="Arial" w:cs="Calibri"/>
          <w:color w:val="000000"/>
          <w:sz w:val="24"/>
          <w:szCs w:val="24"/>
          <w:lang w:val="en-US"/>
        </w:rPr>
        <w:t>Using a 1 mL pipette, drip the cell suspension into the 50 mL tube containing the liquid nitrogen.</w:t>
      </w:r>
    </w:p>
    <w:p w14:paraId="2D74BCD2" w14:textId="77777777" w:rsidR="006B6616" w:rsidRDefault="006B6616">
      <w:pPr>
        <w:pStyle w:val="ListParagraph"/>
        <w:tabs>
          <w:tab w:val="left" w:pos="1132"/>
        </w:tabs>
        <w:suppressAutoHyphens w:val="0"/>
        <w:spacing w:after="0" w:line="240" w:lineRule="auto"/>
        <w:ind w:left="0"/>
        <w:jc w:val="both"/>
        <w:textAlignment w:val="auto"/>
        <w:rPr>
          <w:rFonts w:cs="Calibri"/>
          <w:lang w:val="en-US"/>
        </w:rPr>
      </w:pPr>
    </w:p>
    <w:p w14:paraId="727C9C8D" w14:textId="77777777" w:rsidR="006B6616" w:rsidRDefault="00E473AD">
      <w:pPr>
        <w:pStyle w:val="ListParagraph"/>
        <w:tabs>
          <w:tab w:val="left" w:pos="1132"/>
        </w:tabs>
        <w:suppressAutoHyphens w:val="0"/>
        <w:spacing w:after="0" w:line="240" w:lineRule="auto"/>
        <w:ind w:left="0"/>
        <w:jc w:val="both"/>
        <w:textAlignment w:val="auto"/>
        <w:rPr>
          <w:rFonts w:cs="Calibri"/>
        </w:rPr>
      </w:pPr>
      <w:r>
        <w:rPr>
          <w:rFonts w:eastAsia="Arial" w:cs="Calibri"/>
          <w:color w:val="000000"/>
          <w:sz w:val="24"/>
          <w:szCs w:val="24"/>
          <w:lang w:val="en-US"/>
        </w:rPr>
        <w:t>NOTE: The dripping must be performed slowly and carefully to avoid aggregation of the droplets. Ensure the droplets freeze before introducing new droplets.</w:t>
      </w:r>
    </w:p>
    <w:p w14:paraId="318ECC61" w14:textId="77777777" w:rsidR="006B6616" w:rsidRDefault="006B6616">
      <w:pPr>
        <w:pStyle w:val="ListParagraph"/>
        <w:tabs>
          <w:tab w:val="left" w:pos="1132"/>
        </w:tabs>
        <w:suppressAutoHyphens w:val="0"/>
        <w:spacing w:after="0" w:line="240" w:lineRule="auto"/>
        <w:ind w:left="0"/>
        <w:jc w:val="both"/>
        <w:textAlignment w:val="auto"/>
        <w:rPr>
          <w:rFonts w:eastAsia="Arial" w:cs="Calibri"/>
          <w:color w:val="000000"/>
          <w:sz w:val="24"/>
          <w:szCs w:val="24"/>
        </w:rPr>
      </w:pPr>
    </w:p>
    <w:p w14:paraId="4E436228" w14:textId="77777777" w:rsidR="006B6616" w:rsidRDefault="00E473AD">
      <w:pPr>
        <w:pStyle w:val="ListParagraph"/>
        <w:numPr>
          <w:ilvl w:val="2"/>
          <w:numId w:val="4"/>
        </w:numPr>
        <w:tabs>
          <w:tab w:val="left" w:pos="1077"/>
        </w:tabs>
        <w:spacing w:after="0" w:line="240" w:lineRule="auto"/>
        <w:ind w:left="0" w:firstLine="0"/>
        <w:jc w:val="both"/>
        <w:rPr>
          <w:rFonts w:cs="Calibri"/>
        </w:rPr>
      </w:pPr>
      <w:r>
        <w:rPr>
          <w:rFonts w:cstheme="minorHAnsi"/>
          <w:color w:val="000000"/>
          <w:sz w:val="24"/>
          <w:szCs w:val="24"/>
          <w:lang w:val="en-US"/>
        </w:rPr>
        <w:t xml:space="preserve">Transfer the 50 mL tube with the frozen cell suspension droplets to room temperature and wait until the liquid nitrogen evaporates completely. </w:t>
      </w:r>
      <w:r>
        <w:rPr>
          <w:rFonts w:cstheme="minorHAnsi"/>
          <w:sz w:val="24"/>
          <w:szCs w:val="24"/>
          <w:lang w:val="en-US"/>
        </w:rPr>
        <w:t xml:space="preserve">Seal the tube with its cap and store the cell pellets at -80 </w:t>
      </w:r>
      <w:r>
        <w:rPr>
          <w:rFonts w:eastAsia="Arial" w:cstheme="minorHAnsi"/>
          <w:sz w:val="24"/>
          <w:szCs w:val="24"/>
          <w:lang w:val="en-US"/>
        </w:rPr>
        <w:t>°C or immediately proceed further.</w:t>
      </w:r>
    </w:p>
    <w:p w14:paraId="0A1965DC" w14:textId="77777777" w:rsidR="006B6616" w:rsidRDefault="006B6616">
      <w:pPr>
        <w:pStyle w:val="ListParagraph"/>
        <w:tabs>
          <w:tab w:val="left" w:pos="1077"/>
        </w:tabs>
        <w:suppressAutoHyphens w:val="0"/>
        <w:spacing w:after="0" w:line="240" w:lineRule="auto"/>
        <w:ind w:left="0"/>
        <w:jc w:val="both"/>
        <w:textAlignment w:val="auto"/>
        <w:rPr>
          <w:rFonts w:cs="Calibri"/>
          <w:sz w:val="24"/>
          <w:szCs w:val="24"/>
          <w:lang w:val="en-US"/>
        </w:rPr>
      </w:pPr>
    </w:p>
    <w:p w14:paraId="0B656DC9" w14:textId="30FAE0A5" w:rsidR="006B6616" w:rsidRDefault="00E473AD">
      <w:pPr>
        <w:jc w:val="both"/>
        <w:rPr>
          <w:rFonts w:ascii="Calibri" w:hAnsi="Calibri" w:cs="Calibri"/>
        </w:rPr>
      </w:pPr>
      <w:r>
        <w:rPr>
          <w:rFonts w:ascii="Calibri" w:hAnsi="Calibri" w:cs="Calibri"/>
          <w:color w:val="000000"/>
          <w:lang w:val="en-US"/>
        </w:rPr>
        <w:t>CAUTION: Ensure that the liquid nitrogen is completely evaporated before sealing the tube. Leftover liquid nitrogen in a sealed tube can cause a hazardous pressure build-up.</w:t>
      </w:r>
    </w:p>
    <w:p w14:paraId="4D3168B9" w14:textId="77777777" w:rsidR="006B6616" w:rsidRDefault="006B6616">
      <w:pPr>
        <w:tabs>
          <w:tab w:val="left" w:pos="1132"/>
        </w:tabs>
        <w:jc w:val="both"/>
        <w:rPr>
          <w:rFonts w:ascii="Calibri" w:eastAsia="Arial" w:hAnsi="Calibri" w:cs="Calibri"/>
          <w:color w:val="000000"/>
          <w:lang w:val="en-US"/>
        </w:rPr>
      </w:pPr>
    </w:p>
    <w:p w14:paraId="7B8B5D97" w14:textId="77777777" w:rsidR="006B6616" w:rsidRDefault="00E473AD">
      <w:pPr>
        <w:pStyle w:val="ListParagraph"/>
        <w:numPr>
          <w:ilvl w:val="2"/>
          <w:numId w:val="4"/>
        </w:numPr>
        <w:tabs>
          <w:tab w:val="left" w:pos="1077"/>
        </w:tabs>
        <w:spacing w:after="0" w:line="240" w:lineRule="auto"/>
        <w:ind w:left="0" w:firstLine="0"/>
        <w:jc w:val="both"/>
        <w:rPr>
          <w:rFonts w:cs="Calibri"/>
        </w:rPr>
      </w:pPr>
      <w:r>
        <w:rPr>
          <w:rFonts w:cs="Calibri"/>
          <w:color w:val="000000"/>
          <w:sz w:val="24"/>
          <w:szCs w:val="24"/>
          <w:lang w:val="en-US"/>
        </w:rPr>
        <w:t>To prepare for the next step, precool 1.5 mL nuclease-free tubes and 10 mL stainless steel grinding jars on dry ice.</w:t>
      </w:r>
    </w:p>
    <w:p w14:paraId="2C9268A3" w14:textId="77777777" w:rsidR="006B6616" w:rsidRDefault="006B6616">
      <w:pPr>
        <w:pStyle w:val="ListParagraph"/>
        <w:tabs>
          <w:tab w:val="left" w:pos="1077"/>
        </w:tabs>
        <w:spacing w:after="0" w:line="240" w:lineRule="auto"/>
        <w:ind w:left="0"/>
        <w:jc w:val="both"/>
        <w:rPr>
          <w:rFonts w:cs="Calibri"/>
        </w:rPr>
      </w:pPr>
    </w:p>
    <w:p w14:paraId="07C4F595" w14:textId="77777777" w:rsidR="006B6616" w:rsidRDefault="00E473AD">
      <w:pPr>
        <w:pStyle w:val="ListParagraph"/>
        <w:numPr>
          <w:ilvl w:val="2"/>
          <w:numId w:val="4"/>
        </w:numPr>
        <w:tabs>
          <w:tab w:val="left" w:pos="1077"/>
        </w:tabs>
        <w:spacing w:after="0" w:line="240" w:lineRule="auto"/>
        <w:ind w:left="0" w:firstLine="0"/>
        <w:jc w:val="both"/>
        <w:rPr>
          <w:rFonts w:cs="Calibri"/>
        </w:rPr>
      </w:pPr>
      <w:r>
        <w:rPr>
          <w:rFonts w:cs="Calibri"/>
          <w:sz w:val="24"/>
          <w:szCs w:val="24"/>
          <w:lang w:val="en-US"/>
        </w:rPr>
        <w:t>Transfer the frozen cell suspension droplets into the jars using a clean, sterile spatula.</w:t>
      </w:r>
    </w:p>
    <w:p w14:paraId="2A0E09BB" w14:textId="77777777" w:rsidR="006B6616" w:rsidRDefault="006B6616">
      <w:pPr>
        <w:pStyle w:val="ListParagraph"/>
        <w:tabs>
          <w:tab w:val="left" w:pos="1077"/>
        </w:tabs>
        <w:spacing w:after="0" w:line="240" w:lineRule="auto"/>
        <w:ind w:left="0"/>
        <w:jc w:val="both"/>
        <w:rPr>
          <w:rFonts w:cs="Calibri"/>
        </w:rPr>
      </w:pPr>
    </w:p>
    <w:p w14:paraId="7798120A" w14:textId="77777777" w:rsidR="006B6616" w:rsidRDefault="00E473AD">
      <w:pPr>
        <w:tabs>
          <w:tab w:val="left" w:pos="1077"/>
        </w:tabs>
        <w:jc w:val="both"/>
        <w:rPr>
          <w:rFonts w:ascii="Calibri" w:hAnsi="Calibri" w:cs="Calibri"/>
        </w:rPr>
      </w:pPr>
      <w:r>
        <w:rPr>
          <w:rFonts w:ascii="Calibri" w:hAnsi="Calibri" w:cs="Calibri"/>
          <w:color w:val="000000"/>
          <w:lang w:val="en-US"/>
        </w:rPr>
        <w:t>CAUTION: Ensure that the grinding jars are tightly sealed.</w:t>
      </w:r>
    </w:p>
    <w:p w14:paraId="1FF8F1EF" w14:textId="77777777" w:rsidR="006B6616" w:rsidRDefault="006B6616">
      <w:pPr>
        <w:pStyle w:val="ListParagraph"/>
        <w:tabs>
          <w:tab w:val="left" w:pos="1077"/>
        </w:tabs>
        <w:spacing w:after="0" w:line="240" w:lineRule="auto"/>
        <w:ind w:left="0"/>
        <w:jc w:val="both"/>
        <w:rPr>
          <w:rFonts w:cs="Calibri"/>
        </w:rPr>
      </w:pPr>
    </w:p>
    <w:p w14:paraId="2C6631AC" w14:textId="77777777" w:rsidR="006B6616" w:rsidRDefault="00E473AD">
      <w:pPr>
        <w:pStyle w:val="ListParagraph"/>
        <w:numPr>
          <w:ilvl w:val="2"/>
          <w:numId w:val="4"/>
        </w:numPr>
        <w:tabs>
          <w:tab w:val="left" w:pos="1077"/>
        </w:tabs>
        <w:spacing w:after="0" w:line="240" w:lineRule="auto"/>
        <w:ind w:left="0" w:firstLine="0"/>
        <w:jc w:val="both"/>
        <w:rPr>
          <w:rFonts w:cs="Calibri"/>
        </w:rPr>
      </w:pPr>
      <w:r>
        <w:rPr>
          <w:rFonts w:cs="Calibri"/>
          <w:sz w:val="24"/>
          <w:szCs w:val="24"/>
          <w:lang w:val="en-US"/>
        </w:rPr>
        <w:t xml:space="preserve">Submerge the grinding jars into the liquid nitrogen for 1 min ensuring the liquid phase remains above the junction. </w:t>
      </w:r>
      <w:r>
        <w:rPr>
          <w:rFonts w:eastAsia="Arial" w:cstheme="minorHAnsi"/>
          <w:sz w:val="24"/>
          <w:szCs w:val="24"/>
          <w:lang w:val="en-US"/>
        </w:rPr>
        <w:t xml:space="preserve">Set up a </w:t>
      </w:r>
      <w:proofErr w:type="spellStart"/>
      <w:r>
        <w:rPr>
          <w:rFonts w:eastAsia="Arial" w:cstheme="minorHAnsi"/>
          <w:sz w:val="24"/>
          <w:szCs w:val="24"/>
          <w:lang w:val="en-US"/>
        </w:rPr>
        <w:t>cryo</w:t>
      </w:r>
      <w:proofErr w:type="spellEnd"/>
      <w:r>
        <w:rPr>
          <w:rFonts w:eastAsia="Arial" w:cstheme="minorHAnsi"/>
          <w:sz w:val="24"/>
          <w:szCs w:val="24"/>
          <w:lang w:val="en-US"/>
        </w:rPr>
        <w:t xml:space="preserve"> mixer mill at 27 </w:t>
      </w:r>
      <w:r>
        <w:rPr>
          <w:rFonts w:eastAsia="Arial" w:cstheme="minorHAnsi"/>
          <w:color w:val="000000"/>
          <w:sz w:val="24"/>
          <w:szCs w:val="24"/>
          <w:lang w:val="en-US"/>
        </w:rPr>
        <w:t>Hz</w:t>
      </w:r>
      <w:r>
        <w:rPr>
          <w:rFonts w:eastAsia="Arial" w:cstheme="minorHAnsi"/>
          <w:sz w:val="24"/>
          <w:szCs w:val="24"/>
          <w:lang w:val="en-US"/>
        </w:rPr>
        <w:t xml:space="preserve"> for agitation for 1 min.</w:t>
      </w:r>
    </w:p>
    <w:p w14:paraId="678C50C6" w14:textId="77777777" w:rsidR="006B6616" w:rsidRDefault="006B6616">
      <w:pPr>
        <w:pStyle w:val="ListParagraph"/>
        <w:tabs>
          <w:tab w:val="left" w:pos="1077"/>
        </w:tabs>
        <w:suppressAutoHyphens w:val="0"/>
        <w:spacing w:after="0" w:line="240" w:lineRule="auto"/>
        <w:ind w:left="0"/>
        <w:jc w:val="both"/>
        <w:textAlignment w:val="auto"/>
        <w:rPr>
          <w:rFonts w:eastAsia="Arial" w:cs="Calibri"/>
          <w:sz w:val="24"/>
          <w:szCs w:val="24"/>
        </w:rPr>
      </w:pPr>
    </w:p>
    <w:p w14:paraId="0D03AC1A" w14:textId="77777777" w:rsidR="006B6616" w:rsidRDefault="00E473AD">
      <w:pPr>
        <w:jc w:val="both"/>
        <w:rPr>
          <w:rFonts w:ascii="Calibri" w:hAnsi="Calibri" w:cs="Calibri"/>
        </w:rPr>
      </w:pPr>
      <w:r>
        <w:rPr>
          <w:rFonts w:ascii="Calibri" w:hAnsi="Calibri" w:cs="Calibri"/>
          <w:color w:val="000000"/>
          <w:lang w:val="en-US"/>
        </w:rPr>
        <w:t>NOTE: Always balance the grinding canister with another one of the same models even if the sample requires only one canister for processing.</w:t>
      </w:r>
    </w:p>
    <w:p w14:paraId="60EE11B3" w14:textId="77777777" w:rsidR="006B6616" w:rsidRDefault="006B6616">
      <w:pPr>
        <w:jc w:val="both"/>
        <w:rPr>
          <w:rFonts w:ascii="Calibri" w:hAnsi="Calibri" w:cs="Calibri"/>
          <w:color w:val="000000"/>
        </w:rPr>
      </w:pPr>
    </w:p>
    <w:p w14:paraId="2829D8F8"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Agitate the sealed grinding jars at 27 Hz for 1 min in a mixer mill.</w:t>
      </w:r>
    </w:p>
    <w:p w14:paraId="68756CDF" w14:textId="77777777" w:rsidR="006B6616" w:rsidRDefault="006B6616">
      <w:pPr>
        <w:jc w:val="both"/>
        <w:rPr>
          <w:rFonts w:ascii="Calibri" w:hAnsi="Calibri" w:cs="Calibri"/>
          <w:lang w:val="en-US"/>
        </w:rPr>
      </w:pPr>
    </w:p>
    <w:p w14:paraId="7BDE8B7D" w14:textId="77777777" w:rsidR="006B6616" w:rsidRDefault="00E473AD">
      <w:pPr>
        <w:pStyle w:val="ListParagraph"/>
        <w:numPr>
          <w:ilvl w:val="2"/>
          <w:numId w:val="4"/>
        </w:numPr>
        <w:tabs>
          <w:tab w:val="left" w:pos="1077"/>
        </w:tabs>
        <w:spacing w:after="0" w:line="240" w:lineRule="auto"/>
        <w:ind w:left="0" w:firstLine="0"/>
        <w:rPr>
          <w:rFonts w:cs="Calibri"/>
          <w:sz w:val="24"/>
          <w:szCs w:val="24"/>
        </w:rPr>
      </w:pPr>
      <w:r>
        <w:rPr>
          <w:rFonts w:eastAsia="Arial" w:cstheme="minorHAnsi"/>
          <w:sz w:val="24"/>
          <w:szCs w:val="24"/>
          <w:lang w:val="en-US"/>
        </w:rPr>
        <w:t>Re-cool the grinding jars in liquid nitrogen as before and shake</w:t>
      </w:r>
      <w:r>
        <w:rPr>
          <w:rFonts w:eastAsia="Arial" w:cs="Calibri"/>
          <w:sz w:val="24"/>
          <w:szCs w:val="24"/>
        </w:rPr>
        <w:t xml:space="preserve"> at 27 Hz for 1 min further in the mixer mill.</w:t>
      </w:r>
    </w:p>
    <w:p w14:paraId="239A2A81" w14:textId="77777777" w:rsidR="006B6616" w:rsidRDefault="006B6616">
      <w:pPr>
        <w:pStyle w:val="wNormal"/>
        <w:tabs>
          <w:tab w:val="clear" w:pos="733"/>
          <w:tab w:val="left" w:pos="1077"/>
        </w:tabs>
        <w:spacing w:before="0" w:after="0" w:line="240" w:lineRule="auto"/>
        <w:rPr>
          <w:rFonts w:ascii="Calibri" w:eastAsia="Arial" w:hAnsi="Calibri" w:cs="Calibri"/>
          <w:lang w:val="en-US"/>
        </w:rPr>
      </w:pPr>
    </w:p>
    <w:p w14:paraId="6C5D6682"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Theme="minorHAnsi" w:eastAsia="Arial" w:hAnsiTheme="minorHAnsi" w:cstheme="minorHAnsi"/>
          <w:lang w:val="en-US"/>
        </w:rPr>
        <w:t>Transfer the jars to the ice box containing dry ice along with the 1.5 mL nuclease-free tubes. Using a small steel spatula, transfer the resultant powdered sample into the tubes in ~100 mg aliquots, and store the tubes at -80 °C.</w:t>
      </w:r>
    </w:p>
    <w:p w14:paraId="56328CA6" w14:textId="77777777" w:rsidR="006B6616" w:rsidRDefault="006B6616">
      <w:pPr>
        <w:pStyle w:val="wNormal"/>
        <w:tabs>
          <w:tab w:val="clear" w:pos="733"/>
          <w:tab w:val="left" w:pos="1077"/>
        </w:tabs>
        <w:spacing w:before="0" w:after="0" w:line="240" w:lineRule="auto"/>
        <w:rPr>
          <w:rFonts w:ascii="Calibri" w:eastAsia="Arial" w:hAnsi="Calibri" w:cs="Calibri"/>
        </w:rPr>
      </w:pPr>
    </w:p>
    <w:p w14:paraId="6C4AAD38" w14:textId="77777777" w:rsidR="006B6616" w:rsidRDefault="00E473AD">
      <w:pPr>
        <w:jc w:val="both"/>
        <w:rPr>
          <w:rFonts w:ascii="Calibri" w:hAnsi="Calibri" w:cs="Calibri"/>
        </w:rPr>
      </w:pPr>
      <w:r>
        <w:rPr>
          <w:rFonts w:ascii="Calibri" w:eastAsia="Arial" w:hAnsi="Calibri" w:cs="Calibri"/>
          <w:color w:val="000000"/>
          <w:lang w:val="en-US"/>
        </w:rPr>
        <w:t>NOTE:</w:t>
      </w:r>
      <w:r>
        <w:rPr>
          <w:rFonts w:ascii="Calibri" w:eastAsia="Arial" w:hAnsi="Calibri" w:cs="Calibri"/>
          <w:lang w:val="en-US"/>
        </w:rPr>
        <w:t xml:space="preserve"> It is recommended to use ~600 mg of the sample </w:t>
      </w:r>
      <w:r>
        <w:rPr>
          <w:rFonts w:ascii="Calibri" w:eastAsia="Arial" w:hAnsi="Calibri" w:cs="Calibri"/>
          <w:kern w:val="2"/>
          <w:lang w:val="en-US"/>
        </w:rPr>
        <w:t>per</w:t>
      </w:r>
      <w:r>
        <w:rPr>
          <w:rFonts w:ascii="Calibri" w:eastAsia="Arial" w:hAnsi="Calibri" w:cs="Calibri"/>
          <w:lang w:val="en-US"/>
        </w:rPr>
        <w:t xml:space="preserve"> experiment comprising polysome sedimentation profile analysis, separation of the cytosol into translated and non-translated fractions, and further separation of the translated fraction into SSU, ribosome, and </w:t>
      </w:r>
      <w:proofErr w:type="spellStart"/>
      <w:r>
        <w:rPr>
          <w:rFonts w:ascii="Calibri" w:eastAsia="Arial" w:hAnsi="Calibri" w:cs="Calibri"/>
          <w:lang w:val="en-US"/>
        </w:rPr>
        <w:t>disome</w:t>
      </w:r>
      <w:proofErr w:type="spellEnd"/>
      <w:r>
        <w:rPr>
          <w:rFonts w:ascii="Calibri" w:eastAsia="Arial" w:hAnsi="Calibri" w:cs="Calibri"/>
          <w:lang w:val="en-US"/>
        </w:rPr>
        <w:t xml:space="preserve"> fractions upon RNase digestion.</w:t>
      </w:r>
    </w:p>
    <w:p w14:paraId="07E43349" w14:textId="77777777" w:rsidR="006B6616" w:rsidRDefault="006B6616">
      <w:pPr>
        <w:jc w:val="both"/>
        <w:rPr>
          <w:rFonts w:ascii="Calibri" w:eastAsia="Arial" w:hAnsi="Calibri" w:cs="Calibri"/>
          <w:lang w:val="en-US"/>
        </w:rPr>
      </w:pPr>
    </w:p>
    <w:p w14:paraId="58902766" w14:textId="77777777" w:rsidR="006B6616" w:rsidRDefault="00E473AD">
      <w:pPr>
        <w:pStyle w:val="wStandard"/>
        <w:numPr>
          <w:ilvl w:val="1"/>
          <w:numId w:val="4"/>
        </w:numPr>
        <w:tabs>
          <w:tab w:val="left" w:pos="1077"/>
        </w:tabs>
        <w:spacing w:line="240" w:lineRule="auto"/>
        <w:ind w:left="0" w:firstLine="0"/>
        <w:jc w:val="both"/>
        <w:rPr>
          <w:rFonts w:cs="Calibri"/>
        </w:rPr>
      </w:pPr>
      <w:r>
        <w:rPr>
          <w:rFonts w:eastAsia="Arial" w:cs="Calibri"/>
          <w:b/>
          <w:bCs/>
          <w:sz w:val="24"/>
          <w:szCs w:val="24"/>
          <w:lang w:val="en-US"/>
        </w:rPr>
        <w:t>Separation of the fixed (poly)ribosomal complexes from the non-translated fractions of the cytosol</w:t>
      </w:r>
    </w:p>
    <w:p w14:paraId="2D445085" w14:textId="77777777" w:rsidR="006B6616" w:rsidRDefault="006B6616">
      <w:pPr>
        <w:pStyle w:val="wStandard"/>
        <w:tabs>
          <w:tab w:val="left" w:pos="1077"/>
        </w:tabs>
        <w:spacing w:line="240" w:lineRule="auto"/>
        <w:jc w:val="both"/>
        <w:rPr>
          <w:rFonts w:eastAsia="Arial" w:cs="Calibri"/>
          <w:sz w:val="24"/>
          <w:szCs w:val="24"/>
          <w:lang w:val="en-US"/>
        </w:rPr>
      </w:pPr>
      <w:bookmarkStart w:id="3" w:name="_Hlk59532888"/>
      <w:bookmarkEnd w:id="3"/>
    </w:p>
    <w:p w14:paraId="30D1B757" w14:textId="77777777" w:rsidR="006B6616" w:rsidRDefault="00E473AD">
      <w:pPr>
        <w:pStyle w:val="wNormal"/>
        <w:spacing w:before="0" w:after="0" w:line="240" w:lineRule="auto"/>
        <w:rPr>
          <w:rFonts w:ascii="Calibri" w:hAnsi="Calibri" w:cs="Calibri"/>
        </w:rPr>
      </w:pPr>
      <w:r>
        <w:rPr>
          <w:rFonts w:ascii="Calibri" w:eastAsia="Arial" w:hAnsi="Calibri" w:cs="Calibri"/>
          <w:color w:val="000000"/>
          <w:lang w:val="en-US"/>
        </w:rPr>
        <w:t>NOTE:</w:t>
      </w:r>
      <w:r>
        <w:rPr>
          <w:rFonts w:ascii="Calibri" w:eastAsia="Arial" w:hAnsi="Calibri" w:cs="Calibri"/>
          <w:b/>
          <w:bCs/>
          <w:color w:val="000000"/>
          <w:lang w:val="en-US"/>
        </w:rPr>
        <w:t xml:space="preserve"> </w:t>
      </w:r>
      <w:r>
        <w:rPr>
          <w:rFonts w:ascii="Calibri" w:eastAsia="Arial" w:hAnsi="Calibri" w:cs="Calibri"/>
          <w:color w:val="000000"/>
          <w:lang w:val="en-US"/>
        </w:rPr>
        <w:t xml:space="preserve">The procedure established </w:t>
      </w:r>
      <w:bookmarkStart w:id="4" w:name="__DdeLink__10985_3495190675"/>
      <w:r>
        <w:rPr>
          <w:rFonts w:ascii="Calibri" w:eastAsia="Arial" w:hAnsi="Calibri" w:cs="Calibri"/>
          <w:color w:val="000000"/>
          <w:lang w:val="en-US"/>
        </w:rPr>
        <w:t>earlier</w:t>
      </w:r>
      <w:r>
        <w:fldChar w:fldCharType="begin"/>
      </w:r>
      <w:r>
        <w:rPr>
          <w:rFonts w:ascii="Calibri" w:eastAsia="Arial" w:hAnsi="Calibri" w:cs="Calibri"/>
          <w:color w:val="000000"/>
          <w:lang w:val="en-US"/>
        </w:rPr>
        <w:instrText>ADDIN ZOTERO_ITEM CSL_CITATION {"citationID":"j0diyfKC","properties":{"formattedCitation":"\\super 10, 32\\nosupersub{}","plainCitation":"10, 32","dontUpdate":true,"noteIndex":0},"citationItems":[{"id":274,"uris":["http://zotero.org/users/6977825/items/NRI4UE8J"],"uri":["http://zotero.org/users/6977825/items/NRI4UE8J"],"itemData":{"id":274,"type":"article-journal","abstract":"Regulation of messenger RNA translation is central to eukaryotic gene expression control. Regulatory inputs are specified by them RNA untranslated regions (UTRs) and often target translation initiation. Initiation involves binding of the 40S ribosomal small subunit (SSU) and associated eukaryotic initiation factors (eIFs)near the mRNA 5′ cap; the SSU then scans in the 3′ direction until it detects the start codon and is joined by the 60S ribosomal large subunit (LSU) to form the 80S ribosome. Scanning and other dynamic aspects of the initiation model have remained as conjectures because methods to trap early intermediates were lacking. Here we uncover the dynamics of the complete translation cycle in live yeast cells using translation complex profile sequencing (TCP-seq), a method developed from the ribosome profiling approach. We document scanning by observing SSU footprints along 5′ UTRs. Scanning SSU have 5′-extended footprints (up to~75 nucleotides), indicative of additional interactions with mRNA emerging from the exit channel, promoting forward movement. We visualized changes in initiation complex conformation as SSU footprints coalesced into three major sizes at start codons (19, 29 and 37 nucleotides). These share the same 5′ start site but differ at the 3′ end, reflecting successive changes at the entry channel from an open to a closed state following start codon recognition. We also observe SSU 'lingering' at stop codons after LSU departure. Our results underpin mechanistic models of translation initiation and termination, built on decades of biochemical and structural investigation, with direct genome-wide in vivo evidence. Our approach captures ribosomal complexes at all phases of translation and will aid in studying translation dynamics in diverse cellular contexts. Dysregulation of translation is common in disease and, for example, SSU scanning is a target of anti-cancer drug development. TCP-seq will prove useful in discerning differences in mRNA-specific initiation in pathologies and their response to treatment.","archive_location":"27437580","container-title":"Nature","DOI":"10.1038/nature18647","ISSN":"0028-0836","issue":"7613","language":"eng","note":"edition: 2016/07/21","page":"570-4","source":"NLM","title":"Dynamics of ribosome scanning and recycling revealed by translation complex profiling","volume":"535","author":[{"family":"Archer","given":"S. K."},{"family":"Shirokikh","given":"N. E."},{"family":"Beilharz","given":"T. H."},{"family":"Preiss","given":"T."}],"issued":{"date-parts":[["2016",7,28]]}}},{"id":374,"uris":["http://zotero.org/users/6977825/items/DXAVYW7C"],"uri":["http://zotero.org/users/6977825/items/DXAVYW7C"],"itemData":{"id":374,"type":"article-journal","abstract":"Messenger RNA (mRNA) translation is a tightly controlled process that is integral to gene expression. It features intricate and dynamic interactions of the small and large subunits of the ribosome with mRNAs, aided by multiple auxiliary factors during distinct initiation, elongation and termination phases. The recently developed ribosome profiling method can generate transcriptome-wide surveys of translation and its regulation. Ribosome profiling records the footprints of fully assembled ribosomes along mRNAs and thus primarily interrogates the elongation phase of translation. Importantly, it does not monitor multiple substeps of initiation and termination that involve complexes between the small ribosomal subunit (SSU) and mRNA. Here we describe a related method, termed 'translation complex profile sequencing' (TCP-seq), that is uniquely capable of recording positions of any type of ribosome-mRNA complex transcriptome-wide. It uses fast covalent fixation of translation complexes in live cells, followed by RNase footprinting of translation intermediates and their separation into complexes involving either the full ribosome or the SSU. The footprints derived from each type of complex are then deep-sequenced separately, generating native distribution profiles during the elongation, as well as the initiation and termination stages of translation. We provide the full TCP-seq protocol for Saccharomyces cerevisiae liquid suspension culture, including a data analysis pipeline. The protocol takes ∼3 weeks to complete by a researcher who is well acquainted with standard molecular biology techniques and who has some experience in ultracentrifugation and the preparation of RNA sequencing (RNA-seq) libraries. Basic Bash and UNIX/Linux command skills are required to use the bioinformatics tools provided.","archive_location":"28253237","container-title":"Nature Protocols","DOI":"10.1038/nprot.2016.189","ISSN":"1750-2799","issue":"4","language":"eng","note":"edition: 2017/03/03","page":"697-731","source":"NLM","title":"Translation complex profile sequencing to study the in vivo dynamics of mRNA-ribosome interactions during translation initiation, elongation and termination","volume":"12","author":[{"family":"Shirokikh","given":"N. E."},{"family":"Archer","given":"S. K."},{"family":"Beilharz","given":"T. H."},{"family":"Powell","given":"D."},{"family":"Preiss","given":"T."}],"issued":{"date-parts":[["2017",4]]}}}],"schema":"https://github.com/citation-style-language/schema/raw/master/csl-citation.json"}</w:instrText>
      </w:r>
      <w:r>
        <w:rPr>
          <w:rFonts w:ascii="Calibri" w:eastAsia="Arial" w:hAnsi="Calibri" w:cs="Calibri"/>
          <w:color w:val="000000"/>
          <w:lang w:val="en-US"/>
        </w:rPr>
        <w:fldChar w:fldCharType="separate"/>
      </w:r>
      <w:r>
        <w:rPr>
          <w:rFonts w:ascii="Calibri" w:hAnsi="Calibri" w:cs="Calibri"/>
          <w:vertAlign w:val="superscript"/>
          <w:lang w:val="en-US"/>
        </w:rPr>
        <w:t>10,36</w:t>
      </w:r>
      <w:r>
        <w:rPr>
          <w:rFonts w:ascii="Calibri" w:eastAsia="Arial" w:hAnsi="Calibri" w:cs="Calibri"/>
          <w:color w:val="000000"/>
          <w:lang w:val="en-US"/>
        </w:rPr>
        <w:fldChar w:fldCharType="end"/>
      </w:r>
      <w:r>
        <w:fldChar w:fldCharType="begin"/>
      </w:r>
      <w:r>
        <w:rPr>
          <w:rFonts w:ascii="Calibri" w:eastAsia="Arial" w:hAnsi="Calibri" w:cs="Calibri"/>
          <w:color w:val="000000"/>
          <w:lang w:val="en-US"/>
        </w:rPr>
        <w:instrText>ADDIN EN.CITE</w:instrText>
      </w:r>
      <w:r>
        <w:rPr>
          <w:rFonts w:ascii="Calibri" w:eastAsia="Arial" w:hAnsi="Calibri" w:cs="Calibri"/>
          <w:color w:val="000000"/>
          <w:lang w:val="en-US"/>
        </w:rPr>
        <w:fldChar w:fldCharType="separate"/>
      </w:r>
      <w:r>
        <w:fldChar w:fldCharType="begin"/>
      </w:r>
      <w:r>
        <w:rPr>
          <w:rFonts w:ascii="Calibri" w:eastAsia="Arial" w:hAnsi="Calibri" w:cs="Calibri"/>
          <w:color w:val="000000"/>
          <w:lang w:val="en-US"/>
        </w:rPr>
        <w:instrText>ADDIN EN.CITE.DATA</w:instrText>
      </w:r>
      <w:r w:rsidR="0021610B">
        <w:rPr>
          <w:rFonts w:ascii="Calibri" w:eastAsia="Arial" w:hAnsi="Calibri" w:cs="Calibri"/>
          <w:color w:val="000000"/>
          <w:lang w:val="en-US"/>
        </w:rPr>
        <w:fldChar w:fldCharType="separate"/>
      </w:r>
      <w:r>
        <w:rPr>
          <w:rFonts w:ascii="Calibri" w:eastAsia="Arial" w:hAnsi="Calibri" w:cs="Calibri"/>
          <w:color w:val="000000"/>
          <w:lang w:val="en-US"/>
        </w:rPr>
        <w:fldChar w:fldCharType="end"/>
      </w:r>
      <w:r>
        <w:rPr>
          <w:rFonts w:ascii="Calibri" w:eastAsia="Arial" w:hAnsi="Calibri" w:cs="Calibri"/>
          <w:color w:val="000000"/>
          <w:lang w:val="en-US"/>
        </w:rPr>
        <w:fldChar w:fldCharType="end"/>
      </w:r>
      <w:bookmarkEnd w:id="4"/>
      <w:r>
        <w:rPr>
          <w:rFonts w:ascii="Calibri" w:eastAsia="Arial" w:hAnsi="Calibri" w:cs="Calibri"/>
          <w:color w:val="000000"/>
          <w:vertAlign w:val="superscript"/>
          <w:lang w:val="en-US"/>
        </w:rPr>
        <w:t xml:space="preserve"> </w:t>
      </w:r>
      <w:r>
        <w:rPr>
          <w:rFonts w:ascii="Calibri" w:eastAsia="Arial" w:hAnsi="Calibri" w:cs="Calibri"/>
          <w:color w:val="000000"/>
          <w:lang w:val="en-US"/>
        </w:rPr>
        <w:t xml:space="preserve">is generally followed </w:t>
      </w:r>
      <w:r>
        <w:fldChar w:fldCharType="begin"/>
      </w:r>
      <w:r>
        <w:rPr>
          <w:rFonts w:ascii="Calibri" w:eastAsia="Arial" w:hAnsi="Calibri" w:cs="Calibri"/>
          <w:color w:val="000000"/>
          <w:lang w:val="en-US"/>
        </w:rPr>
        <w:instrText>ADDIN EN.CITE</w:instrText>
      </w:r>
      <w:r>
        <w:rPr>
          <w:rFonts w:ascii="Calibri" w:eastAsia="Arial" w:hAnsi="Calibri" w:cs="Calibri"/>
          <w:color w:val="000000"/>
          <w:lang w:val="en-US"/>
        </w:rPr>
        <w:fldChar w:fldCharType="separate"/>
      </w:r>
      <w:r>
        <w:fldChar w:fldCharType="begin"/>
      </w:r>
      <w:r>
        <w:rPr>
          <w:rFonts w:ascii="Calibri" w:eastAsia="Arial" w:hAnsi="Calibri" w:cs="Calibri"/>
          <w:color w:val="000000"/>
          <w:lang w:val="en-US"/>
        </w:rPr>
        <w:instrText>ADDIN EN.CITE.DATA</w:instrText>
      </w:r>
      <w:r w:rsidR="0021610B">
        <w:rPr>
          <w:rFonts w:ascii="Calibri" w:eastAsia="Arial" w:hAnsi="Calibri" w:cs="Calibri"/>
          <w:color w:val="000000"/>
          <w:lang w:val="en-US"/>
        </w:rPr>
        <w:fldChar w:fldCharType="separate"/>
      </w:r>
      <w:r>
        <w:rPr>
          <w:rFonts w:ascii="Calibri" w:eastAsia="Arial" w:hAnsi="Calibri" w:cs="Calibri"/>
          <w:color w:val="000000"/>
          <w:lang w:val="en-US"/>
        </w:rPr>
        <w:fldChar w:fldCharType="end"/>
      </w:r>
      <w:r>
        <w:rPr>
          <w:rFonts w:ascii="Calibri" w:eastAsia="Arial" w:hAnsi="Calibri" w:cs="Calibri"/>
          <w:color w:val="000000"/>
          <w:lang w:val="en-US"/>
        </w:rPr>
        <w:fldChar w:fldCharType="end"/>
      </w:r>
      <w:r>
        <w:rPr>
          <w:rFonts w:ascii="Calibri" w:eastAsia="Arial" w:hAnsi="Calibri" w:cs="Calibri"/>
          <w:color w:val="000000"/>
          <w:lang w:val="en-US"/>
        </w:rPr>
        <w:t>to enrich translated RNA based on its co-sedimentation with (poly)ribosomes. A more refined approach to separating the translated and non-translated cytosol fractions is introduced here, eliminating the need to precipitate and subsequently re-solubilize the material.</w:t>
      </w:r>
    </w:p>
    <w:p w14:paraId="787340D8" w14:textId="77777777" w:rsidR="006B6616" w:rsidRDefault="00E473AD">
      <w:pPr>
        <w:pStyle w:val="wNormal"/>
        <w:spacing w:before="0" w:after="0" w:line="240" w:lineRule="auto"/>
        <w:rPr>
          <w:rFonts w:ascii="Calibri" w:hAnsi="Calibri" w:cs="Calibri"/>
        </w:rPr>
      </w:pPr>
      <w:r>
        <w:fldChar w:fldCharType="begin"/>
      </w:r>
      <w:r>
        <w:rPr>
          <w:rFonts w:ascii="Calibri" w:hAnsi="Calibri"/>
        </w:rPr>
        <w:instrText>ADDIN ZOTERO_ITEM CSL_CITATION {"citationID":"3iNh36vq","properties":{"formattedCitation":"\\super 9, 31\\nosupersub{}","plainCitation":"9, 31","dontUpdate":true,"noteIndex":0},"citationItems":[{"id":274,"uris":["http://zotero.org/users/6977825/items/NRI4UE8J"],"uri":["http://zotero.org/users/6977825/items/NRI4UE8J"],"itemData":{"id":274,"type":"article-journal","abstract":"Regulation of messenger RNA translation is central to eukaryotic gene expression control. Regulatory inputs are specified by them RNA untranslated regions (UTRs) and often target translation initiation. Initiation involves binding of the 40S ribosomal small subunit (SSU) and associated eukaryotic initiation factors (eIFs)near the mRNA 5′ cap; the SSU then scans in the 3′ direction until it detects the start codon and is joined by the 60S ribosomal large subunit (LSU) to form the 80S ribosome. Scanning and other dynamic aspects of the initiation model have remained as conjectures because methods to trap early intermediates were lacking. Here we uncover the dynamics of the complete translation cycle in live yeast cells using translation complex profile sequencing (TCP-seq), a method developed from the ribosome profiling approach. We document scanning by observing SSU footprints along 5′ UTRs. Scanning SSU have 5′-extended footprints (up to~75 nucleotides), indicative of additional interactions with mRNA emerging from the exit channel, promoting forward movement. We visualized changes in initiation complex conformation as SSU footprints coalesced into three major sizes at start codons (19, 29 and 37 nucleotides). These share the same 5′ start site but differ at the 3′ end, reflecting successive changes at the entry channel from an open to a closed state following start codon recognition. We also observe SSU 'lingering' at stop codons after LSU departure. Our results underpin mechanistic models of translation initiation and termination, built on decades of biochemical and structural investigation, with direct genome-wide in vivo evidence. Our approach captures ribosomal complexes at all phases of translation and will aid in studying translation dynamics in diverse cellular contexts. Dysregulation of translation is common in disease and, for example, SSU scanning is a target of anti-cancer drug development. TCP-seq will prove useful in discerning differences in mRNA-specific initiation in pathologies and their response to treatment.","archive_location":"27437580","container-title":"Nature","DOI":"10.1038/nature18647","ISSN":"0028-0836","issue":"7613","language":"eng","note":"edition: 2016/07/21","page":"570-4","source":"NLM","title":"Dynamics of ribosome scanning and recycling revealed by translation complex profiling","volume":"535","author":[{"family":"Archer","given":"S. K."},{"family":"Shirokikh","given":"N. E."},{"family":"Beilharz","given":"T. H."},{"family":"Preiss","given":"T."}],"issued":{"date-parts":[["2016",7,28]]}}},{"id":374,"uris":["http://zotero.org/users/6977825/items/DXAVYW7C"],"uri":["http://zotero.org/users/6977825/items/DXAVYW7C"],"itemData":{"id":374,"type":"article-journal","abstract":"Messenger RNA (mRNA) translation is a tightly controlled process that is integral to gene expression. It features intricate and dynamic interactions of the small and large subunits of the ribosome with mRNAs, aided by multiple auxiliary factors during distinct initiation, elongation and termination phases. The recently developed ribosome profiling method can generate transcriptome-wide surveys of translation and its regulation. Ribosome profiling records the footprints of fully assembled ribosomes along mRNAs and thus primarily interrogates the elongation phase of translation. Importantly, it does not monitor multiple substeps of initiation and termination that involve complexes between the small ribosomal subunit (SSU) and mRNA. Here we describe a related method, termed 'translation complex profile sequencing' (TCP-seq), that is uniquely capable of recording positions of any type of ribosome-mRNA complex transcriptome-wide. It uses fast covalent fixation of translation complexes in live cells, followed by RNase footprinting of translation intermediates and their separation into complexes involving either the full ribosome or the SSU. The footprints derived from each type of complex are then deep-sequenced separately, generating native distribution profiles during the elongation, as well as the initiation and termination stages of translation. We provide the full TCP-seq protocol for Saccharomyces cerevisiae liquid suspension culture, including a data analysis pipeline. The protocol takes ∼3 weeks to complete by a researcher who is well acquainted with standard molecular biology techniques and who has some experience in ultracentrifugation and the preparation of RNA sequencing (RNA-seq) libraries. Basic Bash and UNIX/Linux command skills are required to use the bioinformatics tools provided.","archive_location":"28253237","container-title":"Nature Protocols","DOI":"10.1038/nprot.2016.189","ISSN":"1750-2799","issue":"4","language":"eng","note":"edition: 2017/03/03","page":"697-731","source":"NLM","title":"Translation complex profile sequencing to study the in vivo dynamics of mRNA-ribosome interactions during translation initiation, elongation and termination","volume":"12","author":[{"family":"Shirokikh","given":"N. E."},{"family":"Archer","given":"S. K."},{"family":"Beilharz","given":"T. H."},{"family":"Powell","given":"D."},{"family":"Preiss","given":"T."}],"issued":{"date-parts":[["2017",4]]}}}],"schema":"https://github.com/citation-style-language/schema/raw/master/csl-citation.json"}</w:instrText>
      </w:r>
      <w:r w:rsidR="0021610B">
        <w:rPr>
          <w:rFonts w:ascii="Calibri" w:hAnsi="Calibri"/>
        </w:rPr>
        <w:fldChar w:fldCharType="separate"/>
      </w:r>
      <w:r>
        <w:rPr>
          <w:rFonts w:ascii="Calibri" w:hAnsi="Calibri"/>
        </w:rPr>
        <w:fldChar w:fldCharType="end"/>
      </w:r>
      <w:r>
        <w:fldChar w:fldCharType="begin"/>
      </w:r>
      <w:r>
        <w:rPr>
          <w:rFonts w:ascii="Calibri" w:hAnsi="Calibri"/>
        </w:rPr>
        <w:instrText>ADDIN EN.CITE</w:instrText>
      </w:r>
      <w:r>
        <w:rPr>
          <w:rFonts w:ascii="Calibri" w:hAnsi="Calibri"/>
        </w:rPr>
        <w:fldChar w:fldCharType="separate"/>
      </w:r>
      <w:r>
        <w:fldChar w:fldCharType="begin"/>
      </w:r>
      <w:r>
        <w:rPr>
          <w:rFonts w:ascii="Calibri" w:hAnsi="Calibri"/>
        </w:rPr>
        <w:instrText>ADDIN EN.CITE.DATA</w:instrText>
      </w:r>
      <w:r w:rsidR="0021610B">
        <w:rPr>
          <w:rFonts w:ascii="Calibri" w:hAnsi="Calibri"/>
        </w:rPr>
        <w:fldChar w:fldCharType="separate"/>
      </w:r>
      <w:r>
        <w:rPr>
          <w:rFonts w:ascii="Calibri" w:hAnsi="Calibri"/>
        </w:rPr>
        <w:fldChar w:fldCharType="end"/>
      </w:r>
      <w:r>
        <w:rPr>
          <w:rFonts w:ascii="Calibri" w:hAnsi="Calibri"/>
        </w:rPr>
        <w:fldChar w:fldCharType="end"/>
      </w:r>
      <w:r>
        <w:fldChar w:fldCharType="begin"/>
      </w:r>
      <w:r>
        <w:rPr>
          <w:rFonts w:ascii="Calibri" w:hAnsi="Calibri"/>
        </w:rPr>
        <w:instrText>ADDIN EN.CITE</w:instrText>
      </w:r>
      <w:r>
        <w:rPr>
          <w:rFonts w:ascii="Calibri" w:hAnsi="Calibri"/>
        </w:rPr>
        <w:fldChar w:fldCharType="separate"/>
      </w:r>
      <w:r>
        <w:fldChar w:fldCharType="begin"/>
      </w:r>
      <w:r>
        <w:rPr>
          <w:rFonts w:ascii="Calibri" w:hAnsi="Calibri"/>
        </w:rPr>
        <w:instrText>ADDIN EN.CITE.DATA</w:instrText>
      </w:r>
      <w:r w:rsidR="0021610B">
        <w:rPr>
          <w:rFonts w:ascii="Calibri" w:hAnsi="Calibri"/>
        </w:rPr>
        <w:fldChar w:fldCharType="separate"/>
      </w:r>
      <w:r>
        <w:rPr>
          <w:rFonts w:ascii="Calibri" w:hAnsi="Calibri"/>
        </w:rPr>
        <w:fldChar w:fldCharType="end"/>
      </w:r>
      <w:r>
        <w:rPr>
          <w:rFonts w:ascii="Calibri" w:hAnsi="Calibri"/>
        </w:rPr>
        <w:fldChar w:fldCharType="end"/>
      </w:r>
    </w:p>
    <w:p w14:paraId="788BA02B" w14:textId="77777777" w:rsidR="006B6616" w:rsidRDefault="00E473AD">
      <w:pPr>
        <w:pStyle w:val="wNormal"/>
        <w:numPr>
          <w:ilvl w:val="2"/>
          <w:numId w:val="4"/>
        </w:numPr>
        <w:tabs>
          <w:tab w:val="clear" w:pos="733"/>
          <w:tab w:val="left" w:pos="1077"/>
        </w:tabs>
        <w:spacing w:before="0" w:after="0" w:line="240" w:lineRule="auto"/>
        <w:ind w:left="0" w:firstLine="0"/>
        <w:rPr>
          <w:rFonts w:ascii="Calibri" w:eastAsia="Arial" w:hAnsi="Calibri" w:cs="Calibri"/>
          <w:color w:val="000000"/>
        </w:rPr>
      </w:pPr>
      <w:r>
        <w:rPr>
          <w:rFonts w:asciiTheme="minorHAnsi" w:eastAsia="Arial" w:hAnsiTheme="minorHAnsi" w:cstheme="minorHAnsi"/>
          <w:color w:val="000000"/>
          <w:lang w:val="en-US"/>
        </w:rPr>
        <w:t xml:space="preserve">Prepare 2.5 mL linear 10%–20% w/v of sucrose gradients with </w:t>
      </w:r>
      <w:r>
        <w:rPr>
          <w:rFonts w:asciiTheme="minorHAnsi" w:eastAsia="Arial" w:hAnsiTheme="minorHAnsi" w:cstheme="minorHAnsi"/>
          <w:bCs/>
          <w:color w:val="000000"/>
          <w:lang w:val="en-US"/>
        </w:rPr>
        <w:t>buffer B</w:t>
      </w:r>
      <w:r>
        <w:rPr>
          <w:rFonts w:asciiTheme="minorHAnsi" w:eastAsia="Arial" w:hAnsiTheme="minorHAnsi" w:cstheme="minorHAnsi"/>
          <w:color w:val="000000"/>
          <w:lang w:val="en-US"/>
        </w:rPr>
        <w:t xml:space="preserve"> using the freeze-thaw method</w:t>
      </w:r>
      <w:r>
        <w:fldChar w:fldCharType="begin"/>
      </w:r>
      <w:r>
        <w:rPr>
          <w:rFonts w:ascii="Calibri" w:eastAsia="Arial" w:hAnsi="Calibri" w:cs="Calibri"/>
          <w:color w:val="000000"/>
          <w:lang w:val="en-US"/>
        </w:rPr>
        <w:instrText>ADDIN EN.CITE &lt;EndNote&gt;&lt;Cite&gt;&lt;Author&gt;Luthe&lt;/Author&gt;&lt;Year&gt;1983&lt;/Year&gt;&lt;RecNum&gt;42&lt;/RecNum&gt;&lt;DisplayText&gt;&lt;style face="superscript"&gt;55&lt;/style&gt;&lt;/DisplayText&gt;&lt;record&gt;&lt;rec-number&gt;42&lt;/rec-number&gt;&lt;foreign-keys&gt;&lt;key app="EN" db-id="pax2w20wtrf02kez5zr5ssez02e2ds2d0ztz" timestamp="1614308930"&gt;42&lt;/key&gt;&lt;/foreign-keys&gt;&lt;ref-type name="Journal Article"&gt;17&lt;/ref-type&gt;&lt;contributors&gt;&lt;authors&gt;&lt;author&gt;Luthe, Dawn S.&lt;/author&gt;&lt;/authors&gt;&lt;/contributors&gt;&lt;titles&gt;&lt;title&gt;A simple technique for the preparation and storage of sucrose gradients&lt;/title&gt;&lt;secondary-title&gt;Analytical Biochemistry&lt;/secondary-title&gt;&lt;/titles&gt;&lt;periodical&gt;&lt;full-title&gt;Analytical Biochemistry&lt;/full-title&gt;&lt;/periodical&gt;&lt;pages&gt;230-232&lt;/pages&gt;&lt;volume&gt;135&lt;/volume&gt;&lt;number&gt;1&lt;/number&gt;&lt;dates&gt;&lt;year&gt;1983&lt;/year&gt;&lt;pub-dates&gt;&lt;date&gt;1983/11/01/&lt;/date&gt;&lt;/pub-dates&gt;&lt;/dates&gt;&lt;isbn&gt;0003-2697&lt;/isbn&gt;&lt;urls&gt;&lt;related-urls&gt;&lt;url&gt;https://www.sciencedirect.com/science/article/pii/0003269783907558&lt;/url&gt;&lt;/related-urls&gt;&lt;/urls&gt;&lt;electronic-resource-num&gt;https://doi.org/10.1016/0003-2697(83)90755-8&lt;/electronic-resource-num&gt;&lt;/record&gt;&lt;/Cite&gt;&lt;/EndNote&gt;</w:instrText>
      </w:r>
      <w:r>
        <w:rPr>
          <w:rFonts w:ascii="Calibri" w:eastAsia="Arial" w:hAnsi="Calibri" w:cs="Calibri"/>
          <w:color w:val="000000"/>
          <w:lang w:val="en-US"/>
        </w:rPr>
        <w:fldChar w:fldCharType="separate"/>
      </w:r>
      <w:r>
        <w:rPr>
          <w:rFonts w:asciiTheme="minorHAnsi" w:eastAsia="Arial" w:hAnsiTheme="minorHAnsi" w:cstheme="minorHAnsi"/>
          <w:color w:val="000000"/>
          <w:vertAlign w:val="superscript"/>
          <w:lang w:val="en-US"/>
        </w:rPr>
        <w:t>41</w:t>
      </w:r>
      <w:r>
        <w:rPr>
          <w:rFonts w:ascii="Calibri" w:eastAsia="Arial" w:hAnsi="Calibri" w:cs="Calibri"/>
          <w:color w:val="000000"/>
          <w:lang w:val="en-US"/>
        </w:rPr>
        <w:fldChar w:fldCharType="end"/>
      </w:r>
      <w:r>
        <w:fldChar w:fldCharType="begin"/>
      </w:r>
      <w:r>
        <w:rPr>
          <w:rFonts w:ascii="Calibri" w:eastAsia="Arial" w:hAnsi="Calibri" w:cs="Calibri"/>
          <w:color w:val="000000"/>
          <w:lang w:val="en-US"/>
        </w:rPr>
        <w:instrText>ADDIN EN.CITE &lt;EndNote&gt;&lt;Cite&gt;&lt;Author&gt;Luthe&lt;/Author&gt;&lt;Year&gt;1983&lt;/Year&gt;&lt;RecNum&gt;145&lt;/RecNum&gt;&lt;DisplayText&gt;&lt;style face="superscript"&gt;50&lt;/style&gt;&lt;/DisplayText&gt;&lt;record&gt;&lt;rec-number&gt;145&lt;/rec-number&gt;&lt;foreign-keys&gt;&lt;key app="EN" db-id="av52axsxop2fwbe0dpc5a0ak5rev99w02x2w" timestamp="1613437364"&gt;145&lt;/key&gt;&lt;/foreign-keys&gt;&lt;ref-type name="Journal Article"&gt;17&lt;/ref-type&gt;&lt;contributors&gt;&lt;authors&gt;&lt;author&gt;Luthe, Dawn S.&lt;/author&gt;&lt;/authors&gt;&lt;/contributors&gt;&lt;titles&gt;&lt;title&gt;A simple technique for the preparation and storage of sucrose gradients&lt;/title&gt;&lt;secondary-title&gt;Analytical Biochemistry&lt;/secondary-title&gt;&lt;/titles&gt;&lt;periodical&gt;&lt;full-title&gt;Analytical Biochemistry&lt;/full-title&gt;&lt;/periodical&gt;&lt;pages&gt;230-232&lt;/pages&gt;&lt;volume&gt;135&lt;/volume&gt;&lt;number&gt;1&lt;/number&gt;&lt;dates&gt;&lt;year&gt;1983&lt;/year&gt;&lt;pub-dates&gt;&lt;date&gt;1983/11/01/&lt;/date&gt;&lt;/pub-dates&gt;&lt;/dates&gt;&lt;isbn&gt;0003-2697&lt;/isbn&gt;&lt;urls&gt;&lt;related-urls&gt;&lt;url&gt;https://www.sciencedirect.com/science/article/pii/0003269783907558&lt;/url&gt;&lt;/related-urls&gt;&lt;/urls&gt;&lt;electronic-resource-num&gt;https://doi.org/10.1016/0003-2697(83)90755-8&lt;/electronic-resource-num&gt;&lt;/record&gt;&lt;/Cite&gt;&lt;/EndNote&gt;</w:instrText>
      </w:r>
      <w:r w:rsidR="0021610B">
        <w:rPr>
          <w:rFonts w:ascii="Calibri" w:eastAsia="Arial" w:hAnsi="Calibri" w:cs="Calibri"/>
          <w:color w:val="000000"/>
          <w:lang w:val="en-US"/>
        </w:rPr>
        <w:fldChar w:fldCharType="separate"/>
      </w:r>
      <w:r>
        <w:rPr>
          <w:rFonts w:ascii="Calibri" w:eastAsia="Arial" w:hAnsi="Calibri" w:cs="Calibri"/>
          <w:color w:val="000000"/>
          <w:lang w:val="en-US"/>
        </w:rPr>
        <w:fldChar w:fldCharType="end"/>
      </w:r>
      <w:r>
        <w:rPr>
          <w:rFonts w:asciiTheme="minorHAnsi" w:eastAsia="Arial" w:hAnsiTheme="minorHAnsi" w:cstheme="minorHAnsi"/>
          <w:color w:val="000000"/>
          <w:lang w:val="en-US"/>
        </w:rPr>
        <w:t xml:space="preserve"> in thin wall ultracentrifuge tubes (5 mL, 13 x 51 mm).</w:t>
      </w:r>
      <w:r>
        <w:fldChar w:fldCharType="begin"/>
      </w:r>
      <w:r>
        <w:rPr>
          <w:rFonts w:ascii="Calibri" w:eastAsia="Arial" w:hAnsi="Calibri" w:cs="Calibri"/>
          <w:color w:val="000000"/>
          <w:lang w:val="en-US"/>
        </w:rPr>
        <w:instrText>ADDIN EN.CITE &lt;EndNote&gt;&lt;Cite&gt;&lt;Author&gt;Luthe&lt;/Author&gt;&lt;Year&gt;1983&lt;/Year&gt;&lt;RecNum&gt;42&lt;/RecNum&gt;&lt;DisplayText&gt;&lt;style face="superscript"&gt;55&lt;/style&gt;&lt;/DisplayText&gt;&lt;record&gt;&lt;rec-number&gt;42&lt;/rec-number&gt;&lt;foreign-keys&gt;&lt;key app="EN" db-id="pax2w20wtrf02kez5zr5ssez02e2ds2d0ztz" timestamp="1614308930"&gt;42&lt;/key&gt;&lt;/foreign-keys&gt;&lt;ref-type name="Journal Article"&gt;17&lt;/ref-type&gt;&lt;contributors&gt;&lt;authors&gt;&lt;author&gt;Luthe, Dawn S.&lt;/author&gt;&lt;/authors&gt;&lt;/contributors&gt;&lt;titles&gt;&lt;title&gt;A simple technique for the preparation and storage of sucrose gradients&lt;/title&gt;&lt;secondary-title&gt;Analytical Biochemistry&lt;/secondary-title&gt;&lt;/titles&gt;&lt;periodical&gt;&lt;full-title&gt;Analytical Biochemistry&lt;/full-title&gt;&lt;/periodical&gt;&lt;pages&gt;230-232&lt;/pages&gt;&lt;volume&gt;135&lt;/volume&gt;&lt;number&gt;1&lt;/number&gt;&lt;dates&gt;&lt;year&gt;1983&lt;/year&gt;&lt;pub-dates&gt;&lt;date&gt;1983/11/01/&lt;/date&gt;&lt;/pub-dates&gt;&lt;/dates&gt;&lt;isbn&gt;0003-2697&lt;/isbn&gt;&lt;urls&gt;&lt;related-urls&gt;&lt;url&gt;https://www.sciencedirect.com/science/article/pii/0003269783907558&lt;/url&gt;&lt;/related-urls&gt;&lt;/urls&gt;&lt;electronic-resource-num&gt;https://doi.org/10.1016/0003-2697(83)90755-8&lt;/electronic-resource-num&gt;&lt;/record&gt;&lt;/Cite&gt;&lt;/EndNote&gt;</w:instrText>
      </w:r>
      <w:r w:rsidR="0021610B">
        <w:rPr>
          <w:rFonts w:ascii="Calibri" w:eastAsia="Arial" w:hAnsi="Calibri" w:cs="Calibri"/>
          <w:color w:val="000000"/>
          <w:lang w:val="en-US"/>
        </w:rPr>
        <w:fldChar w:fldCharType="separate"/>
      </w:r>
      <w:r>
        <w:rPr>
          <w:rFonts w:ascii="Calibri" w:eastAsia="Arial" w:hAnsi="Calibri" w:cs="Calibri"/>
          <w:color w:val="000000"/>
          <w:lang w:val="en-US"/>
        </w:rPr>
        <w:fldChar w:fldCharType="end"/>
      </w:r>
      <w:r>
        <w:fldChar w:fldCharType="begin"/>
      </w:r>
      <w:r>
        <w:rPr>
          <w:rFonts w:ascii="Calibri" w:eastAsia="Arial" w:hAnsi="Calibri" w:cs="Calibri"/>
          <w:color w:val="000000"/>
          <w:lang w:val="en-US"/>
        </w:rPr>
        <w:instrText>ADDIN EN.CITE &lt;EndNote&gt;&lt;Cite&gt;&lt;Author&gt;Luthe&lt;/Author&gt;&lt;Year&gt;1983&lt;/Year&gt;&lt;RecNum&gt;145&lt;/RecNum&gt;&lt;DisplayText&gt;&lt;style face="superscript"&gt;50&lt;/style&gt;&lt;/DisplayText&gt;&lt;record&gt;&lt;rec-number&gt;145&lt;/rec-number&gt;&lt;foreign-keys&gt;&lt;key app="EN" db-id="av52axsxop2fwbe0dpc5a0ak5rev99w02x2w" timestamp="1613437364"&gt;145&lt;/key&gt;&lt;/foreign-keys&gt;&lt;ref-type name="Journal Article"&gt;17&lt;/ref-type&gt;&lt;contributors&gt;&lt;authors&gt;&lt;author&gt;Luthe, Dawn S.&lt;/author&gt;&lt;/authors&gt;&lt;/contributors&gt;&lt;titles&gt;&lt;title&gt;A simple technique for the preparation and storage of sucrose gradients&lt;/title&gt;&lt;secondary-title&gt;Analytical Biochemistry&lt;/secondary-title&gt;&lt;/titles&gt;&lt;periodical&gt;&lt;full-title&gt;Analytical Biochemistry&lt;/full-title&gt;&lt;/periodical&gt;&lt;pages&gt;230-232&lt;/pages&gt;&lt;volume&gt;135&lt;/volume&gt;&lt;number&gt;1&lt;/number&gt;&lt;dates&gt;&lt;year&gt;1983&lt;/year&gt;&lt;pub-dates&gt;&lt;date&gt;1983/11/01/&lt;/date&gt;&lt;/pub-dates&gt;&lt;/dates&gt;&lt;isbn&gt;0003-2697&lt;/isbn&gt;&lt;urls&gt;&lt;related-urls&gt;&lt;url&gt;https://www.sciencedirect.com/science/article/pii/0003269783907558&lt;/url&gt;&lt;/related-urls&gt;&lt;/urls&gt;&lt;electronic-resource-num&gt;https://doi.org/10.1016/0003-2697(83)90755-8&lt;/electronic-resource-num&gt;&lt;/record&gt;&lt;/Cite&gt;&lt;/EndNote&gt;</w:instrText>
      </w:r>
      <w:r w:rsidR="0021610B">
        <w:rPr>
          <w:rFonts w:ascii="Calibri" w:eastAsia="Arial" w:hAnsi="Calibri" w:cs="Calibri"/>
          <w:color w:val="000000"/>
          <w:lang w:val="en-US"/>
        </w:rPr>
        <w:fldChar w:fldCharType="separate"/>
      </w:r>
      <w:r>
        <w:rPr>
          <w:rFonts w:ascii="Calibri" w:eastAsia="Arial" w:hAnsi="Calibri" w:cs="Calibri"/>
          <w:color w:val="000000"/>
          <w:lang w:val="en-US"/>
        </w:rPr>
        <w:fldChar w:fldCharType="end"/>
      </w:r>
    </w:p>
    <w:p w14:paraId="4CE142C7" w14:textId="77777777" w:rsidR="006B6616" w:rsidRDefault="006B6616">
      <w:pPr>
        <w:pStyle w:val="wNormal"/>
        <w:spacing w:before="0" w:after="0" w:line="240" w:lineRule="auto"/>
        <w:rPr>
          <w:rFonts w:ascii="Calibri" w:hAnsi="Calibri" w:cs="Calibri"/>
        </w:rPr>
      </w:pPr>
    </w:p>
    <w:p w14:paraId="78CB9ABD" w14:textId="77777777" w:rsidR="006B6616" w:rsidRDefault="00E473AD">
      <w:pPr>
        <w:pStyle w:val="wNormal"/>
        <w:spacing w:before="0" w:after="0" w:line="240" w:lineRule="auto"/>
        <w:rPr>
          <w:rFonts w:ascii="Calibri" w:hAnsi="Calibri" w:cs="Calibri"/>
        </w:rPr>
      </w:pPr>
      <w:r>
        <w:rPr>
          <w:rFonts w:ascii="Calibri" w:eastAsia="Arial" w:hAnsi="Calibri" w:cs="Calibri"/>
          <w:color w:val="000000"/>
          <w:lang w:val="en-US"/>
        </w:rPr>
        <w:t xml:space="preserve">NOTE: The freeze-thaw method is performed by the sequential addition and freezing of buffered sucrose layers with linearly regressing concentrations on top of each other. See </w:t>
      </w:r>
      <w:r>
        <w:rPr>
          <w:rFonts w:ascii="Calibri" w:eastAsia="Arial" w:hAnsi="Calibri" w:cs="Calibri"/>
          <w:b/>
          <w:bCs/>
          <w:color w:val="000000"/>
          <w:lang w:val="en-US"/>
        </w:rPr>
        <w:t xml:space="preserve">Supplementary Table 1 </w:t>
      </w:r>
      <w:r>
        <w:rPr>
          <w:rFonts w:ascii="Calibri" w:eastAsia="Arial" w:hAnsi="Calibri" w:cs="Calibri"/>
          <w:color w:val="000000"/>
          <w:lang w:val="en-US"/>
        </w:rPr>
        <w:t>for details.</w:t>
      </w:r>
    </w:p>
    <w:p w14:paraId="35FC4BAF" w14:textId="77777777" w:rsidR="006B6616" w:rsidRDefault="006B6616">
      <w:pPr>
        <w:pStyle w:val="wNormal"/>
        <w:spacing w:before="0" w:after="0" w:line="240" w:lineRule="auto"/>
        <w:rPr>
          <w:rFonts w:ascii="Calibri" w:eastAsia="Arial" w:hAnsi="Calibri" w:cs="Calibri"/>
          <w:color w:val="000000"/>
        </w:rPr>
      </w:pPr>
    </w:p>
    <w:p w14:paraId="2AF03857" w14:textId="77777777" w:rsidR="006B6616" w:rsidRDefault="00E473AD">
      <w:pPr>
        <w:pStyle w:val="wNormal"/>
        <w:numPr>
          <w:ilvl w:val="2"/>
          <w:numId w:val="4"/>
        </w:numPr>
        <w:spacing w:before="0" w:after="0" w:line="240" w:lineRule="auto"/>
        <w:ind w:left="0" w:firstLine="0"/>
        <w:rPr>
          <w:rFonts w:ascii="Calibri" w:hAnsi="Calibri" w:cs="Calibri"/>
        </w:rPr>
      </w:pPr>
      <w:r>
        <w:rPr>
          <w:rFonts w:ascii="Calibri" w:eastAsia="Arial" w:hAnsi="Calibri" w:cs="Calibri"/>
          <w:color w:val="000000"/>
          <w:lang w:val="en-US"/>
        </w:rPr>
        <w:t>To create a discontinuous 50% w/v sucrose cushion, upon the linear gradients thawing and stabilizing, slowly dispense 0.5 mL of 50% sucrose in buffer B directly onto the bottom of the tubes using a 1 mL syringe attached to 19 G x 1.5" needle or a glass capillary of similar/suitable dimensions. Before dispensing, carefully and slowly drive the tip of the needle or capillary from the top to bottom of the pre-formed sucrose gradients, avoiding any disturbance, until it reaches the tube bottom.</w:t>
      </w:r>
    </w:p>
    <w:p w14:paraId="5CAE2B2F"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20BB9227" w14:textId="77777777" w:rsidR="006B6616" w:rsidRDefault="00E473AD">
      <w:pPr>
        <w:pStyle w:val="wNormal"/>
        <w:tabs>
          <w:tab w:val="clear" w:pos="733"/>
          <w:tab w:val="left" w:pos="1077"/>
        </w:tabs>
        <w:spacing w:before="0" w:after="0" w:line="240" w:lineRule="auto"/>
        <w:rPr>
          <w:rFonts w:ascii="Calibri" w:hAnsi="Calibri" w:cs="Calibri"/>
        </w:rPr>
      </w:pPr>
      <w:r>
        <w:rPr>
          <w:rFonts w:ascii="Calibri" w:eastAsia="Arial" w:hAnsi="Calibri" w:cs="Calibri"/>
          <w:color w:val="000000"/>
          <w:lang w:val="en-US"/>
        </w:rPr>
        <w:t xml:space="preserve">NOTE: </w:t>
      </w:r>
      <w:r>
        <w:rPr>
          <w:rFonts w:ascii="Calibri" w:eastAsia="Arial" w:hAnsi="Calibri" w:cs="Calibri"/>
          <w:bCs/>
          <w:color w:val="000000"/>
          <w:lang w:val="en-US"/>
        </w:rPr>
        <w:t xml:space="preserve">See </w:t>
      </w:r>
      <w:r>
        <w:rPr>
          <w:rFonts w:ascii="Calibri" w:eastAsia="Arial" w:hAnsi="Calibri" w:cs="Calibri"/>
          <w:b/>
          <w:color w:val="000000"/>
          <w:lang w:val="en-US"/>
        </w:rPr>
        <w:t>Supplementary Table</w:t>
      </w:r>
      <w:r>
        <w:rPr>
          <w:rFonts w:ascii="Calibri" w:eastAsia="Arial" w:hAnsi="Calibri" w:cs="Calibri"/>
          <w:bCs/>
          <w:color w:val="000000"/>
          <w:lang w:val="en-US"/>
        </w:rPr>
        <w:t xml:space="preserve"> </w:t>
      </w:r>
      <w:r>
        <w:rPr>
          <w:rFonts w:ascii="Calibri" w:eastAsia="Arial" w:hAnsi="Calibri" w:cs="Calibri"/>
          <w:b/>
          <w:color w:val="000000"/>
          <w:lang w:val="en-US"/>
        </w:rPr>
        <w:t>1</w:t>
      </w:r>
      <w:r>
        <w:rPr>
          <w:rFonts w:ascii="Calibri" w:eastAsia="Arial" w:hAnsi="Calibri" w:cs="Calibri"/>
          <w:bCs/>
          <w:color w:val="000000"/>
          <w:lang w:val="en-US"/>
        </w:rPr>
        <w:t xml:space="preserve"> for instructions on preparation of </w:t>
      </w:r>
      <w:r>
        <w:rPr>
          <w:rFonts w:ascii="Calibri" w:eastAsia="Arial" w:hAnsi="Calibri" w:cs="Calibri"/>
          <w:color w:val="000000"/>
          <w:lang w:val="en-US"/>
        </w:rPr>
        <w:t>buffer B</w:t>
      </w:r>
      <w:r>
        <w:rPr>
          <w:rFonts w:ascii="Calibri" w:eastAsia="Arial" w:hAnsi="Calibri" w:cs="Calibri"/>
          <w:bCs/>
          <w:color w:val="000000"/>
          <w:lang w:val="en-US"/>
        </w:rPr>
        <w:t>.</w:t>
      </w:r>
    </w:p>
    <w:p w14:paraId="56E2A11B" w14:textId="77777777" w:rsidR="006B6616" w:rsidRDefault="006B6616">
      <w:pPr>
        <w:pStyle w:val="wNormal"/>
        <w:spacing w:before="0" w:after="0" w:line="240" w:lineRule="auto"/>
        <w:rPr>
          <w:rFonts w:ascii="Calibri" w:eastAsia="Arial" w:hAnsi="Calibri" w:cs="Calibri"/>
          <w:color w:val="000000"/>
          <w:lang w:val="en-US"/>
        </w:rPr>
      </w:pPr>
    </w:p>
    <w:p w14:paraId="4F4B78D3"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Carefully balance the gradients by removing the top portions or layering more 10 w/v of sucrose in </w:t>
      </w:r>
      <w:r>
        <w:rPr>
          <w:rFonts w:ascii="Calibri" w:eastAsia="Arial" w:hAnsi="Calibri" w:cs="Calibri"/>
          <w:bCs/>
          <w:color w:val="000000"/>
          <w:lang w:val="en-US"/>
        </w:rPr>
        <w:t>buffer B</w:t>
      </w:r>
      <w:r>
        <w:rPr>
          <w:rFonts w:ascii="Calibri" w:eastAsia="Arial" w:hAnsi="Calibri" w:cs="Calibri"/>
          <w:b/>
          <w:color w:val="000000"/>
          <w:lang w:val="en-US"/>
        </w:rPr>
        <w:t xml:space="preserve"> </w:t>
      </w:r>
      <w:r>
        <w:rPr>
          <w:rFonts w:ascii="Calibri" w:eastAsia="Arial" w:hAnsi="Calibri" w:cs="Calibri"/>
          <w:color w:val="000000"/>
          <w:lang w:val="en-US"/>
        </w:rPr>
        <w:t>and keep them ice-cold or at 4 °C.</w:t>
      </w:r>
    </w:p>
    <w:p w14:paraId="1D6725B3"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191DFED9" w14:textId="77777777" w:rsidR="006B6616" w:rsidRDefault="00E473AD">
      <w:pPr>
        <w:pStyle w:val="wNormal"/>
        <w:spacing w:before="0" w:after="0" w:line="240" w:lineRule="auto"/>
        <w:rPr>
          <w:rFonts w:ascii="Calibri" w:hAnsi="Calibri" w:cs="Calibri"/>
        </w:rPr>
      </w:pPr>
      <w:r>
        <w:rPr>
          <w:rFonts w:ascii="Calibri" w:eastAsia="Arial" w:hAnsi="Calibri" w:cs="Calibri"/>
          <w:color w:val="000000"/>
          <w:lang w:val="en-US"/>
        </w:rPr>
        <w:t xml:space="preserve">NOTE: </w:t>
      </w:r>
      <w:r>
        <w:rPr>
          <w:rFonts w:ascii="Calibri" w:eastAsia="Arial" w:hAnsi="Calibri" w:cs="Calibri"/>
          <w:bCs/>
          <w:color w:val="000000"/>
          <w:lang w:val="en-US"/>
        </w:rPr>
        <w:t>The discontinuous gradient with the bottom 50% sucrose layer is needed to collect material with higher sedimentation rate without precipitating it on the tube wall.</w:t>
      </w:r>
    </w:p>
    <w:p w14:paraId="2EC694DD" w14:textId="77777777" w:rsidR="006B6616" w:rsidRDefault="006B6616">
      <w:pPr>
        <w:pStyle w:val="wNormal"/>
        <w:spacing w:before="0" w:after="0" w:line="240" w:lineRule="auto"/>
        <w:rPr>
          <w:rFonts w:ascii="Calibri" w:eastAsia="Arial" w:hAnsi="Calibri" w:cs="Calibri"/>
          <w:bCs/>
          <w:color w:val="000000"/>
          <w:lang w:val="en-US"/>
        </w:rPr>
      </w:pPr>
    </w:p>
    <w:p w14:paraId="1349A772"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Thaw ~100 mg of the frozen cell powdered sample at room temperature and immediately place on ice. Mix in 150 </w:t>
      </w:r>
      <w:r>
        <w:rPr>
          <w:rFonts w:ascii="Calibri" w:eastAsia="Symbol" w:hAnsi="Calibri" w:cs="Calibri"/>
          <w:color w:val="000000"/>
          <w:lang w:val="en-US"/>
        </w:rPr>
        <w:t>µ</w:t>
      </w:r>
      <w:r>
        <w:rPr>
          <w:rFonts w:ascii="Calibri" w:eastAsia="Arial" w:hAnsi="Calibri" w:cs="Calibri"/>
          <w:color w:val="000000"/>
          <w:lang w:val="en-US"/>
        </w:rPr>
        <w:t>L of buffer A2</w:t>
      </w:r>
      <w:r>
        <w:rPr>
          <w:rFonts w:ascii="Calibri" w:eastAsia="Arial" w:hAnsi="Calibri" w:cs="Calibri"/>
          <w:b/>
          <w:bCs/>
          <w:color w:val="000000"/>
          <w:lang w:val="en-US"/>
        </w:rPr>
        <w:t xml:space="preserve"> </w:t>
      </w:r>
      <w:r>
        <w:rPr>
          <w:rFonts w:ascii="Calibri" w:eastAsia="Arial" w:hAnsi="Calibri" w:cs="Calibri"/>
          <w:color w:val="000000"/>
          <w:lang w:val="en-US"/>
        </w:rPr>
        <w:t xml:space="preserve">by pipetting, add RNase inhibitor to 1 U/µL and mix by </w:t>
      </w:r>
      <w:proofErr w:type="spellStart"/>
      <w:r>
        <w:rPr>
          <w:rFonts w:ascii="Calibri" w:eastAsia="Arial" w:hAnsi="Calibri" w:cs="Calibri"/>
          <w:color w:val="000000"/>
          <w:lang w:val="en-US"/>
        </w:rPr>
        <w:t>vortexing</w:t>
      </w:r>
      <w:proofErr w:type="spellEnd"/>
      <w:r>
        <w:rPr>
          <w:rFonts w:ascii="Calibri" w:eastAsia="Arial" w:hAnsi="Calibri" w:cs="Calibri"/>
          <w:color w:val="000000"/>
          <w:lang w:val="en-US"/>
        </w:rPr>
        <w:t xml:space="preserve"> (avoid excessive foaming and mixing with the gaseous phase) for 10 s.</w:t>
      </w:r>
    </w:p>
    <w:p w14:paraId="0BA98CFF"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0292B82E" w14:textId="77777777" w:rsidR="006B6616" w:rsidRDefault="00E473AD">
      <w:pPr>
        <w:pStyle w:val="wNormal"/>
        <w:spacing w:before="0" w:after="0" w:line="240" w:lineRule="auto"/>
        <w:rPr>
          <w:rFonts w:ascii="Calibri" w:hAnsi="Calibri" w:cs="Calibri"/>
        </w:rPr>
      </w:pPr>
      <w:r>
        <w:rPr>
          <w:rFonts w:ascii="Calibri" w:eastAsia="Arial" w:hAnsi="Calibri" w:cs="Calibri"/>
          <w:color w:val="000000"/>
          <w:lang w:val="en-US"/>
        </w:rPr>
        <w:t>NOTE: Continue all operations while keeping the material on ice, unless otherwise indicated.</w:t>
      </w:r>
    </w:p>
    <w:p w14:paraId="51B07043" w14:textId="77777777" w:rsidR="006B6616" w:rsidRDefault="006B6616">
      <w:pPr>
        <w:pStyle w:val="wNormal"/>
        <w:spacing w:before="0" w:after="0" w:line="240" w:lineRule="auto"/>
        <w:rPr>
          <w:rFonts w:ascii="Calibri" w:eastAsia="Arial" w:hAnsi="Calibri" w:cs="Calibri"/>
          <w:color w:val="000000"/>
          <w:lang w:val="en-US"/>
        </w:rPr>
      </w:pPr>
    </w:p>
    <w:p w14:paraId="78CF92FB"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Pellet the cell debris by centrifuging the tubes at 4 °C, 13,000 x </w:t>
      </w:r>
      <w:r>
        <w:rPr>
          <w:rFonts w:ascii="Calibri" w:eastAsia="Arial" w:hAnsi="Calibri" w:cs="Calibri"/>
          <w:i/>
          <w:iCs/>
          <w:color w:val="000000"/>
          <w:lang w:val="en-US"/>
        </w:rPr>
        <w:t>g</w:t>
      </w:r>
      <w:r>
        <w:rPr>
          <w:rFonts w:ascii="Calibri" w:eastAsia="Arial" w:hAnsi="Calibri" w:cs="Calibri"/>
          <w:color w:val="000000"/>
          <w:lang w:val="en-US"/>
        </w:rPr>
        <w:t xml:space="preserve"> for 5 min and recover the clarified supernatant (~150 µL) in a new 1.5 mL low protein binding tube.</w:t>
      </w:r>
    </w:p>
    <w:p w14:paraId="4E469374"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0493B51E"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Load the resultant clarified mixture onto the discontinuous sucrose gradient tubes from step 1.3.3 and carefully balance them.</w:t>
      </w:r>
    </w:p>
    <w:p w14:paraId="3197E98F"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2BE7EC7D"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Ultracentrifuge the tubes in a medium volume swing-bucket rotor at 4 °C, with average g-force 287,980 x </w:t>
      </w:r>
      <w:r>
        <w:rPr>
          <w:rFonts w:ascii="Calibri" w:eastAsia="Arial" w:hAnsi="Calibri" w:cs="Calibri"/>
          <w:i/>
          <w:iCs/>
          <w:color w:val="000000"/>
          <w:lang w:val="en-US"/>
        </w:rPr>
        <w:t>g</w:t>
      </w:r>
      <w:r>
        <w:rPr>
          <w:rFonts w:ascii="Calibri" w:eastAsia="Arial" w:hAnsi="Calibri" w:cs="Calibri"/>
          <w:color w:val="000000"/>
          <w:lang w:val="en-US"/>
        </w:rPr>
        <w:t xml:space="preserve"> (</w:t>
      </w:r>
      <w:r>
        <w:rPr>
          <w:rFonts w:ascii="Calibri" w:eastAsia="Arial" w:hAnsi="Calibri" w:cs="Calibri"/>
          <w:iCs/>
          <w:color w:val="000000"/>
          <w:lang w:val="en-US"/>
        </w:rPr>
        <w:t xml:space="preserve">k-factor </w:t>
      </w:r>
      <w:r>
        <w:rPr>
          <w:rFonts w:ascii="Calibri" w:eastAsia="Arial" w:hAnsi="Calibri" w:cs="Calibri"/>
          <w:color w:val="000000"/>
          <w:lang w:val="en-US"/>
        </w:rPr>
        <w:t>49) for 1 h 30 min.</w:t>
      </w:r>
    </w:p>
    <w:p w14:paraId="7B685392"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6C5AF1E9" w14:textId="77777777" w:rsidR="006B6616" w:rsidRDefault="00E473AD">
      <w:pPr>
        <w:pStyle w:val="wNormal"/>
        <w:spacing w:before="0" w:after="0" w:line="240" w:lineRule="auto"/>
        <w:rPr>
          <w:rFonts w:ascii="Calibri" w:hAnsi="Calibri" w:cs="Calibri"/>
        </w:rPr>
      </w:pPr>
      <w:r>
        <w:rPr>
          <w:rFonts w:ascii="Calibri" w:eastAsia="Arial" w:hAnsi="Calibri" w:cs="Calibri"/>
          <w:color w:val="000000"/>
          <w:lang w:val="en-US"/>
        </w:rPr>
        <w:t>NOTE: These conditions have been pre-optimized (using post-ultracentrifugation gradient UV absorbance trace analysis) to retain the free (non-(</w:t>
      </w:r>
      <w:proofErr w:type="gramStart"/>
      <w:r>
        <w:rPr>
          <w:rFonts w:ascii="Calibri" w:eastAsia="Arial" w:hAnsi="Calibri" w:cs="Calibri"/>
          <w:color w:val="000000"/>
          <w:lang w:val="en-US"/>
        </w:rPr>
        <w:t>poly)ribosomal</w:t>
      </w:r>
      <w:proofErr w:type="gramEnd"/>
      <w:r>
        <w:rPr>
          <w:rFonts w:ascii="Calibri" w:eastAsia="Arial" w:hAnsi="Calibri" w:cs="Calibri"/>
          <w:color w:val="000000"/>
          <w:lang w:val="en-US"/>
        </w:rPr>
        <w:t>) SSUs and LSUs (large ribosomal subunit) in the top (10%–20% sucrose) portion of the gradient while concentrating the (poly)ribosomal fraction in the bottom (50%) sucrose cushion without pelleting the material.</w:t>
      </w:r>
    </w:p>
    <w:p w14:paraId="77FF6ACE" w14:textId="77777777" w:rsidR="006B6616" w:rsidRDefault="006B6616">
      <w:pPr>
        <w:pStyle w:val="wNormal"/>
        <w:spacing w:before="0" w:after="0" w:line="240" w:lineRule="auto"/>
        <w:rPr>
          <w:rFonts w:ascii="Calibri" w:eastAsia="Arial" w:hAnsi="Calibri" w:cs="Calibri"/>
          <w:color w:val="000000"/>
          <w:lang w:val="en-US"/>
        </w:rPr>
      </w:pPr>
    </w:p>
    <w:p w14:paraId="1CB16816"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Use a new sterile 1 mL syringe equipped with a 19 G x 1.5" needle to collect the translated cytosol fraction. Place the 5 mL gradient on a stable rack ensuring the bottom of the tube is visible.</w:t>
      </w:r>
    </w:p>
    <w:p w14:paraId="5CF2C239"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6811E151"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From the top of the tube, stick the needle straight into the bottom of the gradient (without puncturing the tube) and gently, without creating any bubbles, draw exactly 0.5 mL of the bottom solution containing the translated RNA pool.</w:t>
      </w:r>
    </w:p>
    <w:p w14:paraId="10FDCDC0"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73CAF2BF" w14:textId="77777777" w:rsidR="006B6616" w:rsidRDefault="00E473AD">
      <w:pPr>
        <w:pStyle w:val="wNormal"/>
        <w:tabs>
          <w:tab w:val="clear" w:pos="733"/>
          <w:tab w:val="left" w:pos="1077"/>
        </w:tabs>
        <w:spacing w:before="0" w:after="0" w:line="240" w:lineRule="auto"/>
        <w:rPr>
          <w:rFonts w:ascii="Calibri" w:hAnsi="Calibri" w:cs="Calibri"/>
        </w:rPr>
      </w:pPr>
      <w:r>
        <w:rPr>
          <w:rFonts w:ascii="Calibri" w:eastAsia="Arial" w:hAnsi="Calibri" w:cs="Calibri"/>
          <w:color w:val="000000"/>
          <w:lang w:val="en-US"/>
        </w:rPr>
        <w:t>NOTE: Ensure this step is performed in the cold room and the tube is held firmly. It is recommended to draw the entire 0.5 mL in a single upstroke motion to avoid disturbance of the gradient.</w:t>
      </w:r>
    </w:p>
    <w:p w14:paraId="4BCF8BD6"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743473B8"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Confirm the (poly)ribosomal presence and the depletion of the SSU, LSU and lighter fractions in the resultant mixture by absorbance readout of the sucrose gradient upon ultracentrifugation run.</w:t>
      </w:r>
    </w:p>
    <w:p w14:paraId="1B485807"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4165B386" w14:textId="77777777" w:rsidR="006B6616" w:rsidRDefault="00E473AD">
      <w:pPr>
        <w:pStyle w:val="wNormal"/>
        <w:numPr>
          <w:ilvl w:val="2"/>
          <w:numId w:val="4"/>
        </w:numPr>
        <w:tabs>
          <w:tab w:val="clear" w:pos="733"/>
          <w:tab w:val="left" w:pos="1080"/>
        </w:tabs>
        <w:spacing w:before="0" w:after="0" w:line="240" w:lineRule="auto"/>
        <w:ind w:left="0" w:firstLine="0"/>
        <w:rPr>
          <w:rFonts w:ascii="Calibri" w:hAnsi="Calibri" w:cs="Calibri"/>
        </w:rPr>
      </w:pPr>
      <w:r>
        <w:rPr>
          <w:rFonts w:ascii="Calibri" w:eastAsia="Arial" w:hAnsi="Calibri" w:cs="Calibri"/>
          <w:color w:val="000000"/>
          <w:lang w:val="en-US"/>
        </w:rPr>
        <w:t>Concentrate the collected translated RNA pool from the previous step to 100 µL using</w:t>
      </w:r>
      <w:r>
        <w:rPr>
          <w:rFonts w:ascii="Calibri" w:hAnsi="Calibri" w:cs="Calibri"/>
          <w:color w:val="000000"/>
          <w:lang w:val="en-US"/>
        </w:rPr>
        <w:t xml:space="preserve"> ultrafiltration in a micro-concentration device with 10 </w:t>
      </w:r>
      <w:proofErr w:type="spellStart"/>
      <w:r>
        <w:rPr>
          <w:rFonts w:ascii="Calibri" w:hAnsi="Calibri" w:cs="Calibri"/>
          <w:color w:val="000000"/>
          <w:lang w:val="en-US"/>
        </w:rPr>
        <w:t>kDa</w:t>
      </w:r>
      <w:proofErr w:type="spellEnd"/>
      <w:r>
        <w:rPr>
          <w:rFonts w:ascii="Calibri" w:hAnsi="Calibri" w:cs="Calibri"/>
          <w:color w:val="000000"/>
          <w:lang w:val="en-US"/>
        </w:rPr>
        <w:t xml:space="preserve"> cut-off regenerated cellulose membrane.</w:t>
      </w:r>
    </w:p>
    <w:p w14:paraId="75A4F13F" w14:textId="77777777" w:rsidR="006B6616" w:rsidRDefault="006B6616">
      <w:pPr>
        <w:pStyle w:val="wNormal"/>
        <w:tabs>
          <w:tab w:val="clear" w:pos="733"/>
          <w:tab w:val="left" w:pos="1080"/>
        </w:tabs>
        <w:spacing w:before="0" w:after="0" w:line="240" w:lineRule="auto"/>
        <w:rPr>
          <w:rFonts w:ascii="Calibri" w:hAnsi="Calibri" w:cs="Calibri"/>
          <w:color w:val="000000"/>
          <w:lang w:val="en-US"/>
        </w:rPr>
      </w:pPr>
    </w:p>
    <w:p w14:paraId="53C7E85C" w14:textId="77777777" w:rsidR="006B6616" w:rsidRDefault="00E473AD">
      <w:pPr>
        <w:pStyle w:val="wNormal"/>
        <w:spacing w:before="0" w:after="0" w:line="240" w:lineRule="auto"/>
        <w:rPr>
          <w:rFonts w:ascii="Calibri" w:hAnsi="Calibri" w:cs="Calibri"/>
        </w:rPr>
      </w:pPr>
      <w:r>
        <w:rPr>
          <w:rFonts w:ascii="Calibri" w:hAnsi="Calibri" w:cs="Calibri"/>
          <w:color w:val="000000"/>
          <w:lang w:val="en-US"/>
        </w:rPr>
        <w:t xml:space="preserve">NOTE: Pre-wash the micro-concentration device’s membrane with 0.5 mL of </w:t>
      </w:r>
      <w:r>
        <w:rPr>
          <w:rFonts w:ascii="Calibri" w:eastAsia="Arial" w:hAnsi="Calibri" w:cs="Calibri"/>
          <w:color w:val="000000"/>
          <w:lang w:val="en-US"/>
        </w:rPr>
        <w:t xml:space="preserve">buffer 1 (see </w:t>
      </w:r>
      <w:r>
        <w:rPr>
          <w:rFonts w:ascii="Calibri" w:eastAsia="Arial" w:hAnsi="Calibri" w:cs="Calibri"/>
          <w:b/>
          <w:bCs/>
          <w:color w:val="000000"/>
          <w:lang w:val="en-US"/>
        </w:rPr>
        <w:t>Figure 2a</w:t>
      </w:r>
      <w:r>
        <w:rPr>
          <w:rFonts w:ascii="Calibri" w:eastAsia="Arial" w:hAnsi="Calibri" w:cs="Calibri"/>
          <w:color w:val="000000"/>
          <w:lang w:val="en-US"/>
        </w:rPr>
        <w:t>) and use spin conditions (</w:t>
      </w:r>
      <w:r>
        <w:rPr>
          <w:rFonts w:ascii="Calibri" w:eastAsia="Arial" w:hAnsi="Calibri" w:cs="Calibri"/>
          <w:i/>
          <w:iCs/>
          <w:color w:val="000000"/>
          <w:lang w:val="en-US"/>
        </w:rPr>
        <w:t>g</w:t>
      </w:r>
      <w:r>
        <w:rPr>
          <w:rFonts w:ascii="Calibri" w:eastAsia="Arial" w:hAnsi="Calibri" w:cs="Calibri"/>
          <w:color w:val="000000"/>
          <w:lang w:val="en-US"/>
        </w:rPr>
        <w:t>) recommended by the manufacturer.</w:t>
      </w:r>
    </w:p>
    <w:p w14:paraId="3729EF9C" w14:textId="77777777" w:rsidR="006B6616" w:rsidRDefault="006B6616">
      <w:pPr>
        <w:pStyle w:val="wNormal"/>
        <w:spacing w:before="0" w:after="0" w:line="240" w:lineRule="auto"/>
        <w:rPr>
          <w:rFonts w:ascii="Calibri" w:eastAsia="Arial" w:hAnsi="Calibri" w:cs="Calibri"/>
          <w:color w:val="000000"/>
          <w:lang w:val="en-US"/>
        </w:rPr>
      </w:pPr>
    </w:p>
    <w:p w14:paraId="5ED9F382"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Further dilute the material from the previous step five times (add 400 µL) with buffer 1 and concentrate back to 200 µL, to allow for a smaller volume as well as partial removal of the sucrose.</w:t>
      </w:r>
    </w:p>
    <w:p w14:paraId="6A5FB923"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754E57AB" w14:textId="77777777" w:rsidR="006B6616" w:rsidRDefault="00E473AD">
      <w:pPr>
        <w:pStyle w:val="wNormal"/>
        <w:spacing w:before="0" w:after="0" w:line="240" w:lineRule="auto"/>
        <w:rPr>
          <w:rFonts w:ascii="Calibri" w:hAnsi="Calibri" w:cs="Calibri"/>
        </w:rPr>
      </w:pPr>
      <w:r>
        <w:rPr>
          <w:rFonts w:ascii="Calibri" w:eastAsia="Arial" w:hAnsi="Calibri" w:cs="Calibri"/>
          <w:color w:val="000000"/>
          <w:lang w:val="en-US"/>
        </w:rPr>
        <w:t>NOTE: It is recommended to store the resultant mixtures at -80 °C for up to 6 months and use as an input material for the ‘total translated RNA’ RNA-seq library construction, or the RNase digestion step of the TCP-seq library construction. T</w:t>
      </w:r>
      <w:r>
        <w:rPr>
          <w:rFonts w:ascii="Calibri" w:eastAsia="Arial" w:hAnsi="Calibri" w:cs="Calibri"/>
          <w:lang w:val="en-US"/>
        </w:rPr>
        <w:t xml:space="preserve">he ‘non-translated’ cytosol fraction can be recovered </w:t>
      </w:r>
      <w:r>
        <w:rPr>
          <w:rFonts w:ascii="Calibri" w:eastAsia="Arial" w:hAnsi="Calibri" w:cs="Calibri"/>
          <w:kern w:val="0"/>
          <w:lang w:val="en-US"/>
        </w:rPr>
        <w:t>from</w:t>
      </w:r>
      <w:r>
        <w:rPr>
          <w:rFonts w:ascii="Calibri" w:eastAsia="Arial" w:hAnsi="Calibri" w:cs="Calibri"/>
          <w:lang w:val="en-US"/>
        </w:rPr>
        <w:t xml:space="preserve"> the top of the gradient using a similar procedure and </w:t>
      </w:r>
      <w:r>
        <w:rPr>
          <w:rFonts w:ascii="Calibri" w:eastAsia="Arial" w:hAnsi="Calibri" w:cs="Calibri"/>
          <w:color w:val="000000"/>
          <w:lang w:val="en-US"/>
        </w:rPr>
        <w:t>stored at -80 °C</w:t>
      </w:r>
      <w:r>
        <w:rPr>
          <w:rFonts w:ascii="Calibri" w:hAnsi="Calibri" w:cs="Calibri"/>
          <w:lang w:val="en-US"/>
        </w:rPr>
        <w:t>.</w:t>
      </w:r>
    </w:p>
    <w:p w14:paraId="598620CC" w14:textId="77777777" w:rsidR="006B6616" w:rsidRDefault="006B6616">
      <w:pPr>
        <w:pStyle w:val="wNormal"/>
        <w:spacing w:before="0" w:after="0" w:line="240" w:lineRule="auto"/>
        <w:rPr>
          <w:rFonts w:ascii="Calibri" w:hAnsi="Calibri" w:cs="Calibri"/>
          <w:lang w:val="en-US"/>
        </w:rPr>
      </w:pPr>
    </w:p>
    <w:p w14:paraId="09A51EAF" w14:textId="77777777" w:rsidR="006B6616" w:rsidRDefault="00E473AD">
      <w:pPr>
        <w:pStyle w:val="wStandard"/>
        <w:numPr>
          <w:ilvl w:val="1"/>
          <w:numId w:val="4"/>
        </w:numPr>
        <w:tabs>
          <w:tab w:val="left" w:pos="1077"/>
        </w:tabs>
        <w:spacing w:line="240" w:lineRule="auto"/>
        <w:ind w:left="0" w:firstLine="0"/>
        <w:jc w:val="both"/>
        <w:rPr>
          <w:rFonts w:cs="Calibri"/>
        </w:rPr>
      </w:pPr>
      <w:r>
        <w:rPr>
          <w:rFonts w:cs="Calibri"/>
          <w:b/>
          <w:bCs/>
          <w:sz w:val="24"/>
          <w:szCs w:val="24"/>
          <w:lang w:val="en-US"/>
        </w:rPr>
        <w:t xml:space="preserve">RNase digestion of the fixed (poly)ribosomal complexes and separation of digested material into small ribosomal subunit (SSU), </w:t>
      </w:r>
      <w:proofErr w:type="spellStart"/>
      <w:r>
        <w:rPr>
          <w:rFonts w:cs="Calibri"/>
          <w:b/>
          <w:bCs/>
          <w:sz w:val="24"/>
          <w:szCs w:val="24"/>
          <w:lang w:val="en-US"/>
        </w:rPr>
        <w:t>monoribosomal</w:t>
      </w:r>
      <w:proofErr w:type="spellEnd"/>
      <w:r>
        <w:rPr>
          <w:rFonts w:cs="Calibri"/>
          <w:b/>
          <w:bCs/>
          <w:sz w:val="24"/>
          <w:szCs w:val="24"/>
          <w:lang w:val="en-US"/>
        </w:rPr>
        <w:t xml:space="preserve"> (ribosomes, RS), and </w:t>
      </w:r>
      <w:proofErr w:type="spellStart"/>
      <w:r>
        <w:rPr>
          <w:rFonts w:cs="Calibri"/>
          <w:b/>
          <w:bCs/>
          <w:sz w:val="24"/>
          <w:szCs w:val="24"/>
          <w:lang w:val="en-US"/>
        </w:rPr>
        <w:t>diribosomal</w:t>
      </w:r>
      <w:proofErr w:type="spellEnd"/>
      <w:r>
        <w:rPr>
          <w:rFonts w:cs="Calibri"/>
          <w:b/>
          <w:bCs/>
          <w:sz w:val="24"/>
          <w:szCs w:val="24"/>
          <w:lang w:val="en-US"/>
        </w:rPr>
        <w:t xml:space="preserve"> (</w:t>
      </w:r>
      <w:proofErr w:type="spellStart"/>
      <w:r>
        <w:rPr>
          <w:rFonts w:cs="Calibri"/>
          <w:b/>
          <w:bCs/>
          <w:sz w:val="24"/>
          <w:szCs w:val="24"/>
          <w:lang w:val="en-US"/>
        </w:rPr>
        <w:t>disomes</w:t>
      </w:r>
      <w:proofErr w:type="spellEnd"/>
      <w:r>
        <w:rPr>
          <w:rFonts w:cs="Calibri"/>
          <w:b/>
          <w:bCs/>
          <w:sz w:val="24"/>
          <w:szCs w:val="24"/>
          <w:lang w:val="en-US"/>
        </w:rPr>
        <w:t>, DS) fractions</w:t>
      </w:r>
    </w:p>
    <w:p w14:paraId="1E96DA9F" w14:textId="77777777" w:rsidR="006B6616" w:rsidRDefault="006B6616">
      <w:pPr>
        <w:pStyle w:val="wStandard"/>
        <w:tabs>
          <w:tab w:val="left" w:pos="1077"/>
        </w:tabs>
        <w:spacing w:line="240" w:lineRule="auto"/>
        <w:jc w:val="both"/>
        <w:rPr>
          <w:rFonts w:cs="Calibri"/>
          <w:b/>
          <w:bCs/>
          <w:sz w:val="24"/>
          <w:szCs w:val="24"/>
          <w:lang w:val="en-US"/>
        </w:rPr>
      </w:pPr>
      <w:bookmarkStart w:id="5" w:name="_Hlk59535117"/>
      <w:bookmarkEnd w:id="5"/>
    </w:p>
    <w:p w14:paraId="1C4DBE56" w14:textId="2388DF54" w:rsidR="006B6616" w:rsidRDefault="00E473AD">
      <w:pPr>
        <w:pStyle w:val="wNormal"/>
        <w:spacing w:before="0" w:after="0" w:line="240" w:lineRule="auto"/>
        <w:rPr>
          <w:rFonts w:ascii="Calibri" w:hAnsi="Calibri" w:cs="Calibri"/>
        </w:rPr>
      </w:pPr>
      <w:r>
        <w:rPr>
          <w:rFonts w:ascii="Calibri" w:eastAsia="Arial" w:hAnsi="Calibri" w:cs="Calibri"/>
          <w:color w:val="000000"/>
          <w:lang w:val="en-US"/>
        </w:rPr>
        <w:t>NOTE:</w:t>
      </w:r>
      <w:r>
        <w:rPr>
          <w:rFonts w:ascii="Calibri" w:eastAsia="Arial" w:hAnsi="Calibri" w:cs="Calibri"/>
          <w:b/>
          <w:bCs/>
          <w:color w:val="000000"/>
          <w:lang w:val="en-US"/>
        </w:rPr>
        <w:t xml:space="preserve"> </w:t>
      </w:r>
      <w:r>
        <w:rPr>
          <w:rFonts w:ascii="Calibri" w:eastAsia="Arial" w:hAnsi="Calibri" w:cs="Calibri"/>
          <w:color w:val="000000"/>
          <w:lang w:val="en-US"/>
        </w:rPr>
        <w:t>The procedure generally follows an approach described previously</w:t>
      </w:r>
      <w:r>
        <w:fldChar w:fldCharType="begin"/>
      </w:r>
      <w:r>
        <w:rPr>
          <w:rFonts w:ascii="Calibri" w:eastAsia="Arial" w:hAnsi="Calibri" w:cs="Calibri"/>
          <w:color w:val="000000"/>
          <w:lang w:val="en-US"/>
        </w:rPr>
        <w:instrText>ADDIN ZOTERO_ITEM CSL_CITATION {"citationID":"GLbrd8sD","properties":{"formattedCitation":"\\super 10, 32\\nosupersub{}","plainCitation":"10, 32","dontUpdate":true,"noteIndex":0},"citationItems":[{"id":274,"uris":["http://zotero.org/users/6977825/items/NRI4UE8J"],"uri":["http://zotero.org/users/6977825/items/NRI4UE8J"],"itemData":{"id":274,"type":"article-journal","abstract":"Regulation of messenger RNA translation is central to eukaryotic gene expression control. Regulatory inputs are specified by them RNA untranslated regions (UTRs) and often target translation initiation. Initiation involves binding of the 40S ribosomal small subunit (SSU) and associated eukaryotic initiation factors (eIFs)near the mRNA 5′ cap; the SSU then scans in the 3′ direction until it detects the start codon and is joined by the 60S ribosomal large subunit (LSU) to form the 80S ribosome. Scanning and other dynamic aspects of the initiation model have remained as conjectures because methods to trap early intermediates were lacking. Here we uncover the dynamics of the complete translation cycle in live yeast cells using translation complex profile sequencing (TCP-seq), a method developed from the ribosome profiling approach. We document scanning by observing SSU footprints along 5′ UTRs. Scanning SSU have 5′-extended footprints (up to~75 nucleotides), indicative of additional interactions with mRNA emerging from the exit channel, promoting forward movement. We visualized changes in initiation complex conformation as SSU footprints coalesced into three major sizes at start codons (19, 29 and 37 nucleotides). These share the same 5′ start site but differ at the 3′ end, reflecting successive changes at the entry channel from an open to a closed state following start codon recognition. We also observe SSU 'lingering' at stop codons after LSU departure. Our results underpin mechanistic models of translation initiation and termination, built on decades of biochemical and structural investigation, with direct genome-wide in vivo evidence. Our approach captures ribosomal complexes at all phases of translation and will aid in studying translation dynamics in diverse cellular contexts. Dysregulation of translation is common in disease and, for example, SSU scanning is a target of anti-cancer drug development. TCP-seq will prove useful in discerning differences in mRNA-specific initiation in pathologies and their response to treatment.","archive_location":"27437580","container-title":"Nature","DOI":"10.1038/nature18647","ISSN":"0028-0836","issue":"7613","language":"eng","note":"edition: 2016/07/21","page":"570-4","source":"NLM","title":"Dynamics of ribosome scanning and recycling revealed by translation complex profiling","volume":"535","author":[{"family":"Archer","given":"S. K."},{"family":"Shirokikh","given":"N. E."},{"family":"Beilharz","given":"T. H."},{"family":"Preiss","given":"T."}],"issued":{"date-parts":[["2016",7,28]]}}},{"id":374,"uris":["http://zotero.org/users/6977825/items/DXAVYW7C"],"uri":["http://zotero.org/users/6977825/items/DXAVYW7C"],"itemData":{"id":374,"type":"article-journal","abstract":"Messenger RNA (mRNA) translation is a tightly controlled process that is integral to gene expression. It features intricate and dynamic interactions of the small and large subunits of the ribosome with mRNAs, aided by multiple auxiliary factors during distinct initiation, elongation and termination phases. The recently developed ribosome profiling method can generate transcriptome-wide surveys of translation and its regulation. Ribosome profiling records the footprints of fully assembled ribosomes along mRNAs and thus primarily interrogates the elongation phase of translation. Importantly, it does not monitor multiple substeps of initiation and termination that involve complexes between the small ribosomal subunit (SSU) and mRNA. Here we describe a related method, termed 'translation complex profile sequencing' (TCP-seq), that is uniquely capable of recording positions of any type of ribosome-mRNA complex transcriptome-wide. It uses fast covalent fixation of translation complexes in live cells, followed by RNase footprinting of translation intermediates and their separation into complexes involving either the full ribosome or the SSU. The footprints derived from each type of complex are then deep-sequenced separately, generating native distribution profiles during the elongation, as well as the initiation and termination stages of translation. We provide the full TCP-seq protocol for Saccharomyces cerevisiae liquid suspension culture, including a data analysis pipeline. The protocol takes ∼3 weeks to complete by a researcher who is well acquainted with standard molecular biology techniques and who has some experience in ultracentrifugation and the preparation of RNA sequencing (RNA-seq) libraries. Basic Bash and UNIX/Linux command skills are required to use the bioinformatics tools provided.","archive_location":"28253237","container-title":"Nature Protocols","DOI":"10.1038/nprot.2016.189","ISSN":"1750-2799","issue":"4","language":"eng","note":"edition: 2017/03/03","page":"697-731","source":"NLM","title":"Translation complex profile sequencing to study the in vivo dynamics of mRNA-ribosome interactions during translation initiation, elongation and termination","volume":"12","author":[{"family":"Shirokikh","given":"N. E."},{"family":"Archer","given":"S. K."},{"family":"Beilharz","given":"T. H."},{"family":"Powell","given":"D."},{"family":"Preiss","given":"T."}],"issued":{"date-parts":[["2017",4]]}}}],"schema":"https://github.com/citation-style-language/schema/raw/master/csl-citation.json"}</w:instrText>
      </w:r>
      <w:r>
        <w:rPr>
          <w:rFonts w:ascii="Calibri" w:eastAsia="Arial" w:hAnsi="Calibri" w:cs="Calibri"/>
          <w:color w:val="000000"/>
          <w:lang w:val="en-US"/>
        </w:rPr>
        <w:fldChar w:fldCharType="separate"/>
      </w:r>
      <w:r>
        <w:rPr>
          <w:rFonts w:ascii="Calibri" w:hAnsi="Calibri" w:cs="Calibri"/>
          <w:vertAlign w:val="superscript"/>
          <w:lang w:val="en-US"/>
        </w:rPr>
        <w:t>10,36</w:t>
      </w:r>
      <w:r>
        <w:rPr>
          <w:rFonts w:ascii="Calibri" w:eastAsia="Arial" w:hAnsi="Calibri" w:cs="Calibri"/>
          <w:color w:val="000000"/>
          <w:lang w:val="en-US"/>
        </w:rPr>
        <w:fldChar w:fldCharType="end"/>
      </w:r>
      <w:r>
        <w:fldChar w:fldCharType="begin"/>
      </w:r>
      <w:r>
        <w:rPr>
          <w:rFonts w:ascii="Calibri" w:eastAsia="Arial" w:hAnsi="Calibri" w:cs="Calibri"/>
          <w:color w:val="000000"/>
          <w:lang w:val="en-US"/>
        </w:rPr>
        <w:instrText>ADDIN EN.CITE</w:instrText>
      </w:r>
      <w:r>
        <w:rPr>
          <w:rFonts w:ascii="Calibri" w:eastAsia="Arial" w:hAnsi="Calibri" w:cs="Calibri"/>
          <w:color w:val="000000"/>
          <w:lang w:val="en-US"/>
        </w:rPr>
        <w:fldChar w:fldCharType="separate"/>
      </w:r>
      <w:r>
        <w:fldChar w:fldCharType="begin"/>
      </w:r>
      <w:r>
        <w:rPr>
          <w:rFonts w:ascii="Calibri" w:eastAsia="Arial" w:hAnsi="Calibri" w:cs="Calibri"/>
          <w:color w:val="000000"/>
          <w:lang w:val="en-US"/>
        </w:rPr>
        <w:instrText>ADDIN EN.CITE.DATA</w:instrText>
      </w:r>
      <w:r w:rsidR="0021610B">
        <w:rPr>
          <w:rFonts w:ascii="Calibri" w:eastAsia="Arial" w:hAnsi="Calibri" w:cs="Calibri"/>
          <w:color w:val="000000"/>
          <w:lang w:val="en-US"/>
        </w:rPr>
        <w:fldChar w:fldCharType="separate"/>
      </w:r>
      <w:r>
        <w:rPr>
          <w:rFonts w:ascii="Calibri" w:eastAsia="Arial" w:hAnsi="Calibri" w:cs="Calibri"/>
          <w:color w:val="000000"/>
          <w:lang w:val="en-US"/>
        </w:rPr>
        <w:fldChar w:fldCharType="end"/>
      </w:r>
      <w:r>
        <w:rPr>
          <w:rFonts w:ascii="Calibri" w:eastAsia="Arial" w:hAnsi="Calibri" w:cs="Calibri"/>
          <w:color w:val="000000"/>
          <w:lang w:val="en-US"/>
        </w:rPr>
        <w:fldChar w:fldCharType="end"/>
      </w:r>
      <w:r>
        <w:fldChar w:fldCharType="begin"/>
      </w:r>
      <w:r>
        <w:rPr>
          <w:rFonts w:ascii="Calibri" w:eastAsia="Arial" w:hAnsi="Calibri" w:cs="Calibri"/>
          <w:color w:val="000000"/>
          <w:lang w:val="en-US"/>
        </w:rPr>
        <w:instrText>ADDIN EN.CITE</w:instrText>
      </w:r>
      <w:r>
        <w:rPr>
          <w:rFonts w:ascii="Calibri" w:eastAsia="Arial" w:hAnsi="Calibri" w:cs="Calibri"/>
          <w:color w:val="000000"/>
          <w:lang w:val="en-US"/>
        </w:rPr>
        <w:fldChar w:fldCharType="separate"/>
      </w:r>
      <w:r>
        <w:fldChar w:fldCharType="begin"/>
      </w:r>
      <w:r>
        <w:rPr>
          <w:rFonts w:ascii="Calibri" w:eastAsia="Arial" w:hAnsi="Calibri" w:cs="Calibri"/>
          <w:color w:val="000000"/>
          <w:lang w:val="en-US"/>
        </w:rPr>
        <w:instrText>ADDIN EN.CITE.DATA</w:instrText>
      </w:r>
      <w:r w:rsidR="0021610B">
        <w:rPr>
          <w:rFonts w:ascii="Calibri" w:eastAsia="Arial" w:hAnsi="Calibri" w:cs="Calibri"/>
          <w:color w:val="000000"/>
          <w:lang w:val="en-US"/>
        </w:rPr>
        <w:fldChar w:fldCharType="separate"/>
      </w:r>
      <w:r>
        <w:rPr>
          <w:rFonts w:ascii="Calibri" w:eastAsia="Arial" w:hAnsi="Calibri" w:cs="Calibri"/>
          <w:color w:val="000000"/>
          <w:lang w:val="en-US"/>
        </w:rPr>
        <w:fldChar w:fldCharType="end"/>
      </w:r>
      <w:r>
        <w:rPr>
          <w:rFonts w:ascii="Calibri" w:eastAsia="Arial" w:hAnsi="Calibri" w:cs="Calibri"/>
          <w:color w:val="000000"/>
          <w:lang w:val="en-US"/>
        </w:rPr>
        <w:fldChar w:fldCharType="end"/>
      </w:r>
      <w:r>
        <w:rPr>
          <w:rFonts w:ascii="Calibri" w:eastAsia="Arial" w:hAnsi="Calibri" w:cs="Calibri"/>
          <w:color w:val="000000"/>
          <w:lang w:val="en-US"/>
        </w:rPr>
        <w:t xml:space="preserve"> but a modified gradient type, separation time, acceleration and RNase digestion conditions are employed, to achieve best resolution across all three isolated fractions.</w:t>
      </w:r>
    </w:p>
    <w:p w14:paraId="6D8BA209" w14:textId="77777777" w:rsidR="006B6616" w:rsidRDefault="006B6616">
      <w:pPr>
        <w:pStyle w:val="wNormal"/>
        <w:spacing w:before="0" w:after="0" w:line="240" w:lineRule="auto"/>
        <w:rPr>
          <w:rFonts w:ascii="Calibri" w:eastAsia="Arial" w:hAnsi="Calibri" w:cs="Calibri"/>
          <w:color w:val="000000"/>
          <w:lang w:val="en-US"/>
        </w:rPr>
      </w:pPr>
    </w:p>
    <w:p w14:paraId="20D42756"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Prepare carefully balanced 12.5 mL linear 10%–40% w/v sucrose gradients made with buffer 1 in </w:t>
      </w:r>
      <w:r>
        <w:rPr>
          <w:rFonts w:ascii="Calibri" w:eastAsia="Arial" w:hAnsi="Calibri" w:cs="Calibri"/>
          <w:bCs/>
          <w:color w:val="000000"/>
          <w:lang w:val="en-US"/>
        </w:rPr>
        <w:t>13 mL thin wall polypropylene tubes, 14 x 89 mm,</w:t>
      </w:r>
      <w:r>
        <w:rPr>
          <w:rFonts w:ascii="Calibri" w:eastAsia="Arial" w:hAnsi="Calibri" w:cs="Calibri"/>
          <w:color w:val="000000"/>
          <w:lang w:val="en-US"/>
        </w:rPr>
        <w:t xml:space="preserve"> using the freeze-thaw method</w:t>
      </w:r>
      <w:r>
        <w:fldChar w:fldCharType="begin"/>
      </w:r>
      <w:r>
        <w:rPr>
          <w:rFonts w:ascii="Calibri" w:eastAsia="Arial" w:hAnsi="Calibri" w:cs="Calibri"/>
          <w:color w:val="000000"/>
          <w:lang w:val="en-US"/>
        </w:rPr>
        <w:instrText>ADDIN EN.CITE &lt;EndNote&gt;&lt;Cite&gt;&lt;Author&gt;Luthe&lt;/Author&gt;&lt;Year&gt;1983&lt;/Year&gt;&lt;RecNum&gt;42&lt;/RecNum&gt;&lt;DisplayText&gt;&lt;style face="superscript"&gt;55&lt;/style&gt;&lt;/DisplayText&gt;&lt;record&gt;&lt;rec-number&gt;42&lt;/rec-number&gt;&lt;foreign-keys&gt;&lt;key app="EN" db-id="pax2w20wtrf02kez5zr5ssez02e2ds2d0ztz" timestamp="1614308930"&gt;42&lt;/key&gt;&lt;/foreign-keys&gt;&lt;ref-type name="Journal Article"&gt;17&lt;/ref-type&gt;&lt;contributors&gt;&lt;authors&gt;&lt;author&gt;Luthe, Dawn S.&lt;/author&gt;&lt;/authors&gt;&lt;/contributors&gt;&lt;titles&gt;&lt;title&gt;A simple technique for the preparation and storage of sucrose gradients&lt;/title&gt;&lt;secondary-title&gt;Analytical Biochemistry&lt;/secondary-title&gt;&lt;/titles&gt;&lt;periodical&gt;&lt;full-title&gt;Analytical Biochemistry&lt;/full-title&gt;&lt;/periodical&gt;&lt;pages&gt;230-232&lt;/pages&gt;&lt;volume&gt;135&lt;/volume&gt;&lt;number&gt;1&lt;/number&gt;&lt;dates&gt;&lt;year&gt;1983&lt;/year&gt;&lt;pub-dates&gt;&lt;date&gt;1983/11/01/&lt;/date&gt;&lt;/pub-dates&gt;&lt;/dates&gt;&lt;isbn&gt;0003-2697&lt;/isbn&gt;&lt;urls&gt;&lt;related-urls&gt;&lt;url&gt;https://www.sciencedirect.com/science/article/pii/0003269783907558&lt;/url&gt;&lt;/related-urls&gt;&lt;/urls&gt;&lt;electronic-resource-num&gt;https://doi.org/10.1016/0003-2697(83)90755-8&lt;/electronic-resource-num&gt;&lt;/record&gt;&lt;/Cite&gt;&lt;/EndNote&gt;</w:instrText>
      </w:r>
      <w:r>
        <w:rPr>
          <w:rFonts w:ascii="Calibri" w:eastAsia="Arial" w:hAnsi="Calibri" w:cs="Calibri"/>
          <w:color w:val="000000"/>
          <w:lang w:val="en-US"/>
        </w:rPr>
        <w:fldChar w:fldCharType="separate"/>
      </w:r>
      <w:r>
        <w:rPr>
          <w:rFonts w:ascii="Calibri" w:eastAsia="Arial" w:hAnsi="Calibri" w:cs="Calibri"/>
          <w:color w:val="000000"/>
          <w:vertAlign w:val="superscript"/>
          <w:lang w:val="en-US"/>
        </w:rPr>
        <w:t>41</w:t>
      </w:r>
      <w:r>
        <w:rPr>
          <w:rFonts w:ascii="Calibri" w:eastAsia="Arial" w:hAnsi="Calibri" w:cs="Calibri"/>
          <w:color w:val="000000"/>
          <w:lang w:val="en-US"/>
        </w:rPr>
        <w:fldChar w:fldCharType="end"/>
      </w:r>
      <w:r>
        <w:fldChar w:fldCharType="begin"/>
      </w:r>
      <w:r>
        <w:rPr>
          <w:rFonts w:ascii="Calibri" w:eastAsia="Arial" w:hAnsi="Calibri" w:cs="Calibri"/>
          <w:color w:val="000000"/>
          <w:lang w:val="en-US"/>
        </w:rPr>
        <w:instrText>ADDIN EN.CITE &lt;EndNote&gt;&lt;Cite&gt;&lt;Author&gt;Luthe&lt;/Author&gt;&lt;Year&gt;1983&lt;/Year&gt;&lt;RecNum&gt;145&lt;/RecNum&gt;&lt;DisplayText&gt;&lt;style face="superscript"&gt;50&lt;/style&gt;&lt;/DisplayText&gt;&lt;record&gt;&lt;rec-number&gt;145&lt;/rec-number&gt;&lt;foreign-keys&gt;&lt;key app="EN" db-id="av52axsxop2fwbe0dpc5a0ak5rev99w02x2w" timestamp="1613437364"&gt;145&lt;/key&gt;&lt;/foreign-keys&gt;&lt;ref-type name="Journal Article"&gt;17&lt;/ref-type&gt;&lt;contributors&gt;&lt;authors&gt;&lt;author&gt;Luthe, Dawn S.&lt;/author&gt;&lt;/authors&gt;&lt;/contributors&gt;&lt;titles&gt;&lt;title&gt;A simple technique for the preparation and storage of sucrose gradients&lt;/title&gt;&lt;secondary-title&gt;Analytical Biochemistry&lt;/secondary-title&gt;&lt;/titles&gt;&lt;periodical&gt;&lt;full-title&gt;Analytical Biochemistry&lt;/full-title&gt;&lt;/periodical&gt;&lt;pages&gt;230-232&lt;/pages&gt;&lt;volume&gt;135&lt;/volume&gt;&lt;number&gt;1&lt;/number&gt;&lt;dates&gt;&lt;year&gt;1983&lt;/year&gt;&lt;pub-dates&gt;&lt;date&gt;1983/11/01/&lt;/date&gt;&lt;/pub-dates&gt;&lt;/dates&gt;&lt;isbn&gt;0003-2697&lt;/isbn&gt;&lt;urls&gt;&lt;related-urls&gt;&lt;url&gt;https://www.sciencedirect.com/science/article/pii/0003269783907558&lt;/url&gt;&lt;/related-urls&gt;&lt;/urls&gt;&lt;electronic-resource-num&gt;https://doi.org/10.1016/0003-2697(83)90755-8&lt;/electronic-resource-num&gt;&lt;/record&gt;&lt;/Cite&gt;&lt;/EndNote&gt;</w:instrText>
      </w:r>
      <w:r w:rsidR="0021610B">
        <w:rPr>
          <w:rFonts w:ascii="Calibri" w:eastAsia="Arial" w:hAnsi="Calibri" w:cs="Calibri"/>
          <w:color w:val="000000"/>
          <w:lang w:val="en-US"/>
        </w:rPr>
        <w:fldChar w:fldCharType="separate"/>
      </w:r>
      <w:r>
        <w:rPr>
          <w:rFonts w:ascii="Calibri" w:eastAsia="Arial" w:hAnsi="Calibri" w:cs="Calibri"/>
          <w:color w:val="000000"/>
          <w:lang w:val="en-US"/>
        </w:rPr>
        <w:fldChar w:fldCharType="end"/>
      </w:r>
      <w:r>
        <w:rPr>
          <w:rFonts w:ascii="Calibri" w:eastAsia="Arial" w:hAnsi="Calibri" w:cs="Calibri"/>
          <w:color w:val="000000"/>
          <w:lang w:val="en-US"/>
        </w:rPr>
        <w:t xml:space="preserve"> as described in step 1.3.1 and note therein.</w:t>
      </w:r>
    </w:p>
    <w:p w14:paraId="333F6E02"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236C09E9"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Thaw at room temperature and immediately transfer the samples on ice or take the concentrated and sucrose-depleted translated cytosol fraction from step 1.3.12.</w:t>
      </w:r>
    </w:p>
    <w:p w14:paraId="02C4F88E"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598008F2" w14:textId="77777777" w:rsidR="006B6616" w:rsidRDefault="00E473AD">
      <w:pPr>
        <w:pStyle w:val="wNormal"/>
        <w:tabs>
          <w:tab w:val="clear" w:pos="733"/>
          <w:tab w:val="left" w:pos="1077"/>
        </w:tabs>
        <w:spacing w:before="0" w:after="0" w:line="240" w:lineRule="auto"/>
        <w:rPr>
          <w:rFonts w:ascii="Calibri" w:hAnsi="Calibri" w:cs="Calibri"/>
        </w:rPr>
      </w:pPr>
      <w:r>
        <w:rPr>
          <w:rFonts w:ascii="Calibri" w:eastAsia="Arial" w:hAnsi="Calibri" w:cs="Calibri"/>
          <w:color w:val="000000"/>
          <w:lang w:val="en-US"/>
        </w:rPr>
        <w:t>NOTE: Continue all procedures on ice unless otherwise indicated.</w:t>
      </w:r>
    </w:p>
    <w:p w14:paraId="1FE40FF3"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0B449434"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Digest the translated cytosol fraction by mixing in 4.5 U of </w:t>
      </w:r>
      <w:r>
        <w:rPr>
          <w:rFonts w:ascii="Calibri" w:eastAsia="Arial" w:hAnsi="Calibri" w:cs="Calibri"/>
          <w:i/>
          <w:color w:val="000000"/>
          <w:lang w:val="en-US"/>
        </w:rPr>
        <w:t>E. coli</w:t>
      </w:r>
      <w:r>
        <w:rPr>
          <w:rFonts w:ascii="Calibri" w:eastAsia="Arial" w:hAnsi="Calibri" w:cs="Calibri"/>
          <w:color w:val="000000"/>
          <w:lang w:val="en-US"/>
        </w:rPr>
        <w:t xml:space="preserve"> RNase I per 1 OD</w:t>
      </w:r>
      <w:r>
        <w:rPr>
          <w:rFonts w:ascii="Calibri" w:eastAsia="Arial" w:hAnsi="Calibri" w:cs="Calibri"/>
          <w:color w:val="000000"/>
          <w:vertAlign w:val="subscript"/>
          <w:lang w:val="en-US"/>
        </w:rPr>
        <w:t>260</w:t>
      </w:r>
      <w:r>
        <w:rPr>
          <w:rFonts w:ascii="Calibri" w:eastAsia="Arial" w:hAnsi="Calibri" w:cs="Calibri"/>
          <w:color w:val="000000"/>
          <w:lang w:val="en-US"/>
        </w:rPr>
        <w:t xml:space="preserve"> unit of the fraction for 30 min at 23 °</w:t>
      </w:r>
      <w:r>
        <w:rPr>
          <w:rFonts w:ascii="Calibri" w:eastAsia="Arial" w:hAnsi="Calibri" w:cs="Calibri"/>
          <w:lang w:val="en-US"/>
        </w:rPr>
        <w:t xml:space="preserve">C. Immediately add and mix in by pipetting the </w:t>
      </w:r>
      <w:r>
        <w:rPr>
          <w:rFonts w:ascii="Calibri" w:eastAsia="Arial" w:hAnsi="Calibri" w:cs="Calibri"/>
          <w:color w:val="000000"/>
          <w:lang w:val="en-US"/>
        </w:rPr>
        <w:t>RNase inhibitor capable of inactivating RNase I to 0.25 U/µL to the mixture, to inactivate RNase I.</w:t>
      </w:r>
    </w:p>
    <w:p w14:paraId="60F647D6"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632EB861" w14:textId="77777777" w:rsidR="006B6616" w:rsidRDefault="00E473AD">
      <w:pPr>
        <w:pStyle w:val="wNormal"/>
        <w:tabs>
          <w:tab w:val="clear" w:pos="733"/>
          <w:tab w:val="left" w:pos="1077"/>
        </w:tabs>
        <w:spacing w:before="0" w:after="0" w:line="240" w:lineRule="auto"/>
        <w:rPr>
          <w:rFonts w:ascii="Calibri" w:hAnsi="Calibri" w:cs="Calibri"/>
        </w:rPr>
      </w:pPr>
      <w:r>
        <w:rPr>
          <w:rFonts w:ascii="Calibri" w:eastAsia="Arial" w:hAnsi="Calibri" w:cs="Calibri"/>
          <w:color w:val="000000"/>
          <w:lang w:val="en-US"/>
        </w:rPr>
        <w:t xml:space="preserve">NOTE: Use RNase inhibitor capable of inhibiting RNase I. </w:t>
      </w:r>
      <w:r>
        <w:rPr>
          <w:rFonts w:asciiTheme="minorHAnsi" w:eastAsia="Arial" w:hAnsiTheme="minorHAnsi" w:cstheme="minorHAnsi"/>
          <w:color w:val="000000"/>
          <w:lang w:val="en-US"/>
        </w:rPr>
        <w:t>Derive AU</w:t>
      </w:r>
      <w:r>
        <w:rPr>
          <w:rFonts w:asciiTheme="minorHAnsi" w:eastAsia="Arial" w:hAnsiTheme="minorHAnsi" w:cstheme="minorHAnsi"/>
          <w:color w:val="000000"/>
          <w:vertAlign w:val="subscript"/>
          <w:lang w:val="en-US"/>
        </w:rPr>
        <w:t>260</w:t>
      </w:r>
      <w:r>
        <w:rPr>
          <w:rFonts w:asciiTheme="minorHAnsi" w:eastAsia="Arial" w:hAnsiTheme="minorHAnsi" w:cstheme="minorHAnsi"/>
          <w:color w:val="000000"/>
          <w:lang w:val="en-US"/>
        </w:rPr>
        <w:t xml:space="preserve"> by using AU</w:t>
      </w:r>
      <w:r>
        <w:rPr>
          <w:rFonts w:asciiTheme="minorHAnsi" w:eastAsia="Arial" w:hAnsiTheme="minorHAnsi" w:cstheme="minorHAnsi"/>
          <w:color w:val="000000"/>
          <w:vertAlign w:val="subscript"/>
          <w:lang w:val="en-US"/>
        </w:rPr>
        <w:t>260</w:t>
      </w:r>
      <w:r>
        <w:rPr>
          <w:rFonts w:asciiTheme="minorHAnsi" w:eastAsia="Arial" w:hAnsiTheme="minorHAnsi" w:cstheme="minorHAnsi"/>
          <w:color w:val="000000"/>
          <w:lang w:val="en-US"/>
        </w:rPr>
        <w:t xml:space="preserve"> = (Absorbance at 260 nm standardized to optical density units equivalent to 1 cm optical path </w:t>
      </w:r>
      <w:r>
        <w:rPr>
          <w:rFonts w:ascii="Calibri" w:eastAsia="Arial" w:hAnsi="Calibri" w:cs="Calibri"/>
          <w:bCs/>
          <w:color w:val="000000"/>
          <w:lang w:val="en-US"/>
        </w:rPr>
        <w:t>x</w:t>
      </w:r>
      <w:r>
        <w:rPr>
          <w:rFonts w:asciiTheme="minorHAnsi" w:eastAsia="Arial" w:hAnsiTheme="minorHAnsi" w:cstheme="minorHAnsi"/>
          <w:color w:val="000000"/>
          <w:lang w:val="en-US"/>
        </w:rPr>
        <w:t xml:space="preserve"> volume of the lysate in µL) / 1,000.</w:t>
      </w:r>
    </w:p>
    <w:p w14:paraId="126440B3"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2B12D63D"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Immediately transfer the samples to ice.</w:t>
      </w:r>
    </w:p>
    <w:p w14:paraId="0CB1B961"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19218233" w14:textId="77777777" w:rsidR="006B6616" w:rsidRDefault="00E473AD">
      <w:pPr>
        <w:jc w:val="both"/>
        <w:rPr>
          <w:rFonts w:ascii="Calibri" w:hAnsi="Calibri" w:cs="Calibri"/>
        </w:rPr>
      </w:pPr>
      <w:r>
        <w:rPr>
          <w:rFonts w:ascii="Calibri" w:hAnsi="Calibri" w:cs="Calibri"/>
          <w:color w:val="000000"/>
          <w:lang w:val="en-US"/>
        </w:rPr>
        <w:t>CAUTION:</w:t>
      </w:r>
      <w:r>
        <w:rPr>
          <w:rFonts w:ascii="Calibri" w:hAnsi="Calibri" w:cs="Calibri"/>
          <w:b/>
          <w:bCs/>
          <w:color w:val="000000"/>
          <w:lang w:val="en-US"/>
        </w:rPr>
        <w:t xml:space="preserve"> </w:t>
      </w:r>
      <w:r>
        <w:rPr>
          <w:rFonts w:ascii="Calibri" w:hAnsi="Calibri" w:cs="Calibri"/>
          <w:color w:val="000000"/>
          <w:lang w:val="en-US"/>
        </w:rPr>
        <w:t xml:space="preserve">It is critical to adhere to the recommended conditions of digestion and carefully measure the amount of the added RNase I. The RNase I unit referred to here is defined as the amount of the enzyme required to produce 1 </w:t>
      </w:r>
      <w:proofErr w:type="spellStart"/>
      <w:r>
        <w:rPr>
          <w:rFonts w:ascii="Calibri" w:hAnsi="Calibri" w:cs="Calibri"/>
          <w:color w:val="000000"/>
          <w:lang w:val="en-US"/>
        </w:rPr>
        <w:t>μg</w:t>
      </w:r>
      <w:proofErr w:type="spellEnd"/>
      <w:r>
        <w:rPr>
          <w:rFonts w:ascii="Calibri" w:hAnsi="Calibri" w:cs="Calibri"/>
          <w:color w:val="000000"/>
          <w:lang w:val="en-US"/>
        </w:rPr>
        <w:t xml:space="preserve"> of acid-soluble material from mouse liver RNA in 30 min at 37 °C. RNase I batches may have undocumented variations in activity and may require experimentation to achieve optimal digestion conditions. If the enzyme stock is too concentrated, it is recommended to dilute it with buffer 1 to avoid pipetting very small volumes of the solution.</w:t>
      </w:r>
    </w:p>
    <w:p w14:paraId="358CAEB4" w14:textId="77777777" w:rsidR="006B6616" w:rsidRDefault="006B6616">
      <w:pPr>
        <w:jc w:val="both"/>
        <w:rPr>
          <w:rFonts w:ascii="Calibri" w:hAnsi="Calibri" w:cs="Calibri"/>
          <w:color w:val="000000"/>
          <w:lang w:val="en-US"/>
        </w:rPr>
      </w:pPr>
    </w:p>
    <w:p w14:paraId="7116F080" w14:textId="48B3213E"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Load the reaction mixtures onto the 10%–40% w/v sucrose gradients from step 1.4.1</w:t>
      </w:r>
    </w:p>
    <w:p w14:paraId="2A181ED7"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7A63F518" w14:textId="77777777" w:rsidR="006B6616" w:rsidRDefault="00E473AD">
      <w:pPr>
        <w:pStyle w:val="wNormal"/>
        <w:tabs>
          <w:tab w:val="clear" w:pos="733"/>
          <w:tab w:val="left" w:pos="1077"/>
        </w:tabs>
        <w:spacing w:before="0" w:after="0" w:line="240" w:lineRule="auto"/>
        <w:rPr>
          <w:rFonts w:ascii="Calibri" w:hAnsi="Calibri" w:cs="Calibri"/>
        </w:rPr>
      </w:pPr>
      <w:r>
        <w:rPr>
          <w:rFonts w:ascii="Calibri" w:eastAsia="Arial" w:hAnsi="Calibri" w:cs="Calibri"/>
          <w:color w:val="000000"/>
          <w:lang w:val="en-US"/>
        </w:rPr>
        <w:t xml:space="preserve">NOTE: </w:t>
      </w:r>
      <w:r>
        <w:rPr>
          <w:rFonts w:asciiTheme="minorHAnsi" w:eastAsia="Arial" w:hAnsiTheme="minorHAnsi" w:cstheme="minorHAnsi"/>
          <w:color w:val="000000"/>
          <w:lang w:val="en-US"/>
        </w:rPr>
        <w:t>Use final volumes in the range of 150–300 µL per gradient. Each purification requires minimally two gradients. Use different input volumes of the material (lower AU</w:t>
      </w:r>
      <w:r>
        <w:rPr>
          <w:rFonts w:asciiTheme="minorHAnsi" w:eastAsia="Arial" w:hAnsiTheme="minorHAnsi" w:cstheme="minorHAnsi"/>
          <w:color w:val="000000"/>
          <w:vertAlign w:val="subscript"/>
          <w:lang w:val="en-US"/>
        </w:rPr>
        <w:t>260</w:t>
      </w:r>
      <w:r>
        <w:rPr>
          <w:rFonts w:asciiTheme="minorHAnsi" w:eastAsia="Arial" w:hAnsiTheme="minorHAnsi" w:cstheme="minorHAnsi"/>
          <w:color w:val="000000"/>
          <w:lang w:val="en-US"/>
        </w:rPr>
        <w:t>,</w:t>
      </w:r>
      <w:r>
        <w:rPr>
          <w:rFonts w:asciiTheme="minorHAnsi" w:eastAsia="Arial" w:hAnsiTheme="minorHAnsi" w:cstheme="minorHAnsi"/>
          <w:color w:val="000000"/>
          <w:vertAlign w:val="subscript"/>
          <w:lang w:val="en-US"/>
        </w:rPr>
        <w:t xml:space="preserve"> </w:t>
      </w:r>
      <w:r>
        <w:rPr>
          <w:rFonts w:asciiTheme="minorHAnsi" w:eastAsia="Arial" w:hAnsiTheme="minorHAnsi" w:cstheme="minorHAnsi"/>
          <w:color w:val="000000"/>
          <w:lang w:val="en-US"/>
        </w:rPr>
        <w:t>10–11 AU</w:t>
      </w:r>
      <w:r>
        <w:rPr>
          <w:rFonts w:asciiTheme="minorHAnsi" w:eastAsia="Arial" w:hAnsiTheme="minorHAnsi" w:cstheme="minorHAnsi"/>
          <w:color w:val="000000"/>
          <w:vertAlign w:val="subscript"/>
          <w:lang w:val="en-US"/>
        </w:rPr>
        <w:t xml:space="preserve">260 </w:t>
      </w:r>
      <w:r>
        <w:rPr>
          <w:rFonts w:asciiTheme="minorHAnsi" w:eastAsia="Arial" w:hAnsiTheme="minorHAnsi" w:cstheme="minorHAnsi"/>
          <w:color w:val="000000"/>
          <w:lang w:val="en-US"/>
        </w:rPr>
        <w:t>for DS and comparatively higher AU</w:t>
      </w:r>
      <w:r>
        <w:rPr>
          <w:rFonts w:asciiTheme="minorHAnsi" w:eastAsia="Arial" w:hAnsiTheme="minorHAnsi" w:cstheme="minorHAnsi"/>
          <w:color w:val="000000"/>
          <w:vertAlign w:val="subscript"/>
          <w:lang w:val="en-US"/>
        </w:rPr>
        <w:t>260</w:t>
      </w:r>
      <w:r>
        <w:rPr>
          <w:rFonts w:asciiTheme="minorHAnsi" w:eastAsia="Arial" w:hAnsiTheme="minorHAnsi" w:cstheme="minorHAnsi"/>
          <w:color w:val="000000"/>
          <w:lang w:val="en-US"/>
        </w:rPr>
        <w:t>, 13–14 AU</w:t>
      </w:r>
      <w:r>
        <w:rPr>
          <w:rFonts w:asciiTheme="minorHAnsi" w:eastAsia="Arial" w:hAnsiTheme="minorHAnsi" w:cstheme="minorHAnsi"/>
          <w:color w:val="000000"/>
          <w:vertAlign w:val="subscript"/>
          <w:lang w:val="en-US"/>
        </w:rPr>
        <w:t xml:space="preserve">260 </w:t>
      </w:r>
      <w:r>
        <w:rPr>
          <w:rFonts w:asciiTheme="minorHAnsi" w:eastAsia="Arial" w:hAnsiTheme="minorHAnsi" w:cstheme="minorHAnsi"/>
          <w:color w:val="000000"/>
          <w:lang w:val="en-US"/>
        </w:rPr>
        <w:t>for SSU or RS) to achieve optimal separation.</w:t>
      </w:r>
    </w:p>
    <w:p w14:paraId="67BE9580" w14:textId="77777777" w:rsidR="006B6616" w:rsidRDefault="006B6616">
      <w:pPr>
        <w:pStyle w:val="wNormal"/>
        <w:spacing w:before="0" w:after="0" w:line="240" w:lineRule="auto"/>
        <w:rPr>
          <w:rFonts w:ascii="Calibri" w:hAnsi="Calibri" w:cs="Calibri"/>
        </w:rPr>
      </w:pPr>
    </w:p>
    <w:p w14:paraId="157A2C0A"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Ultracentrifuge the tubes in a medium volume swing-bucket rotor at 4 °C with average g-force </w:t>
      </w:r>
      <w:r>
        <w:rPr>
          <w:rFonts w:ascii="Calibri" w:eastAsia="Arial" w:hAnsi="Calibri" w:cs="Calibri"/>
          <w:color w:val="222222"/>
          <w:lang w:val="en-US"/>
        </w:rPr>
        <w:t xml:space="preserve">178,305 x </w:t>
      </w:r>
      <w:r>
        <w:rPr>
          <w:rFonts w:ascii="Calibri" w:eastAsia="Arial" w:hAnsi="Calibri" w:cs="Calibri"/>
          <w:i/>
          <w:iCs/>
          <w:color w:val="222222"/>
          <w:lang w:val="en-US"/>
        </w:rPr>
        <w:t>g</w:t>
      </w:r>
      <w:r>
        <w:rPr>
          <w:rFonts w:ascii="Calibri" w:eastAsia="Arial" w:hAnsi="Calibri" w:cs="Calibri"/>
          <w:color w:val="222222"/>
          <w:lang w:val="en-US"/>
        </w:rPr>
        <w:t xml:space="preserve"> (k-factor 143.9)</w:t>
      </w:r>
      <w:r>
        <w:rPr>
          <w:rFonts w:ascii="Calibri" w:eastAsia="Arial" w:hAnsi="Calibri" w:cs="Calibri"/>
          <w:lang w:val="en-US"/>
        </w:rPr>
        <w:t xml:space="preserve"> </w:t>
      </w:r>
      <w:r>
        <w:rPr>
          <w:rFonts w:ascii="Calibri" w:eastAsia="Arial" w:hAnsi="Calibri" w:cs="Calibri"/>
          <w:color w:val="000000"/>
          <w:lang w:val="en-US"/>
        </w:rPr>
        <w:t>for 3 h 30 min.</w:t>
      </w:r>
    </w:p>
    <w:p w14:paraId="0AF83BA0"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7014213E" w14:textId="77777777" w:rsidR="006B6616" w:rsidRDefault="00E473AD">
      <w:pPr>
        <w:jc w:val="both"/>
        <w:rPr>
          <w:rFonts w:ascii="Calibri" w:hAnsi="Calibri" w:cs="Calibri"/>
        </w:rPr>
      </w:pPr>
      <w:r>
        <w:rPr>
          <w:rFonts w:ascii="Calibri" w:hAnsi="Calibri" w:cs="Calibri"/>
          <w:color w:val="000000"/>
          <w:lang w:val="en-US"/>
        </w:rPr>
        <w:t>CAUTION:</w:t>
      </w:r>
      <w:r>
        <w:rPr>
          <w:rFonts w:ascii="Calibri" w:hAnsi="Calibri" w:cs="Calibri"/>
          <w:lang w:val="en-US"/>
        </w:rPr>
        <w:t xml:space="preserve"> </w:t>
      </w:r>
      <w:r>
        <w:rPr>
          <w:rFonts w:ascii="Calibri" w:hAnsi="Calibri" w:cs="Calibri"/>
          <w:color w:val="000000"/>
          <w:lang w:val="en-US"/>
        </w:rPr>
        <w:t>If spare balance tubes are needed, equalize their weight and weight distribution with the sample-containing tubes. Use spare sucrose gradients overlaid with an amount of buffer equivalent to that of the sample overlay and not tubes with uniform sucrose concentration.</w:t>
      </w:r>
    </w:p>
    <w:p w14:paraId="4F4C4999" w14:textId="77777777" w:rsidR="006B6616" w:rsidRDefault="006B6616">
      <w:pPr>
        <w:jc w:val="both"/>
        <w:rPr>
          <w:rFonts w:ascii="Calibri" w:hAnsi="Calibri" w:cs="Calibri"/>
          <w:color w:val="000000"/>
          <w:lang w:val="en-US"/>
        </w:rPr>
      </w:pPr>
    </w:p>
    <w:p w14:paraId="3CB05902"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Set up a gradient fractionator device at least 30 min before the ultracentrifugation spin completion, including filling in the 0.2 µm filtered heavy chase solution (e.g., 60% sucrose in deionized water as used here) into the displacement pump.</w:t>
      </w:r>
    </w:p>
    <w:p w14:paraId="5453872E"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2375C74E" w14:textId="77777777" w:rsidR="006B6616" w:rsidRDefault="00E473AD">
      <w:pPr>
        <w:pStyle w:val="wNormal"/>
        <w:spacing w:before="0" w:after="0" w:line="240" w:lineRule="auto"/>
        <w:rPr>
          <w:rFonts w:ascii="Calibri" w:hAnsi="Calibri" w:cs="Calibri"/>
        </w:rPr>
      </w:pPr>
      <w:r>
        <w:rPr>
          <w:rFonts w:ascii="Calibri" w:eastAsia="Arial" w:hAnsi="Calibri" w:cs="Calibri"/>
          <w:color w:val="000000"/>
          <w:lang w:val="en-US"/>
        </w:rPr>
        <w:t xml:space="preserve">NOTE: It is recommended to de-contaminate the lines and </w:t>
      </w:r>
      <w:proofErr w:type="spellStart"/>
      <w:r>
        <w:rPr>
          <w:rFonts w:ascii="Calibri" w:eastAsia="Arial" w:hAnsi="Calibri" w:cs="Calibri"/>
          <w:color w:val="000000"/>
          <w:lang w:val="en-US"/>
        </w:rPr>
        <w:t>tubings</w:t>
      </w:r>
      <w:proofErr w:type="spellEnd"/>
      <w:r>
        <w:rPr>
          <w:rFonts w:ascii="Calibri" w:eastAsia="Arial" w:hAnsi="Calibri" w:cs="Calibri"/>
          <w:color w:val="000000"/>
          <w:lang w:val="en-US"/>
        </w:rPr>
        <w:t xml:space="preserve"> of the fractionator using deionized water, followed by 1%–2% SDS solution in deionized water, deionized water, and finally 80% ethanol in deionized water solution before and after the runs.</w:t>
      </w:r>
    </w:p>
    <w:p w14:paraId="786BBBC5" w14:textId="77777777" w:rsidR="006B6616" w:rsidRDefault="006B6616">
      <w:pPr>
        <w:pStyle w:val="wNormal"/>
        <w:spacing w:before="0" w:after="0" w:line="240" w:lineRule="auto"/>
        <w:rPr>
          <w:rFonts w:ascii="Calibri" w:eastAsia="Arial" w:hAnsi="Calibri" w:cs="Calibri"/>
          <w:color w:val="000000"/>
          <w:lang w:val="en-US"/>
        </w:rPr>
      </w:pPr>
    </w:p>
    <w:p w14:paraId="580F7CDC"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Adjust the absorbance readout baseline by first filling the system with deionized water and zeroing the optics as per the manufacturer’s recommendations, and then compensating the baseline shift using a spare unloaded </w:t>
      </w:r>
      <w:r>
        <w:rPr>
          <w:rFonts w:ascii="Calibri" w:hAnsi="Calibri" w:cs="Calibri"/>
          <w:bCs/>
          <w:color w:val="000000"/>
          <w:lang w:val="en-US"/>
        </w:rPr>
        <w:t xml:space="preserve">14 x 89 mm sucrose gradient made with a buffer identical to the sample tubes (e.g., </w:t>
      </w:r>
      <w:r w:rsidRPr="007E2E3F">
        <w:rPr>
          <w:rFonts w:ascii="Calibri" w:hAnsi="Calibri" w:cs="Calibri"/>
          <w:color w:val="000000"/>
          <w:lang w:val="en-US"/>
        </w:rPr>
        <w:t>buffer 1</w:t>
      </w:r>
      <w:r>
        <w:rPr>
          <w:rFonts w:ascii="Calibri" w:hAnsi="Calibri" w:cs="Calibri"/>
          <w:bCs/>
          <w:color w:val="000000"/>
          <w:lang w:val="en-US"/>
        </w:rPr>
        <w:t>).</w:t>
      </w:r>
    </w:p>
    <w:p w14:paraId="6535ED58" w14:textId="77777777" w:rsidR="006B6616" w:rsidRDefault="006B6616">
      <w:pPr>
        <w:pStyle w:val="wNormal"/>
        <w:tabs>
          <w:tab w:val="clear" w:pos="733"/>
          <w:tab w:val="left" w:pos="1077"/>
        </w:tabs>
        <w:spacing w:before="0" w:after="0" w:line="240" w:lineRule="auto"/>
        <w:rPr>
          <w:rFonts w:ascii="Calibri" w:hAnsi="Calibri" w:cs="Calibri"/>
          <w:color w:val="000000"/>
          <w:lang w:val="en-US"/>
        </w:rPr>
      </w:pPr>
    </w:p>
    <w:p w14:paraId="60DF389C" w14:textId="77777777" w:rsidR="006B6616" w:rsidRDefault="00E473AD">
      <w:pPr>
        <w:pStyle w:val="wNormal"/>
        <w:spacing w:before="0" w:after="0" w:line="240" w:lineRule="auto"/>
        <w:rPr>
          <w:rFonts w:ascii="Calibri" w:hAnsi="Calibri" w:cs="Calibri"/>
        </w:rPr>
      </w:pPr>
      <w:r>
        <w:rPr>
          <w:rFonts w:ascii="Calibri" w:hAnsi="Calibri" w:cs="Calibri"/>
          <w:color w:val="000000"/>
          <w:lang w:val="en-US"/>
        </w:rPr>
        <w:t>NOTE:</w:t>
      </w:r>
      <w:r>
        <w:rPr>
          <w:rFonts w:ascii="Calibri" w:hAnsi="Calibri" w:cs="Calibri"/>
          <w:bCs/>
          <w:color w:val="000000"/>
          <w:lang w:val="en-US"/>
        </w:rPr>
        <w:t xml:space="preserve"> Use the same displacement speed to make the adjustments as for the sample readout, such as</w:t>
      </w:r>
      <w:r>
        <w:rPr>
          <w:rFonts w:ascii="Calibri" w:eastAsia="Arial" w:hAnsi="Calibri" w:cs="Calibri"/>
          <w:color w:val="000000"/>
          <w:lang w:val="en-US"/>
        </w:rPr>
        <w:t xml:space="preserve"> 1.5 mL/min.</w:t>
      </w:r>
    </w:p>
    <w:p w14:paraId="6E8BAB3C" w14:textId="77777777" w:rsidR="006B6616" w:rsidRDefault="006B6616">
      <w:pPr>
        <w:pStyle w:val="wNormal"/>
        <w:spacing w:before="0" w:after="0" w:line="240" w:lineRule="auto"/>
        <w:rPr>
          <w:rFonts w:ascii="Calibri" w:eastAsia="Arial" w:hAnsi="Calibri" w:cs="Calibri"/>
          <w:color w:val="000000"/>
          <w:lang w:val="en-US"/>
        </w:rPr>
      </w:pPr>
    </w:p>
    <w:p w14:paraId="7F351295"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Measure the displacement system dead volume by accurately counting time between the solution first entering the optical path of the detector and first appearing at the fraction collector output.</w:t>
      </w:r>
    </w:p>
    <w:p w14:paraId="3216CCA6"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2FB5D326" w14:textId="77777777" w:rsidR="006B6616" w:rsidRDefault="00E473AD">
      <w:pPr>
        <w:pStyle w:val="wNormal"/>
        <w:spacing w:before="0" w:after="0" w:line="240" w:lineRule="auto"/>
        <w:rPr>
          <w:rFonts w:ascii="Calibri" w:hAnsi="Calibri" w:cs="Calibri"/>
        </w:rPr>
      </w:pPr>
      <w:r>
        <w:rPr>
          <w:rFonts w:ascii="Calibri" w:eastAsia="Arial" w:hAnsi="Calibri" w:cs="Calibri"/>
          <w:color w:val="000000"/>
          <w:lang w:val="en-US"/>
        </w:rPr>
        <w:t>NOTE: With the recommended speed of 1.5 mL/min, the fractionation can be performed at room temperature. It is recommended to immediately transfer the collected fractions on ice.</w:t>
      </w:r>
    </w:p>
    <w:p w14:paraId="6D722049" w14:textId="77777777" w:rsidR="006B6616" w:rsidRDefault="006B6616">
      <w:pPr>
        <w:pStyle w:val="wNormal"/>
        <w:spacing w:before="0" w:after="0" w:line="240" w:lineRule="auto"/>
        <w:rPr>
          <w:rFonts w:ascii="Calibri" w:eastAsia="Arial" w:hAnsi="Calibri" w:cs="Calibri"/>
          <w:color w:val="000000"/>
          <w:lang w:val="en-US"/>
        </w:rPr>
      </w:pPr>
    </w:p>
    <w:p w14:paraId="4E4D754C"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Perform fractionation using live absorbance readout at 254 nm, 1.5 mL/min displacement speed, and in-line fraction detection based on the expected sedimentation position and absorbance profile of the samples. Use collector tube switching with a time delay corresponding to the dead volume as measured before.</w:t>
      </w:r>
    </w:p>
    <w:p w14:paraId="0C99CA4A"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02F23F05" w14:textId="77777777" w:rsidR="006B6616" w:rsidRDefault="00E473AD">
      <w:pPr>
        <w:pStyle w:val="wNormal"/>
        <w:numPr>
          <w:ilvl w:val="2"/>
          <w:numId w:val="4"/>
        </w:numPr>
        <w:tabs>
          <w:tab w:val="clear" w:pos="733"/>
          <w:tab w:val="left" w:pos="1077"/>
        </w:tabs>
        <w:spacing w:before="0" w:after="0" w:line="240" w:lineRule="auto"/>
        <w:ind w:left="0" w:firstLine="0"/>
        <w:rPr>
          <w:rFonts w:ascii="Calibri" w:hAnsi="Calibri" w:cs="Calibri"/>
        </w:rPr>
      </w:pPr>
      <w:r>
        <w:rPr>
          <w:rFonts w:ascii="Calibri" w:eastAsia="Arial" w:hAnsi="Calibri" w:cs="Calibri"/>
          <w:color w:val="000000"/>
          <w:lang w:val="en-US"/>
        </w:rPr>
        <w:t xml:space="preserve">Isolate </w:t>
      </w:r>
      <w:bookmarkStart w:id="6" w:name="_Hlk595347232111111111111"/>
      <w:bookmarkEnd w:id="6"/>
      <w:r>
        <w:rPr>
          <w:rFonts w:ascii="Calibri" w:eastAsia="Arial" w:hAnsi="Calibri" w:cs="Calibri"/>
          <w:color w:val="000000"/>
          <w:lang w:val="en-US"/>
        </w:rPr>
        <w:t>fractions corresponding to the positions and mobility of the SSU, RS, and DS complexes and collect them into new low protein binding 1.5 mL microcentrifuge tubes; immediately transfer the isolated fractions on ice and freeze if not processed further right away.</w:t>
      </w:r>
    </w:p>
    <w:p w14:paraId="226856E5" w14:textId="77777777" w:rsidR="006B6616" w:rsidRDefault="006B6616">
      <w:pPr>
        <w:pStyle w:val="wNormal"/>
        <w:tabs>
          <w:tab w:val="clear" w:pos="733"/>
          <w:tab w:val="left" w:pos="1077"/>
        </w:tabs>
        <w:spacing w:before="0" w:after="0" w:line="240" w:lineRule="auto"/>
        <w:rPr>
          <w:rFonts w:ascii="Calibri" w:eastAsia="Arial" w:hAnsi="Calibri" w:cs="Calibri"/>
          <w:color w:val="000000"/>
          <w:lang w:val="en-US"/>
        </w:rPr>
      </w:pPr>
    </w:p>
    <w:p w14:paraId="17DA4BE3" w14:textId="77777777" w:rsidR="006B6616" w:rsidRDefault="00E473AD">
      <w:pPr>
        <w:jc w:val="both"/>
        <w:rPr>
          <w:rFonts w:ascii="Calibri" w:hAnsi="Calibri" w:cs="Calibri"/>
        </w:rPr>
      </w:pPr>
      <w:r>
        <w:rPr>
          <w:rFonts w:ascii="Calibri" w:eastAsia="Arial" w:hAnsi="Calibri" w:cs="Calibri"/>
          <w:color w:val="000000"/>
          <w:lang w:val="en-US"/>
        </w:rPr>
        <w:t xml:space="preserve">NOTE: It is recommended to immediately flash-freeze the collected fractions in dry ice or </w:t>
      </w:r>
      <w:r>
        <w:rPr>
          <w:rFonts w:ascii="Calibri" w:hAnsi="Calibri" w:cs="Calibri"/>
          <w:color w:val="000000"/>
          <w:lang w:val="en-US"/>
        </w:rPr>
        <w:t>liquid nitrogen and store at -80 °C or below for up to 6 months.</w:t>
      </w:r>
    </w:p>
    <w:p w14:paraId="2C9E12E4" w14:textId="77777777" w:rsidR="006B6616" w:rsidRDefault="006B6616">
      <w:pPr>
        <w:jc w:val="both"/>
        <w:rPr>
          <w:rFonts w:ascii="Calibri" w:hAnsi="Calibri" w:cs="Calibri"/>
          <w:color w:val="000000"/>
          <w:lang w:val="en-US"/>
        </w:rPr>
      </w:pPr>
    </w:p>
    <w:p w14:paraId="47477CFC" w14:textId="77777777" w:rsidR="006B6616" w:rsidRDefault="00E473AD">
      <w:pPr>
        <w:pStyle w:val="EndNoteBibliography"/>
        <w:numPr>
          <w:ilvl w:val="1"/>
          <w:numId w:val="4"/>
        </w:numPr>
        <w:tabs>
          <w:tab w:val="left" w:pos="1077"/>
        </w:tabs>
        <w:ind w:left="0" w:firstLine="0"/>
        <w:rPr>
          <w:rFonts w:ascii="Calibri" w:hAnsi="Calibri" w:cs="Calibri"/>
        </w:rPr>
      </w:pPr>
      <w:bookmarkStart w:id="7" w:name="_Hlk595347231"/>
      <w:bookmarkStart w:id="8" w:name="_Hlk59535811"/>
      <w:bookmarkEnd w:id="7"/>
      <w:r>
        <w:rPr>
          <w:rFonts w:ascii="Calibri" w:eastAsia="Arial" w:hAnsi="Calibri" w:cs="Calibri"/>
          <w:b/>
        </w:rPr>
        <w:t xml:space="preserve">De-crosslinking of the ribosomal complexes and isolation of the RNA to construct </w:t>
      </w:r>
      <w:r>
        <w:rPr>
          <w:rFonts w:ascii="Calibri" w:eastAsia="Arial" w:hAnsi="Calibri" w:cs="Calibri"/>
          <w:b/>
          <w:color w:val="000000"/>
        </w:rPr>
        <w:t>RNA</w:t>
      </w:r>
      <w:r>
        <w:rPr>
          <w:rFonts w:ascii="Calibri" w:eastAsia="Arial" w:hAnsi="Calibri" w:cs="Calibri"/>
          <w:b/>
        </w:rPr>
        <w:t>-seq libraries</w:t>
      </w:r>
      <w:bookmarkEnd w:id="8"/>
    </w:p>
    <w:p w14:paraId="1C92A651" w14:textId="77777777" w:rsidR="006B6616" w:rsidRDefault="006B6616">
      <w:pPr>
        <w:pStyle w:val="EndNoteBibliography"/>
        <w:tabs>
          <w:tab w:val="left" w:pos="1077"/>
        </w:tabs>
        <w:rPr>
          <w:rFonts w:ascii="Calibri" w:eastAsia="Arial" w:hAnsi="Calibri" w:cs="Calibri"/>
          <w:b/>
        </w:rPr>
      </w:pPr>
    </w:p>
    <w:p w14:paraId="410331F0" w14:textId="67AF7CCE"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 xml:space="preserve">To de-block/reverse the crosslinks and isolate the RNA away from the associated proteins, transfer approximately half of the entire sucrose gradient fractions into </w:t>
      </w:r>
      <w:r>
        <w:rPr>
          <w:rFonts w:ascii="Calibri" w:hAnsi="Calibri" w:cs="Calibri"/>
        </w:rPr>
        <w:t xml:space="preserve">new low nucleic acid binding nuclease-free polypropylene 1.5 mL microcentrifuge tubes </w:t>
      </w:r>
      <w:r>
        <w:rPr>
          <w:rFonts w:ascii="Calibri" w:eastAsia="Arial" w:hAnsi="Calibri" w:cs="Calibri"/>
        </w:rPr>
        <w:t xml:space="preserve">(350 µL per tube) </w:t>
      </w:r>
      <w:r>
        <w:rPr>
          <w:rFonts w:ascii="Calibri" w:hAnsi="Calibri" w:cs="Calibri"/>
        </w:rPr>
        <w:t>with lid safety/locking devices.</w:t>
      </w:r>
    </w:p>
    <w:p w14:paraId="329FAD17" w14:textId="77777777" w:rsidR="006B6616" w:rsidRDefault="006B6616">
      <w:pPr>
        <w:pStyle w:val="EndNoteBibliography"/>
        <w:tabs>
          <w:tab w:val="left" w:pos="1077"/>
        </w:tabs>
        <w:rPr>
          <w:rFonts w:ascii="Calibri" w:hAnsi="Calibri" w:cs="Calibri"/>
        </w:rPr>
      </w:pPr>
    </w:p>
    <w:p w14:paraId="32C00A39"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 xml:space="preserve">Supplement the mixtures with 40 µL of 100% </w:t>
      </w:r>
      <w:r>
        <w:rPr>
          <w:rFonts w:ascii="Calibri" w:eastAsia="Arial" w:hAnsi="Calibri" w:cs="Calibri"/>
          <w:bCs/>
          <w:color w:val="000000"/>
          <w:spacing w:val="3"/>
          <w:lang w:eastAsia="en-GB"/>
        </w:rPr>
        <w:t>stop solution (10% SDS w/v and 100 mM EDTA),</w:t>
      </w:r>
      <w:r>
        <w:rPr>
          <w:rFonts w:ascii="Calibri" w:eastAsia="Arial" w:hAnsi="Calibri" w:cs="Calibri"/>
          <w:color w:val="000000"/>
          <w:spacing w:val="3"/>
          <w:lang w:eastAsia="en-GB"/>
        </w:rPr>
        <w:t xml:space="preserve"> 4 µL of 1 M </w:t>
      </w:r>
      <w:r>
        <w:rPr>
          <w:rFonts w:ascii="Calibri" w:eastAsia="Arial" w:hAnsi="Calibri" w:cs="Calibri"/>
        </w:rPr>
        <w:t xml:space="preserve">Tris-HCl pH 2 at 25 °C (to </w:t>
      </w:r>
      <w:r>
        <w:rPr>
          <w:rFonts w:ascii="Calibri" w:eastAsia="Arial" w:hAnsi="Calibri" w:cs="Calibri"/>
          <w:color w:val="000000"/>
          <w:spacing w:val="3"/>
          <w:lang w:eastAsia="en-GB"/>
        </w:rPr>
        <w:t>10 mM</w:t>
      </w:r>
      <w:r>
        <w:rPr>
          <w:rFonts w:ascii="Calibri" w:eastAsia="Arial" w:hAnsi="Calibri" w:cs="Calibri"/>
        </w:rPr>
        <w:t>), 1.6 µL of 2.5 M glycine (to 10 mM) and deionized nuclease-free water to obtain the final volume of 400 µL.</w:t>
      </w:r>
    </w:p>
    <w:p w14:paraId="0C54EF66" w14:textId="77777777" w:rsidR="006B6616" w:rsidRDefault="006B6616">
      <w:pPr>
        <w:pStyle w:val="EndNoteBibliography"/>
        <w:tabs>
          <w:tab w:val="left" w:pos="1077"/>
        </w:tabs>
        <w:rPr>
          <w:rFonts w:ascii="Calibri" w:eastAsia="Arial" w:hAnsi="Calibri" w:cs="Calibri"/>
        </w:rPr>
      </w:pPr>
    </w:p>
    <w:p w14:paraId="3170C27E"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Mix the contents of the tubes by pipetting and transfer the tubes at room temperature.</w:t>
      </w:r>
    </w:p>
    <w:p w14:paraId="4DE23C95" w14:textId="77777777" w:rsidR="006B6616" w:rsidRDefault="006B6616">
      <w:pPr>
        <w:pStyle w:val="EndNoteBibliography"/>
        <w:tabs>
          <w:tab w:val="left" w:pos="1077"/>
        </w:tabs>
        <w:rPr>
          <w:rFonts w:ascii="Calibri" w:eastAsia="Arial" w:hAnsi="Calibri" w:cs="Calibri"/>
        </w:rPr>
      </w:pPr>
    </w:p>
    <w:p w14:paraId="7B3AEDAD" w14:textId="5253C666"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 xml:space="preserve">Add equal volume of the acidic </w:t>
      </w:r>
      <w:proofErr w:type="spellStart"/>
      <w:proofErr w:type="gramStart"/>
      <w:r>
        <w:rPr>
          <w:rFonts w:ascii="Calibri" w:eastAsia="Arial" w:hAnsi="Calibri" w:cs="Calibri"/>
        </w:rPr>
        <w:t>phenol:chloroform</w:t>
      </w:r>
      <w:proofErr w:type="gramEnd"/>
      <w:r>
        <w:rPr>
          <w:rFonts w:ascii="Calibri" w:eastAsia="Arial" w:hAnsi="Calibri" w:cs="Calibri"/>
        </w:rPr>
        <w:t>:isoamyl</w:t>
      </w:r>
      <w:proofErr w:type="spellEnd"/>
      <w:r>
        <w:rPr>
          <w:rFonts w:ascii="Calibri" w:eastAsia="Arial" w:hAnsi="Calibri" w:cs="Calibri"/>
        </w:rPr>
        <w:t xml:space="preserve"> alcohol 125:24:1 (pH 4.0–5.0) mixture to each tube. Vigorously shake the mixtures for 2 min using the vortex set to maximum speed.</w:t>
      </w:r>
    </w:p>
    <w:p w14:paraId="1EBD05FA" w14:textId="77777777" w:rsidR="006B6616" w:rsidRDefault="006B6616">
      <w:pPr>
        <w:pStyle w:val="EndNoteBibliography"/>
        <w:tabs>
          <w:tab w:val="left" w:pos="1077"/>
        </w:tabs>
        <w:rPr>
          <w:rFonts w:ascii="Calibri" w:eastAsia="Arial" w:hAnsi="Calibri" w:cs="Calibri"/>
        </w:rPr>
      </w:pPr>
    </w:p>
    <w:p w14:paraId="549B12AC" w14:textId="77777777" w:rsidR="006B6616" w:rsidRDefault="00E473AD">
      <w:pPr>
        <w:jc w:val="both"/>
        <w:rPr>
          <w:rFonts w:ascii="Calibri" w:hAnsi="Calibri" w:cs="Calibri"/>
        </w:rPr>
      </w:pPr>
      <w:r>
        <w:rPr>
          <w:rFonts w:ascii="Calibri" w:eastAsia="Arial" w:hAnsi="Calibri" w:cs="Calibri"/>
          <w:color w:val="000000"/>
          <w:lang w:val="en-US"/>
        </w:rPr>
        <w:t>CAUTION:</w:t>
      </w:r>
      <w:r>
        <w:rPr>
          <w:rFonts w:ascii="Calibri" w:hAnsi="Calibri" w:cs="Calibri"/>
          <w:color w:val="000000"/>
          <w:lang w:val="en-US"/>
        </w:rPr>
        <w:t xml:space="preserve"> Phenol and chloroform are corrosive and toxic. Avoid physical contact with liquids and work in a well-ventilated area or under a fume hood. Always use gloves, lab coat and protective goggles or a face shield when working with phenol or chloroform.</w:t>
      </w:r>
    </w:p>
    <w:p w14:paraId="5C283BEE" w14:textId="77777777" w:rsidR="006B6616" w:rsidRDefault="006B6616">
      <w:pPr>
        <w:jc w:val="both"/>
        <w:rPr>
          <w:rFonts w:ascii="Calibri" w:hAnsi="Calibri" w:cs="Calibri"/>
          <w:color w:val="000000"/>
          <w:lang w:val="en-US"/>
        </w:rPr>
      </w:pPr>
    </w:p>
    <w:p w14:paraId="0E900570"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 xml:space="preserve">Place the tubes in a </w:t>
      </w:r>
      <w:proofErr w:type="spellStart"/>
      <w:r>
        <w:rPr>
          <w:rFonts w:ascii="Calibri" w:eastAsia="Arial" w:hAnsi="Calibri" w:cs="Calibri"/>
        </w:rPr>
        <w:t>thermoshaker</w:t>
      </w:r>
      <w:proofErr w:type="spellEnd"/>
      <w:r>
        <w:rPr>
          <w:rFonts w:ascii="Calibri" w:eastAsia="Arial" w:hAnsi="Calibri" w:cs="Calibri"/>
        </w:rPr>
        <w:t xml:space="preserve"> and continuously shake at 65 °C, 1,400 rpm for 30 min.</w:t>
      </w:r>
    </w:p>
    <w:p w14:paraId="462D4359" w14:textId="77777777" w:rsidR="006B6616" w:rsidRDefault="006B6616">
      <w:pPr>
        <w:pStyle w:val="EndNoteBibliography"/>
        <w:tabs>
          <w:tab w:val="left" w:pos="1077"/>
        </w:tabs>
        <w:rPr>
          <w:rFonts w:ascii="Calibri" w:eastAsia="Arial" w:hAnsi="Calibri" w:cs="Calibri"/>
        </w:rPr>
      </w:pPr>
    </w:p>
    <w:p w14:paraId="517D86DF"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 xml:space="preserve">Facilitate phase aggregation by centrifuging the mixture at 12,000 x </w:t>
      </w:r>
      <w:r>
        <w:rPr>
          <w:rFonts w:ascii="Calibri" w:eastAsia="Arial" w:hAnsi="Calibri" w:cs="Calibri"/>
          <w:i/>
          <w:iCs/>
        </w:rPr>
        <w:t>g</w:t>
      </w:r>
      <w:r>
        <w:rPr>
          <w:rFonts w:ascii="Calibri" w:eastAsia="Arial" w:hAnsi="Calibri" w:cs="Calibri"/>
        </w:rPr>
        <w:t xml:space="preserve"> for 10 min at room temperature.</w:t>
      </w:r>
    </w:p>
    <w:p w14:paraId="57ABF52C" w14:textId="77777777" w:rsidR="006B6616" w:rsidRDefault="006B6616">
      <w:pPr>
        <w:pStyle w:val="EndNoteBibliography"/>
        <w:tabs>
          <w:tab w:val="left" w:pos="1077"/>
        </w:tabs>
        <w:rPr>
          <w:rFonts w:ascii="Calibri" w:eastAsia="Arial" w:hAnsi="Calibri" w:cs="Calibri"/>
        </w:rPr>
      </w:pPr>
    </w:p>
    <w:p w14:paraId="7AE982DB"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Collect the upper aqueous phases and transfer them into fresh low nucleic acid binding 1.5 mL tubes.</w:t>
      </w:r>
    </w:p>
    <w:p w14:paraId="6B4DFEA5" w14:textId="77777777" w:rsidR="006B6616" w:rsidRDefault="006B6616">
      <w:pPr>
        <w:pStyle w:val="EndNoteBibliography"/>
        <w:tabs>
          <w:tab w:val="left" w:pos="1077"/>
        </w:tabs>
        <w:rPr>
          <w:rFonts w:ascii="Calibri" w:eastAsia="Arial" w:hAnsi="Calibri" w:cs="Calibri"/>
        </w:rPr>
      </w:pPr>
    </w:p>
    <w:p w14:paraId="2A2F0025" w14:textId="77777777" w:rsidR="006B6616" w:rsidRDefault="00E473AD">
      <w:pPr>
        <w:pStyle w:val="EndNoteBibliography"/>
        <w:tabs>
          <w:tab w:val="left" w:pos="1077"/>
        </w:tabs>
        <w:rPr>
          <w:rFonts w:ascii="Calibri" w:hAnsi="Calibri" w:cs="Calibri"/>
        </w:rPr>
      </w:pPr>
      <w:r>
        <w:rPr>
          <w:rFonts w:ascii="Calibri" w:eastAsia="Arial" w:hAnsi="Calibri" w:cs="Calibri"/>
        </w:rPr>
        <w:t xml:space="preserve">NOTE: </w:t>
      </w:r>
      <w:r>
        <w:rPr>
          <w:rFonts w:ascii="Calibri" w:hAnsi="Calibri" w:cs="Calibri"/>
        </w:rPr>
        <w:t>To avoid cross-contamination, do not attempt to recover the aqueous phases completely. A reasonable recovery volume is 300–350 μL.</w:t>
      </w:r>
    </w:p>
    <w:p w14:paraId="68255D30" w14:textId="77777777" w:rsidR="006B6616" w:rsidRDefault="006B6616">
      <w:pPr>
        <w:pStyle w:val="EndNoteBibliography"/>
        <w:tabs>
          <w:tab w:val="left" w:pos="1077"/>
        </w:tabs>
        <w:rPr>
          <w:rFonts w:ascii="Calibri" w:hAnsi="Calibri" w:cs="Calibri"/>
        </w:rPr>
      </w:pPr>
    </w:p>
    <w:p w14:paraId="7C74DACB"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 xml:space="preserve">Supplement the collected aqueous phases with 0.1 volumes of 3 M sodium acetate (pH 5 at 25 °C), 20 </w:t>
      </w:r>
      <w:r>
        <w:rPr>
          <w:rFonts w:ascii="Calibri" w:eastAsia="Symbol" w:hAnsi="Calibri" w:cs="Calibri"/>
        </w:rPr>
        <w:t>µ</w:t>
      </w:r>
      <w:r>
        <w:rPr>
          <w:rFonts w:ascii="Calibri" w:eastAsia="Arial" w:hAnsi="Calibri" w:cs="Calibri"/>
        </w:rPr>
        <w:t xml:space="preserve">g of glycogen (using 5 </w:t>
      </w:r>
      <w:r>
        <w:rPr>
          <w:rFonts w:ascii="Calibri" w:eastAsia="Symbol" w:hAnsi="Calibri" w:cs="Calibri"/>
        </w:rPr>
        <w:t>µ</w:t>
      </w:r>
      <w:r>
        <w:rPr>
          <w:rFonts w:ascii="Calibri" w:eastAsia="Arial" w:hAnsi="Calibri" w:cs="Calibri"/>
        </w:rPr>
        <w:t>g/</w:t>
      </w:r>
      <w:r>
        <w:rPr>
          <w:rFonts w:ascii="Calibri" w:eastAsia="Symbol" w:hAnsi="Calibri" w:cs="Calibri"/>
        </w:rPr>
        <w:t>µL stock</w:t>
      </w:r>
      <w:r>
        <w:rPr>
          <w:rFonts w:ascii="Calibri" w:eastAsia="Arial" w:hAnsi="Calibri" w:cs="Calibri"/>
        </w:rPr>
        <w:t xml:space="preserve">) and 2.5 volumes of absolute ethanol. Carefully mix the solutions by </w:t>
      </w:r>
      <w:proofErr w:type="spellStart"/>
      <w:r>
        <w:rPr>
          <w:rFonts w:ascii="Calibri" w:eastAsia="Arial" w:hAnsi="Calibri" w:cs="Calibri"/>
        </w:rPr>
        <w:t>vortexing</w:t>
      </w:r>
      <w:proofErr w:type="spellEnd"/>
      <w:r>
        <w:rPr>
          <w:rFonts w:ascii="Calibri" w:eastAsia="Arial" w:hAnsi="Calibri" w:cs="Calibri"/>
        </w:rPr>
        <w:t xml:space="preserve"> the tubes for 1 min.</w:t>
      </w:r>
    </w:p>
    <w:p w14:paraId="29FA8E37" w14:textId="77777777" w:rsidR="006B6616" w:rsidRDefault="006B6616">
      <w:pPr>
        <w:pStyle w:val="EndNoteBibliography"/>
        <w:tabs>
          <w:tab w:val="left" w:pos="1077"/>
        </w:tabs>
        <w:rPr>
          <w:rFonts w:ascii="Calibri" w:eastAsia="Arial" w:hAnsi="Calibri" w:cs="Calibri"/>
        </w:rPr>
      </w:pPr>
    </w:p>
    <w:p w14:paraId="0C2EA030"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 xml:space="preserve">Precipitate the RNA by incubating the samples at -20 </w:t>
      </w:r>
      <w:r>
        <w:rPr>
          <w:rFonts w:ascii="Calibri" w:eastAsia="Symbol" w:hAnsi="Calibri" w:cs="Calibri"/>
        </w:rPr>
        <w:t>°</w:t>
      </w:r>
      <w:r>
        <w:rPr>
          <w:rFonts w:ascii="Calibri" w:eastAsia="Arial" w:hAnsi="Calibri" w:cs="Calibri"/>
        </w:rPr>
        <w:t>C for at least 2 h (recommended overnight).</w:t>
      </w:r>
    </w:p>
    <w:p w14:paraId="73C3FA7F" w14:textId="77777777" w:rsidR="006B6616" w:rsidRDefault="006B6616">
      <w:pPr>
        <w:pStyle w:val="EndNoteBibliography"/>
        <w:tabs>
          <w:tab w:val="left" w:pos="1077"/>
        </w:tabs>
        <w:rPr>
          <w:rFonts w:ascii="Calibri" w:eastAsia="Arial" w:hAnsi="Calibri" w:cs="Calibri"/>
        </w:rPr>
      </w:pPr>
    </w:p>
    <w:p w14:paraId="406DC8A8"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 xml:space="preserve">Warm the tubes to room temperature and mix by </w:t>
      </w:r>
      <w:proofErr w:type="spellStart"/>
      <w:r>
        <w:rPr>
          <w:rFonts w:ascii="Calibri" w:eastAsia="Arial" w:hAnsi="Calibri" w:cs="Calibri"/>
        </w:rPr>
        <w:t>vortexing</w:t>
      </w:r>
      <w:proofErr w:type="spellEnd"/>
      <w:r>
        <w:rPr>
          <w:rFonts w:ascii="Calibri" w:eastAsia="Arial" w:hAnsi="Calibri" w:cs="Calibri"/>
        </w:rPr>
        <w:t>.</w:t>
      </w:r>
    </w:p>
    <w:p w14:paraId="4EB7ABDF" w14:textId="77777777" w:rsidR="006B6616" w:rsidRDefault="006B6616">
      <w:pPr>
        <w:pStyle w:val="EndNoteBibliography"/>
        <w:tabs>
          <w:tab w:val="left" w:pos="1077"/>
        </w:tabs>
        <w:rPr>
          <w:rFonts w:ascii="Calibri" w:eastAsia="Arial" w:hAnsi="Calibri" w:cs="Calibri"/>
        </w:rPr>
      </w:pPr>
    </w:p>
    <w:p w14:paraId="774977DB" w14:textId="77777777" w:rsidR="006B6616" w:rsidRDefault="00E473AD">
      <w:pPr>
        <w:pStyle w:val="EndNoteBibliography"/>
        <w:tabs>
          <w:tab w:val="left" w:pos="1077"/>
        </w:tabs>
        <w:rPr>
          <w:rFonts w:ascii="Calibri" w:hAnsi="Calibri" w:cs="Calibri"/>
        </w:rPr>
      </w:pPr>
      <w:r>
        <w:rPr>
          <w:rFonts w:ascii="Calibri" w:eastAsia="Arial" w:hAnsi="Calibri" w:cs="Calibri"/>
        </w:rPr>
        <w:t xml:space="preserve">NOTE: </w:t>
      </w:r>
      <w:r>
        <w:rPr>
          <w:rFonts w:ascii="Calibri" w:eastAsia="Arial" w:hAnsi="Calibri" w:cs="Calibri"/>
          <w:color w:val="000000"/>
        </w:rPr>
        <w:t>Pre-warming</w:t>
      </w:r>
      <w:r>
        <w:rPr>
          <w:rFonts w:ascii="Calibri" w:eastAsia="Arial" w:hAnsi="Calibri" w:cs="Calibri"/>
        </w:rPr>
        <w:t xml:space="preserve"> of the tubes and subsequent centrifugation at room temperature (without forced chilling) help to reduce salt and phenol co-precipitation and carryover. These </w:t>
      </w:r>
      <w:r>
        <w:rPr>
          <w:rFonts w:ascii="Calibri" w:eastAsia="Arial" w:hAnsi="Calibri" w:cs="Calibri"/>
          <w:color w:val="000000"/>
        </w:rPr>
        <w:t>conditions</w:t>
      </w:r>
      <w:r>
        <w:rPr>
          <w:rFonts w:ascii="Calibri" w:eastAsia="Arial" w:hAnsi="Calibri" w:cs="Calibri"/>
        </w:rPr>
        <w:t xml:space="preserve"> </w:t>
      </w:r>
      <w:r>
        <w:rPr>
          <w:rFonts w:ascii="Calibri" w:eastAsia="Arial" w:hAnsi="Calibri" w:cs="Calibri"/>
          <w:color w:val="000000"/>
        </w:rPr>
        <w:t>should</w:t>
      </w:r>
      <w:r>
        <w:rPr>
          <w:rFonts w:ascii="Calibri" w:eastAsia="Arial" w:hAnsi="Calibri" w:cs="Calibri"/>
        </w:rPr>
        <w:t xml:space="preserve"> not result in material loss or inefficiency of RNA collection if performed as described and using sufficiently pure ethanol.</w:t>
      </w:r>
    </w:p>
    <w:p w14:paraId="5887F156" w14:textId="77777777" w:rsidR="006B6616" w:rsidRDefault="006B6616">
      <w:pPr>
        <w:pStyle w:val="EndNoteBibliography"/>
        <w:tabs>
          <w:tab w:val="left" w:pos="1077"/>
        </w:tabs>
        <w:rPr>
          <w:rFonts w:ascii="Calibri" w:eastAsia="Arial" w:hAnsi="Calibri" w:cs="Calibri"/>
        </w:rPr>
      </w:pPr>
    </w:p>
    <w:p w14:paraId="724255EB"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 xml:space="preserve">Pellet the RNA precipitate by centrifuging the tubes at 12,000 x </w:t>
      </w:r>
      <w:r>
        <w:rPr>
          <w:rFonts w:ascii="Calibri" w:eastAsia="Arial" w:hAnsi="Calibri" w:cs="Calibri"/>
          <w:i/>
          <w:iCs/>
        </w:rPr>
        <w:t>g</w:t>
      </w:r>
      <w:r>
        <w:rPr>
          <w:rFonts w:ascii="Calibri" w:eastAsia="Arial" w:hAnsi="Calibri" w:cs="Calibri"/>
        </w:rPr>
        <w:t xml:space="preserve"> for 30 min at room temperature.</w:t>
      </w:r>
    </w:p>
    <w:p w14:paraId="75E704DD" w14:textId="77777777" w:rsidR="006B6616" w:rsidRDefault="006B6616">
      <w:pPr>
        <w:pStyle w:val="EndNoteBibliography"/>
        <w:tabs>
          <w:tab w:val="left" w:pos="1077"/>
        </w:tabs>
        <w:rPr>
          <w:rFonts w:ascii="Calibri" w:eastAsia="Arial" w:hAnsi="Calibri" w:cs="Calibri"/>
        </w:rPr>
      </w:pPr>
    </w:p>
    <w:p w14:paraId="3AB29316"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 xml:space="preserve">Discard the supernatant and wash the pellet twice with 80% v/v ethanol, collecting it each time by centrifugation at 12,000 x </w:t>
      </w:r>
      <w:r>
        <w:rPr>
          <w:rFonts w:ascii="Calibri" w:eastAsia="Arial" w:hAnsi="Calibri" w:cs="Calibri"/>
          <w:i/>
          <w:iCs/>
        </w:rPr>
        <w:t>g</w:t>
      </w:r>
      <w:r>
        <w:rPr>
          <w:rFonts w:ascii="Calibri" w:eastAsia="Arial" w:hAnsi="Calibri" w:cs="Calibri"/>
        </w:rPr>
        <w:t xml:space="preserve"> for 10 min at room temperature.</w:t>
      </w:r>
    </w:p>
    <w:p w14:paraId="6FC1961F" w14:textId="77777777" w:rsidR="006B6616" w:rsidRDefault="006B6616">
      <w:pPr>
        <w:pStyle w:val="EndNoteBibliography"/>
        <w:tabs>
          <w:tab w:val="left" w:pos="1077"/>
        </w:tabs>
        <w:rPr>
          <w:rFonts w:ascii="Calibri" w:eastAsia="Arial" w:hAnsi="Calibri" w:cs="Calibri"/>
        </w:rPr>
      </w:pPr>
    </w:p>
    <w:p w14:paraId="70A90903"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rPr>
        <w:t xml:space="preserve">Dry the RNA pellets by opening the tube lids and placing the opened tubes in a dry-block heater set to 45 </w:t>
      </w:r>
      <w:r>
        <w:rPr>
          <w:rFonts w:ascii="Calibri" w:eastAsia="Symbol" w:hAnsi="Calibri" w:cs="Calibri"/>
        </w:rPr>
        <w:t>°</w:t>
      </w:r>
      <w:r>
        <w:rPr>
          <w:rFonts w:ascii="Calibri" w:eastAsia="Arial" w:hAnsi="Calibri" w:cs="Calibri"/>
        </w:rPr>
        <w:t xml:space="preserve">C for 10 min. Dissolve the resultant dried pellet in 20 </w:t>
      </w:r>
      <w:r>
        <w:rPr>
          <w:rFonts w:ascii="Calibri" w:eastAsia="Symbol" w:hAnsi="Calibri" w:cs="Calibri"/>
        </w:rPr>
        <w:t>µL</w:t>
      </w:r>
      <w:r>
        <w:rPr>
          <w:rFonts w:ascii="Calibri" w:eastAsia="Arial" w:hAnsi="Calibri" w:cs="Calibri"/>
        </w:rPr>
        <w:t xml:space="preserve"> of 1x HE </w:t>
      </w:r>
      <w:proofErr w:type="gramStart"/>
      <w:r>
        <w:rPr>
          <w:rFonts w:ascii="Calibri" w:eastAsia="Arial" w:hAnsi="Calibri" w:cs="Calibri"/>
        </w:rPr>
        <w:t>buffer</w:t>
      </w:r>
      <w:proofErr w:type="gramEnd"/>
      <w:r>
        <w:rPr>
          <w:rFonts w:ascii="Calibri" w:eastAsia="Arial" w:hAnsi="Calibri" w:cs="Calibri"/>
          <w:spacing w:val="3"/>
          <w:lang w:eastAsia="en-GB"/>
        </w:rPr>
        <w:t>.</w:t>
      </w:r>
    </w:p>
    <w:p w14:paraId="1FCBABB5" w14:textId="77777777" w:rsidR="006B6616" w:rsidRDefault="006B6616">
      <w:pPr>
        <w:pStyle w:val="EndNoteBibliography"/>
        <w:tabs>
          <w:tab w:val="left" w:pos="1077"/>
        </w:tabs>
        <w:rPr>
          <w:rFonts w:ascii="Calibri" w:eastAsia="Arial" w:hAnsi="Calibri" w:cs="Calibri"/>
          <w:spacing w:val="3"/>
          <w:lang w:eastAsia="en-GB"/>
        </w:rPr>
      </w:pPr>
    </w:p>
    <w:p w14:paraId="6386FCB8"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eastAsia="Arial" w:hAnsi="Calibri" w:cs="Calibri"/>
          <w:spacing w:val="3"/>
          <w:lang w:eastAsia="en-GB"/>
        </w:rPr>
        <w:t>E</w:t>
      </w:r>
      <w:r>
        <w:rPr>
          <w:rFonts w:ascii="Calibri" w:eastAsia="Arial" w:hAnsi="Calibri" w:cs="Calibri"/>
        </w:rPr>
        <w:t>stimate the resultant RNA concentration using UV absorbance spectrum measurement.</w:t>
      </w:r>
    </w:p>
    <w:p w14:paraId="4C9A0100" w14:textId="77777777" w:rsidR="006B6616" w:rsidRDefault="006B6616">
      <w:pPr>
        <w:pStyle w:val="EndNoteBibliography"/>
        <w:tabs>
          <w:tab w:val="left" w:pos="1077"/>
        </w:tabs>
        <w:rPr>
          <w:rFonts w:ascii="Calibri" w:eastAsia="Arial" w:hAnsi="Calibri" w:cs="Calibri"/>
        </w:rPr>
      </w:pPr>
    </w:p>
    <w:p w14:paraId="4B2534E4" w14:textId="77777777" w:rsidR="006B6616" w:rsidRDefault="00E473AD">
      <w:pPr>
        <w:pStyle w:val="EndNoteBibliography"/>
        <w:tabs>
          <w:tab w:val="left" w:pos="1077"/>
          <w:tab w:val="left" w:pos="1459"/>
        </w:tabs>
        <w:rPr>
          <w:rFonts w:ascii="Calibri" w:hAnsi="Calibri" w:cs="Calibri"/>
        </w:rPr>
      </w:pPr>
      <w:r>
        <w:rPr>
          <w:rFonts w:ascii="Calibri" w:eastAsia="Arial" w:hAnsi="Calibri" w:cs="Calibri"/>
        </w:rPr>
        <w:t xml:space="preserve">NOTE: RNA fragment length and total amount can be further assessed using </w:t>
      </w:r>
      <w:r>
        <w:rPr>
          <w:rFonts w:ascii="Calibri" w:eastAsia="Arial" w:hAnsi="Calibri" w:cs="Calibri"/>
          <w:color w:val="000000"/>
        </w:rPr>
        <w:t>denaturing gel-electrophoresis, such as in an automated fluorescence-based capillary gel electrophoresis apparatus</w:t>
      </w:r>
      <w:r>
        <w:rPr>
          <w:rFonts w:ascii="Calibri" w:eastAsia="Arial" w:hAnsi="Calibri" w:cs="Calibri"/>
        </w:rPr>
        <w:t>.</w:t>
      </w:r>
    </w:p>
    <w:p w14:paraId="6D6AEB23" w14:textId="77777777" w:rsidR="006B6616" w:rsidRDefault="006B6616">
      <w:pPr>
        <w:pStyle w:val="EndNoteBibliography"/>
        <w:tabs>
          <w:tab w:val="left" w:pos="1077"/>
          <w:tab w:val="left" w:pos="1459"/>
        </w:tabs>
        <w:rPr>
          <w:rFonts w:ascii="Calibri" w:eastAsia="Arial" w:hAnsi="Calibri" w:cs="Calibri"/>
        </w:rPr>
      </w:pPr>
    </w:p>
    <w:p w14:paraId="39CB9587" w14:textId="77777777" w:rsidR="006B6616" w:rsidRDefault="00E473AD">
      <w:pPr>
        <w:pStyle w:val="ListParagraph"/>
        <w:numPr>
          <w:ilvl w:val="1"/>
          <w:numId w:val="4"/>
        </w:numPr>
        <w:tabs>
          <w:tab w:val="left" w:pos="1077"/>
        </w:tabs>
        <w:suppressAutoHyphens w:val="0"/>
        <w:spacing w:after="0" w:line="240" w:lineRule="auto"/>
        <w:ind w:left="0" w:firstLine="0"/>
        <w:jc w:val="both"/>
        <w:textAlignment w:val="auto"/>
        <w:rPr>
          <w:rFonts w:cs="Calibri"/>
        </w:rPr>
      </w:pPr>
      <w:r>
        <w:rPr>
          <w:rFonts w:cs="Calibri"/>
          <w:b/>
          <w:color w:val="000000"/>
          <w:sz w:val="24"/>
          <w:szCs w:val="24"/>
          <w:lang w:val="en-US"/>
        </w:rPr>
        <w:t>Selective co-</w:t>
      </w:r>
      <w:proofErr w:type="spellStart"/>
      <w:r>
        <w:rPr>
          <w:rFonts w:cs="Calibri"/>
          <w:b/>
          <w:color w:val="000000"/>
          <w:sz w:val="24"/>
          <w:szCs w:val="24"/>
          <w:lang w:val="en-US"/>
        </w:rPr>
        <w:t>immunopurification</w:t>
      </w:r>
      <w:proofErr w:type="spellEnd"/>
      <w:r>
        <w:rPr>
          <w:rFonts w:cs="Calibri"/>
          <w:b/>
          <w:color w:val="000000"/>
          <w:sz w:val="24"/>
          <w:szCs w:val="24"/>
          <w:lang w:val="en-US"/>
        </w:rPr>
        <w:t xml:space="preserve"> of the SSUs by the tagged </w:t>
      </w:r>
      <w:proofErr w:type="spellStart"/>
      <w:r>
        <w:rPr>
          <w:rFonts w:cs="Calibri"/>
          <w:b/>
          <w:color w:val="000000"/>
          <w:sz w:val="24"/>
          <w:szCs w:val="24"/>
          <w:lang w:val="en-US"/>
        </w:rPr>
        <w:t>eIFs</w:t>
      </w:r>
      <w:proofErr w:type="spellEnd"/>
      <w:r>
        <w:rPr>
          <w:rFonts w:cs="Calibri"/>
          <w:b/>
          <w:bCs/>
          <w:color w:val="000000"/>
          <w:sz w:val="24"/>
          <w:szCs w:val="24"/>
          <w:lang w:val="en-US"/>
        </w:rPr>
        <w:t xml:space="preserve"> and western blot analysis of the selective SSU enrichment</w:t>
      </w:r>
    </w:p>
    <w:p w14:paraId="5234209A" w14:textId="77777777" w:rsidR="006B6616" w:rsidRDefault="006B6616">
      <w:pPr>
        <w:pStyle w:val="ListParagraph"/>
        <w:tabs>
          <w:tab w:val="left" w:pos="1077"/>
        </w:tabs>
        <w:suppressAutoHyphens w:val="0"/>
        <w:spacing w:after="0" w:line="240" w:lineRule="auto"/>
        <w:ind w:left="0"/>
        <w:jc w:val="both"/>
        <w:textAlignment w:val="auto"/>
        <w:rPr>
          <w:rFonts w:cs="Calibri"/>
          <w:b/>
          <w:bCs/>
          <w:color w:val="000000"/>
          <w:sz w:val="24"/>
          <w:szCs w:val="24"/>
          <w:lang w:val="en-US"/>
        </w:rPr>
      </w:pPr>
    </w:p>
    <w:p w14:paraId="34D39581" w14:textId="77777777" w:rsidR="006B6616" w:rsidRDefault="00E473AD">
      <w:pPr>
        <w:pStyle w:val="EndNoteBibliography"/>
        <w:tabs>
          <w:tab w:val="left" w:pos="1077"/>
        </w:tabs>
        <w:rPr>
          <w:rFonts w:ascii="Calibri" w:hAnsi="Calibri" w:cs="Calibri"/>
        </w:rPr>
      </w:pPr>
      <w:r>
        <w:rPr>
          <w:rFonts w:ascii="Calibri" w:hAnsi="Calibri" w:cs="Calibri"/>
        </w:rPr>
        <w:t xml:space="preserve">NOTE: Use ~15 AU of the digested and </w:t>
      </w:r>
      <w:proofErr w:type="gramStart"/>
      <w:r>
        <w:rPr>
          <w:rFonts w:ascii="Calibri" w:hAnsi="Calibri" w:cs="Calibri"/>
        </w:rPr>
        <w:t>sedimentation-segregated</w:t>
      </w:r>
      <w:proofErr w:type="gramEnd"/>
      <w:r>
        <w:rPr>
          <w:rFonts w:ascii="Calibri" w:hAnsi="Calibri" w:cs="Calibri"/>
        </w:rPr>
        <w:t xml:space="preserve"> SSU fraction from step </w:t>
      </w:r>
      <w:r>
        <w:rPr>
          <w:rFonts w:ascii="Calibri" w:hAnsi="Calibri" w:cs="Calibri"/>
          <w:color w:val="000000"/>
        </w:rPr>
        <w:t>1.4.11</w:t>
      </w:r>
      <w:r>
        <w:rPr>
          <w:rFonts w:ascii="Calibri" w:hAnsi="Calibri" w:cs="Calibri"/>
        </w:rPr>
        <w:t xml:space="preserve"> to perform affinity purification using magnetic IgG beads. </w:t>
      </w:r>
      <w:r>
        <w:rPr>
          <w:rFonts w:ascii="Calibri" w:eastAsia="Calibri" w:hAnsi="Calibri" w:cs="Calibri"/>
        </w:rPr>
        <w:t>Save ~</w:t>
      </w:r>
      <w:r>
        <w:rPr>
          <w:rFonts w:ascii="Calibri" w:hAnsi="Calibri" w:cs="Calibri"/>
        </w:rPr>
        <w:t xml:space="preserve">5% of the SSU fraction as input control (Input fraction, I). </w:t>
      </w:r>
      <w:r>
        <w:rPr>
          <w:rFonts w:ascii="Calibri" w:hAnsi="Calibri" w:cs="Calibri"/>
          <w:color w:val="000000"/>
        </w:rPr>
        <w:t>eIF4A-tagged (TIF1-TAP; Tandem Affinity Purification tag) yeast strain was used which also makes it possible to detect eIF4A by probing for the TAP-tag using anti-TAP antibody.</w:t>
      </w:r>
    </w:p>
    <w:p w14:paraId="341B3C5F" w14:textId="77777777" w:rsidR="006B6616" w:rsidRDefault="006B6616">
      <w:pPr>
        <w:pStyle w:val="EndNoteBibliography"/>
        <w:rPr>
          <w:rFonts w:ascii="Calibri" w:hAnsi="Calibri" w:cs="Calibri"/>
          <w:color w:val="000000"/>
        </w:rPr>
      </w:pPr>
    </w:p>
    <w:p w14:paraId="13E7DF6E"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 xml:space="preserve">Transfer 100 </w:t>
      </w:r>
      <w:r>
        <w:rPr>
          <w:rFonts w:ascii="Calibri" w:eastAsia="Symbol" w:hAnsi="Calibri" w:cs="Calibri"/>
        </w:rPr>
        <w:t>µL</w:t>
      </w:r>
      <w:r>
        <w:rPr>
          <w:rFonts w:ascii="Calibri" w:hAnsi="Calibri" w:cs="Calibri"/>
        </w:rPr>
        <w:t xml:space="preserve"> of magnetic IgG beads suspension (1 mg of the beads were used for each 15 AU of the lysate or fraction) into a new low protein binding 1.5 mL tube; collect the beads using magnetic rack and aspirate them.</w:t>
      </w:r>
    </w:p>
    <w:p w14:paraId="41734D69" w14:textId="77777777" w:rsidR="006B6616" w:rsidRDefault="006B6616">
      <w:pPr>
        <w:pStyle w:val="EndNoteBibliography"/>
        <w:tabs>
          <w:tab w:val="left" w:pos="1077"/>
        </w:tabs>
        <w:rPr>
          <w:rFonts w:ascii="Calibri" w:hAnsi="Calibri" w:cs="Calibri"/>
        </w:rPr>
      </w:pPr>
    </w:p>
    <w:p w14:paraId="7F6D95CC"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Wash the magnetic beads twice with 1 mL of buffer 1 by using sequential resuspension by pipetting and collection using the magnetic rack.</w:t>
      </w:r>
    </w:p>
    <w:p w14:paraId="2A18BF74" w14:textId="77777777" w:rsidR="006B6616" w:rsidRDefault="006B6616">
      <w:pPr>
        <w:pStyle w:val="EndNoteBibliography"/>
        <w:tabs>
          <w:tab w:val="left" w:pos="1077"/>
        </w:tabs>
        <w:rPr>
          <w:rFonts w:ascii="Calibri" w:hAnsi="Calibri" w:cs="Calibri"/>
        </w:rPr>
      </w:pPr>
    </w:p>
    <w:p w14:paraId="127580DD"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After washing, collect and decant the beads keeping them on the magnetic rack.</w:t>
      </w:r>
    </w:p>
    <w:p w14:paraId="40DD48D8" w14:textId="77777777" w:rsidR="006B6616" w:rsidRDefault="006B6616">
      <w:pPr>
        <w:pStyle w:val="EndNoteBibliography"/>
        <w:tabs>
          <w:tab w:val="left" w:pos="1077"/>
        </w:tabs>
        <w:rPr>
          <w:rFonts w:ascii="Calibri" w:hAnsi="Calibri" w:cs="Calibri"/>
        </w:rPr>
      </w:pPr>
    </w:p>
    <w:p w14:paraId="044066E8"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 xml:space="preserve">Add the SSU fraction to the washed beads and incubate the mixture for 4 h with rotation at 4 </w:t>
      </w:r>
      <w:r>
        <w:rPr>
          <w:rFonts w:ascii="Calibri" w:eastAsia="Symbol" w:hAnsi="Calibri" w:cs="Calibri"/>
          <w:color w:val="000000"/>
        </w:rPr>
        <w:t>°</w:t>
      </w:r>
      <w:r>
        <w:rPr>
          <w:rFonts w:ascii="Calibri" w:hAnsi="Calibri" w:cs="Calibri"/>
        </w:rPr>
        <w:t>C in a cyclomixer set at ~20 rpm.</w:t>
      </w:r>
    </w:p>
    <w:p w14:paraId="35B87CFE" w14:textId="77777777" w:rsidR="006B6616" w:rsidRDefault="006B6616">
      <w:pPr>
        <w:pStyle w:val="EndNoteBibliography"/>
        <w:tabs>
          <w:tab w:val="left" w:pos="1077"/>
        </w:tabs>
        <w:rPr>
          <w:rFonts w:ascii="Calibri" w:hAnsi="Calibri" w:cs="Calibri"/>
        </w:rPr>
      </w:pPr>
    </w:p>
    <w:p w14:paraId="019FE449"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 xml:space="preserve">Collect the beads using the magnetic rack at 4 </w:t>
      </w:r>
      <w:r>
        <w:rPr>
          <w:rFonts w:ascii="Calibri" w:eastAsia="Symbol" w:hAnsi="Calibri" w:cs="Calibri"/>
          <w:color w:val="000000"/>
        </w:rPr>
        <w:t>°</w:t>
      </w:r>
      <w:r>
        <w:rPr>
          <w:rFonts w:ascii="Calibri" w:hAnsi="Calibri" w:cs="Calibri"/>
        </w:rPr>
        <w:t>C and save the supernatant (Flow-through fraction, FT).</w:t>
      </w:r>
    </w:p>
    <w:p w14:paraId="6E0566FC" w14:textId="77777777" w:rsidR="006B6616" w:rsidRDefault="006B6616">
      <w:pPr>
        <w:pStyle w:val="EndNoteBibliography"/>
        <w:tabs>
          <w:tab w:val="left" w:pos="1077"/>
        </w:tabs>
        <w:rPr>
          <w:rFonts w:ascii="Calibri" w:hAnsi="Calibri" w:cs="Calibri"/>
        </w:rPr>
      </w:pPr>
    </w:p>
    <w:p w14:paraId="604CC0AA"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 xml:space="preserve">Wash the beads twice at 4 </w:t>
      </w:r>
      <w:r>
        <w:rPr>
          <w:rFonts w:ascii="Calibri" w:eastAsia="Symbol" w:hAnsi="Calibri" w:cs="Calibri"/>
          <w:color w:val="000000"/>
        </w:rPr>
        <w:t>°</w:t>
      </w:r>
      <w:r>
        <w:rPr>
          <w:rFonts w:ascii="Calibri" w:hAnsi="Calibri" w:cs="Calibri"/>
        </w:rPr>
        <w:t>C with</w:t>
      </w:r>
      <w:r>
        <w:rPr>
          <w:rFonts w:ascii="Calibri" w:hAnsi="Calibri" w:cs="Calibri"/>
          <w:b/>
          <w:bCs/>
        </w:rPr>
        <w:t xml:space="preserve"> </w:t>
      </w:r>
      <w:r>
        <w:rPr>
          <w:rFonts w:ascii="Calibri" w:hAnsi="Calibri" w:cs="Calibri"/>
        </w:rPr>
        <w:t>buffer 1 supplemented with 4 mM DTT, each time rotating for 10 min in the cyclomixer and collecting and decanting the beads on the magnetic rack. Save the washes (W1 and W2 fractions).</w:t>
      </w:r>
    </w:p>
    <w:p w14:paraId="7B882D85" w14:textId="77777777" w:rsidR="006B6616" w:rsidRDefault="006B6616">
      <w:pPr>
        <w:pStyle w:val="EndNoteBibliography"/>
        <w:tabs>
          <w:tab w:val="left" w:pos="1077"/>
        </w:tabs>
        <w:rPr>
          <w:rFonts w:ascii="Calibri" w:hAnsi="Calibri" w:cs="Calibri"/>
        </w:rPr>
      </w:pPr>
    </w:p>
    <w:p w14:paraId="32473982" w14:textId="77777777" w:rsidR="006B6616" w:rsidRDefault="00E473AD">
      <w:pPr>
        <w:pStyle w:val="ListParagraph"/>
        <w:numPr>
          <w:ilvl w:val="2"/>
          <w:numId w:val="4"/>
        </w:numPr>
        <w:tabs>
          <w:tab w:val="left" w:pos="1077"/>
        </w:tabs>
        <w:spacing w:after="0" w:line="240" w:lineRule="auto"/>
        <w:ind w:left="0" w:firstLine="0"/>
        <w:rPr>
          <w:rFonts w:cs="Calibri"/>
        </w:rPr>
      </w:pPr>
      <w:r>
        <w:rPr>
          <w:rFonts w:cs="Calibri"/>
          <w:sz w:val="24"/>
          <w:szCs w:val="24"/>
          <w:lang w:val="en-US"/>
        </w:rPr>
        <w:t xml:space="preserve">For an analytical application such as western blotting, elute the bound material under denaturing and reducing conditions by adding LDS </w:t>
      </w:r>
      <w:r>
        <w:rPr>
          <w:rFonts w:cs="Calibri"/>
          <w:color w:val="000000"/>
          <w:sz w:val="24"/>
          <w:szCs w:val="24"/>
          <w:lang w:val="en-US"/>
        </w:rPr>
        <w:t xml:space="preserve">(lithium dodecyl sulfate) polyacrylamide gel electrophoresis (PAGE) </w:t>
      </w:r>
      <w:r>
        <w:rPr>
          <w:rFonts w:cs="Calibri"/>
          <w:sz w:val="24"/>
          <w:szCs w:val="24"/>
          <w:lang w:val="en-US"/>
        </w:rPr>
        <w:t xml:space="preserve">sample buffer with pH 8.5 to 1x and DTT to 2 </w:t>
      </w:r>
      <w:proofErr w:type="spellStart"/>
      <w:r>
        <w:rPr>
          <w:rFonts w:cs="Calibri"/>
          <w:sz w:val="24"/>
          <w:szCs w:val="24"/>
          <w:lang w:val="en-US"/>
        </w:rPr>
        <w:t>mM.</w:t>
      </w:r>
      <w:proofErr w:type="spellEnd"/>
    </w:p>
    <w:p w14:paraId="7176032B" w14:textId="77777777" w:rsidR="006B6616" w:rsidRDefault="006B6616">
      <w:pPr>
        <w:pStyle w:val="ListParagraph"/>
        <w:tabs>
          <w:tab w:val="left" w:pos="1077"/>
        </w:tabs>
        <w:spacing w:after="0" w:line="240" w:lineRule="auto"/>
        <w:ind w:left="0"/>
        <w:rPr>
          <w:rFonts w:cs="Calibri"/>
          <w:sz w:val="24"/>
          <w:szCs w:val="24"/>
          <w:lang w:val="en-US"/>
        </w:rPr>
      </w:pPr>
    </w:p>
    <w:p w14:paraId="57648BBF" w14:textId="77777777" w:rsidR="006B6616" w:rsidRDefault="00E473AD">
      <w:pPr>
        <w:pStyle w:val="ListParagraph"/>
        <w:numPr>
          <w:ilvl w:val="2"/>
          <w:numId w:val="4"/>
        </w:numPr>
        <w:tabs>
          <w:tab w:val="left" w:pos="1077"/>
        </w:tabs>
        <w:spacing w:after="0" w:line="240" w:lineRule="auto"/>
        <w:ind w:left="0" w:firstLine="0"/>
        <w:rPr>
          <w:rFonts w:cs="Calibri"/>
        </w:rPr>
      </w:pPr>
      <w:r>
        <w:rPr>
          <w:rFonts w:cs="Calibri"/>
          <w:sz w:val="24"/>
          <w:szCs w:val="24"/>
          <w:lang w:val="en-US"/>
        </w:rPr>
        <w:t xml:space="preserve">Heat the mixture at 95 </w:t>
      </w:r>
      <w:r>
        <w:rPr>
          <w:rFonts w:eastAsia="Symbol" w:cs="Calibri"/>
          <w:color w:val="000000"/>
          <w:sz w:val="24"/>
          <w:szCs w:val="24"/>
          <w:lang w:val="en-US"/>
        </w:rPr>
        <w:t>°</w:t>
      </w:r>
      <w:r>
        <w:rPr>
          <w:rFonts w:cs="Calibri"/>
          <w:sz w:val="24"/>
          <w:szCs w:val="24"/>
          <w:lang w:val="en-US"/>
        </w:rPr>
        <w:t>C for 5 min in a thermal block to finalize the elution.</w:t>
      </w:r>
    </w:p>
    <w:p w14:paraId="4751F36E" w14:textId="77777777" w:rsidR="006B6616" w:rsidRDefault="006B6616">
      <w:pPr>
        <w:pStyle w:val="ListParagraph"/>
        <w:tabs>
          <w:tab w:val="left" w:pos="1077"/>
        </w:tabs>
        <w:spacing w:after="0" w:line="240" w:lineRule="auto"/>
        <w:ind w:left="0"/>
        <w:rPr>
          <w:rFonts w:cs="Calibri"/>
          <w:sz w:val="24"/>
          <w:szCs w:val="24"/>
          <w:lang w:val="en-US"/>
        </w:rPr>
      </w:pPr>
    </w:p>
    <w:p w14:paraId="2DF4A305" w14:textId="77777777" w:rsidR="006B6616" w:rsidRDefault="00E473AD">
      <w:pPr>
        <w:pStyle w:val="ListParagraph"/>
        <w:numPr>
          <w:ilvl w:val="2"/>
          <w:numId w:val="4"/>
        </w:numPr>
        <w:tabs>
          <w:tab w:val="left" w:pos="1077"/>
        </w:tabs>
        <w:spacing w:after="0" w:line="240" w:lineRule="auto"/>
        <w:ind w:left="0" w:firstLine="0"/>
        <w:rPr>
          <w:rFonts w:cs="Calibri"/>
        </w:rPr>
      </w:pPr>
      <w:r>
        <w:rPr>
          <w:rFonts w:eastAsia="Times New Roman" w:cs="Calibri"/>
          <w:sz w:val="24"/>
          <w:szCs w:val="24"/>
          <w:lang w:val="en-US"/>
        </w:rPr>
        <w:t>Collect the beads using the magnetic rack and recover the denatured eluate (E fraction) in a fresh low protein binding 1.5 mL microcentrifuge tube.</w:t>
      </w:r>
    </w:p>
    <w:p w14:paraId="1D1ECB6A" w14:textId="77777777" w:rsidR="006B6616" w:rsidRDefault="006B6616">
      <w:pPr>
        <w:pStyle w:val="ListParagraph"/>
        <w:tabs>
          <w:tab w:val="left" w:pos="1077"/>
        </w:tabs>
        <w:spacing w:after="0" w:line="240" w:lineRule="auto"/>
        <w:ind w:left="0"/>
        <w:rPr>
          <w:rFonts w:eastAsia="Times New Roman" w:cs="Calibri"/>
          <w:sz w:val="24"/>
          <w:szCs w:val="24"/>
          <w:lang w:val="en-US"/>
        </w:rPr>
      </w:pPr>
    </w:p>
    <w:p w14:paraId="416E57C2" w14:textId="77777777" w:rsidR="006B6616" w:rsidRDefault="00E473AD">
      <w:pPr>
        <w:pStyle w:val="ListParagraph"/>
        <w:numPr>
          <w:ilvl w:val="2"/>
          <w:numId w:val="4"/>
        </w:numPr>
        <w:tabs>
          <w:tab w:val="left" w:pos="1077"/>
        </w:tabs>
        <w:spacing w:after="0" w:line="240" w:lineRule="auto"/>
        <w:ind w:left="0" w:firstLine="0"/>
        <w:rPr>
          <w:rFonts w:cs="Calibri"/>
        </w:rPr>
      </w:pPr>
      <w:r>
        <w:rPr>
          <w:rFonts w:eastAsia="Times New Roman" w:cs="Calibri"/>
          <w:sz w:val="24"/>
          <w:szCs w:val="24"/>
          <w:lang w:val="en-US"/>
        </w:rPr>
        <w:t xml:space="preserve">Use the E fraction from the previous step to run a denaturing sodium dodecyl sulfate (SDS) PAGE immediately, or store it at -20 </w:t>
      </w:r>
      <w:r>
        <w:rPr>
          <w:rFonts w:eastAsia="Symbol" w:cs="Calibri"/>
          <w:color w:val="000000"/>
          <w:sz w:val="24"/>
          <w:szCs w:val="24"/>
          <w:lang w:val="en-US"/>
        </w:rPr>
        <w:t>°</w:t>
      </w:r>
      <w:r>
        <w:rPr>
          <w:rFonts w:eastAsia="Times New Roman" w:cs="Calibri"/>
          <w:sz w:val="24"/>
          <w:szCs w:val="24"/>
          <w:lang w:val="en-US"/>
        </w:rPr>
        <w:t>C.</w:t>
      </w:r>
    </w:p>
    <w:p w14:paraId="4129746F" w14:textId="77777777" w:rsidR="006B6616" w:rsidRDefault="006B6616">
      <w:pPr>
        <w:pStyle w:val="ListParagraph"/>
        <w:spacing w:after="0" w:line="240" w:lineRule="auto"/>
        <w:ind w:left="0"/>
        <w:jc w:val="both"/>
        <w:rPr>
          <w:rFonts w:cs="Calibri"/>
        </w:rPr>
      </w:pPr>
    </w:p>
    <w:p w14:paraId="6E64A0AF" w14:textId="72EF0F8B" w:rsidR="006B6616" w:rsidRDefault="00E473AD">
      <w:pPr>
        <w:pStyle w:val="ListParagraph"/>
        <w:spacing w:after="0" w:line="240" w:lineRule="auto"/>
        <w:ind w:left="0"/>
        <w:jc w:val="both"/>
        <w:rPr>
          <w:rFonts w:cs="Calibri"/>
        </w:rPr>
      </w:pPr>
      <w:r>
        <w:rPr>
          <w:rFonts w:cs="Calibri"/>
          <w:sz w:val="24"/>
          <w:szCs w:val="24"/>
          <w:lang w:val="en-US"/>
        </w:rPr>
        <w:t xml:space="preserve">NOTE: </w:t>
      </w:r>
      <w:r>
        <w:rPr>
          <w:rFonts w:cs="Calibri"/>
          <w:color w:val="000000"/>
          <w:sz w:val="24"/>
          <w:szCs w:val="24"/>
          <w:lang w:val="en-US"/>
        </w:rPr>
        <w:t xml:space="preserve">For a preparative collection of the TAP-tag-enriched translational complexes for any subsequent application, use an alternative elution approach employing Tobacco Etch Virus (TEV) protease. Refer to </w:t>
      </w:r>
      <w:r w:rsidR="00B81E9C">
        <w:rPr>
          <w:rFonts w:cs="Calibri"/>
          <w:color w:val="000000"/>
          <w:sz w:val="24"/>
          <w:szCs w:val="24"/>
          <w:lang w:val="en-US"/>
        </w:rPr>
        <w:t xml:space="preserve">the </w:t>
      </w:r>
      <w:r>
        <w:rPr>
          <w:rFonts w:cs="Calibri"/>
          <w:b/>
          <w:bCs/>
          <w:color w:val="000000"/>
          <w:sz w:val="24"/>
          <w:szCs w:val="24"/>
          <w:lang w:val="en-US"/>
        </w:rPr>
        <w:t>Supplementary Table 1</w:t>
      </w:r>
      <w:r>
        <w:rPr>
          <w:rFonts w:cs="Calibri"/>
          <w:color w:val="000000"/>
          <w:sz w:val="24"/>
          <w:szCs w:val="24"/>
          <w:lang w:val="en-US"/>
        </w:rPr>
        <w:t xml:space="preserve"> for further details.</w:t>
      </w:r>
    </w:p>
    <w:p w14:paraId="25755C07" w14:textId="77777777" w:rsidR="006B6616" w:rsidRDefault="006B6616">
      <w:pPr>
        <w:pStyle w:val="ListParagraph"/>
        <w:spacing w:after="0" w:line="240" w:lineRule="auto"/>
        <w:ind w:left="0"/>
        <w:jc w:val="both"/>
        <w:rPr>
          <w:rFonts w:cs="Calibri"/>
          <w:sz w:val="24"/>
          <w:szCs w:val="24"/>
          <w:lang w:val="en-US"/>
        </w:rPr>
      </w:pPr>
    </w:p>
    <w:p w14:paraId="22583529"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 xml:space="preserve">To concentrate the dilute FT, W1 and W2 fractions, precipitate their material by adding 3x volumes of ice-cold acetone. Incubate the sample-acetone mix at -20 </w:t>
      </w:r>
      <w:r>
        <w:rPr>
          <w:rFonts w:ascii="Calibri" w:eastAsia="Symbol" w:hAnsi="Calibri" w:cs="Calibri"/>
          <w:color w:val="000000"/>
        </w:rPr>
        <w:t>°</w:t>
      </w:r>
      <w:r>
        <w:rPr>
          <w:rFonts w:ascii="Calibri" w:hAnsi="Calibri" w:cs="Calibri"/>
        </w:rPr>
        <w:t>C for 3 h.</w:t>
      </w:r>
    </w:p>
    <w:p w14:paraId="2CFC3DB6" w14:textId="77777777" w:rsidR="006B6616" w:rsidRDefault="006B6616">
      <w:pPr>
        <w:pStyle w:val="EndNoteBibliography"/>
        <w:tabs>
          <w:tab w:val="left" w:pos="1077"/>
        </w:tabs>
        <w:rPr>
          <w:rFonts w:ascii="Calibri" w:hAnsi="Calibri" w:cs="Calibri"/>
        </w:rPr>
      </w:pPr>
    </w:p>
    <w:p w14:paraId="63D84475"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 xml:space="preserve">Pellet the precipitate by centrifuging the tubes at 13,000 x </w:t>
      </w:r>
      <w:r>
        <w:rPr>
          <w:rFonts w:ascii="Calibri" w:hAnsi="Calibri" w:cs="Calibri"/>
          <w:i/>
          <w:iCs/>
        </w:rPr>
        <w:t>g</w:t>
      </w:r>
      <w:r>
        <w:rPr>
          <w:rFonts w:ascii="Calibri" w:hAnsi="Calibri" w:cs="Calibri"/>
        </w:rPr>
        <w:t xml:space="preserve"> for 10 min at 4 </w:t>
      </w:r>
      <w:r>
        <w:rPr>
          <w:rFonts w:ascii="Calibri" w:eastAsia="Symbol" w:hAnsi="Calibri" w:cs="Calibri"/>
          <w:color w:val="000000"/>
        </w:rPr>
        <w:t>°</w:t>
      </w:r>
      <w:r>
        <w:rPr>
          <w:rFonts w:ascii="Calibri" w:hAnsi="Calibri" w:cs="Calibri"/>
        </w:rPr>
        <w:t>C.</w:t>
      </w:r>
    </w:p>
    <w:p w14:paraId="7AC7386F" w14:textId="77777777" w:rsidR="006B6616" w:rsidRDefault="006B6616">
      <w:pPr>
        <w:pStyle w:val="EndNoteBibliography"/>
        <w:tabs>
          <w:tab w:val="left" w:pos="1077"/>
        </w:tabs>
        <w:rPr>
          <w:rFonts w:ascii="Calibri" w:hAnsi="Calibri" w:cs="Calibri"/>
        </w:rPr>
      </w:pPr>
    </w:p>
    <w:p w14:paraId="47CCE4CC"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Discard the supernatant and air dry the pellet in the open tubes at room temperature for 30 min.</w:t>
      </w:r>
    </w:p>
    <w:p w14:paraId="1A72444C" w14:textId="77777777" w:rsidR="006B6616" w:rsidRDefault="006B6616">
      <w:pPr>
        <w:pStyle w:val="EndNoteBibliography"/>
        <w:tabs>
          <w:tab w:val="left" w:pos="1077"/>
        </w:tabs>
        <w:rPr>
          <w:rFonts w:ascii="Calibri" w:hAnsi="Calibri" w:cs="Calibri"/>
        </w:rPr>
      </w:pPr>
    </w:p>
    <w:p w14:paraId="2CB2D773"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 xml:space="preserve">Dissolve the pellet in 7 </w:t>
      </w:r>
      <w:r>
        <w:rPr>
          <w:rFonts w:ascii="Calibri" w:eastAsia="Symbol" w:hAnsi="Calibri" w:cs="Calibri"/>
        </w:rPr>
        <w:t>µL</w:t>
      </w:r>
      <w:r>
        <w:rPr>
          <w:rFonts w:ascii="Calibri" w:hAnsi="Calibri" w:cs="Calibri"/>
        </w:rPr>
        <w:t xml:space="preserve"> of 1x LDS loading buffer supplemented with 2 mM DTT. Heat the samples in a thermal block set to 95 </w:t>
      </w:r>
      <w:r>
        <w:rPr>
          <w:rFonts w:ascii="Calibri" w:eastAsia="Symbol" w:hAnsi="Calibri" w:cs="Calibri"/>
          <w:color w:val="000000"/>
        </w:rPr>
        <w:t>°</w:t>
      </w:r>
      <w:r>
        <w:rPr>
          <w:rFonts w:ascii="Calibri" w:hAnsi="Calibri" w:cs="Calibri"/>
        </w:rPr>
        <w:t>C for 5 min.</w:t>
      </w:r>
    </w:p>
    <w:p w14:paraId="64002753" w14:textId="77777777" w:rsidR="006B6616" w:rsidRDefault="006B6616">
      <w:pPr>
        <w:pStyle w:val="EndNoteBibliography"/>
        <w:tabs>
          <w:tab w:val="left" w:pos="1077"/>
        </w:tabs>
        <w:rPr>
          <w:rFonts w:ascii="Calibri" w:hAnsi="Calibri" w:cs="Calibri"/>
        </w:rPr>
      </w:pPr>
    </w:p>
    <w:p w14:paraId="74F17F1B"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Load all I, FT, W1, W2, and E samples onto a 4%–12% w/v of acrylamide gradient, Bis-</w:t>
      </w:r>
      <w:proofErr w:type="gramStart"/>
      <w:r>
        <w:rPr>
          <w:rFonts w:ascii="Calibri" w:hAnsi="Calibri" w:cs="Calibri"/>
        </w:rPr>
        <w:t>Tris</w:t>
      </w:r>
      <w:proofErr w:type="gramEnd"/>
      <w:r>
        <w:rPr>
          <w:rFonts w:ascii="Calibri" w:hAnsi="Calibri" w:cs="Calibri"/>
        </w:rPr>
        <w:t xml:space="preserve"> polyacrylamide denaturing gel. Run the gel using 1x MES SDS (2- [N-</w:t>
      </w:r>
      <w:proofErr w:type="spellStart"/>
      <w:proofErr w:type="gramStart"/>
      <w:r>
        <w:rPr>
          <w:rFonts w:ascii="Calibri" w:hAnsi="Calibri" w:cs="Calibri"/>
        </w:rPr>
        <w:t>mopholino</w:t>
      </w:r>
      <w:proofErr w:type="spellEnd"/>
      <w:r>
        <w:rPr>
          <w:rFonts w:ascii="Calibri" w:hAnsi="Calibri" w:cs="Calibri"/>
        </w:rPr>
        <w:t>]</w:t>
      </w:r>
      <w:proofErr w:type="spellStart"/>
      <w:r>
        <w:rPr>
          <w:rFonts w:ascii="Calibri" w:hAnsi="Calibri" w:cs="Calibri"/>
        </w:rPr>
        <w:t>ethanesulfonic</w:t>
      </w:r>
      <w:proofErr w:type="spellEnd"/>
      <w:proofErr w:type="gramEnd"/>
      <w:r>
        <w:rPr>
          <w:rFonts w:ascii="Calibri" w:hAnsi="Calibri" w:cs="Calibri"/>
        </w:rPr>
        <w:t xml:space="preserve"> acid, sodium dodecyl </w:t>
      </w:r>
      <w:r>
        <w:rPr>
          <w:rFonts w:ascii="Calibri" w:hAnsi="Calibri" w:cs="Calibri"/>
          <w:color w:val="000000"/>
        </w:rPr>
        <w:t>sulfate</w:t>
      </w:r>
      <w:r>
        <w:rPr>
          <w:rFonts w:ascii="Calibri" w:hAnsi="Calibri" w:cs="Calibri"/>
        </w:rPr>
        <w:t xml:space="preserve">) running buffer at 80 V, until the protein marker (10–250 </w:t>
      </w:r>
      <w:proofErr w:type="spellStart"/>
      <w:r>
        <w:rPr>
          <w:rFonts w:ascii="Calibri" w:hAnsi="Calibri" w:cs="Calibri"/>
        </w:rPr>
        <w:t>kDa</w:t>
      </w:r>
      <w:proofErr w:type="spellEnd"/>
      <w:r>
        <w:rPr>
          <w:rFonts w:ascii="Calibri" w:hAnsi="Calibri" w:cs="Calibri"/>
        </w:rPr>
        <w:t>) resolves well and the lead dye reaches the bottom of the gel.</w:t>
      </w:r>
    </w:p>
    <w:p w14:paraId="6FA6147C" w14:textId="77777777" w:rsidR="006B6616" w:rsidRDefault="006B6616">
      <w:pPr>
        <w:pStyle w:val="EndNoteBibliography"/>
        <w:tabs>
          <w:tab w:val="left" w:pos="1077"/>
        </w:tabs>
        <w:rPr>
          <w:rFonts w:ascii="Calibri" w:hAnsi="Calibri" w:cs="Calibri"/>
        </w:rPr>
      </w:pPr>
    </w:p>
    <w:p w14:paraId="516CC59E" w14:textId="77777777" w:rsidR="006B6616" w:rsidRDefault="00E473AD">
      <w:pPr>
        <w:pStyle w:val="ListParagraph"/>
        <w:spacing w:after="0" w:line="240" w:lineRule="auto"/>
        <w:ind w:left="0"/>
        <w:jc w:val="both"/>
        <w:rPr>
          <w:rFonts w:cs="Calibri"/>
        </w:rPr>
      </w:pPr>
      <w:r>
        <w:rPr>
          <w:rFonts w:eastAsia="Times New Roman" w:cs="Calibri"/>
          <w:sz w:val="24"/>
          <w:szCs w:val="24"/>
          <w:lang w:val="en-US"/>
        </w:rPr>
        <w:t xml:space="preserve">NOTE: </w:t>
      </w:r>
      <w:r>
        <w:rPr>
          <w:rFonts w:eastAsia="Times New Roman" w:cs="Calibri"/>
          <w:color w:val="000000"/>
          <w:sz w:val="24"/>
          <w:szCs w:val="24"/>
          <w:lang w:val="en-US"/>
        </w:rPr>
        <w:t xml:space="preserve">It is recommended to load serial dilutions of the WCL (whole cell lysate) (2–10 </w:t>
      </w:r>
      <w:r>
        <w:rPr>
          <w:rFonts w:eastAsia="Symbol" w:cs="Calibri"/>
          <w:color w:val="000000"/>
          <w:sz w:val="24"/>
          <w:szCs w:val="24"/>
          <w:lang w:val="en-US"/>
        </w:rPr>
        <w:t>µ</w:t>
      </w:r>
      <w:r>
        <w:rPr>
          <w:rFonts w:eastAsia="Times New Roman" w:cs="Calibri"/>
          <w:color w:val="000000"/>
          <w:sz w:val="24"/>
          <w:szCs w:val="24"/>
          <w:lang w:val="en-US"/>
        </w:rPr>
        <w:t>g) on the gel as a control. It may take several attempts to achieve comparable loading of the gel across the fraction material.</w:t>
      </w:r>
    </w:p>
    <w:p w14:paraId="54E61FE1" w14:textId="77777777" w:rsidR="006B6616" w:rsidRDefault="006B6616">
      <w:pPr>
        <w:pStyle w:val="ListParagraph"/>
        <w:spacing w:after="0" w:line="240" w:lineRule="auto"/>
        <w:ind w:left="0"/>
        <w:jc w:val="both"/>
        <w:rPr>
          <w:rFonts w:eastAsia="Times New Roman" w:cs="Calibri"/>
          <w:color w:val="000000"/>
          <w:sz w:val="24"/>
          <w:szCs w:val="24"/>
          <w:lang w:val="en-US"/>
        </w:rPr>
      </w:pPr>
    </w:p>
    <w:p w14:paraId="1B61E0A5"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Transfer the gel onto a polyvinylidene difluoride (PVDF) membrane by wet transfer method at 100 V for 1 h in the cold room as recommended by the western-blotting equipment manufacturer.</w:t>
      </w:r>
    </w:p>
    <w:p w14:paraId="14F3CE9E" w14:textId="77777777" w:rsidR="006B6616" w:rsidRDefault="006B6616">
      <w:pPr>
        <w:pStyle w:val="EndNoteBibliography"/>
        <w:tabs>
          <w:tab w:val="left" w:pos="1077"/>
        </w:tabs>
        <w:rPr>
          <w:rFonts w:ascii="Calibri" w:hAnsi="Calibri" w:cs="Calibri"/>
        </w:rPr>
      </w:pPr>
    </w:p>
    <w:p w14:paraId="684A5179"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Block the membrane using an appropriate blocking buffer (Phosphate Buffered Saline based) at room temperature for 1 h under constant shaking.</w:t>
      </w:r>
    </w:p>
    <w:p w14:paraId="06247324" w14:textId="77777777" w:rsidR="006B6616" w:rsidRDefault="006B6616">
      <w:pPr>
        <w:pStyle w:val="EndNoteBibliography"/>
        <w:tabs>
          <w:tab w:val="left" w:pos="1077"/>
        </w:tabs>
        <w:rPr>
          <w:rFonts w:ascii="Calibri" w:hAnsi="Calibri" w:cs="Calibri"/>
        </w:rPr>
      </w:pPr>
    </w:p>
    <w:p w14:paraId="3F61D9EF"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Following manufacturer’s instructions for antibody dilution, probe the membrane with anti-TAP-antibody for detecting the tagged eIF4A protein, anti-Pab1p antibody or anti-β-actin antibody (or any other desirable target) by overnight incubation of the membrane with Blocking Buffer (PBS)-diluted antibody (1:1,000 dilution) in a cyclomixer in the cold room.</w:t>
      </w:r>
    </w:p>
    <w:p w14:paraId="27F285F6" w14:textId="77777777" w:rsidR="006B6616" w:rsidRDefault="006B6616">
      <w:pPr>
        <w:pStyle w:val="EndNoteBibliography"/>
        <w:tabs>
          <w:tab w:val="left" w:pos="1077"/>
        </w:tabs>
        <w:rPr>
          <w:rFonts w:ascii="Calibri" w:hAnsi="Calibri" w:cs="Calibri"/>
        </w:rPr>
      </w:pPr>
    </w:p>
    <w:p w14:paraId="1E09E392" w14:textId="77777777" w:rsidR="006B6616" w:rsidRDefault="00E473AD">
      <w:pPr>
        <w:pStyle w:val="EndNoteBibliography"/>
        <w:rPr>
          <w:rFonts w:ascii="Calibri" w:hAnsi="Calibri" w:cs="Calibri"/>
        </w:rPr>
      </w:pPr>
      <w:r>
        <w:rPr>
          <w:rFonts w:ascii="Calibri" w:hAnsi="Calibri" w:cs="Calibri"/>
        </w:rPr>
        <w:t>NOTE: 1:1,000 antibody dilution is a good starting point.</w:t>
      </w:r>
    </w:p>
    <w:p w14:paraId="7C6C0A2A" w14:textId="77777777" w:rsidR="006B6616" w:rsidRDefault="006B6616">
      <w:pPr>
        <w:pStyle w:val="EndNoteBibliography"/>
        <w:rPr>
          <w:rFonts w:ascii="Calibri" w:hAnsi="Calibri" w:cs="Calibri"/>
        </w:rPr>
      </w:pPr>
    </w:p>
    <w:p w14:paraId="57CEDAF4"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Wash the membrane three times with 1x Phosphate Buffered Saline, 0.2% v/v Tween 20 (PBST) for 10 min each.</w:t>
      </w:r>
    </w:p>
    <w:p w14:paraId="35B2997C" w14:textId="77777777" w:rsidR="006B6616" w:rsidRDefault="006B6616">
      <w:pPr>
        <w:pStyle w:val="EndNoteBibliography"/>
        <w:tabs>
          <w:tab w:val="left" w:pos="1077"/>
        </w:tabs>
        <w:rPr>
          <w:rFonts w:ascii="Calibri" w:hAnsi="Calibri" w:cs="Calibri"/>
        </w:rPr>
      </w:pPr>
    </w:p>
    <w:p w14:paraId="1FB6F188" w14:textId="77777777" w:rsidR="006B6616" w:rsidRDefault="00E473AD">
      <w:pPr>
        <w:pStyle w:val="EndNoteBibliography"/>
        <w:numPr>
          <w:ilvl w:val="2"/>
          <w:numId w:val="4"/>
        </w:numPr>
        <w:tabs>
          <w:tab w:val="left" w:pos="1077"/>
        </w:tabs>
        <w:ind w:left="0" w:firstLine="0"/>
      </w:pPr>
      <w:r>
        <w:rPr>
          <w:rFonts w:ascii="Calibri" w:hAnsi="Calibri" w:cs="Calibri"/>
        </w:rPr>
        <w:t>Probe the membrane with a fluorescently labeled</w:t>
      </w:r>
      <w:r>
        <w:rPr>
          <w:rFonts w:ascii="Calibri" w:hAnsi="Calibri" w:cs="Calibri"/>
          <w:color w:val="000000"/>
        </w:rPr>
        <w:t xml:space="preserve"> secondary antibodies</w:t>
      </w:r>
      <w:r>
        <w:rPr>
          <w:rStyle w:val="apple-converted-space"/>
          <w:rFonts w:ascii="Calibri" w:hAnsi="Calibri" w:cs="Calibri"/>
          <w:color w:val="000000"/>
        </w:rPr>
        <w:t xml:space="preserve"> </w:t>
      </w:r>
      <w:r>
        <w:rPr>
          <w:rFonts w:ascii="Calibri" w:hAnsi="Calibri" w:cs="Calibri"/>
        </w:rPr>
        <w:t>following the manufacturer’s instructions by incubating in a cyclomixer at room temperature for 1 h.</w:t>
      </w:r>
    </w:p>
    <w:p w14:paraId="485CACD2" w14:textId="77777777" w:rsidR="006B6616" w:rsidRDefault="006B6616">
      <w:pPr>
        <w:pStyle w:val="EndNoteBibliography"/>
        <w:tabs>
          <w:tab w:val="left" w:pos="1077"/>
        </w:tabs>
        <w:rPr>
          <w:rFonts w:ascii="Calibri" w:hAnsi="Calibri" w:cs="Calibri"/>
        </w:rPr>
      </w:pPr>
    </w:p>
    <w:p w14:paraId="265ED9E5" w14:textId="77777777" w:rsidR="006B6616" w:rsidRDefault="00E473AD">
      <w:pPr>
        <w:pStyle w:val="EndNoteBibliography"/>
        <w:tabs>
          <w:tab w:val="left" w:pos="1077"/>
        </w:tabs>
        <w:rPr>
          <w:rFonts w:ascii="Calibri" w:hAnsi="Calibri" w:cs="Calibri"/>
        </w:rPr>
      </w:pPr>
      <w:r>
        <w:rPr>
          <w:rFonts w:ascii="Calibri" w:hAnsi="Calibri" w:cs="Calibri"/>
        </w:rPr>
        <w:t>NOTE: 1:20,000 antibody dilution is a good starting point.</w:t>
      </w:r>
    </w:p>
    <w:p w14:paraId="1FD9E55C" w14:textId="77777777" w:rsidR="006B6616" w:rsidRDefault="006B6616">
      <w:pPr>
        <w:pStyle w:val="EndNoteBibliography"/>
        <w:tabs>
          <w:tab w:val="left" w:pos="1077"/>
        </w:tabs>
        <w:rPr>
          <w:rFonts w:ascii="Calibri" w:hAnsi="Calibri" w:cs="Calibri"/>
        </w:rPr>
      </w:pPr>
    </w:p>
    <w:p w14:paraId="0540B29F" w14:textId="77777777" w:rsidR="006B6616" w:rsidRDefault="00E473AD">
      <w:pPr>
        <w:pStyle w:val="EndNoteBibliography"/>
        <w:numPr>
          <w:ilvl w:val="2"/>
          <w:numId w:val="4"/>
        </w:numPr>
        <w:tabs>
          <w:tab w:val="left" w:pos="1077"/>
        </w:tabs>
        <w:ind w:left="0" w:firstLine="0"/>
        <w:rPr>
          <w:rFonts w:ascii="Calibri" w:hAnsi="Calibri" w:cs="Calibri"/>
        </w:rPr>
      </w:pPr>
      <w:r>
        <w:rPr>
          <w:rFonts w:ascii="Calibri" w:hAnsi="Calibri" w:cs="Calibri"/>
        </w:rPr>
        <w:t>Wash the membrane three times with 1x PBST for 10 min each. Briefly rinse the membrane with deionized water, and then with absolute methanol. Dry and visualize the membrane in a fluorescent imaging system according to the manufacturer’s instructions.</w:t>
      </w:r>
    </w:p>
    <w:p w14:paraId="1E113A15" w14:textId="77777777" w:rsidR="006B6616" w:rsidRDefault="006B6616">
      <w:pPr>
        <w:pStyle w:val="EndNoteBibliography"/>
        <w:tabs>
          <w:tab w:val="left" w:pos="1077"/>
        </w:tabs>
        <w:rPr>
          <w:rFonts w:ascii="Calibri" w:hAnsi="Calibri" w:cs="Calibri"/>
        </w:rPr>
      </w:pPr>
    </w:p>
    <w:p w14:paraId="15EDF393" w14:textId="77777777" w:rsidR="006B6616" w:rsidRDefault="00E473AD">
      <w:pPr>
        <w:pStyle w:val="EndNoteBibliography"/>
        <w:rPr>
          <w:rFonts w:ascii="Calibri" w:hAnsi="Calibri" w:cs="Calibri"/>
        </w:rPr>
      </w:pPr>
      <w:r>
        <w:rPr>
          <w:rFonts w:ascii="Calibri" w:hAnsi="Calibri" w:cs="Calibri"/>
        </w:rPr>
        <w:t xml:space="preserve">NOTE: Staining for other proteins can be achieved by using secondary antibodies with dyes matching different fluorescent channels (such as in the eIF4A-TAP </w:t>
      </w:r>
      <w:r w:rsidRPr="007E2E3F">
        <w:rPr>
          <w:rFonts w:ascii="Calibri" w:hAnsi="Calibri" w:cs="Calibri"/>
          <w:i/>
          <w:iCs/>
        </w:rPr>
        <w:t>vs.</w:t>
      </w:r>
      <w:r>
        <w:rPr>
          <w:rFonts w:ascii="Calibri" w:hAnsi="Calibri" w:cs="Calibri"/>
        </w:rPr>
        <w:t xml:space="preserve"> β-actin pair used here), by sequential staining or stripping and staining the same membrane or cutting the membrane from a gel loaded with repeating pattern of fractions and separately probing each piece with respective antibodies (as in the Pab1p example used here).</w:t>
      </w:r>
    </w:p>
    <w:p w14:paraId="64A60DDD" w14:textId="77777777" w:rsidR="006B6616" w:rsidRDefault="006B6616">
      <w:pPr>
        <w:pStyle w:val="EndNoteBibliography"/>
        <w:rPr>
          <w:rFonts w:ascii="Calibri" w:hAnsi="Calibri" w:cs="Calibri"/>
        </w:rPr>
      </w:pPr>
    </w:p>
    <w:p w14:paraId="516ED1B8" w14:textId="77777777" w:rsidR="006B6616" w:rsidRDefault="00E473AD">
      <w:pPr>
        <w:pStyle w:val="EndNoteBibliography"/>
        <w:numPr>
          <w:ilvl w:val="0"/>
          <w:numId w:val="4"/>
        </w:numPr>
        <w:tabs>
          <w:tab w:val="left" w:pos="170"/>
        </w:tabs>
        <w:ind w:left="0" w:firstLine="0"/>
        <w:rPr>
          <w:rFonts w:ascii="Calibri" w:hAnsi="Calibri" w:cs="Calibri"/>
        </w:rPr>
      </w:pPr>
      <w:r>
        <w:rPr>
          <w:rFonts w:ascii="Calibri" w:hAnsi="Calibri" w:cs="Calibri"/>
          <w:b/>
          <w:bCs/>
        </w:rPr>
        <w:t>Mammalian cell protocol</w:t>
      </w:r>
    </w:p>
    <w:p w14:paraId="2370520B" w14:textId="77777777" w:rsidR="006B6616" w:rsidRDefault="006B6616">
      <w:pPr>
        <w:pStyle w:val="EndNoteBibliography"/>
        <w:tabs>
          <w:tab w:val="left" w:pos="1077"/>
        </w:tabs>
        <w:rPr>
          <w:rFonts w:ascii="Calibri" w:hAnsi="Calibri" w:cs="Calibri"/>
          <w:b/>
          <w:bCs/>
          <w:i/>
          <w:iCs/>
        </w:rPr>
      </w:pPr>
    </w:p>
    <w:p w14:paraId="27082D70" w14:textId="77777777" w:rsidR="006B6616" w:rsidRDefault="00E473AD">
      <w:pPr>
        <w:numPr>
          <w:ilvl w:val="1"/>
          <w:numId w:val="4"/>
        </w:numPr>
        <w:tabs>
          <w:tab w:val="left" w:pos="1077"/>
        </w:tabs>
        <w:ind w:left="0" w:firstLine="0"/>
        <w:jc w:val="both"/>
        <w:rPr>
          <w:rFonts w:ascii="Calibri" w:hAnsi="Calibri" w:cs="Calibri"/>
        </w:rPr>
      </w:pPr>
      <w:r>
        <w:rPr>
          <w:rFonts w:ascii="Calibri" w:hAnsi="Calibri" w:cs="Calibri"/>
          <w:b/>
          <w:bCs/>
          <w:lang w:val="en-US"/>
        </w:rPr>
        <w:t>Mammalian cell culture and fixation</w:t>
      </w:r>
    </w:p>
    <w:p w14:paraId="7FC3F96D" w14:textId="77777777" w:rsidR="006B6616" w:rsidRDefault="006B6616">
      <w:pPr>
        <w:tabs>
          <w:tab w:val="left" w:pos="1077"/>
        </w:tabs>
        <w:jc w:val="both"/>
        <w:rPr>
          <w:rFonts w:ascii="Calibri" w:hAnsi="Calibri" w:cs="Calibri"/>
          <w:b/>
          <w:bCs/>
          <w:lang w:val="en-US"/>
        </w:rPr>
      </w:pPr>
    </w:p>
    <w:p w14:paraId="1C44BF57" w14:textId="77777777" w:rsidR="006B6616" w:rsidRDefault="00E473AD">
      <w:pPr>
        <w:pStyle w:val="ListParagraph"/>
        <w:numPr>
          <w:ilvl w:val="2"/>
          <w:numId w:val="4"/>
        </w:numPr>
        <w:tabs>
          <w:tab w:val="left" w:pos="1077"/>
        </w:tabs>
        <w:suppressAutoHyphens w:val="0"/>
        <w:spacing w:after="0" w:line="240" w:lineRule="auto"/>
        <w:ind w:left="0" w:firstLine="0"/>
        <w:jc w:val="both"/>
        <w:textAlignment w:val="auto"/>
        <w:rPr>
          <w:rFonts w:cs="Calibri"/>
        </w:rPr>
      </w:pPr>
      <w:r>
        <w:rPr>
          <w:rFonts w:cs="Calibri"/>
          <w:sz w:val="24"/>
          <w:szCs w:val="24"/>
          <w:lang w:val="en-US"/>
        </w:rPr>
        <w:t>In 2 T-175 flasks, grow HEK293 cells to 60%–70% confluence in Dulbecco’s Modified Eagle Medium and 10% v/v Fetal Bovine Serum at 37 °C and 5% v/v carbon dioxide.</w:t>
      </w:r>
    </w:p>
    <w:p w14:paraId="146D2016" w14:textId="77777777" w:rsidR="006B6616" w:rsidRDefault="006B6616">
      <w:pPr>
        <w:pStyle w:val="ListParagraph"/>
        <w:tabs>
          <w:tab w:val="left" w:pos="1077"/>
        </w:tabs>
        <w:suppressAutoHyphens w:val="0"/>
        <w:spacing w:after="0" w:line="240" w:lineRule="auto"/>
        <w:ind w:left="0"/>
        <w:jc w:val="both"/>
        <w:textAlignment w:val="auto"/>
        <w:rPr>
          <w:rFonts w:cs="Calibri"/>
          <w:sz w:val="24"/>
          <w:szCs w:val="24"/>
          <w:lang w:val="en-US"/>
        </w:rPr>
      </w:pPr>
    </w:p>
    <w:p w14:paraId="3974974D" w14:textId="77777777" w:rsidR="006B6616" w:rsidRDefault="00E473AD">
      <w:pPr>
        <w:pStyle w:val="ListParagraph"/>
        <w:tabs>
          <w:tab w:val="left" w:pos="1077"/>
        </w:tabs>
        <w:suppressAutoHyphens w:val="0"/>
        <w:spacing w:after="0" w:line="240" w:lineRule="auto"/>
        <w:ind w:left="0"/>
        <w:jc w:val="both"/>
        <w:textAlignment w:val="auto"/>
        <w:rPr>
          <w:rFonts w:cs="Calibri"/>
          <w:sz w:val="24"/>
          <w:szCs w:val="24"/>
        </w:rPr>
      </w:pPr>
      <w:r>
        <w:rPr>
          <w:rFonts w:cs="Calibri"/>
          <w:sz w:val="24"/>
          <w:szCs w:val="24"/>
          <w:lang w:val="en-US"/>
        </w:rPr>
        <w:t>NOTE: The complete media is made by adding 55 mL of commercial FBS into a 500 mL of commercially purchased DMEM with high glucose, containing L-glutamine, phenol red and sodium bicarbonate, but no HEPES or sodium pyruvate.</w:t>
      </w:r>
      <w:r>
        <w:rPr>
          <w:rFonts w:cs="Calibri"/>
          <w:lang w:val="en-US"/>
        </w:rPr>
        <w:t xml:space="preserve"> </w:t>
      </w:r>
      <w:r>
        <w:rPr>
          <w:rFonts w:cs="Calibri"/>
          <w:sz w:val="24"/>
          <w:szCs w:val="24"/>
          <w:lang w:val="en-US"/>
        </w:rPr>
        <w:t>Cell counts per T-175 flask at 70% confluence should be in the range of 1.7–2.0 x 10</w:t>
      </w:r>
      <w:r>
        <w:rPr>
          <w:rFonts w:cs="Calibri"/>
          <w:sz w:val="24"/>
          <w:szCs w:val="24"/>
          <w:vertAlign w:val="superscript"/>
          <w:lang w:val="en-US"/>
        </w:rPr>
        <w:t>7</w:t>
      </w:r>
      <w:r>
        <w:rPr>
          <w:rFonts w:cs="Calibri"/>
          <w:sz w:val="24"/>
          <w:szCs w:val="24"/>
          <w:lang w:val="en-US"/>
        </w:rPr>
        <w:t>.</w:t>
      </w:r>
    </w:p>
    <w:p w14:paraId="48DD3E5D" w14:textId="77777777" w:rsidR="006B6616" w:rsidRDefault="006B6616">
      <w:pPr>
        <w:jc w:val="both"/>
        <w:rPr>
          <w:rFonts w:ascii="Calibri" w:hAnsi="Calibri" w:cs="Calibri"/>
        </w:rPr>
      </w:pPr>
    </w:p>
    <w:p w14:paraId="6AAE4402" w14:textId="77777777" w:rsidR="006B6616" w:rsidRDefault="00E473AD">
      <w:pPr>
        <w:pStyle w:val="ListParagraph"/>
        <w:numPr>
          <w:ilvl w:val="2"/>
          <w:numId w:val="4"/>
        </w:numPr>
        <w:tabs>
          <w:tab w:val="left" w:pos="1077"/>
        </w:tabs>
        <w:spacing w:after="0" w:line="240" w:lineRule="auto"/>
        <w:ind w:left="0" w:firstLine="0"/>
        <w:jc w:val="both"/>
        <w:rPr>
          <w:rFonts w:cs="Calibri"/>
        </w:rPr>
      </w:pPr>
      <w:r>
        <w:rPr>
          <w:rFonts w:cs="Calibri"/>
          <w:sz w:val="24"/>
          <w:szCs w:val="24"/>
          <w:lang w:val="en-US"/>
        </w:rPr>
        <w:t>At least 3 h prior to the desired fixation time, replace the media of the T-175 flasks with precisely 30 mL of pre-warmed complete media and replace the flasks in a cell incubator.</w:t>
      </w:r>
    </w:p>
    <w:p w14:paraId="3A73F2D8" w14:textId="77777777" w:rsidR="006B6616" w:rsidRDefault="006B6616">
      <w:pPr>
        <w:pStyle w:val="ListParagraph"/>
        <w:tabs>
          <w:tab w:val="left" w:pos="1077"/>
        </w:tabs>
        <w:spacing w:after="0" w:line="240" w:lineRule="auto"/>
        <w:ind w:left="0"/>
        <w:jc w:val="both"/>
        <w:rPr>
          <w:rFonts w:cs="Calibri"/>
          <w:sz w:val="24"/>
          <w:szCs w:val="24"/>
          <w:lang w:val="en-US"/>
        </w:rPr>
      </w:pPr>
    </w:p>
    <w:p w14:paraId="0D381473" w14:textId="77777777" w:rsidR="006B6616" w:rsidRDefault="00E473AD">
      <w:pPr>
        <w:jc w:val="both"/>
        <w:rPr>
          <w:rFonts w:ascii="Calibri" w:hAnsi="Calibri" w:cs="Calibri"/>
        </w:rPr>
      </w:pPr>
      <w:r>
        <w:rPr>
          <w:rFonts w:ascii="Calibri" w:hAnsi="Calibri" w:cs="Calibri"/>
          <w:lang w:val="en-US"/>
        </w:rPr>
        <w:t>NOTE: Ensure that the fresh media is pipetted onto the opposite side of the flask to the cell monolayer to avoid cell detachment. Attempt to conduct the media exchange as quickly as possible, introducing minimal gas and temperature balance disturbance.</w:t>
      </w:r>
    </w:p>
    <w:p w14:paraId="3B753A4C" w14:textId="77777777" w:rsidR="006B6616" w:rsidRDefault="006B6616">
      <w:pPr>
        <w:jc w:val="both"/>
        <w:rPr>
          <w:rFonts w:ascii="Calibri" w:hAnsi="Calibri" w:cs="Calibri"/>
          <w:lang w:val="en-US"/>
        </w:rPr>
      </w:pPr>
    </w:p>
    <w:p w14:paraId="1B4A4A22" w14:textId="77777777" w:rsidR="006B6616" w:rsidRDefault="00E473AD">
      <w:pPr>
        <w:pStyle w:val="ListParagraph"/>
        <w:numPr>
          <w:ilvl w:val="2"/>
          <w:numId w:val="4"/>
        </w:numPr>
        <w:tabs>
          <w:tab w:val="left" w:pos="1077"/>
        </w:tabs>
        <w:suppressAutoHyphens w:val="0"/>
        <w:spacing w:after="0" w:line="240" w:lineRule="auto"/>
        <w:ind w:left="0" w:firstLine="0"/>
        <w:jc w:val="both"/>
        <w:textAlignment w:val="auto"/>
        <w:rPr>
          <w:rFonts w:cs="Calibri"/>
        </w:rPr>
      </w:pPr>
      <w:r>
        <w:rPr>
          <w:rFonts w:cs="Calibri"/>
          <w:sz w:val="24"/>
          <w:szCs w:val="24"/>
          <w:lang w:val="en-US"/>
        </w:rPr>
        <w:t>Once the cell media has been replaced, prepare buffers and chemicals required for fixation. Prepare Dulbecco’s Phosphate Buffered-Saline (DPBS) with 50 mM glycine by adding 10.2 mL of 2.5 M glycine stock to a 500 mL bottle of DPBS and mixing.</w:t>
      </w:r>
    </w:p>
    <w:p w14:paraId="0C0AA9A3" w14:textId="77777777" w:rsidR="006B6616" w:rsidRDefault="006B6616">
      <w:pPr>
        <w:pStyle w:val="ListParagraph"/>
        <w:tabs>
          <w:tab w:val="left" w:pos="1077"/>
        </w:tabs>
        <w:suppressAutoHyphens w:val="0"/>
        <w:spacing w:after="0" w:line="240" w:lineRule="auto"/>
        <w:ind w:left="0"/>
        <w:jc w:val="both"/>
        <w:textAlignment w:val="auto"/>
        <w:rPr>
          <w:rFonts w:cs="Calibri"/>
          <w:sz w:val="24"/>
          <w:szCs w:val="24"/>
          <w:lang w:val="en-US"/>
        </w:rPr>
      </w:pPr>
    </w:p>
    <w:p w14:paraId="101A76EF" w14:textId="77777777" w:rsidR="006B6616" w:rsidRDefault="00E473AD">
      <w:pPr>
        <w:pStyle w:val="ListParagraph"/>
        <w:numPr>
          <w:ilvl w:val="2"/>
          <w:numId w:val="4"/>
        </w:numPr>
        <w:tabs>
          <w:tab w:val="left" w:pos="1077"/>
        </w:tabs>
        <w:suppressAutoHyphens w:val="0"/>
        <w:spacing w:after="0" w:line="240" w:lineRule="auto"/>
        <w:ind w:left="0" w:firstLine="0"/>
        <w:jc w:val="both"/>
        <w:textAlignment w:val="auto"/>
        <w:rPr>
          <w:rFonts w:cs="Calibri"/>
        </w:rPr>
      </w:pPr>
      <w:r>
        <w:rPr>
          <w:rFonts w:cs="Calibri"/>
          <w:sz w:val="24"/>
          <w:szCs w:val="24"/>
          <w:lang w:val="en-US"/>
        </w:rPr>
        <w:t>Prepare a bottle of DMEM supplemented with 10% FBS as in step 2.1.1 to be used in non-sterile conditions and a 100 mL aliquot of 0.25% Trypsin-EDTA. Source an additional bottle of commercial DPBS pre-formulated with calcium chloride (CaCl</w:t>
      </w:r>
      <w:r>
        <w:rPr>
          <w:rFonts w:cs="Calibri"/>
          <w:sz w:val="24"/>
          <w:szCs w:val="24"/>
          <w:vertAlign w:val="subscript"/>
          <w:lang w:val="en-US"/>
        </w:rPr>
        <w:t>2</w:t>
      </w:r>
      <w:r>
        <w:rPr>
          <w:rFonts w:cs="Calibri"/>
          <w:sz w:val="24"/>
          <w:szCs w:val="24"/>
          <w:lang w:val="en-US"/>
        </w:rPr>
        <w:t>) and magnesium chloride (MgCl</w:t>
      </w:r>
      <w:r>
        <w:rPr>
          <w:rFonts w:cs="Calibri"/>
          <w:sz w:val="24"/>
          <w:szCs w:val="24"/>
          <w:vertAlign w:val="subscript"/>
          <w:lang w:val="en-US"/>
        </w:rPr>
        <w:t>2</w:t>
      </w:r>
      <w:r>
        <w:rPr>
          <w:rFonts w:cs="Calibri"/>
          <w:sz w:val="24"/>
          <w:szCs w:val="24"/>
          <w:lang w:val="en-US"/>
        </w:rPr>
        <w:t>).</w:t>
      </w:r>
    </w:p>
    <w:p w14:paraId="62516273" w14:textId="77777777" w:rsidR="006B6616" w:rsidRDefault="006B6616">
      <w:pPr>
        <w:pStyle w:val="ListParagraph"/>
        <w:tabs>
          <w:tab w:val="left" w:pos="1077"/>
        </w:tabs>
        <w:suppressAutoHyphens w:val="0"/>
        <w:spacing w:after="0" w:line="240" w:lineRule="auto"/>
        <w:ind w:left="0"/>
        <w:jc w:val="both"/>
        <w:textAlignment w:val="auto"/>
        <w:rPr>
          <w:rFonts w:cs="Calibri"/>
          <w:sz w:val="24"/>
          <w:szCs w:val="24"/>
          <w:lang w:val="en-US"/>
        </w:rPr>
      </w:pPr>
    </w:p>
    <w:p w14:paraId="673AB562" w14:textId="77777777" w:rsidR="006B6616" w:rsidRDefault="00E473AD">
      <w:pPr>
        <w:pStyle w:val="ListParagraph"/>
        <w:tabs>
          <w:tab w:val="left" w:pos="1077"/>
        </w:tabs>
        <w:suppressAutoHyphens w:val="0"/>
        <w:spacing w:after="0" w:line="240" w:lineRule="auto"/>
        <w:ind w:left="0"/>
        <w:jc w:val="both"/>
        <w:textAlignment w:val="auto"/>
        <w:rPr>
          <w:rFonts w:cs="Calibri"/>
          <w:sz w:val="24"/>
          <w:szCs w:val="24"/>
        </w:rPr>
      </w:pPr>
      <w:r>
        <w:rPr>
          <w:rFonts w:cs="Calibri"/>
          <w:sz w:val="24"/>
          <w:szCs w:val="24"/>
          <w:lang w:val="en-US"/>
        </w:rPr>
        <w:t>NOTE: The solutions can be stored at 4 °C for up to 2 weeks.</w:t>
      </w:r>
    </w:p>
    <w:p w14:paraId="524D681D" w14:textId="77777777" w:rsidR="006B6616" w:rsidRDefault="006B6616">
      <w:pPr>
        <w:pStyle w:val="ListParagraph"/>
        <w:tabs>
          <w:tab w:val="left" w:pos="1077"/>
        </w:tabs>
        <w:suppressAutoHyphens w:val="0"/>
        <w:spacing w:after="0" w:line="240" w:lineRule="auto"/>
        <w:ind w:left="0"/>
        <w:jc w:val="both"/>
        <w:textAlignment w:val="auto"/>
        <w:rPr>
          <w:rFonts w:cs="Calibri"/>
          <w:sz w:val="24"/>
          <w:szCs w:val="24"/>
        </w:rPr>
      </w:pPr>
      <w:bookmarkStart w:id="9" w:name="move86753186111"/>
      <w:bookmarkEnd w:id="9"/>
    </w:p>
    <w:p w14:paraId="7E9FEF82" w14:textId="77777777" w:rsidR="006B6616" w:rsidRDefault="00E473AD">
      <w:pPr>
        <w:pStyle w:val="ListParagraph"/>
        <w:numPr>
          <w:ilvl w:val="2"/>
          <w:numId w:val="4"/>
        </w:numPr>
        <w:tabs>
          <w:tab w:val="left" w:pos="1077"/>
        </w:tabs>
        <w:suppressAutoHyphens w:val="0"/>
        <w:spacing w:after="0" w:line="240" w:lineRule="auto"/>
        <w:ind w:left="0" w:firstLine="0"/>
        <w:jc w:val="both"/>
        <w:textAlignment w:val="auto"/>
        <w:rPr>
          <w:rFonts w:cs="Calibri"/>
        </w:rPr>
      </w:pPr>
      <w:r>
        <w:rPr>
          <w:rFonts w:cs="Calibri"/>
          <w:sz w:val="24"/>
          <w:szCs w:val="24"/>
          <w:lang w:val="en-US"/>
        </w:rPr>
        <w:t>Prepare an ice box to the brim with crushed water ice such that a T-175 flask can fit evenly on top and keep in the fume hood along with the prepared buffers, also on ice.</w:t>
      </w:r>
    </w:p>
    <w:p w14:paraId="58B4394C" w14:textId="77777777" w:rsidR="006B6616" w:rsidRDefault="006B6616">
      <w:pPr>
        <w:pStyle w:val="ListParagraph"/>
        <w:tabs>
          <w:tab w:val="left" w:pos="1077"/>
        </w:tabs>
        <w:suppressAutoHyphens w:val="0"/>
        <w:spacing w:after="0" w:line="240" w:lineRule="auto"/>
        <w:ind w:left="0"/>
        <w:jc w:val="both"/>
        <w:textAlignment w:val="auto"/>
        <w:rPr>
          <w:rFonts w:cs="Calibri"/>
          <w:sz w:val="24"/>
          <w:szCs w:val="24"/>
          <w:lang w:val="en-US"/>
        </w:rPr>
      </w:pPr>
    </w:p>
    <w:p w14:paraId="1507082E" w14:textId="77777777" w:rsidR="006B6616" w:rsidRDefault="00E473AD">
      <w:pPr>
        <w:pStyle w:val="ListParagraph"/>
        <w:suppressAutoHyphens w:val="0"/>
        <w:spacing w:after="0" w:line="240" w:lineRule="auto"/>
        <w:ind w:left="0"/>
        <w:jc w:val="both"/>
        <w:textAlignment w:val="auto"/>
        <w:rPr>
          <w:rFonts w:cs="Calibri"/>
        </w:rPr>
      </w:pPr>
      <w:r>
        <w:rPr>
          <w:rFonts w:cs="Calibri"/>
          <w:sz w:val="24"/>
          <w:szCs w:val="24"/>
          <w:lang w:val="en-US"/>
        </w:rPr>
        <w:t>NOTE: Due to the rapid responses of translation to any environmental change, all timings between the removal of the cell flasks from the incubator and addition of the formaldehyde solution must be minimized.</w:t>
      </w:r>
    </w:p>
    <w:p w14:paraId="49D191F2" w14:textId="77777777" w:rsidR="006B6616" w:rsidRDefault="006B6616">
      <w:pPr>
        <w:pStyle w:val="ListParagraph"/>
        <w:suppressAutoHyphens w:val="0"/>
        <w:spacing w:after="0" w:line="240" w:lineRule="auto"/>
        <w:ind w:left="0"/>
        <w:jc w:val="both"/>
        <w:textAlignment w:val="auto"/>
        <w:rPr>
          <w:rFonts w:cs="Calibri"/>
          <w:sz w:val="24"/>
          <w:szCs w:val="24"/>
          <w:lang w:val="en-US"/>
        </w:rPr>
      </w:pPr>
    </w:p>
    <w:p w14:paraId="07D8C476" w14:textId="77777777" w:rsidR="006B6616" w:rsidRDefault="00E473AD">
      <w:pPr>
        <w:pStyle w:val="ListParagraph"/>
        <w:numPr>
          <w:ilvl w:val="2"/>
          <w:numId w:val="4"/>
        </w:numPr>
        <w:tabs>
          <w:tab w:val="left" w:pos="1077"/>
        </w:tabs>
        <w:suppressAutoHyphens w:val="0"/>
        <w:spacing w:after="0" w:line="240" w:lineRule="auto"/>
        <w:ind w:left="0" w:firstLine="0"/>
        <w:jc w:val="both"/>
        <w:textAlignment w:val="auto"/>
        <w:rPr>
          <w:rFonts w:cs="Calibri"/>
        </w:rPr>
      </w:pPr>
      <w:r>
        <w:rPr>
          <w:rFonts w:cs="Calibri"/>
          <w:sz w:val="24"/>
          <w:szCs w:val="24"/>
          <w:lang w:val="en-US"/>
        </w:rPr>
        <w:t xml:space="preserve">To snap chill the cells, remove the T-175 flask from the incubator and firmly press it against the ice ensuring maximal surface contact. Inside the chemical fume hood, tilt the flask onto its side </w:t>
      </w:r>
      <w:bookmarkStart w:id="10" w:name="_Hlk86756954"/>
      <w:r>
        <w:rPr>
          <w:rFonts w:cs="Calibri"/>
          <w:sz w:val="24"/>
          <w:szCs w:val="24"/>
          <w:lang w:val="en-US"/>
        </w:rPr>
        <w:t xml:space="preserve">so that the media collects at the side opposite to the cells. </w:t>
      </w:r>
      <w:bookmarkEnd w:id="10"/>
      <w:r>
        <w:rPr>
          <w:rFonts w:cs="Calibri"/>
          <w:sz w:val="24"/>
          <w:szCs w:val="24"/>
          <w:lang w:val="en-US"/>
        </w:rPr>
        <w:t>Pipette 168 µL of 37% w/v formaldehyde directly into the pooled media (to a final concentration of 0.2% w/v). Immediately mix by gently rocking the flask back and forth, close and reposition the flask on ice, ensuring it is horizontal and the cells are covered evenly.</w:t>
      </w:r>
    </w:p>
    <w:p w14:paraId="21F5AAA7" w14:textId="77777777" w:rsidR="006B6616" w:rsidRDefault="006B6616">
      <w:pPr>
        <w:tabs>
          <w:tab w:val="left" w:pos="1077"/>
        </w:tabs>
        <w:jc w:val="both"/>
        <w:rPr>
          <w:rFonts w:ascii="Calibri" w:hAnsi="Calibri" w:cs="Calibri"/>
        </w:rPr>
      </w:pPr>
    </w:p>
    <w:p w14:paraId="68A07C97" w14:textId="65E96FA4" w:rsidR="006B6616" w:rsidRDefault="00E473AD">
      <w:pPr>
        <w:jc w:val="both"/>
        <w:rPr>
          <w:rFonts w:ascii="Calibri" w:hAnsi="Calibri" w:cs="Calibri"/>
        </w:rPr>
      </w:pPr>
      <w:r>
        <w:rPr>
          <w:rFonts w:ascii="Calibri" w:hAnsi="Calibri" w:cs="Calibri"/>
          <w:lang w:val="en-US"/>
        </w:rPr>
        <w:t xml:space="preserve">CAUTION: Formaldehyde is a harmful substance with potential long-term adverse effects </w:t>
      </w:r>
      <w:proofErr w:type="gramStart"/>
      <w:r>
        <w:rPr>
          <w:rFonts w:ascii="Calibri" w:hAnsi="Calibri" w:cs="Calibri"/>
          <w:lang w:val="en-US"/>
        </w:rPr>
        <w:t>and also</w:t>
      </w:r>
      <w:proofErr w:type="gramEnd"/>
      <w:r>
        <w:rPr>
          <w:rFonts w:ascii="Calibri" w:hAnsi="Calibri" w:cs="Calibri"/>
          <w:lang w:val="en-US"/>
        </w:rPr>
        <w:t xml:space="preserve"> an irritant to both the respiratory system and skin. It should only be handled in a suitable chemical fume hood. Containers of formaldehyde must always be sealed when outside of the fume hood.</w:t>
      </w:r>
    </w:p>
    <w:p w14:paraId="6FD8A856" w14:textId="77777777" w:rsidR="006B6616" w:rsidRDefault="006B6616">
      <w:pPr>
        <w:jc w:val="both"/>
        <w:rPr>
          <w:rFonts w:ascii="Calibri" w:hAnsi="Calibri" w:cs="Calibri"/>
          <w:lang w:val="en-US"/>
        </w:rPr>
      </w:pPr>
    </w:p>
    <w:p w14:paraId="65BED244" w14:textId="77777777" w:rsidR="006B6616" w:rsidRDefault="00E473AD">
      <w:pPr>
        <w:jc w:val="both"/>
        <w:rPr>
          <w:rFonts w:ascii="Calibri" w:hAnsi="Calibri" w:cs="Calibri"/>
        </w:rPr>
      </w:pPr>
      <w:r>
        <w:rPr>
          <w:rFonts w:ascii="Calibri" w:hAnsi="Calibri" w:cs="Calibri"/>
          <w:lang w:val="en-US"/>
        </w:rPr>
        <w:t>NOTE: Ensure that the formaldehyde is added directly into the cell media and not to the flask wall. Step 2.1.6 should take less than 1 min.</w:t>
      </w:r>
    </w:p>
    <w:p w14:paraId="6495719D" w14:textId="77777777" w:rsidR="006B6616" w:rsidRDefault="006B6616">
      <w:pPr>
        <w:jc w:val="both"/>
        <w:rPr>
          <w:rFonts w:ascii="Calibri" w:hAnsi="Calibri" w:cs="Calibri"/>
          <w:lang w:val="en-US"/>
        </w:rPr>
      </w:pPr>
    </w:p>
    <w:p w14:paraId="543477FD" w14:textId="77777777" w:rsidR="006B6616" w:rsidRDefault="00E473AD">
      <w:pPr>
        <w:pStyle w:val="ListParagraph"/>
        <w:numPr>
          <w:ilvl w:val="2"/>
          <w:numId w:val="4"/>
        </w:numPr>
        <w:tabs>
          <w:tab w:val="left" w:pos="1077"/>
        </w:tabs>
        <w:suppressAutoHyphens w:val="0"/>
        <w:spacing w:after="0" w:line="240" w:lineRule="auto"/>
        <w:ind w:left="0" w:firstLine="0"/>
        <w:jc w:val="both"/>
        <w:textAlignment w:val="auto"/>
        <w:rPr>
          <w:rFonts w:cs="Calibri"/>
        </w:rPr>
      </w:pPr>
      <w:r>
        <w:rPr>
          <w:rFonts w:cs="Calibri"/>
          <w:sz w:val="24"/>
          <w:szCs w:val="24"/>
          <w:lang w:val="en-US"/>
        </w:rPr>
        <w:t>Incubate the flasks on ice for a further 10 min. Pour off the media into an appropriate waste container through the flask side opposite to the cells.</w:t>
      </w:r>
    </w:p>
    <w:p w14:paraId="7BEC0A96" w14:textId="77777777" w:rsidR="006B6616" w:rsidRDefault="006B6616">
      <w:pPr>
        <w:pStyle w:val="ListParagraph"/>
        <w:tabs>
          <w:tab w:val="left" w:pos="1077"/>
        </w:tabs>
        <w:suppressAutoHyphens w:val="0"/>
        <w:spacing w:after="0" w:line="240" w:lineRule="auto"/>
        <w:ind w:left="0"/>
        <w:jc w:val="both"/>
        <w:textAlignment w:val="auto"/>
        <w:rPr>
          <w:rFonts w:cs="Calibri"/>
          <w:sz w:val="24"/>
          <w:szCs w:val="24"/>
          <w:lang w:val="en-US"/>
        </w:rPr>
      </w:pPr>
    </w:p>
    <w:p w14:paraId="295F08FD" w14:textId="77777777" w:rsidR="006B6616" w:rsidRDefault="00E473AD">
      <w:pPr>
        <w:pStyle w:val="ListParagraph"/>
        <w:numPr>
          <w:ilvl w:val="2"/>
          <w:numId w:val="4"/>
        </w:numPr>
        <w:tabs>
          <w:tab w:val="left" w:pos="1077"/>
        </w:tabs>
        <w:suppressAutoHyphens w:val="0"/>
        <w:spacing w:after="0" w:line="240" w:lineRule="auto"/>
        <w:ind w:left="0" w:firstLine="0"/>
        <w:jc w:val="both"/>
        <w:textAlignment w:val="auto"/>
        <w:rPr>
          <w:rFonts w:cs="Calibri"/>
        </w:rPr>
      </w:pPr>
      <w:r>
        <w:rPr>
          <w:rFonts w:cs="Calibri"/>
          <w:sz w:val="24"/>
          <w:szCs w:val="24"/>
          <w:lang w:val="en-US"/>
        </w:rPr>
        <w:t xml:space="preserve">Using a </w:t>
      </w:r>
      <w:proofErr w:type="spellStart"/>
      <w:r>
        <w:rPr>
          <w:rFonts w:cs="Calibri"/>
          <w:sz w:val="24"/>
          <w:szCs w:val="24"/>
          <w:lang w:val="en-US"/>
        </w:rPr>
        <w:t>stripette</w:t>
      </w:r>
      <w:proofErr w:type="spellEnd"/>
      <w:r>
        <w:rPr>
          <w:rFonts w:cs="Calibri"/>
          <w:sz w:val="24"/>
          <w:szCs w:val="24"/>
          <w:lang w:val="en-US"/>
        </w:rPr>
        <w:t>, pipette in 30 mL of Dulbecco’s Phosphate Buffered Saline without calcium and magnesium ions and additionally containing 50 mM Glycine, gently on the side opposite to the cells. Mix by rocking the flask; return the flask to horizontal position and incubate for 10 min more on ice.</w:t>
      </w:r>
    </w:p>
    <w:p w14:paraId="3DE8AC59" w14:textId="77777777" w:rsidR="006B6616" w:rsidRDefault="006B6616">
      <w:pPr>
        <w:pStyle w:val="ListParagraph"/>
        <w:tabs>
          <w:tab w:val="left" w:pos="1077"/>
        </w:tabs>
        <w:suppressAutoHyphens w:val="0"/>
        <w:spacing w:after="0" w:line="240" w:lineRule="auto"/>
        <w:ind w:left="0"/>
        <w:jc w:val="both"/>
        <w:textAlignment w:val="auto"/>
        <w:rPr>
          <w:rFonts w:cs="Calibri"/>
          <w:sz w:val="24"/>
          <w:szCs w:val="24"/>
          <w:lang w:val="en-US"/>
        </w:rPr>
      </w:pPr>
    </w:p>
    <w:p w14:paraId="2228B564" w14:textId="77777777" w:rsidR="006B6616" w:rsidRDefault="00E473AD">
      <w:pPr>
        <w:pStyle w:val="ListParagraph"/>
        <w:numPr>
          <w:ilvl w:val="2"/>
          <w:numId w:val="4"/>
        </w:numPr>
        <w:tabs>
          <w:tab w:val="left" w:pos="1077"/>
        </w:tabs>
        <w:suppressAutoHyphens w:val="0"/>
        <w:spacing w:after="0" w:line="240" w:lineRule="auto"/>
        <w:ind w:left="0" w:firstLine="0"/>
        <w:jc w:val="both"/>
        <w:textAlignment w:val="auto"/>
        <w:rPr>
          <w:rFonts w:cs="Calibri"/>
        </w:rPr>
      </w:pPr>
      <w:r>
        <w:rPr>
          <w:rFonts w:eastAsia="Calibri" w:cs="Calibri"/>
          <w:sz w:val="24"/>
          <w:szCs w:val="24"/>
          <w:lang w:val="en-US"/>
        </w:rPr>
        <w:t>Pour off the solution through the flask side opposite to the cells and gently add 7 mL of the standard 0.25% w/v of Trypsin-EDTA solution to detach and resuspend the cells.</w:t>
      </w:r>
      <w:r>
        <w:rPr>
          <w:rFonts w:cs="Calibri"/>
          <w:sz w:val="24"/>
          <w:szCs w:val="24"/>
          <w:lang w:val="en-US"/>
        </w:rPr>
        <w:t xml:space="preserve"> </w:t>
      </w:r>
      <w:r>
        <w:rPr>
          <w:rFonts w:eastAsia="Calibri" w:cs="Calibri"/>
          <w:sz w:val="24"/>
          <w:szCs w:val="24"/>
          <w:lang w:val="en-US"/>
        </w:rPr>
        <w:t>Incubate the flask at room temperature for 5–10 min.</w:t>
      </w:r>
    </w:p>
    <w:p w14:paraId="0EC375C1" w14:textId="77777777" w:rsidR="006B6616" w:rsidRDefault="006B6616">
      <w:pPr>
        <w:pStyle w:val="ListParagraph"/>
        <w:tabs>
          <w:tab w:val="left" w:pos="1077"/>
        </w:tabs>
        <w:suppressAutoHyphens w:val="0"/>
        <w:spacing w:after="0" w:line="240" w:lineRule="auto"/>
        <w:ind w:left="0"/>
        <w:jc w:val="both"/>
        <w:textAlignment w:val="auto"/>
        <w:rPr>
          <w:rFonts w:eastAsia="Calibri" w:cs="Calibri"/>
        </w:rPr>
      </w:pPr>
    </w:p>
    <w:p w14:paraId="7B8917F8" w14:textId="77777777" w:rsidR="006B6616" w:rsidRDefault="00E473AD">
      <w:pPr>
        <w:pStyle w:val="ListParagraph"/>
        <w:tabs>
          <w:tab w:val="left" w:pos="1077"/>
        </w:tabs>
        <w:suppressAutoHyphens w:val="0"/>
        <w:spacing w:after="0" w:line="240" w:lineRule="auto"/>
        <w:ind w:left="0"/>
        <w:jc w:val="both"/>
        <w:textAlignment w:val="auto"/>
        <w:rPr>
          <w:rFonts w:cs="Calibri"/>
        </w:rPr>
      </w:pPr>
      <w:r>
        <w:rPr>
          <w:rFonts w:eastAsia="Calibri" w:cs="Calibri"/>
          <w:sz w:val="24"/>
          <w:szCs w:val="24"/>
          <w:lang w:val="en-US"/>
        </w:rPr>
        <w:t>NOTE: Ensure Trypsin-EDTA solution covers all the cells evenly. Use periodic gentle tilting and rocking to promote cell detachment.</w:t>
      </w:r>
    </w:p>
    <w:p w14:paraId="55698166" w14:textId="77777777" w:rsidR="006B6616" w:rsidRDefault="006B6616">
      <w:pPr>
        <w:pStyle w:val="ListParagraph"/>
        <w:tabs>
          <w:tab w:val="left" w:pos="1077"/>
        </w:tabs>
        <w:suppressAutoHyphens w:val="0"/>
        <w:spacing w:after="0" w:line="240" w:lineRule="auto"/>
        <w:ind w:left="0"/>
        <w:jc w:val="both"/>
        <w:textAlignment w:val="auto"/>
        <w:rPr>
          <w:rFonts w:cstheme="minorHAnsi"/>
        </w:rPr>
      </w:pPr>
    </w:p>
    <w:p w14:paraId="4B960D15" w14:textId="77777777" w:rsidR="006B6616" w:rsidRDefault="00E473AD">
      <w:pPr>
        <w:pStyle w:val="ListParagraph"/>
        <w:numPr>
          <w:ilvl w:val="2"/>
          <w:numId w:val="4"/>
        </w:numPr>
        <w:tabs>
          <w:tab w:val="left" w:pos="1077"/>
        </w:tabs>
        <w:suppressAutoHyphens w:val="0"/>
        <w:spacing w:after="0" w:line="240" w:lineRule="auto"/>
        <w:ind w:left="0" w:firstLine="0"/>
        <w:jc w:val="both"/>
        <w:textAlignment w:val="auto"/>
        <w:rPr>
          <w:rFonts w:cs="Calibri"/>
        </w:rPr>
      </w:pPr>
      <w:r>
        <w:rPr>
          <w:rFonts w:cs="Calibri"/>
          <w:sz w:val="24"/>
          <w:szCs w:val="24"/>
          <w:lang w:val="en-US"/>
        </w:rPr>
        <w:t xml:space="preserve">Locate the flask vertically and using a </w:t>
      </w:r>
      <w:proofErr w:type="spellStart"/>
      <w:r>
        <w:rPr>
          <w:rFonts w:cs="Calibri"/>
          <w:sz w:val="24"/>
          <w:szCs w:val="24"/>
          <w:lang w:val="en-US"/>
        </w:rPr>
        <w:t>stripette</w:t>
      </w:r>
      <w:proofErr w:type="spellEnd"/>
      <w:r>
        <w:rPr>
          <w:rFonts w:cs="Calibri"/>
          <w:sz w:val="24"/>
          <w:szCs w:val="24"/>
          <w:lang w:val="en-US"/>
        </w:rPr>
        <w:t xml:space="preserve"> collect the detached cells by gently washing any remaining cells from the flask walls. Transfer the suspension into a 50 mL tube set on ice.</w:t>
      </w:r>
    </w:p>
    <w:p w14:paraId="5680AF1A" w14:textId="77777777" w:rsidR="006B6616" w:rsidRDefault="006B6616">
      <w:pPr>
        <w:pStyle w:val="ListParagraph"/>
        <w:tabs>
          <w:tab w:val="left" w:pos="1077"/>
        </w:tabs>
        <w:suppressAutoHyphens w:val="0"/>
        <w:spacing w:after="0" w:line="240" w:lineRule="auto"/>
        <w:ind w:left="0"/>
        <w:jc w:val="both"/>
        <w:textAlignment w:val="auto"/>
        <w:rPr>
          <w:rFonts w:cs="Calibri"/>
          <w:sz w:val="24"/>
          <w:szCs w:val="24"/>
          <w:lang w:val="en-US"/>
        </w:rPr>
      </w:pPr>
    </w:p>
    <w:p w14:paraId="21CA556F" w14:textId="77777777" w:rsidR="006B6616" w:rsidRDefault="00E473AD">
      <w:pPr>
        <w:jc w:val="both"/>
        <w:rPr>
          <w:rFonts w:ascii="Calibri" w:hAnsi="Calibri" w:cs="Calibri"/>
        </w:rPr>
      </w:pPr>
      <w:r>
        <w:rPr>
          <w:rFonts w:ascii="Calibri" w:hAnsi="Calibri" w:cs="Calibri"/>
          <w:lang w:val="en-US"/>
        </w:rPr>
        <w:t>NOTE: Fixed cells can become more fragile; do not pipette intensely or more than what is required to detach the cells from the flask wall.</w:t>
      </w:r>
    </w:p>
    <w:p w14:paraId="6A3C46C2" w14:textId="77777777" w:rsidR="006B6616" w:rsidRDefault="006B6616">
      <w:pPr>
        <w:jc w:val="both"/>
        <w:rPr>
          <w:rFonts w:ascii="Calibri" w:hAnsi="Calibri" w:cs="Calibri"/>
          <w:lang w:val="en-US"/>
        </w:rPr>
      </w:pPr>
    </w:p>
    <w:p w14:paraId="25736C9A" w14:textId="77777777" w:rsidR="006B6616" w:rsidRDefault="00E473AD">
      <w:pPr>
        <w:pStyle w:val="ListParagraph"/>
        <w:numPr>
          <w:ilvl w:val="2"/>
          <w:numId w:val="4"/>
        </w:numPr>
        <w:tabs>
          <w:tab w:val="left" w:pos="1082"/>
        </w:tabs>
        <w:suppressAutoHyphens w:val="0"/>
        <w:spacing w:after="0" w:line="240" w:lineRule="auto"/>
        <w:ind w:left="0" w:firstLine="0"/>
        <w:jc w:val="both"/>
        <w:textAlignment w:val="auto"/>
        <w:rPr>
          <w:rFonts w:cs="Calibri"/>
        </w:rPr>
      </w:pPr>
      <w:r>
        <w:rPr>
          <w:rFonts w:cs="Calibri"/>
          <w:sz w:val="24"/>
          <w:szCs w:val="24"/>
          <w:lang w:val="en-US"/>
        </w:rPr>
        <w:t>Immediately supplement the collected cell suspension with 20 mL of complete media (the non-sterile ice-cold media with 10% FBS) and mix by gently flipping the tube.</w:t>
      </w:r>
    </w:p>
    <w:p w14:paraId="581A078A" w14:textId="77777777" w:rsidR="006B6616" w:rsidRDefault="006B6616">
      <w:pPr>
        <w:pStyle w:val="ListParagraph"/>
        <w:tabs>
          <w:tab w:val="left" w:pos="1082"/>
        </w:tabs>
        <w:suppressAutoHyphens w:val="0"/>
        <w:spacing w:after="0" w:line="240" w:lineRule="auto"/>
        <w:ind w:left="0"/>
        <w:jc w:val="both"/>
        <w:textAlignment w:val="auto"/>
        <w:rPr>
          <w:rFonts w:cs="Calibri"/>
          <w:sz w:val="24"/>
          <w:szCs w:val="24"/>
          <w:lang w:val="en-US"/>
        </w:rPr>
      </w:pPr>
    </w:p>
    <w:p w14:paraId="79A030CA" w14:textId="77777777" w:rsidR="006B6616" w:rsidRDefault="00E473AD">
      <w:pPr>
        <w:jc w:val="both"/>
        <w:rPr>
          <w:rFonts w:ascii="Calibri" w:hAnsi="Calibri" w:cs="Calibri"/>
        </w:rPr>
      </w:pPr>
      <w:r>
        <w:rPr>
          <w:rFonts w:ascii="Calibri" w:hAnsi="Calibri" w:cs="Calibri"/>
          <w:lang w:val="en-US"/>
        </w:rPr>
        <w:t>NOTE:</w:t>
      </w:r>
      <w:r>
        <w:rPr>
          <w:rFonts w:ascii="Calibri" w:hAnsi="Calibri" w:cs="Calibri"/>
          <w:b/>
          <w:bCs/>
          <w:lang w:val="en-US"/>
        </w:rPr>
        <w:t xml:space="preserve"> </w:t>
      </w:r>
      <w:r>
        <w:rPr>
          <w:rFonts w:ascii="Calibri" w:hAnsi="Calibri" w:cs="Calibri"/>
          <w:lang w:val="en-US"/>
        </w:rPr>
        <w:t xml:space="preserve">The complete </w:t>
      </w:r>
      <w:r>
        <w:rPr>
          <w:rFonts w:ascii="Calibri" w:hAnsi="Calibri" w:cs="Calibri"/>
          <w:color w:val="000000"/>
          <w:lang w:val="en-US"/>
        </w:rPr>
        <w:t>c</w:t>
      </w:r>
      <w:r>
        <w:rPr>
          <w:rFonts w:ascii="Calibri" w:hAnsi="Calibri" w:cs="Calibri"/>
          <w:lang w:val="en-US"/>
        </w:rPr>
        <w:t xml:space="preserve">ell culture media (including 10% FBS) is added to </w:t>
      </w:r>
      <w:r>
        <w:rPr>
          <w:rFonts w:ascii="Calibri" w:hAnsi="Calibri" w:cs="Calibri"/>
          <w:color w:val="000000"/>
          <w:lang w:val="en-US"/>
        </w:rPr>
        <w:t>neutralize</w:t>
      </w:r>
      <w:r>
        <w:rPr>
          <w:rFonts w:ascii="Calibri" w:hAnsi="Calibri" w:cs="Calibri"/>
          <w:lang w:val="en-US"/>
        </w:rPr>
        <w:t xml:space="preserve"> the </w:t>
      </w:r>
      <w:r>
        <w:rPr>
          <w:rFonts w:ascii="Calibri" w:hAnsi="Calibri" w:cs="Calibri"/>
          <w:color w:val="000000"/>
          <w:lang w:val="en-US"/>
        </w:rPr>
        <w:t>t</w:t>
      </w:r>
      <w:r>
        <w:rPr>
          <w:rFonts w:ascii="Calibri" w:hAnsi="Calibri" w:cs="Calibri"/>
          <w:lang w:val="en-US"/>
        </w:rPr>
        <w:t xml:space="preserve">rypsin, preventing further damage to the cell membranes and cell </w:t>
      </w:r>
      <w:r>
        <w:rPr>
          <w:rFonts w:ascii="Calibri" w:hAnsi="Calibri" w:cs="Calibri"/>
          <w:color w:val="000000"/>
          <w:lang w:val="en-US"/>
        </w:rPr>
        <w:t>disintegration.</w:t>
      </w:r>
    </w:p>
    <w:p w14:paraId="117CB8A9" w14:textId="77777777" w:rsidR="006B6616" w:rsidRDefault="006B6616">
      <w:pPr>
        <w:jc w:val="both"/>
        <w:rPr>
          <w:rFonts w:ascii="Calibri" w:hAnsi="Calibri" w:cs="Calibri"/>
          <w:lang w:val="en-US"/>
        </w:rPr>
      </w:pPr>
    </w:p>
    <w:p w14:paraId="78C4E7DC" w14:textId="77777777" w:rsidR="006B6616" w:rsidRDefault="00E473AD">
      <w:pPr>
        <w:pStyle w:val="ListParagraph"/>
        <w:numPr>
          <w:ilvl w:val="2"/>
          <w:numId w:val="4"/>
        </w:numPr>
        <w:tabs>
          <w:tab w:val="left" w:pos="1082"/>
        </w:tabs>
        <w:suppressAutoHyphens w:val="0"/>
        <w:spacing w:after="0" w:line="240" w:lineRule="auto"/>
        <w:ind w:left="0" w:firstLine="0"/>
        <w:jc w:val="both"/>
        <w:textAlignment w:val="auto"/>
        <w:rPr>
          <w:rFonts w:cs="Calibri"/>
        </w:rPr>
      </w:pPr>
      <w:r>
        <w:rPr>
          <w:rFonts w:cs="Calibri"/>
          <w:sz w:val="24"/>
          <w:szCs w:val="24"/>
          <w:lang w:val="en-US"/>
        </w:rPr>
        <w:t xml:space="preserve">Pellet the cells by centrifuging the tube at 100 x </w:t>
      </w:r>
      <w:r>
        <w:rPr>
          <w:rFonts w:cs="Calibri"/>
          <w:i/>
          <w:iCs/>
          <w:sz w:val="24"/>
          <w:szCs w:val="24"/>
          <w:lang w:val="en-US"/>
        </w:rPr>
        <w:t>g</w:t>
      </w:r>
      <w:r>
        <w:rPr>
          <w:rFonts w:cs="Calibri"/>
          <w:sz w:val="24"/>
          <w:szCs w:val="24"/>
          <w:lang w:val="en-US"/>
        </w:rPr>
        <w:t xml:space="preserve"> for 5 min and 4 °C. Cell pellet must be clearly visible.</w:t>
      </w:r>
    </w:p>
    <w:p w14:paraId="34FFD32A" w14:textId="77777777" w:rsidR="006B6616" w:rsidRDefault="006B6616">
      <w:pPr>
        <w:pStyle w:val="ListParagraph"/>
        <w:tabs>
          <w:tab w:val="left" w:pos="1082"/>
        </w:tabs>
        <w:suppressAutoHyphens w:val="0"/>
        <w:spacing w:after="0" w:line="240" w:lineRule="auto"/>
        <w:ind w:left="0"/>
        <w:jc w:val="both"/>
        <w:textAlignment w:val="auto"/>
        <w:rPr>
          <w:rFonts w:cs="Calibri"/>
          <w:sz w:val="24"/>
          <w:szCs w:val="24"/>
          <w:lang w:val="en-US"/>
        </w:rPr>
      </w:pPr>
    </w:p>
    <w:p w14:paraId="5554CFFE" w14:textId="77777777" w:rsidR="006B6616" w:rsidRDefault="00E473AD">
      <w:pPr>
        <w:pStyle w:val="ListParagraph"/>
        <w:numPr>
          <w:ilvl w:val="2"/>
          <w:numId w:val="4"/>
        </w:numPr>
        <w:tabs>
          <w:tab w:val="left" w:pos="1082"/>
        </w:tabs>
        <w:suppressAutoHyphens w:val="0"/>
        <w:spacing w:after="0" w:line="240" w:lineRule="auto"/>
        <w:ind w:left="0" w:firstLine="0"/>
        <w:jc w:val="both"/>
        <w:textAlignment w:val="auto"/>
        <w:rPr>
          <w:rFonts w:cs="Calibri"/>
        </w:rPr>
      </w:pPr>
      <w:r>
        <w:rPr>
          <w:rFonts w:cs="Calibri"/>
          <w:sz w:val="24"/>
          <w:szCs w:val="24"/>
          <w:lang w:val="en-US"/>
        </w:rPr>
        <w:t>Pour off the media and gently resuspend the cell pellet in 10 mL of ice-cold DPBS with Ca</w:t>
      </w:r>
      <w:r>
        <w:rPr>
          <w:rFonts w:cs="Calibri"/>
          <w:sz w:val="24"/>
          <w:szCs w:val="24"/>
          <w:vertAlign w:val="superscript"/>
          <w:lang w:val="en-US"/>
        </w:rPr>
        <w:t>2+</w:t>
      </w:r>
      <w:r>
        <w:rPr>
          <w:rFonts w:cs="Calibri"/>
          <w:sz w:val="24"/>
          <w:szCs w:val="24"/>
          <w:lang w:val="en-US"/>
        </w:rPr>
        <w:t>, Mg</w:t>
      </w:r>
      <w:r>
        <w:rPr>
          <w:rFonts w:cs="Calibri"/>
          <w:sz w:val="24"/>
          <w:szCs w:val="24"/>
          <w:vertAlign w:val="superscript"/>
          <w:lang w:val="en-US"/>
        </w:rPr>
        <w:t>2+</w:t>
      </w:r>
      <w:r>
        <w:rPr>
          <w:rFonts w:cs="Calibri"/>
          <w:sz w:val="24"/>
          <w:szCs w:val="24"/>
          <w:lang w:val="en-US"/>
        </w:rPr>
        <w:t>, and without glycine.</w:t>
      </w:r>
    </w:p>
    <w:p w14:paraId="31BC2608" w14:textId="77777777" w:rsidR="006B6616" w:rsidRDefault="006B6616">
      <w:pPr>
        <w:pStyle w:val="ListParagraph"/>
        <w:tabs>
          <w:tab w:val="left" w:pos="1082"/>
        </w:tabs>
        <w:suppressAutoHyphens w:val="0"/>
        <w:spacing w:after="0" w:line="240" w:lineRule="auto"/>
        <w:ind w:left="0"/>
        <w:jc w:val="both"/>
        <w:textAlignment w:val="auto"/>
        <w:rPr>
          <w:rFonts w:cs="Calibri"/>
          <w:sz w:val="24"/>
          <w:szCs w:val="24"/>
          <w:lang w:val="en-US"/>
        </w:rPr>
      </w:pPr>
    </w:p>
    <w:p w14:paraId="1A0BC3D2" w14:textId="77777777" w:rsidR="006B6616" w:rsidRDefault="00E473AD">
      <w:pPr>
        <w:pStyle w:val="ListParagraph"/>
        <w:numPr>
          <w:ilvl w:val="2"/>
          <w:numId w:val="4"/>
        </w:numPr>
        <w:tabs>
          <w:tab w:val="left" w:pos="1082"/>
        </w:tabs>
        <w:suppressAutoHyphens w:val="0"/>
        <w:spacing w:after="0" w:line="240" w:lineRule="auto"/>
        <w:ind w:left="0" w:firstLine="0"/>
        <w:jc w:val="both"/>
        <w:textAlignment w:val="auto"/>
        <w:rPr>
          <w:rFonts w:cs="Calibri"/>
        </w:rPr>
      </w:pPr>
      <w:r>
        <w:rPr>
          <w:rFonts w:cs="Calibri"/>
          <w:sz w:val="24"/>
          <w:szCs w:val="24"/>
          <w:lang w:val="en-US"/>
        </w:rPr>
        <w:t>Repeat step 2.1.12.</w:t>
      </w:r>
    </w:p>
    <w:p w14:paraId="50640AA2" w14:textId="77777777" w:rsidR="006B6616" w:rsidRDefault="006B6616">
      <w:pPr>
        <w:pStyle w:val="ListParagraph"/>
        <w:tabs>
          <w:tab w:val="left" w:pos="1082"/>
        </w:tabs>
        <w:suppressAutoHyphens w:val="0"/>
        <w:spacing w:after="0" w:line="240" w:lineRule="auto"/>
        <w:ind w:left="0"/>
        <w:jc w:val="both"/>
        <w:textAlignment w:val="auto"/>
        <w:rPr>
          <w:rFonts w:cs="Calibri"/>
          <w:sz w:val="24"/>
          <w:szCs w:val="24"/>
          <w:lang w:val="en-US"/>
        </w:rPr>
      </w:pPr>
    </w:p>
    <w:p w14:paraId="28F8BD4C" w14:textId="77777777" w:rsidR="006B6616" w:rsidRDefault="00E473AD">
      <w:pPr>
        <w:pStyle w:val="ListParagraph"/>
        <w:numPr>
          <w:ilvl w:val="2"/>
          <w:numId w:val="4"/>
        </w:numPr>
        <w:tabs>
          <w:tab w:val="left" w:pos="1082"/>
        </w:tabs>
        <w:suppressAutoHyphens w:val="0"/>
        <w:spacing w:after="0" w:line="240" w:lineRule="auto"/>
        <w:ind w:left="0" w:firstLine="0"/>
        <w:jc w:val="both"/>
        <w:textAlignment w:val="auto"/>
        <w:rPr>
          <w:rFonts w:cs="Calibri"/>
        </w:rPr>
      </w:pPr>
      <w:r>
        <w:rPr>
          <w:rFonts w:cs="Calibri"/>
          <w:sz w:val="24"/>
          <w:szCs w:val="24"/>
          <w:lang w:val="en-US"/>
        </w:rPr>
        <w:t>Pour off the wash buffer and gently resuspend the cell pellet in 800 μL of ice-cold DPBS with Ca</w:t>
      </w:r>
      <w:r>
        <w:rPr>
          <w:rFonts w:cs="Calibri"/>
          <w:sz w:val="24"/>
          <w:szCs w:val="24"/>
          <w:vertAlign w:val="superscript"/>
          <w:lang w:val="en-US"/>
        </w:rPr>
        <w:t>2+</w:t>
      </w:r>
      <w:r>
        <w:rPr>
          <w:rFonts w:cs="Calibri"/>
          <w:sz w:val="24"/>
          <w:szCs w:val="24"/>
          <w:lang w:val="en-US"/>
        </w:rPr>
        <w:t>, Mg</w:t>
      </w:r>
      <w:r>
        <w:rPr>
          <w:rFonts w:cs="Calibri"/>
          <w:sz w:val="24"/>
          <w:szCs w:val="24"/>
          <w:vertAlign w:val="superscript"/>
          <w:lang w:val="en-US"/>
        </w:rPr>
        <w:t>2+</w:t>
      </w:r>
      <w:r>
        <w:rPr>
          <w:rFonts w:cs="Calibri"/>
          <w:sz w:val="24"/>
          <w:szCs w:val="24"/>
          <w:lang w:val="en-US"/>
        </w:rPr>
        <w:t>, without glycine, on ice. Transfer the resuspended cells into a new low protein binding 1.5 mL microcentrifuge tube.</w:t>
      </w:r>
    </w:p>
    <w:p w14:paraId="6982DB48" w14:textId="77777777" w:rsidR="006B6616" w:rsidRDefault="006B6616">
      <w:pPr>
        <w:pStyle w:val="ListParagraph"/>
        <w:tabs>
          <w:tab w:val="left" w:pos="1082"/>
        </w:tabs>
        <w:suppressAutoHyphens w:val="0"/>
        <w:spacing w:after="0" w:line="240" w:lineRule="auto"/>
        <w:ind w:left="0"/>
        <w:jc w:val="both"/>
        <w:textAlignment w:val="auto"/>
        <w:rPr>
          <w:rFonts w:cs="Calibri"/>
          <w:sz w:val="24"/>
          <w:szCs w:val="24"/>
          <w:lang w:val="en-US"/>
        </w:rPr>
      </w:pPr>
    </w:p>
    <w:p w14:paraId="5C234EB8" w14:textId="77777777" w:rsidR="006B6616" w:rsidRDefault="00E473AD">
      <w:pPr>
        <w:pStyle w:val="ListParagraph"/>
        <w:numPr>
          <w:ilvl w:val="2"/>
          <w:numId w:val="4"/>
        </w:numPr>
        <w:tabs>
          <w:tab w:val="left" w:pos="1082"/>
        </w:tabs>
        <w:suppressAutoHyphens w:val="0"/>
        <w:spacing w:after="0" w:line="240" w:lineRule="auto"/>
        <w:ind w:left="0" w:firstLine="0"/>
        <w:jc w:val="both"/>
        <w:textAlignment w:val="auto"/>
        <w:rPr>
          <w:rFonts w:cs="Calibri"/>
        </w:rPr>
      </w:pPr>
      <w:r>
        <w:rPr>
          <w:rFonts w:cs="Calibri"/>
          <w:sz w:val="24"/>
          <w:szCs w:val="24"/>
          <w:lang w:val="en-US"/>
        </w:rPr>
        <w:t xml:space="preserve">Centrifuge the tube at 100 x </w:t>
      </w:r>
      <w:r>
        <w:rPr>
          <w:rFonts w:cs="Calibri"/>
          <w:i/>
          <w:iCs/>
          <w:sz w:val="24"/>
          <w:szCs w:val="24"/>
          <w:lang w:val="en-US"/>
        </w:rPr>
        <w:t>g</w:t>
      </w:r>
      <w:r>
        <w:rPr>
          <w:rFonts w:cs="Calibri"/>
          <w:sz w:val="24"/>
          <w:szCs w:val="24"/>
          <w:lang w:val="en-US"/>
        </w:rPr>
        <w:t xml:space="preserve"> for 3 min and 4 °C. Carefully discard the supernatant using a 1 mL pipettor. At this stage, the cell pellet can be frozen at -80 °C or proceed to the cell lysis step.</w:t>
      </w:r>
    </w:p>
    <w:p w14:paraId="518FC275" w14:textId="77777777" w:rsidR="006B6616" w:rsidRDefault="006B6616">
      <w:pPr>
        <w:pStyle w:val="ListParagraph"/>
        <w:tabs>
          <w:tab w:val="left" w:pos="1082"/>
        </w:tabs>
        <w:suppressAutoHyphens w:val="0"/>
        <w:spacing w:after="0" w:line="240" w:lineRule="auto"/>
        <w:ind w:left="0"/>
        <w:jc w:val="both"/>
        <w:textAlignment w:val="auto"/>
        <w:rPr>
          <w:rFonts w:cs="Calibri"/>
          <w:sz w:val="24"/>
          <w:szCs w:val="24"/>
          <w:lang w:val="en-US"/>
        </w:rPr>
      </w:pPr>
    </w:p>
    <w:p w14:paraId="1323E5A3" w14:textId="77777777" w:rsidR="006B6616" w:rsidRDefault="00E473AD">
      <w:pPr>
        <w:suppressAutoHyphens/>
        <w:jc w:val="both"/>
        <w:rPr>
          <w:rFonts w:ascii="Calibri" w:hAnsi="Calibri" w:cs="Calibri"/>
        </w:rPr>
      </w:pPr>
      <w:r>
        <w:rPr>
          <w:rFonts w:ascii="Calibri" w:hAnsi="Calibri" w:cs="Calibri"/>
          <w:lang w:val="en-US"/>
        </w:rPr>
        <w:t>NOTE: Frozen cell pellets can be stored at -80 °C up to 1 year. We found that cell pellet freezing facilitates subsequent lysis and recommend freezing even if longer term storage is not planned.</w:t>
      </w:r>
    </w:p>
    <w:p w14:paraId="632D5D9A" w14:textId="77777777" w:rsidR="006B6616" w:rsidRDefault="006B6616">
      <w:pPr>
        <w:suppressAutoHyphens/>
        <w:jc w:val="both"/>
        <w:rPr>
          <w:rFonts w:ascii="Calibri" w:hAnsi="Calibri" w:cs="Calibri"/>
          <w:lang w:val="en-US"/>
        </w:rPr>
      </w:pPr>
    </w:p>
    <w:p w14:paraId="5E6CD069" w14:textId="77777777" w:rsidR="006B6616" w:rsidRDefault="00E473AD">
      <w:pPr>
        <w:pStyle w:val="ListParagraph"/>
        <w:numPr>
          <w:ilvl w:val="1"/>
          <w:numId w:val="4"/>
        </w:numPr>
        <w:spacing w:after="0" w:line="240" w:lineRule="auto"/>
        <w:ind w:left="0" w:firstLine="0"/>
        <w:jc w:val="both"/>
        <w:rPr>
          <w:b/>
          <w:sz w:val="24"/>
          <w:szCs w:val="24"/>
        </w:rPr>
      </w:pPr>
      <w:r w:rsidRPr="007E2E3F">
        <w:rPr>
          <w:b/>
          <w:sz w:val="24"/>
          <w:szCs w:val="24"/>
        </w:rPr>
        <w:t>Mammalian cell disruption and cytosol collection</w:t>
      </w:r>
    </w:p>
    <w:p w14:paraId="0F842277" w14:textId="77777777" w:rsidR="006B6616" w:rsidRDefault="006B6616">
      <w:pPr>
        <w:pStyle w:val="ListParagraph"/>
        <w:tabs>
          <w:tab w:val="left" w:pos="1080"/>
        </w:tabs>
        <w:spacing w:after="0" w:line="240" w:lineRule="auto"/>
        <w:ind w:left="0"/>
        <w:jc w:val="both"/>
        <w:textAlignment w:val="auto"/>
        <w:rPr>
          <w:rFonts w:cs="Calibri"/>
          <w:sz w:val="24"/>
          <w:szCs w:val="24"/>
          <w:lang w:val="en-US"/>
        </w:rPr>
      </w:pPr>
    </w:p>
    <w:p w14:paraId="5B2AEC4C" w14:textId="77777777" w:rsidR="006B6616" w:rsidRDefault="00E473AD">
      <w:pPr>
        <w:pStyle w:val="ListParagraph"/>
        <w:numPr>
          <w:ilvl w:val="2"/>
          <w:numId w:val="4"/>
        </w:numPr>
        <w:tabs>
          <w:tab w:val="left" w:pos="1080"/>
        </w:tabs>
        <w:spacing w:after="0" w:line="240" w:lineRule="auto"/>
        <w:ind w:left="0" w:firstLine="0"/>
        <w:jc w:val="both"/>
        <w:textAlignment w:val="auto"/>
        <w:rPr>
          <w:rFonts w:cs="Calibri"/>
        </w:rPr>
      </w:pPr>
      <w:r>
        <w:rPr>
          <w:rFonts w:cs="Calibri"/>
          <w:sz w:val="24"/>
          <w:szCs w:val="24"/>
          <w:lang w:val="en-US"/>
        </w:rPr>
        <w:t>In a biosafety cabinet, add 300 µL of the lysis buffer based on nonionic, nondenaturing detergent and 7 μL of 40 U/μL RNase inhibitor. Mix well by pipetting using a 1 mL tip.</w:t>
      </w:r>
    </w:p>
    <w:p w14:paraId="18B7FAE0" w14:textId="77777777" w:rsidR="006B6616" w:rsidRDefault="006B6616">
      <w:pPr>
        <w:pStyle w:val="ListParagraph"/>
        <w:tabs>
          <w:tab w:val="left" w:pos="1080"/>
        </w:tabs>
        <w:spacing w:after="0" w:line="240" w:lineRule="auto"/>
        <w:ind w:left="0"/>
        <w:jc w:val="both"/>
        <w:textAlignment w:val="auto"/>
        <w:rPr>
          <w:rFonts w:cs="Calibri"/>
          <w:sz w:val="24"/>
          <w:szCs w:val="24"/>
          <w:lang w:val="en-US"/>
        </w:rPr>
      </w:pPr>
    </w:p>
    <w:p w14:paraId="65201FFD" w14:textId="77777777" w:rsidR="006B6616" w:rsidRDefault="00E473AD">
      <w:pPr>
        <w:pStyle w:val="ListParagraph"/>
        <w:numPr>
          <w:ilvl w:val="2"/>
          <w:numId w:val="4"/>
        </w:numPr>
        <w:tabs>
          <w:tab w:val="left" w:pos="1080"/>
        </w:tabs>
        <w:suppressAutoHyphens w:val="0"/>
        <w:spacing w:after="0" w:line="240" w:lineRule="auto"/>
        <w:ind w:left="0" w:firstLine="0"/>
        <w:jc w:val="both"/>
        <w:textAlignment w:val="auto"/>
        <w:rPr>
          <w:rFonts w:cs="Calibri"/>
        </w:rPr>
      </w:pPr>
      <w:r>
        <w:rPr>
          <w:rFonts w:cs="Calibri"/>
          <w:sz w:val="24"/>
          <w:szCs w:val="24"/>
          <w:lang w:val="en-US"/>
        </w:rPr>
        <w:t>Carefully attach a 25 G needle to a 1–3 mL syringe and vigorously pipette the mixture, using at least seven slow upward intake and fast downward exhaust strokes.</w:t>
      </w:r>
    </w:p>
    <w:p w14:paraId="1C782B18" w14:textId="77777777" w:rsidR="006B6616" w:rsidRDefault="006B6616">
      <w:pPr>
        <w:pStyle w:val="ListParagraph"/>
        <w:tabs>
          <w:tab w:val="left" w:pos="1080"/>
        </w:tabs>
        <w:suppressAutoHyphens w:val="0"/>
        <w:spacing w:after="0" w:line="240" w:lineRule="auto"/>
        <w:ind w:left="0"/>
        <w:jc w:val="both"/>
        <w:textAlignment w:val="auto"/>
        <w:rPr>
          <w:rFonts w:cs="Calibri"/>
          <w:sz w:val="24"/>
          <w:szCs w:val="24"/>
          <w:lang w:val="en-US"/>
        </w:rPr>
      </w:pPr>
    </w:p>
    <w:p w14:paraId="4919E6B3" w14:textId="77777777" w:rsidR="006B6616" w:rsidRDefault="00E473AD">
      <w:pPr>
        <w:pStyle w:val="ListParagraph"/>
        <w:numPr>
          <w:ilvl w:val="2"/>
          <w:numId w:val="4"/>
        </w:numPr>
        <w:tabs>
          <w:tab w:val="left" w:pos="1080"/>
        </w:tabs>
        <w:suppressAutoHyphens w:val="0"/>
        <w:spacing w:after="0" w:line="240" w:lineRule="auto"/>
        <w:ind w:left="0" w:firstLine="0"/>
        <w:jc w:val="both"/>
        <w:textAlignment w:val="auto"/>
        <w:rPr>
          <w:rFonts w:cs="Calibri"/>
        </w:rPr>
      </w:pPr>
      <w:r>
        <w:rPr>
          <w:rFonts w:cs="Calibri"/>
          <w:sz w:val="24"/>
          <w:szCs w:val="24"/>
          <w:lang w:val="en-US"/>
        </w:rPr>
        <w:t>Discard the syringe and needle into a sharps bin and repeat the procedure using a 0.3 mL syringe equipped with a 31 G needle.</w:t>
      </w:r>
    </w:p>
    <w:p w14:paraId="01B43699" w14:textId="77777777" w:rsidR="006B6616" w:rsidRDefault="006B6616">
      <w:pPr>
        <w:pStyle w:val="ListParagraph"/>
        <w:tabs>
          <w:tab w:val="left" w:pos="1080"/>
        </w:tabs>
        <w:suppressAutoHyphens w:val="0"/>
        <w:spacing w:after="0" w:line="240" w:lineRule="auto"/>
        <w:ind w:left="0"/>
        <w:jc w:val="both"/>
        <w:textAlignment w:val="auto"/>
        <w:rPr>
          <w:rFonts w:cs="Calibri"/>
          <w:sz w:val="24"/>
          <w:szCs w:val="24"/>
          <w:lang w:val="en-US"/>
        </w:rPr>
      </w:pPr>
    </w:p>
    <w:p w14:paraId="799F4FB0" w14:textId="77777777" w:rsidR="006B6616" w:rsidRDefault="00E473AD">
      <w:pPr>
        <w:pStyle w:val="ListParagraph"/>
        <w:numPr>
          <w:ilvl w:val="2"/>
          <w:numId w:val="4"/>
        </w:numPr>
        <w:tabs>
          <w:tab w:val="left" w:pos="1080"/>
        </w:tabs>
        <w:suppressAutoHyphens w:val="0"/>
        <w:spacing w:after="0" w:line="240" w:lineRule="auto"/>
        <w:ind w:left="0" w:firstLine="0"/>
        <w:jc w:val="both"/>
        <w:textAlignment w:val="auto"/>
        <w:rPr>
          <w:rFonts w:cs="Calibri"/>
        </w:rPr>
      </w:pPr>
      <w:r>
        <w:rPr>
          <w:rFonts w:cs="Calibri"/>
          <w:sz w:val="24"/>
          <w:szCs w:val="24"/>
          <w:lang w:val="en-US"/>
        </w:rPr>
        <w:t xml:space="preserve">Discard the syringe and needle into a sharps bin. Centrifuge the tubes at 4 °C, 12,000 </w:t>
      </w:r>
      <w:r>
        <w:rPr>
          <w:rFonts w:eastAsia="Arial" w:cs="Calibri"/>
          <w:sz w:val="24"/>
          <w:szCs w:val="24"/>
          <w:lang w:val="en-US"/>
        </w:rPr>
        <w:t xml:space="preserve">x </w:t>
      </w:r>
      <w:r>
        <w:rPr>
          <w:rFonts w:eastAsia="Arial" w:cs="Calibri"/>
          <w:i/>
          <w:iCs/>
          <w:sz w:val="24"/>
          <w:szCs w:val="24"/>
          <w:lang w:val="en-US"/>
        </w:rPr>
        <w:t>g</w:t>
      </w:r>
      <w:r>
        <w:rPr>
          <w:rFonts w:eastAsia="Arial" w:cs="Calibri"/>
          <w:sz w:val="24"/>
          <w:szCs w:val="24"/>
          <w:lang w:val="en-US"/>
        </w:rPr>
        <w:t xml:space="preserve"> </w:t>
      </w:r>
      <w:r>
        <w:rPr>
          <w:rFonts w:cs="Calibri"/>
          <w:sz w:val="24"/>
          <w:szCs w:val="24"/>
          <w:lang w:val="en-US"/>
        </w:rPr>
        <w:t>for 5 min to pellet the cell debris.</w:t>
      </w:r>
    </w:p>
    <w:p w14:paraId="6FC11769" w14:textId="77777777" w:rsidR="006B6616" w:rsidRDefault="006B6616">
      <w:pPr>
        <w:pStyle w:val="ListParagraph"/>
        <w:tabs>
          <w:tab w:val="left" w:pos="1080"/>
        </w:tabs>
        <w:suppressAutoHyphens w:val="0"/>
        <w:spacing w:after="0" w:line="240" w:lineRule="auto"/>
        <w:ind w:left="0"/>
        <w:jc w:val="both"/>
        <w:textAlignment w:val="auto"/>
        <w:rPr>
          <w:rFonts w:cs="Calibri"/>
          <w:sz w:val="24"/>
          <w:szCs w:val="24"/>
          <w:lang w:val="en-US"/>
        </w:rPr>
      </w:pPr>
    </w:p>
    <w:p w14:paraId="5DAC0D74" w14:textId="77777777" w:rsidR="006B6616" w:rsidRDefault="00E473AD">
      <w:pPr>
        <w:pStyle w:val="ListParagraph"/>
        <w:numPr>
          <w:ilvl w:val="2"/>
          <w:numId w:val="4"/>
        </w:numPr>
        <w:tabs>
          <w:tab w:val="left" w:pos="1080"/>
        </w:tabs>
        <w:suppressAutoHyphens w:val="0"/>
        <w:spacing w:after="0" w:line="240" w:lineRule="auto"/>
        <w:ind w:left="0" w:firstLine="0"/>
        <w:jc w:val="both"/>
        <w:textAlignment w:val="auto"/>
        <w:rPr>
          <w:rFonts w:cs="Calibri"/>
        </w:rPr>
      </w:pPr>
      <w:r>
        <w:rPr>
          <w:rFonts w:cs="Calibri"/>
          <w:sz w:val="24"/>
          <w:szCs w:val="24"/>
          <w:lang w:val="en-US"/>
        </w:rPr>
        <w:t>Transfer the supernatant into a new low protein binding 1.5 mL microcentrifuge tube. Store both, the cell debris (for control purposes) and the resultant clarified cell lysate at -80 °C.</w:t>
      </w:r>
    </w:p>
    <w:p w14:paraId="2C8D1427" w14:textId="77777777" w:rsidR="006B6616" w:rsidRDefault="006B6616">
      <w:pPr>
        <w:pStyle w:val="ListParagraph"/>
        <w:tabs>
          <w:tab w:val="left" w:pos="1080"/>
        </w:tabs>
        <w:suppressAutoHyphens w:val="0"/>
        <w:spacing w:after="0" w:line="240" w:lineRule="auto"/>
        <w:ind w:left="0"/>
        <w:jc w:val="both"/>
        <w:textAlignment w:val="auto"/>
        <w:rPr>
          <w:rFonts w:cs="Calibri"/>
          <w:sz w:val="24"/>
          <w:szCs w:val="24"/>
          <w:lang w:val="en-US"/>
        </w:rPr>
      </w:pPr>
    </w:p>
    <w:p w14:paraId="3B4ADD0E" w14:textId="77777777" w:rsidR="006B6616" w:rsidRDefault="00E473AD">
      <w:pPr>
        <w:jc w:val="both"/>
        <w:rPr>
          <w:rFonts w:ascii="Calibri" w:hAnsi="Calibri" w:cs="Calibri"/>
        </w:rPr>
      </w:pPr>
      <w:r>
        <w:rPr>
          <w:rFonts w:ascii="Calibri" w:hAnsi="Calibri" w:cs="Calibri"/>
          <w:lang w:val="en-US"/>
        </w:rPr>
        <w:t>NOTE: Optical density of the lysate ranges between 25–30 AU</w:t>
      </w:r>
      <w:r>
        <w:rPr>
          <w:rFonts w:ascii="Calibri" w:hAnsi="Calibri" w:cs="Calibri"/>
          <w:vertAlign w:val="subscript"/>
          <w:lang w:val="en-US"/>
        </w:rPr>
        <w:t>260</w:t>
      </w:r>
      <w:r>
        <w:rPr>
          <w:rFonts w:ascii="Calibri" w:hAnsi="Calibri" w:cs="Calibri"/>
          <w:lang w:val="en-US"/>
        </w:rPr>
        <w:t xml:space="preserve"> when two T-175 flasks are </w:t>
      </w:r>
      <w:proofErr w:type="gramStart"/>
      <w:r>
        <w:rPr>
          <w:rFonts w:ascii="Calibri" w:hAnsi="Calibri" w:cs="Calibri"/>
          <w:lang w:val="en-US"/>
        </w:rPr>
        <w:t>combined</w:t>
      </w:r>
      <w:proofErr w:type="gramEnd"/>
      <w:r>
        <w:rPr>
          <w:rFonts w:ascii="Calibri" w:hAnsi="Calibri" w:cs="Calibri"/>
          <w:lang w:val="en-US"/>
        </w:rPr>
        <w:t xml:space="preserve"> and the recommended volumes followed. The lysates and cell debris can be stored at -80 °C up to 1 year.</w:t>
      </w:r>
    </w:p>
    <w:p w14:paraId="420F4777" w14:textId="77777777" w:rsidR="006B6616" w:rsidRDefault="006B6616">
      <w:pPr>
        <w:suppressAutoHyphens/>
        <w:jc w:val="both"/>
        <w:rPr>
          <w:rFonts w:ascii="Calibri" w:hAnsi="Calibri" w:cs="Calibri"/>
          <w:lang w:val="en-US"/>
        </w:rPr>
      </w:pPr>
    </w:p>
    <w:p w14:paraId="5F3570DA" w14:textId="77777777" w:rsidR="006B6616" w:rsidRDefault="00E473AD">
      <w:pPr>
        <w:pStyle w:val="wStandard"/>
        <w:numPr>
          <w:ilvl w:val="1"/>
          <w:numId w:val="4"/>
        </w:numPr>
        <w:tabs>
          <w:tab w:val="left" w:pos="1080"/>
        </w:tabs>
        <w:spacing w:line="240" w:lineRule="auto"/>
        <w:ind w:left="0" w:firstLine="0"/>
        <w:jc w:val="both"/>
        <w:rPr>
          <w:rFonts w:cs="Calibri"/>
        </w:rPr>
      </w:pPr>
      <w:r>
        <w:rPr>
          <w:rFonts w:cs="Calibri"/>
          <w:b/>
          <w:bCs/>
          <w:sz w:val="24"/>
          <w:szCs w:val="24"/>
          <w:lang w:val="en-US"/>
        </w:rPr>
        <w:t>Separation of the fixed (poly)ribosomal complexes from the non-translated fractions of the cytosol</w:t>
      </w:r>
    </w:p>
    <w:p w14:paraId="2037461F" w14:textId="77777777" w:rsidR="006B6616" w:rsidRDefault="006B6616">
      <w:pPr>
        <w:pStyle w:val="wStandard"/>
        <w:tabs>
          <w:tab w:val="left" w:pos="1080"/>
        </w:tabs>
        <w:spacing w:line="240" w:lineRule="auto"/>
        <w:jc w:val="both"/>
        <w:rPr>
          <w:rFonts w:cs="Calibri"/>
          <w:b/>
          <w:bCs/>
          <w:sz w:val="24"/>
          <w:szCs w:val="24"/>
          <w:lang w:val="en-US"/>
        </w:rPr>
      </w:pPr>
    </w:p>
    <w:p w14:paraId="0389CE76" w14:textId="77777777" w:rsidR="006B6616" w:rsidRDefault="00E473AD">
      <w:pPr>
        <w:pStyle w:val="ListParagraph"/>
        <w:numPr>
          <w:ilvl w:val="2"/>
          <w:numId w:val="4"/>
        </w:numPr>
        <w:tabs>
          <w:tab w:val="left" w:pos="1080"/>
        </w:tabs>
        <w:suppressAutoHyphens w:val="0"/>
        <w:spacing w:after="0" w:line="240" w:lineRule="auto"/>
        <w:ind w:left="0" w:firstLine="0"/>
        <w:jc w:val="both"/>
        <w:textAlignment w:val="auto"/>
        <w:rPr>
          <w:rFonts w:cs="Calibri"/>
        </w:rPr>
      </w:pPr>
      <w:r>
        <w:rPr>
          <w:rFonts w:cs="Calibri"/>
          <w:sz w:val="24"/>
          <w:szCs w:val="24"/>
          <w:lang w:val="en-US"/>
        </w:rPr>
        <w:t xml:space="preserve">Prepare linear 15%–45% w/v sucrose gradients in </w:t>
      </w:r>
      <w:r>
        <w:rPr>
          <w:rFonts w:eastAsia="Arial" w:cs="Calibri"/>
          <w:bCs/>
          <w:color w:val="000000"/>
          <w:sz w:val="24"/>
          <w:szCs w:val="24"/>
          <w:lang w:val="en-US"/>
        </w:rPr>
        <w:t xml:space="preserve">13 mL </w:t>
      </w:r>
      <w:r>
        <w:rPr>
          <w:rFonts w:cs="Calibri"/>
          <w:bCs/>
          <w:color w:val="000000"/>
          <w:sz w:val="24"/>
          <w:szCs w:val="24"/>
          <w:lang w:val="en-US"/>
        </w:rPr>
        <w:t>thin wall polypropylene tubes, 14 x 89 mm,</w:t>
      </w:r>
      <w:r>
        <w:rPr>
          <w:rFonts w:eastAsia="Arial" w:cs="Calibri"/>
          <w:color w:val="000000"/>
          <w:sz w:val="24"/>
          <w:szCs w:val="24"/>
          <w:lang w:val="en-US"/>
        </w:rPr>
        <w:t xml:space="preserve"> </w:t>
      </w:r>
      <w:r>
        <w:rPr>
          <w:rFonts w:cs="Calibri"/>
          <w:sz w:val="24"/>
          <w:szCs w:val="24"/>
          <w:lang w:val="en-US"/>
        </w:rPr>
        <w:t>using freeze-thaw method generally as described in step 1.3.1 of the yeast protocol, but using buffer 2 (</w:t>
      </w:r>
      <w:r>
        <w:rPr>
          <w:rFonts w:cs="Calibri"/>
          <w:b/>
          <w:bCs/>
          <w:sz w:val="24"/>
          <w:szCs w:val="24"/>
          <w:lang w:val="en-US"/>
        </w:rPr>
        <w:t>Figure 2a</w:t>
      </w:r>
      <w:r>
        <w:rPr>
          <w:rFonts w:cs="Calibri"/>
          <w:sz w:val="24"/>
          <w:szCs w:val="24"/>
          <w:lang w:val="en-US"/>
        </w:rPr>
        <w:t>).</w:t>
      </w:r>
    </w:p>
    <w:p w14:paraId="58C22503" w14:textId="77777777" w:rsidR="006B6616" w:rsidRDefault="006B6616">
      <w:pPr>
        <w:pStyle w:val="ListParagraph"/>
        <w:tabs>
          <w:tab w:val="left" w:pos="1080"/>
        </w:tabs>
        <w:suppressAutoHyphens w:val="0"/>
        <w:spacing w:after="0" w:line="240" w:lineRule="auto"/>
        <w:ind w:left="0"/>
        <w:jc w:val="both"/>
        <w:textAlignment w:val="auto"/>
        <w:rPr>
          <w:rFonts w:cs="Calibri"/>
          <w:sz w:val="24"/>
          <w:szCs w:val="24"/>
          <w:lang w:val="en-US"/>
        </w:rPr>
      </w:pPr>
    </w:p>
    <w:p w14:paraId="2B12BB02" w14:textId="77777777" w:rsidR="006B6616" w:rsidRDefault="00E473AD">
      <w:pPr>
        <w:pStyle w:val="ListParagraph"/>
        <w:tabs>
          <w:tab w:val="left" w:pos="1080"/>
        </w:tabs>
        <w:suppressAutoHyphens w:val="0"/>
        <w:spacing w:after="0" w:line="240" w:lineRule="auto"/>
        <w:ind w:left="0"/>
        <w:jc w:val="both"/>
        <w:textAlignment w:val="auto"/>
        <w:rPr>
          <w:rFonts w:cs="Calibri"/>
        </w:rPr>
      </w:pPr>
      <w:r>
        <w:rPr>
          <w:rFonts w:cs="Calibri"/>
          <w:sz w:val="24"/>
          <w:szCs w:val="24"/>
          <w:lang w:val="en-US"/>
        </w:rPr>
        <w:t>NOTE: Thaw the gradients overnight in a cold room at 4 °C the night prior to the fractionation.</w:t>
      </w:r>
    </w:p>
    <w:p w14:paraId="089D0A2E" w14:textId="77777777" w:rsidR="006B6616" w:rsidRDefault="006B6616">
      <w:pPr>
        <w:pStyle w:val="ListParagraph"/>
        <w:tabs>
          <w:tab w:val="left" w:pos="1080"/>
        </w:tabs>
        <w:suppressAutoHyphens w:val="0"/>
        <w:spacing w:after="0" w:line="240" w:lineRule="auto"/>
        <w:ind w:left="0"/>
        <w:jc w:val="both"/>
        <w:textAlignment w:val="auto"/>
        <w:rPr>
          <w:rFonts w:cs="Calibri"/>
          <w:sz w:val="24"/>
          <w:szCs w:val="24"/>
          <w:lang w:val="en-US"/>
        </w:rPr>
      </w:pPr>
    </w:p>
    <w:p w14:paraId="0B9C4102" w14:textId="77777777" w:rsidR="006B6616" w:rsidRDefault="00E473AD">
      <w:pPr>
        <w:pStyle w:val="ListParagraph"/>
        <w:numPr>
          <w:ilvl w:val="2"/>
          <w:numId w:val="4"/>
        </w:numPr>
        <w:tabs>
          <w:tab w:val="left" w:pos="1080"/>
        </w:tabs>
        <w:suppressAutoHyphens w:val="0"/>
        <w:spacing w:after="0" w:line="240" w:lineRule="auto"/>
        <w:ind w:left="0" w:firstLine="0"/>
        <w:jc w:val="both"/>
        <w:textAlignment w:val="auto"/>
        <w:rPr>
          <w:rFonts w:cs="Calibri"/>
        </w:rPr>
      </w:pPr>
      <w:r>
        <w:rPr>
          <w:rFonts w:cs="Calibri"/>
          <w:sz w:val="24"/>
          <w:szCs w:val="24"/>
          <w:lang w:val="en-US"/>
        </w:rPr>
        <w:t xml:space="preserve">Load 150–250 (maximally 300) μL of the cell lysate from the previous step 2.2.5 onto the balanced gradients. Store the remaining lysate at </w:t>
      </w:r>
      <w:r>
        <w:rPr>
          <w:rFonts w:eastAsia="Times New Roman" w:cs="Calibri"/>
          <w:sz w:val="24"/>
          <w:szCs w:val="24"/>
          <w:lang w:val="en-US"/>
        </w:rPr>
        <w:t>-80 °C and use for control purposes.</w:t>
      </w:r>
    </w:p>
    <w:p w14:paraId="0476A958" w14:textId="77777777" w:rsidR="006B6616" w:rsidRDefault="006B6616">
      <w:pPr>
        <w:pStyle w:val="ListParagraph"/>
        <w:tabs>
          <w:tab w:val="left" w:pos="1080"/>
        </w:tabs>
        <w:suppressAutoHyphens w:val="0"/>
        <w:spacing w:after="0" w:line="240" w:lineRule="auto"/>
        <w:ind w:left="0"/>
        <w:jc w:val="both"/>
        <w:textAlignment w:val="auto"/>
        <w:rPr>
          <w:rFonts w:eastAsia="Times New Roman" w:cs="Calibri"/>
          <w:sz w:val="24"/>
          <w:szCs w:val="24"/>
          <w:lang w:val="en-US"/>
        </w:rPr>
      </w:pPr>
    </w:p>
    <w:p w14:paraId="574B509C" w14:textId="77777777" w:rsidR="006B6616" w:rsidRDefault="00E473AD">
      <w:pPr>
        <w:pStyle w:val="ListParagraph"/>
        <w:suppressAutoHyphens w:val="0"/>
        <w:spacing w:after="0" w:line="240" w:lineRule="auto"/>
        <w:ind w:left="0"/>
        <w:jc w:val="both"/>
        <w:textAlignment w:val="auto"/>
        <w:rPr>
          <w:rFonts w:cs="Calibri"/>
        </w:rPr>
      </w:pPr>
      <w:r>
        <w:rPr>
          <w:rFonts w:eastAsia="Times New Roman" w:cs="Calibri"/>
          <w:sz w:val="24"/>
          <w:szCs w:val="24"/>
          <w:lang w:val="en-US"/>
        </w:rPr>
        <w:t xml:space="preserve">NOTE: Here an example of sedimentation-based segregation into </w:t>
      </w:r>
      <w:proofErr w:type="spellStart"/>
      <w:r>
        <w:rPr>
          <w:rFonts w:eastAsia="Times New Roman" w:cs="Calibri"/>
          <w:sz w:val="24"/>
          <w:szCs w:val="24"/>
          <w:lang w:val="en-US"/>
        </w:rPr>
        <w:t>polysomal</w:t>
      </w:r>
      <w:proofErr w:type="spellEnd"/>
      <w:r>
        <w:rPr>
          <w:rFonts w:eastAsia="Times New Roman" w:cs="Calibri"/>
          <w:sz w:val="24"/>
          <w:szCs w:val="24"/>
          <w:lang w:val="en-US"/>
        </w:rPr>
        <w:t xml:space="preserve">, ribosomal and </w:t>
      </w:r>
      <w:r>
        <w:rPr>
          <w:rFonts w:eastAsia="Times New Roman" w:cs="Calibri"/>
          <w:color w:val="000000"/>
          <w:sz w:val="24"/>
          <w:szCs w:val="24"/>
          <w:lang w:val="en-US"/>
        </w:rPr>
        <w:t>‘</w:t>
      </w:r>
      <w:r>
        <w:rPr>
          <w:rFonts w:eastAsia="Times New Roman" w:cs="Calibri"/>
          <w:sz w:val="24"/>
          <w:szCs w:val="24"/>
          <w:lang w:val="en-US"/>
        </w:rPr>
        <w:t>free</w:t>
      </w:r>
      <w:r>
        <w:rPr>
          <w:rFonts w:eastAsia="Times New Roman" w:cs="Calibri"/>
          <w:color w:val="000000"/>
          <w:sz w:val="24"/>
          <w:szCs w:val="24"/>
          <w:lang w:val="en-US"/>
        </w:rPr>
        <w:t>’</w:t>
      </w:r>
      <w:r>
        <w:rPr>
          <w:rFonts w:eastAsia="Times New Roman" w:cs="Calibri"/>
          <w:sz w:val="24"/>
          <w:szCs w:val="24"/>
          <w:lang w:val="en-US"/>
        </w:rPr>
        <w:t xml:space="preserve"> SSU fractions is provided. Refer to the provided buffer table for an alternative approach.</w:t>
      </w:r>
    </w:p>
    <w:p w14:paraId="7F6060FC" w14:textId="77777777" w:rsidR="006B6616" w:rsidRDefault="006B6616">
      <w:pPr>
        <w:pStyle w:val="ListParagraph"/>
        <w:suppressAutoHyphens w:val="0"/>
        <w:spacing w:after="0" w:line="240" w:lineRule="auto"/>
        <w:ind w:left="0"/>
        <w:jc w:val="both"/>
        <w:textAlignment w:val="auto"/>
        <w:rPr>
          <w:rFonts w:eastAsia="Times New Roman" w:cs="Calibri"/>
          <w:sz w:val="24"/>
          <w:szCs w:val="24"/>
          <w:lang w:val="en-US"/>
        </w:rPr>
      </w:pPr>
    </w:p>
    <w:p w14:paraId="2F75AE77" w14:textId="77777777" w:rsidR="006B6616" w:rsidRDefault="00E473AD">
      <w:pPr>
        <w:pStyle w:val="ListParagraph"/>
        <w:numPr>
          <w:ilvl w:val="2"/>
          <w:numId w:val="4"/>
        </w:numPr>
        <w:tabs>
          <w:tab w:val="left" w:pos="1080"/>
        </w:tabs>
        <w:suppressAutoHyphens w:val="0"/>
        <w:spacing w:after="0" w:line="240" w:lineRule="auto"/>
        <w:ind w:left="0" w:firstLine="0"/>
        <w:jc w:val="both"/>
        <w:textAlignment w:val="auto"/>
        <w:rPr>
          <w:rFonts w:cs="Calibri"/>
        </w:rPr>
      </w:pPr>
      <w:r>
        <w:rPr>
          <w:rFonts w:eastAsia="Arial" w:cs="Calibri"/>
          <w:color w:val="000000"/>
          <w:sz w:val="24"/>
          <w:szCs w:val="24"/>
          <w:lang w:val="en-US"/>
        </w:rPr>
        <w:t xml:space="preserve">Ultracentrifuge the </w:t>
      </w:r>
      <w:r>
        <w:rPr>
          <w:rFonts w:eastAsia="Arial" w:cs="Calibri"/>
          <w:color w:val="000000"/>
          <w:kern w:val="2"/>
          <w:sz w:val="24"/>
          <w:szCs w:val="24"/>
          <w:lang w:val="en-US"/>
        </w:rPr>
        <w:t>tubes</w:t>
      </w:r>
      <w:r>
        <w:rPr>
          <w:rFonts w:eastAsia="Arial" w:cs="Calibri"/>
          <w:color w:val="000000"/>
          <w:sz w:val="24"/>
          <w:szCs w:val="24"/>
          <w:lang w:val="en-US"/>
        </w:rPr>
        <w:t xml:space="preserve"> in a medium </w:t>
      </w:r>
      <w:r>
        <w:rPr>
          <w:rFonts w:eastAsia="Arial" w:cs="Calibri"/>
          <w:color w:val="000000"/>
          <w:kern w:val="2"/>
          <w:sz w:val="24"/>
          <w:szCs w:val="24"/>
          <w:lang w:val="en-US"/>
        </w:rPr>
        <w:t>volume</w:t>
      </w:r>
      <w:r>
        <w:rPr>
          <w:rFonts w:eastAsia="Arial" w:cs="Calibri"/>
          <w:color w:val="000000"/>
          <w:sz w:val="24"/>
          <w:szCs w:val="24"/>
          <w:lang w:val="en-US"/>
        </w:rPr>
        <w:t xml:space="preserve"> swing-bucket rotor </w:t>
      </w:r>
      <w:r>
        <w:rPr>
          <w:rFonts w:cs="Calibri"/>
          <w:sz w:val="24"/>
          <w:szCs w:val="24"/>
          <w:lang w:val="en-US"/>
        </w:rPr>
        <w:t xml:space="preserve">at 4 °C, average g-force 178,305 x </w:t>
      </w:r>
      <w:r>
        <w:rPr>
          <w:rFonts w:cs="Calibri"/>
          <w:i/>
          <w:iCs/>
          <w:sz w:val="24"/>
          <w:szCs w:val="24"/>
          <w:lang w:val="en-US"/>
        </w:rPr>
        <w:t>g</w:t>
      </w:r>
      <w:r>
        <w:rPr>
          <w:rFonts w:cs="Calibri"/>
          <w:sz w:val="24"/>
          <w:szCs w:val="24"/>
          <w:lang w:val="en-US"/>
        </w:rPr>
        <w:t xml:space="preserve"> (k-factor 143.9) for 1 h 45 min.</w:t>
      </w:r>
    </w:p>
    <w:p w14:paraId="50B2DC14" w14:textId="77777777" w:rsidR="006B6616" w:rsidRDefault="006B6616">
      <w:pPr>
        <w:pStyle w:val="ListParagraph"/>
        <w:tabs>
          <w:tab w:val="left" w:pos="1080"/>
        </w:tabs>
        <w:suppressAutoHyphens w:val="0"/>
        <w:spacing w:after="0" w:line="240" w:lineRule="auto"/>
        <w:ind w:left="0"/>
        <w:jc w:val="both"/>
        <w:textAlignment w:val="auto"/>
        <w:rPr>
          <w:rFonts w:cs="Calibri"/>
          <w:sz w:val="24"/>
          <w:szCs w:val="24"/>
          <w:lang w:val="en-US"/>
        </w:rPr>
      </w:pPr>
    </w:p>
    <w:p w14:paraId="78B1C4BA" w14:textId="476CD46C" w:rsidR="006B6616" w:rsidRDefault="00E473AD">
      <w:pPr>
        <w:pStyle w:val="ListParagraph"/>
        <w:numPr>
          <w:ilvl w:val="2"/>
          <w:numId w:val="4"/>
        </w:numPr>
        <w:tabs>
          <w:tab w:val="left" w:pos="1080"/>
        </w:tabs>
        <w:suppressAutoHyphens w:val="0"/>
        <w:spacing w:after="0" w:line="240" w:lineRule="auto"/>
        <w:ind w:left="0" w:firstLine="0"/>
        <w:jc w:val="both"/>
        <w:textAlignment w:val="auto"/>
        <w:rPr>
          <w:rFonts w:cs="Calibri"/>
        </w:rPr>
      </w:pPr>
      <w:r>
        <w:rPr>
          <w:rFonts w:cs="Calibri"/>
          <w:sz w:val="24"/>
          <w:szCs w:val="24"/>
          <w:lang w:val="en-US"/>
        </w:rPr>
        <w:t xml:space="preserve">30 min prior to the spin completion, set up and baseline the gradient fractionator, as described in the yeast protocol steps </w:t>
      </w:r>
      <w:r>
        <w:rPr>
          <w:rFonts w:cs="Calibri"/>
          <w:color w:val="000000"/>
          <w:sz w:val="24"/>
          <w:szCs w:val="24"/>
          <w:lang w:val="en-US"/>
        </w:rPr>
        <w:t>1.4.7–1.4.9</w:t>
      </w:r>
      <w:r>
        <w:rPr>
          <w:rFonts w:cs="Calibri"/>
          <w:sz w:val="24"/>
          <w:szCs w:val="24"/>
          <w:lang w:val="en-US"/>
        </w:rPr>
        <w:t>.</w:t>
      </w:r>
    </w:p>
    <w:p w14:paraId="56D50F20" w14:textId="77777777" w:rsidR="006B6616" w:rsidRDefault="006B6616">
      <w:pPr>
        <w:pStyle w:val="ListParagraph"/>
        <w:tabs>
          <w:tab w:val="left" w:pos="1080"/>
        </w:tabs>
        <w:suppressAutoHyphens w:val="0"/>
        <w:spacing w:after="0" w:line="240" w:lineRule="auto"/>
        <w:ind w:left="0"/>
        <w:jc w:val="both"/>
        <w:textAlignment w:val="auto"/>
        <w:rPr>
          <w:rFonts w:cs="Calibri"/>
          <w:sz w:val="24"/>
          <w:szCs w:val="24"/>
          <w:lang w:val="en-US"/>
        </w:rPr>
      </w:pPr>
    </w:p>
    <w:p w14:paraId="46B22CB2" w14:textId="77777777" w:rsidR="006B6616" w:rsidRDefault="00E473AD">
      <w:pPr>
        <w:pStyle w:val="ListParagraph"/>
        <w:numPr>
          <w:ilvl w:val="2"/>
          <w:numId w:val="4"/>
        </w:numPr>
        <w:tabs>
          <w:tab w:val="left" w:pos="1080"/>
        </w:tabs>
        <w:suppressAutoHyphens w:val="0"/>
        <w:spacing w:after="0" w:line="240" w:lineRule="auto"/>
        <w:ind w:left="0" w:firstLine="0"/>
        <w:jc w:val="both"/>
        <w:textAlignment w:val="auto"/>
        <w:rPr>
          <w:rFonts w:cs="Calibri"/>
        </w:rPr>
      </w:pPr>
      <w:r>
        <w:rPr>
          <w:rFonts w:cs="Calibri"/>
          <w:sz w:val="24"/>
          <w:szCs w:val="24"/>
          <w:lang w:val="en-US"/>
        </w:rPr>
        <w:t>Fractionate the gradients generally as described in the yeast protocol steps 1.4.10–1.4.11.</w:t>
      </w:r>
    </w:p>
    <w:p w14:paraId="3C697BFC" w14:textId="77777777" w:rsidR="006B6616" w:rsidRDefault="006B6616">
      <w:pPr>
        <w:pStyle w:val="ListParagraph"/>
        <w:tabs>
          <w:tab w:val="left" w:pos="1080"/>
        </w:tabs>
        <w:suppressAutoHyphens w:val="0"/>
        <w:spacing w:after="0" w:line="240" w:lineRule="auto"/>
        <w:ind w:left="0"/>
        <w:jc w:val="both"/>
        <w:textAlignment w:val="auto"/>
        <w:rPr>
          <w:rFonts w:cs="Calibri"/>
          <w:sz w:val="24"/>
          <w:szCs w:val="24"/>
          <w:lang w:val="en-US"/>
        </w:rPr>
      </w:pPr>
    </w:p>
    <w:p w14:paraId="35C64BCA" w14:textId="77777777" w:rsidR="006B6616" w:rsidRDefault="00E473AD">
      <w:pPr>
        <w:pStyle w:val="ListParagraph"/>
        <w:tabs>
          <w:tab w:val="left" w:pos="1080"/>
        </w:tabs>
        <w:suppressAutoHyphens w:val="0"/>
        <w:spacing w:after="0" w:line="240" w:lineRule="auto"/>
        <w:ind w:left="0"/>
        <w:jc w:val="both"/>
        <w:textAlignment w:val="auto"/>
      </w:pPr>
      <w:r>
        <w:rPr>
          <w:rFonts w:cs="Calibri"/>
          <w:sz w:val="24"/>
          <w:szCs w:val="24"/>
          <w:lang w:val="en-US"/>
        </w:rPr>
        <w:t>NOTE: This step will separate</w:t>
      </w:r>
      <w:r>
        <w:rPr>
          <w:rStyle w:val="normaltextrun"/>
          <w:rFonts w:cs="Calibri"/>
          <w:color w:val="000000"/>
          <w:sz w:val="24"/>
          <w:szCs w:val="24"/>
          <w:lang w:val="en-US"/>
        </w:rPr>
        <w:t xml:space="preserve"> </w:t>
      </w:r>
      <w:proofErr w:type="spellStart"/>
      <w:r>
        <w:rPr>
          <w:rStyle w:val="normaltextrun"/>
          <w:rFonts w:cs="Calibri"/>
          <w:color w:val="000000"/>
          <w:sz w:val="24"/>
          <w:szCs w:val="24"/>
          <w:lang w:val="en-US"/>
        </w:rPr>
        <w:t>polysomal</w:t>
      </w:r>
      <w:proofErr w:type="spellEnd"/>
      <w:r>
        <w:rPr>
          <w:rStyle w:val="normaltextrun"/>
          <w:rFonts w:cs="Calibri"/>
          <w:color w:val="000000"/>
          <w:sz w:val="24"/>
          <w:szCs w:val="24"/>
          <w:lang w:val="en-US"/>
        </w:rPr>
        <w:t>, ribosomal and ‘free’ SSU fractions</w:t>
      </w:r>
      <w:r>
        <w:rPr>
          <w:rFonts w:cs="Calibri"/>
          <w:sz w:val="24"/>
          <w:szCs w:val="24"/>
          <w:lang w:val="en-US"/>
        </w:rPr>
        <w:t xml:space="preserve">. </w:t>
      </w:r>
      <w:proofErr w:type="spellStart"/>
      <w:r>
        <w:rPr>
          <w:rFonts w:cs="Calibri"/>
          <w:sz w:val="24"/>
          <w:szCs w:val="24"/>
          <w:lang w:val="en-US"/>
        </w:rPr>
        <w:t>Polysomal</w:t>
      </w:r>
      <w:proofErr w:type="spellEnd"/>
      <w:r>
        <w:rPr>
          <w:rFonts w:cs="Calibri"/>
          <w:sz w:val="24"/>
          <w:szCs w:val="24"/>
          <w:lang w:val="en-US"/>
        </w:rPr>
        <w:t xml:space="preserve"> fractions may be used in polysome profiling experiments.</w:t>
      </w:r>
    </w:p>
    <w:p w14:paraId="135644AD" w14:textId="77777777" w:rsidR="006B6616" w:rsidRDefault="006B6616">
      <w:pPr>
        <w:pStyle w:val="ListParagraph"/>
        <w:tabs>
          <w:tab w:val="left" w:pos="1080"/>
        </w:tabs>
        <w:suppressAutoHyphens w:val="0"/>
        <w:spacing w:after="0" w:line="240" w:lineRule="auto"/>
        <w:ind w:left="0"/>
        <w:jc w:val="both"/>
        <w:textAlignment w:val="auto"/>
        <w:rPr>
          <w:rFonts w:cs="Calibri"/>
          <w:sz w:val="24"/>
          <w:szCs w:val="24"/>
          <w:lang w:val="en-US"/>
        </w:rPr>
      </w:pPr>
    </w:p>
    <w:p w14:paraId="6F954E7A" w14:textId="77777777" w:rsidR="006B6616" w:rsidRDefault="00E473AD">
      <w:pPr>
        <w:pStyle w:val="ListParagraph"/>
        <w:numPr>
          <w:ilvl w:val="2"/>
          <w:numId w:val="4"/>
        </w:numPr>
        <w:tabs>
          <w:tab w:val="left" w:pos="1080"/>
        </w:tabs>
        <w:suppressAutoHyphens w:val="0"/>
        <w:spacing w:after="0" w:line="240" w:lineRule="auto"/>
        <w:ind w:left="0" w:firstLine="0"/>
        <w:jc w:val="both"/>
        <w:textAlignment w:val="auto"/>
        <w:rPr>
          <w:rFonts w:cs="Calibri"/>
        </w:rPr>
      </w:pPr>
      <w:r>
        <w:rPr>
          <w:rFonts w:cs="Calibri"/>
          <w:sz w:val="24"/>
          <w:szCs w:val="24"/>
          <w:lang w:val="en-US"/>
        </w:rPr>
        <w:t>Immediately transfer the collected fractions on ice and if not further processed, store at -</w:t>
      </w:r>
      <w:r>
        <w:rPr>
          <w:rFonts w:eastAsia="Times New Roman" w:cs="Calibri"/>
          <w:sz w:val="24"/>
          <w:szCs w:val="24"/>
          <w:lang w:val="en-US"/>
        </w:rPr>
        <w:t>80°C up to 6 months.</w:t>
      </w:r>
    </w:p>
    <w:p w14:paraId="4DF08FE9" w14:textId="77777777" w:rsidR="006B6616" w:rsidRDefault="006B6616">
      <w:pPr>
        <w:pStyle w:val="ListParagraph"/>
        <w:tabs>
          <w:tab w:val="left" w:pos="1080"/>
        </w:tabs>
        <w:suppressAutoHyphens w:val="0"/>
        <w:spacing w:after="0" w:line="240" w:lineRule="auto"/>
        <w:ind w:left="0"/>
        <w:jc w:val="both"/>
        <w:textAlignment w:val="auto"/>
        <w:rPr>
          <w:rFonts w:eastAsia="Times New Roman" w:cs="Calibri"/>
          <w:sz w:val="24"/>
          <w:szCs w:val="24"/>
          <w:lang w:val="en-US"/>
        </w:rPr>
      </w:pPr>
    </w:p>
    <w:p w14:paraId="20CDC593" w14:textId="3E693BD4" w:rsidR="006B6616" w:rsidRDefault="00E473AD">
      <w:pPr>
        <w:suppressAutoHyphens/>
        <w:jc w:val="both"/>
        <w:rPr>
          <w:rFonts w:ascii="Calibri" w:hAnsi="Calibri" w:cs="Calibri"/>
        </w:rPr>
      </w:pPr>
      <w:r>
        <w:rPr>
          <w:rFonts w:ascii="Calibri" w:hAnsi="Calibri" w:cs="Calibri"/>
          <w:lang w:val="en-US"/>
        </w:rPr>
        <w:t xml:space="preserve">NOTE: If the fraction collector tube change is synchronized with the on-line fraction identification and segregation, we recommend using up to 800 μL fractions (collection time of 32 s per fraction at 1.5 mL/min). If the fractionation is performed without using the in-line absorbance readout, it is recommended using 250–500 μL fractions (10–20 s per fraction at 1.5 mL/min). Following separation, the fractions can be used for </w:t>
      </w:r>
      <w:proofErr w:type="spellStart"/>
      <w:r>
        <w:rPr>
          <w:rFonts w:ascii="Calibri" w:hAnsi="Calibri" w:cs="Calibri"/>
          <w:lang w:val="en-US"/>
        </w:rPr>
        <w:t>immunopurification</w:t>
      </w:r>
      <w:proofErr w:type="spellEnd"/>
      <w:r>
        <w:rPr>
          <w:rFonts w:ascii="Calibri" w:hAnsi="Calibri" w:cs="Calibri"/>
          <w:lang w:val="en-US"/>
        </w:rPr>
        <w:t xml:space="preserve">, electron microscopy, denaturing </w:t>
      </w:r>
      <w:proofErr w:type="gramStart"/>
      <w:r>
        <w:rPr>
          <w:rFonts w:ascii="Calibri" w:hAnsi="Calibri" w:cs="Calibri"/>
          <w:lang w:val="en-US"/>
        </w:rPr>
        <w:t>PAGE</w:t>
      </w:r>
      <w:proofErr w:type="gramEnd"/>
      <w:r>
        <w:rPr>
          <w:rFonts w:ascii="Calibri" w:hAnsi="Calibri" w:cs="Calibri"/>
          <w:lang w:val="en-US"/>
        </w:rPr>
        <w:t xml:space="preserve"> and western blotting straight away, or subjected to crosslink reversal for subsequent RNA and/or proteomics analyses.</w:t>
      </w:r>
    </w:p>
    <w:p w14:paraId="11214969" w14:textId="77777777" w:rsidR="006B6616" w:rsidRDefault="006B6616">
      <w:pPr>
        <w:jc w:val="both"/>
        <w:rPr>
          <w:rFonts w:ascii="Calibri" w:hAnsi="Calibri" w:cs="Calibri"/>
          <w:lang w:val="en-US"/>
        </w:rPr>
      </w:pPr>
    </w:p>
    <w:p w14:paraId="4509ECAE" w14:textId="77777777" w:rsidR="006B6616" w:rsidRDefault="00E473AD">
      <w:pPr>
        <w:pStyle w:val="EndNoteBibliography"/>
        <w:rPr>
          <w:rFonts w:ascii="Calibri" w:hAnsi="Calibri" w:cs="Calibri"/>
        </w:rPr>
      </w:pPr>
      <w:r>
        <w:rPr>
          <w:rFonts w:ascii="Calibri" w:hAnsi="Calibri" w:cs="Calibri"/>
          <w:b/>
          <w:bCs/>
        </w:rPr>
        <w:t>REPRESENTATIVE RESULTS:</w:t>
      </w:r>
    </w:p>
    <w:p w14:paraId="28C99725" w14:textId="1C042BF0" w:rsidR="006B6616" w:rsidRDefault="00E473AD">
      <w:pPr>
        <w:jc w:val="both"/>
        <w:rPr>
          <w:rFonts w:ascii="Calibri" w:hAnsi="Calibri" w:cs="Calibri"/>
        </w:rPr>
      </w:pPr>
      <w:r>
        <w:rPr>
          <w:rFonts w:ascii="Calibri" w:hAnsi="Calibri" w:cs="Calibri"/>
          <w:color w:val="000000"/>
          <w:lang w:val="en-US"/>
        </w:rPr>
        <w:t xml:space="preserve">Translational complexes are sensitive to the ionic composition of the buffers, which is particularly important during ultracentrifugation where sedimentation properties are assessed. We thus tested several sedimentation buffers using clarified lysate extracted from ground non-fixed yeast material, </w:t>
      </w:r>
      <w:proofErr w:type="gramStart"/>
      <w:r>
        <w:rPr>
          <w:rFonts w:ascii="Calibri" w:hAnsi="Calibri" w:cs="Calibri"/>
          <w:color w:val="000000"/>
          <w:lang w:val="en-US"/>
        </w:rPr>
        <w:t>in order to</w:t>
      </w:r>
      <w:proofErr w:type="gramEnd"/>
      <w:r>
        <w:rPr>
          <w:rFonts w:ascii="Calibri" w:hAnsi="Calibri" w:cs="Calibri"/>
          <w:color w:val="000000"/>
          <w:lang w:val="en-US"/>
        </w:rPr>
        <w:t xml:space="preserve"> select conditions best suited to resolve translational complexes and separate ribosomal subunits (SSU, LSU), monosomes (RS) and polysomes across the gradient. All buffers were based on the core composition containing </w:t>
      </w:r>
      <w:bookmarkStart w:id="11" w:name="_Hlk62727556"/>
      <w:r>
        <w:rPr>
          <w:rFonts w:ascii="Calibri" w:hAnsi="Calibri" w:cs="Calibri"/>
          <w:color w:val="000000"/>
          <w:lang w:val="en-US"/>
        </w:rPr>
        <w:t>25 mM HEPES-KOH pH 7.6 and 2 mM DTT</w:t>
      </w:r>
      <w:bookmarkEnd w:id="11"/>
      <w:r>
        <w:rPr>
          <w:rFonts w:ascii="Calibri" w:hAnsi="Calibri" w:cs="Calibri"/>
          <w:color w:val="000000"/>
          <w:lang w:val="en-US"/>
        </w:rPr>
        <w:t xml:space="preserve">. The concentrations of </w:t>
      </w:r>
      <w:proofErr w:type="spellStart"/>
      <w:r>
        <w:rPr>
          <w:rFonts w:ascii="Calibri" w:hAnsi="Calibri" w:cs="Calibri"/>
          <w:color w:val="000000"/>
          <w:lang w:val="en-US"/>
        </w:rPr>
        <w:t>KCl</w:t>
      </w:r>
      <w:proofErr w:type="spellEnd"/>
      <w:r>
        <w:rPr>
          <w:rFonts w:ascii="Calibri" w:hAnsi="Calibri" w:cs="Calibri"/>
          <w:color w:val="000000"/>
          <w:lang w:val="en-US"/>
        </w:rPr>
        <w:t>, MgCl</w:t>
      </w:r>
      <w:r>
        <w:rPr>
          <w:rFonts w:ascii="Calibri" w:hAnsi="Calibri" w:cs="Calibri"/>
          <w:color w:val="000000"/>
          <w:vertAlign w:val="subscript"/>
          <w:lang w:val="en-US"/>
        </w:rPr>
        <w:t>2</w:t>
      </w:r>
      <w:r>
        <w:rPr>
          <w:rFonts w:ascii="Calibri" w:hAnsi="Calibri" w:cs="Calibri"/>
          <w:color w:val="000000"/>
          <w:lang w:val="en-US"/>
        </w:rPr>
        <w:t>, CaCl</w:t>
      </w:r>
      <w:r>
        <w:rPr>
          <w:rFonts w:ascii="Calibri" w:hAnsi="Calibri" w:cs="Calibri"/>
          <w:color w:val="000000"/>
          <w:vertAlign w:val="subscript"/>
          <w:lang w:val="en-US"/>
        </w:rPr>
        <w:t>2</w:t>
      </w:r>
      <w:r>
        <w:rPr>
          <w:rFonts w:ascii="Calibri" w:hAnsi="Calibri" w:cs="Calibri"/>
          <w:color w:val="000000"/>
          <w:lang w:val="en-US"/>
        </w:rPr>
        <w:t>, and</w:t>
      </w:r>
      <w:r>
        <w:rPr>
          <w:rFonts w:ascii="Calibri" w:hAnsi="Calibri" w:cs="Calibri"/>
          <w:color w:val="000000"/>
          <w:vertAlign w:val="subscript"/>
          <w:lang w:val="en-US"/>
        </w:rPr>
        <w:t xml:space="preserve"> </w:t>
      </w:r>
      <w:r>
        <w:rPr>
          <w:rFonts w:ascii="Calibri" w:hAnsi="Calibri" w:cs="Calibri"/>
          <w:color w:val="000000"/>
          <w:lang w:val="en-US"/>
        </w:rPr>
        <w:t>EDTA were further modified across the buffers (</w:t>
      </w:r>
      <w:r>
        <w:rPr>
          <w:rFonts w:ascii="Calibri" w:hAnsi="Calibri" w:cs="Calibri"/>
          <w:b/>
          <w:bCs/>
          <w:color w:val="000000"/>
          <w:lang w:val="en-US"/>
        </w:rPr>
        <w:t>Figure 2a</w:t>
      </w:r>
      <w:r>
        <w:rPr>
          <w:rFonts w:ascii="Calibri" w:hAnsi="Calibri" w:cs="Calibri"/>
          <w:color w:val="000000"/>
          <w:lang w:val="en-US"/>
        </w:rPr>
        <w:t>), and these components were added to the lysates before gradient loading and to the sucrose gradient buffers before gradient formations, accordingly.</w:t>
      </w:r>
    </w:p>
    <w:p w14:paraId="58B8284D" w14:textId="77777777" w:rsidR="006B6616" w:rsidRDefault="006B6616">
      <w:pPr>
        <w:jc w:val="both"/>
        <w:rPr>
          <w:rFonts w:ascii="Calibri" w:hAnsi="Calibri" w:cs="Calibri"/>
          <w:lang w:val="en-US"/>
        </w:rPr>
      </w:pPr>
    </w:p>
    <w:p w14:paraId="2BEF0537" w14:textId="77777777" w:rsidR="006B6616" w:rsidRDefault="00E473AD">
      <w:pPr>
        <w:widowControl w:val="0"/>
        <w:tabs>
          <w:tab w:val="left" w:pos="270"/>
        </w:tabs>
        <w:jc w:val="both"/>
        <w:rPr>
          <w:rFonts w:ascii="Calibri" w:hAnsi="Calibri" w:cs="Calibri"/>
        </w:rPr>
      </w:pPr>
      <w:r>
        <w:rPr>
          <w:rFonts w:ascii="Calibri" w:hAnsi="Calibri" w:cs="Calibri"/>
          <w:color w:val="000000"/>
          <w:lang w:val="en-US"/>
        </w:rPr>
        <w:t>In buffers 1 and 2 well-resolved translational complexes were obtained. Buffer 1 resulted in somewhat better separation of the small ribosomal subunits (SSUs) (</w:t>
      </w:r>
      <w:r>
        <w:rPr>
          <w:rFonts w:ascii="Calibri" w:hAnsi="Calibri" w:cs="Calibri"/>
          <w:b/>
          <w:color w:val="000000"/>
          <w:lang w:val="en-US"/>
        </w:rPr>
        <w:t>Figure 2a</w:t>
      </w:r>
      <w:r>
        <w:rPr>
          <w:rFonts w:ascii="Calibri" w:hAnsi="Calibri" w:cs="Calibri"/>
          <w:color w:val="000000"/>
          <w:lang w:val="en-US"/>
        </w:rPr>
        <w:t>). Omittance of MgCl</w:t>
      </w:r>
      <w:r>
        <w:rPr>
          <w:rFonts w:ascii="Calibri" w:hAnsi="Calibri" w:cs="Calibri"/>
          <w:color w:val="000000"/>
          <w:vertAlign w:val="subscript"/>
          <w:lang w:val="en-US"/>
        </w:rPr>
        <w:t>2</w:t>
      </w:r>
      <w:r>
        <w:rPr>
          <w:rFonts w:ascii="Calibri" w:hAnsi="Calibri" w:cs="Calibri"/>
          <w:color w:val="000000"/>
          <w:lang w:val="en-US"/>
        </w:rPr>
        <w:t xml:space="preserve"> and addition of EDTA (buffers 3,4) caused loss of the high sedimentation properties for most of the polysomes and likely their partial disassembly (</w:t>
      </w:r>
      <w:r>
        <w:rPr>
          <w:rFonts w:ascii="Calibri" w:hAnsi="Calibri" w:cs="Calibri"/>
          <w:b/>
          <w:color w:val="000000"/>
          <w:lang w:val="en-US"/>
        </w:rPr>
        <w:t>Figure 2a</w:t>
      </w:r>
      <w:r>
        <w:rPr>
          <w:rFonts w:ascii="Calibri" w:hAnsi="Calibri" w:cs="Calibri"/>
          <w:color w:val="000000"/>
          <w:lang w:val="en-US"/>
        </w:rPr>
        <w:t>).</w:t>
      </w:r>
      <w:r>
        <w:rPr>
          <w:rFonts w:ascii="Calibri" w:hAnsi="Calibri" w:cs="Calibri"/>
          <w:bCs/>
          <w:color w:val="000000"/>
          <w:lang w:val="en-US"/>
        </w:rPr>
        <w:t xml:space="preserve"> </w:t>
      </w:r>
      <w:r>
        <w:rPr>
          <w:rFonts w:ascii="Calibri" w:hAnsi="Calibri" w:cs="Calibri"/>
          <w:color w:val="000000"/>
          <w:lang w:val="en-US"/>
        </w:rPr>
        <w:t>While addition of 2.5 mM CaCl</w:t>
      </w:r>
      <w:r>
        <w:rPr>
          <w:rFonts w:ascii="Calibri" w:hAnsi="Calibri" w:cs="Calibri"/>
          <w:color w:val="000000"/>
          <w:vertAlign w:val="subscript"/>
          <w:lang w:val="en-US"/>
        </w:rPr>
        <w:t>2</w:t>
      </w:r>
      <w:r>
        <w:rPr>
          <w:rFonts w:ascii="Calibri" w:hAnsi="Calibri" w:cs="Calibri"/>
          <w:color w:val="000000"/>
          <w:lang w:val="en-US"/>
        </w:rPr>
        <w:t xml:space="preserve"> resulted in somewhat more homogeneous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peaks, the improvement was marginal and the overall amount of the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material decreased in this case (</w:t>
      </w:r>
      <w:r>
        <w:rPr>
          <w:rFonts w:ascii="Calibri" w:hAnsi="Calibri" w:cs="Calibri"/>
          <w:b/>
          <w:color w:val="000000"/>
          <w:lang w:val="en-US"/>
        </w:rPr>
        <w:t>Figure 2a</w:t>
      </w:r>
      <w:r>
        <w:rPr>
          <w:rFonts w:ascii="Calibri" w:hAnsi="Calibri" w:cs="Calibri"/>
          <w:color w:val="000000"/>
          <w:lang w:val="en-US"/>
        </w:rPr>
        <w:t>) as compared to buffers 1 and 2. We thus selected buffer 1 as the working buffer of choice.</w:t>
      </w:r>
    </w:p>
    <w:p w14:paraId="0BA7D065" w14:textId="77777777" w:rsidR="006B6616" w:rsidRDefault="006B6616">
      <w:pPr>
        <w:widowControl w:val="0"/>
        <w:tabs>
          <w:tab w:val="left" w:pos="270"/>
        </w:tabs>
        <w:jc w:val="both"/>
        <w:rPr>
          <w:rFonts w:ascii="Calibri" w:hAnsi="Calibri" w:cs="Calibri"/>
          <w:lang w:val="en-US"/>
        </w:rPr>
      </w:pPr>
    </w:p>
    <w:p w14:paraId="3FF27C1F" w14:textId="77777777" w:rsidR="006B6616" w:rsidRDefault="00E473AD">
      <w:pPr>
        <w:widowControl w:val="0"/>
        <w:tabs>
          <w:tab w:val="left" w:pos="270"/>
        </w:tabs>
        <w:jc w:val="both"/>
        <w:rPr>
          <w:rFonts w:ascii="Calibri" w:hAnsi="Calibri" w:cs="Calibri"/>
        </w:rPr>
      </w:pPr>
      <w:r>
        <w:rPr>
          <w:rFonts w:ascii="Calibri" w:hAnsi="Calibri" w:cs="Calibri"/>
          <w:color w:val="000000"/>
          <w:lang w:val="en-US"/>
        </w:rPr>
        <w:t>[Place Figure 2 here]</w:t>
      </w:r>
    </w:p>
    <w:p w14:paraId="54908B66" w14:textId="77777777" w:rsidR="006B6616" w:rsidRDefault="006B6616">
      <w:pPr>
        <w:jc w:val="both"/>
        <w:rPr>
          <w:rFonts w:ascii="Calibri" w:hAnsi="Calibri" w:cs="Calibri"/>
          <w:color w:val="000000"/>
          <w:lang w:val="en-US"/>
        </w:rPr>
      </w:pPr>
    </w:p>
    <w:p w14:paraId="4840B59A" w14:textId="671655A6" w:rsidR="006B6616" w:rsidRDefault="00E473AD">
      <w:pPr>
        <w:jc w:val="both"/>
        <w:rPr>
          <w:rFonts w:ascii="Calibri" w:hAnsi="Calibri" w:cs="Calibri"/>
        </w:rPr>
      </w:pPr>
      <w:r>
        <w:rPr>
          <w:rFonts w:ascii="Calibri" w:hAnsi="Calibri" w:cs="Calibri"/>
          <w:color w:val="000000"/>
          <w:lang w:val="en-US"/>
        </w:rPr>
        <w:t xml:space="preserve">We next checked the effect of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stabilization by fixation with different formaldehyde concentrations. Using the otherwise same cell material, buffers, cell handling and timing approaches, we compared material extracted from non-fixed cells and cells fixed with 2.2% and 4% w/v of formaldehyde (</w:t>
      </w:r>
      <w:r>
        <w:rPr>
          <w:rFonts w:ascii="Calibri" w:hAnsi="Calibri" w:cs="Calibri"/>
          <w:b/>
          <w:color w:val="000000"/>
          <w:lang w:val="en-US"/>
        </w:rPr>
        <w:t>Figure 2</w:t>
      </w:r>
      <w:proofErr w:type="gramStart"/>
      <w:r>
        <w:rPr>
          <w:rFonts w:ascii="Calibri" w:hAnsi="Calibri" w:cs="Calibri"/>
          <w:b/>
          <w:color w:val="000000"/>
          <w:lang w:val="en-US"/>
        </w:rPr>
        <w:t>b,c</w:t>
      </w:r>
      <w:proofErr w:type="gramEnd"/>
      <w:r>
        <w:rPr>
          <w:rFonts w:ascii="Calibri" w:hAnsi="Calibri" w:cs="Calibri"/>
          <w:color w:val="000000"/>
          <w:lang w:val="en-US"/>
        </w:rPr>
        <w:t>). We found that 2.2% w/v of formaldehyde was better suited for fixation as while it excellently preserved the polysomes as can be judged by the polysome-to-monosome ratio (</w:t>
      </w:r>
      <w:r>
        <w:rPr>
          <w:rFonts w:ascii="Calibri" w:hAnsi="Calibri" w:cs="Calibri"/>
          <w:b/>
          <w:color w:val="000000"/>
          <w:lang w:val="en-US"/>
        </w:rPr>
        <w:t>Figure 2b</w:t>
      </w:r>
      <w:r>
        <w:rPr>
          <w:rFonts w:ascii="Calibri" w:hAnsi="Calibri" w:cs="Calibri"/>
          <w:color w:val="000000"/>
          <w:lang w:val="en-US"/>
        </w:rPr>
        <w:t>), it did not reduce the overall yield of the ribosomal material compared to 4% w/v of formaldehyde, which exhibited clear signs of over-fixation (</w:t>
      </w:r>
      <w:r>
        <w:rPr>
          <w:rFonts w:ascii="Calibri" w:hAnsi="Calibri" w:cs="Calibri"/>
          <w:b/>
          <w:color w:val="000000"/>
          <w:lang w:val="en-US"/>
        </w:rPr>
        <w:t>Figure 2c</w:t>
      </w:r>
      <w:r>
        <w:rPr>
          <w:rFonts w:ascii="Calibri" w:hAnsi="Calibri" w:cs="Calibri"/>
          <w:color w:val="000000"/>
          <w:lang w:val="en-US"/>
        </w:rPr>
        <w:t>).</w:t>
      </w:r>
    </w:p>
    <w:p w14:paraId="75839DD9" w14:textId="77777777" w:rsidR="006B6616" w:rsidRDefault="006B6616">
      <w:pPr>
        <w:jc w:val="both"/>
        <w:rPr>
          <w:rFonts w:ascii="Calibri" w:hAnsi="Calibri" w:cs="Calibri"/>
          <w:color w:val="000000"/>
          <w:lang w:val="en-US"/>
        </w:rPr>
      </w:pPr>
    </w:p>
    <w:p w14:paraId="554B83EB" w14:textId="77777777" w:rsidR="006B6616" w:rsidRDefault="00E473AD">
      <w:pPr>
        <w:jc w:val="both"/>
        <w:rPr>
          <w:rFonts w:ascii="Calibri" w:hAnsi="Calibri" w:cs="Calibri"/>
        </w:rPr>
      </w:pPr>
      <w:r>
        <w:rPr>
          <w:rFonts w:ascii="Calibri" w:hAnsi="Calibri" w:cs="Calibri"/>
          <w:color w:val="000000"/>
          <w:lang w:val="en-US"/>
        </w:rPr>
        <w:t xml:space="preserve">For the material derived from mammalian cells, due to the larger lysis buffer-to-cell volume ratio required by the detergent-based extraction, </w:t>
      </w:r>
      <w:r>
        <w:rPr>
          <w:rFonts w:ascii="Calibri" w:hAnsi="Calibri" w:cs="Calibri"/>
          <w:lang w:val="en-US"/>
        </w:rPr>
        <w:t>buffer 2 (</w:t>
      </w:r>
      <w:r>
        <w:rPr>
          <w:rFonts w:ascii="Calibri" w:hAnsi="Calibri" w:cs="Calibri"/>
          <w:b/>
          <w:bCs/>
          <w:lang w:val="en-US"/>
        </w:rPr>
        <w:t>Figure 2a</w:t>
      </w:r>
      <w:r>
        <w:rPr>
          <w:rFonts w:ascii="Calibri" w:hAnsi="Calibri" w:cs="Calibri"/>
          <w:lang w:val="en-US"/>
        </w:rPr>
        <w:t>) was used</w:t>
      </w:r>
      <w:r>
        <w:rPr>
          <w:rFonts w:ascii="Calibri" w:hAnsi="Calibri" w:cs="Calibri"/>
          <w:color w:val="000000"/>
          <w:lang w:val="en-US"/>
        </w:rPr>
        <w:t>. This produced well-resolved translational complexes upon sedimentation in sucrose gradients (</w:t>
      </w:r>
      <w:r>
        <w:rPr>
          <w:rFonts w:ascii="Calibri" w:hAnsi="Calibri" w:cs="Calibri"/>
          <w:b/>
          <w:bCs/>
          <w:color w:val="000000"/>
          <w:lang w:val="en-US"/>
        </w:rPr>
        <w:t>Figure 2d</w:t>
      </w:r>
      <w:r>
        <w:rPr>
          <w:rFonts w:ascii="Calibri" w:hAnsi="Calibri" w:cs="Calibri"/>
          <w:color w:val="000000"/>
          <w:lang w:val="en-US"/>
        </w:rPr>
        <w:t xml:space="preserve">). Notably, a much lower concentration of formaldehyde of 0.2% w/v was used, as higher concentrations resulted in substantial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and ribosomal material loss (data not shown). In similarity to the results obtained with yeast cells, crosslink-stabilized material demonstrated better preservation of the polysomes and higher polysome-to-monosome ratio (</w:t>
      </w:r>
      <w:r>
        <w:rPr>
          <w:rFonts w:ascii="Calibri" w:hAnsi="Calibri" w:cs="Calibri"/>
          <w:b/>
          <w:bCs/>
          <w:color w:val="000000"/>
          <w:lang w:val="en-US"/>
        </w:rPr>
        <w:t>Figure 2d</w:t>
      </w:r>
      <w:r>
        <w:rPr>
          <w:rFonts w:ascii="Calibri" w:hAnsi="Calibri" w:cs="Calibri"/>
          <w:color w:val="000000"/>
          <w:lang w:val="en-US"/>
        </w:rPr>
        <w:t>).</w:t>
      </w:r>
    </w:p>
    <w:p w14:paraId="4D10B266" w14:textId="77777777" w:rsidR="006B6616" w:rsidRDefault="006B6616">
      <w:pPr>
        <w:jc w:val="both"/>
        <w:rPr>
          <w:rFonts w:ascii="Calibri" w:hAnsi="Calibri" w:cs="Calibri"/>
          <w:color w:val="000000"/>
        </w:rPr>
      </w:pPr>
    </w:p>
    <w:p w14:paraId="1498DFB4" w14:textId="77777777" w:rsidR="006B6616" w:rsidRDefault="00E473AD">
      <w:pPr>
        <w:jc w:val="both"/>
        <w:rPr>
          <w:rFonts w:ascii="Calibri" w:hAnsi="Calibri" w:cs="Calibri"/>
        </w:rPr>
      </w:pPr>
      <w:r>
        <w:rPr>
          <w:rFonts w:ascii="Calibri" w:hAnsi="Calibri" w:cs="Calibri"/>
          <w:color w:val="000000"/>
          <w:lang w:val="en-US"/>
        </w:rPr>
        <w:t xml:space="preserve">We next tested whether the selected formaldehyde fixation conditions are efficient enough to stabilize actively translated mRNA within the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fractions </w:t>
      </w:r>
      <w:proofErr w:type="gramStart"/>
      <w:r>
        <w:rPr>
          <w:rFonts w:ascii="Calibri" w:hAnsi="Calibri" w:cs="Calibri"/>
          <w:color w:val="000000"/>
          <w:lang w:val="en-US"/>
        </w:rPr>
        <w:t>as a result of</w:t>
      </w:r>
      <w:proofErr w:type="gramEnd"/>
      <w:r>
        <w:rPr>
          <w:rFonts w:ascii="Calibri" w:hAnsi="Calibri" w:cs="Calibri"/>
          <w:color w:val="000000"/>
          <w:lang w:val="en-US"/>
        </w:rPr>
        <w:t xml:space="preserve"> crosslinking, and the improved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yield is not just a consequence of inhibiting enzyme function and translation elongation progression. We used EDTA and high monovalent salt (</w:t>
      </w:r>
      <w:proofErr w:type="spellStart"/>
      <w:r>
        <w:rPr>
          <w:rFonts w:ascii="Calibri" w:hAnsi="Calibri" w:cs="Calibri"/>
          <w:color w:val="000000"/>
          <w:lang w:val="en-US"/>
        </w:rPr>
        <w:t>KCl</w:t>
      </w:r>
      <w:proofErr w:type="spellEnd"/>
      <w:r>
        <w:rPr>
          <w:rFonts w:ascii="Calibri" w:hAnsi="Calibri" w:cs="Calibri"/>
          <w:color w:val="000000"/>
          <w:lang w:val="en-US"/>
        </w:rPr>
        <w:t xml:space="preserve">) to destabilize polysomes and ribosomes. These reagents were added to the clarified yeast cell </w:t>
      </w:r>
      <w:proofErr w:type="gramStart"/>
      <w:r>
        <w:rPr>
          <w:rFonts w:ascii="Calibri" w:hAnsi="Calibri" w:cs="Calibri"/>
          <w:color w:val="000000"/>
          <w:lang w:val="en-US"/>
        </w:rPr>
        <w:t>lysates, and</w:t>
      </w:r>
      <w:proofErr w:type="gramEnd"/>
      <w:r>
        <w:rPr>
          <w:rFonts w:ascii="Calibri" w:hAnsi="Calibri" w:cs="Calibri"/>
          <w:color w:val="000000"/>
          <w:lang w:val="en-US"/>
        </w:rPr>
        <w:t xml:space="preserve"> included in all subsequent buffers and sucrose gradients on top of the buffer 1 composition, respectively.</w:t>
      </w:r>
    </w:p>
    <w:p w14:paraId="47CABE67" w14:textId="77777777" w:rsidR="006B6616" w:rsidRDefault="006B6616">
      <w:pPr>
        <w:jc w:val="both"/>
        <w:rPr>
          <w:rFonts w:ascii="Calibri" w:hAnsi="Calibri" w:cs="Calibri"/>
          <w:color w:val="000000"/>
          <w:lang w:val="en-US"/>
        </w:rPr>
      </w:pPr>
    </w:p>
    <w:p w14:paraId="47F7503B" w14:textId="77777777" w:rsidR="006B6616" w:rsidRDefault="00E473AD">
      <w:pPr>
        <w:jc w:val="both"/>
        <w:rPr>
          <w:rFonts w:ascii="Calibri" w:hAnsi="Calibri" w:cs="Calibri"/>
        </w:rPr>
      </w:pPr>
      <w:r>
        <w:rPr>
          <w:rFonts w:ascii="Calibri" w:hAnsi="Calibri" w:cs="Calibri"/>
          <w:color w:val="000000"/>
          <w:lang w:val="en-US"/>
        </w:rPr>
        <w:t xml:space="preserve">Indeed, 15 mM EDTA exhibited lesser destabilization effect on the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fractions derived from the fixed cells (</w:t>
      </w:r>
      <w:r>
        <w:rPr>
          <w:rFonts w:ascii="Calibri" w:hAnsi="Calibri" w:cs="Calibri"/>
          <w:b/>
          <w:color w:val="000000"/>
          <w:lang w:val="en-US"/>
        </w:rPr>
        <w:t>Figure 3a</w:t>
      </w:r>
      <w:r>
        <w:rPr>
          <w:rFonts w:ascii="Calibri" w:hAnsi="Calibri" w:cs="Calibri"/>
          <w:color w:val="000000"/>
          <w:lang w:val="en-US"/>
        </w:rPr>
        <w:t>), confirming that the crosslinked complexes are more robust. The destabilizing effects of EDTA can be somewhat overcome by increasing the concentration of formaldehyde, as material from the 4% w/v of fixed cells resisted unfolding better (</w:t>
      </w:r>
      <w:r>
        <w:rPr>
          <w:rFonts w:ascii="Calibri" w:hAnsi="Calibri" w:cs="Calibri"/>
          <w:b/>
          <w:color w:val="000000"/>
          <w:lang w:val="en-US"/>
        </w:rPr>
        <w:t>Figure 3a</w:t>
      </w:r>
      <w:r>
        <w:rPr>
          <w:rFonts w:ascii="Calibri" w:hAnsi="Calibri" w:cs="Calibri"/>
          <w:color w:val="000000"/>
          <w:lang w:val="en-US"/>
        </w:rPr>
        <w:t>). However, increasing EDTA concentration to 50 mM resulted in destabilization of most of the translational complexes under both fixed and non-fixed conditions, as can be deduced from the slower sedimentation of the material and absence of well-shaped peaks (</w:t>
      </w:r>
      <w:r>
        <w:rPr>
          <w:rFonts w:ascii="Calibri" w:hAnsi="Calibri" w:cs="Calibri"/>
          <w:b/>
          <w:color w:val="000000"/>
          <w:lang w:val="en-US"/>
        </w:rPr>
        <w:t>Figure 3b</w:t>
      </w:r>
      <w:r>
        <w:rPr>
          <w:rFonts w:ascii="Calibri" w:hAnsi="Calibri" w:cs="Calibri"/>
          <w:color w:val="000000"/>
          <w:lang w:val="en-US"/>
        </w:rPr>
        <w:t xml:space="preserve">). This can be explained by the partial unfolding of structures and overall loss of compactness, rather than by the complete dissociation of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components from the mRNA. Even in this case, the crosslinked material has demonstrated faster sedimentation (</w:t>
      </w:r>
      <w:r>
        <w:rPr>
          <w:rFonts w:ascii="Calibri" w:hAnsi="Calibri" w:cs="Calibri"/>
          <w:b/>
          <w:color w:val="000000"/>
          <w:lang w:val="en-US"/>
        </w:rPr>
        <w:t>Figure 3b</w:t>
      </w:r>
      <w:r>
        <w:rPr>
          <w:rFonts w:ascii="Calibri" w:hAnsi="Calibri" w:cs="Calibri"/>
          <w:color w:val="000000"/>
          <w:lang w:val="en-US"/>
        </w:rPr>
        <w:t>).</w:t>
      </w:r>
    </w:p>
    <w:p w14:paraId="75CDC6F7" w14:textId="77777777" w:rsidR="006B6616" w:rsidRDefault="006B6616">
      <w:pPr>
        <w:jc w:val="both"/>
        <w:rPr>
          <w:rFonts w:ascii="Calibri" w:hAnsi="Calibri" w:cs="Calibri"/>
          <w:color w:val="000000"/>
        </w:rPr>
      </w:pPr>
    </w:p>
    <w:p w14:paraId="7256E245" w14:textId="77777777" w:rsidR="006B6616" w:rsidRDefault="00E473AD">
      <w:pPr>
        <w:widowControl w:val="0"/>
        <w:tabs>
          <w:tab w:val="left" w:pos="270"/>
        </w:tabs>
        <w:jc w:val="both"/>
        <w:rPr>
          <w:rFonts w:ascii="Calibri" w:hAnsi="Calibri" w:cs="Calibri"/>
        </w:rPr>
      </w:pPr>
      <w:r>
        <w:rPr>
          <w:rFonts w:ascii="Calibri" w:hAnsi="Calibri" w:cs="Calibri"/>
          <w:color w:val="000000"/>
          <w:lang w:val="en-US"/>
        </w:rPr>
        <w:t>[Place Figure 3 here]</w:t>
      </w:r>
    </w:p>
    <w:p w14:paraId="0A336AAE" w14:textId="77777777" w:rsidR="006B6616" w:rsidRDefault="006B6616">
      <w:pPr>
        <w:jc w:val="both"/>
        <w:rPr>
          <w:rFonts w:ascii="Calibri" w:hAnsi="Calibri" w:cs="Calibri"/>
          <w:color w:val="000000"/>
          <w:lang w:val="en-US"/>
        </w:rPr>
      </w:pPr>
    </w:p>
    <w:p w14:paraId="71904131" w14:textId="77777777" w:rsidR="006B6616" w:rsidRDefault="00E473AD">
      <w:pPr>
        <w:jc w:val="both"/>
        <w:rPr>
          <w:rFonts w:ascii="Calibri" w:hAnsi="Calibri" w:cs="Calibri"/>
        </w:rPr>
      </w:pPr>
      <w:proofErr w:type="gramStart"/>
      <w:r>
        <w:rPr>
          <w:rFonts w:ascii="Calibri" w:hAnsi="Calibri" w:cs="Calibri"/>
          <w:color w:val="000000"/>
          <w:lang w:val="en-US"/>
        </w:rPr>
        <w:t>Similar to</w:t>
      </w:r>
      <w:proofErr w:type="gramEnd"/>
      <w:r>
        <w:rPr>
          <w:rFonts w:ascii="Calibri" w:hAnsi="Calibri" w:cs="Calibri"/>
          <w:color w:val="000000"/>
          <w:lang w:val="en-US"/>
        </w:rPr>
        <w:t xml:space="preserve"> the EDTA effects, at 500 mM </w:t>
      </w:r>
      <w:proofErr w:type="spellStart"/>
      <w:r>
        <w:rPr>
          <w:rFonts w:ascii="Calibri" w:hAnsi="Calibri" w:cs="Calibri"/>
          <w:color w:val="000000"/>
          <w:lang w:val="en-US"/>
        </w:rPr>
        <w:t>KCl</w:t>
      </w:r>
      <w:proofErr w:type="spellEnd"/>
      <w:r>
        <w:rPr>
          <w:rFonts w:ascii="Calibri" w:hAnsi="Calibri" w:cs="Calibri"/>
          <w:color w:val="000000"/>
          <w:lang w:val="en-US"/>
        </w:rPr>
        <w:t>, we found major improvement of the stability with 4% w/v of formaldehyde fixation (</w:t>
      </w:r>
      <w:r>
        <w:rPr>
          <w:rFonts w:ascii="Calibri" w:hAnsi="Calibri" w:cs="Calibri"/>
          <w:b/>
          <w:color w:val="000000"/>
          <w:lang w:val="en-US"/>
        </w:rPr>
        <w:t>Figure 3c</w:t>
      </w:r>
      <w:r>
        <w:rPr>
          <w:rFonts w:ascii="Calibri" w:hAnsi="Calibri" w:cs="Calibri"/>
          <w:color w:val="000000"/>
          <w:lang w:val="en-US"/>
        </w:rPr>
        <w:t>). The apparent loss of compactness in this case can also be explained by partial detachment of the constituents of the ribosomal complexes, rather than their complete dissociation from the RNA. Overall, polysomes derived from formaldehyde-fixed cells demonstrated higher resistance to unfolding and structural destabilization, consistent with forming additional covalent bonds within these complexes.</w:t>
      </w:r>
    </w:p>
    <w:p w14:paraId="4621E68B" w14:textId="77777777" w:rsidR="006B6616" w:rsidRDefault="006B6616">
      <w:pPr>
        <w:jc w:val="both"/>
        <w:rPr>
          <w:rFonts w:ascii="Calibri" w:hAnsi="Calibri" w:cs="Calibri"/>
          <w:color w:val="000000"/>
          <w:lang w:val="en-US"/>
        </w:rPr>
      </w:pPr>
    </w:p>
    <w:p w14:paraId="1D963226" w14:textId="77777777" w:rsidR="006B6616" w:rsidRDefault="00E473AD">
      <w:pPr>
        <w:jc w:val="both"/>
        <w:rPr>
          <w:rFonts w:ascii="Calibri" w:hAnsi="Calibri" w:cs="Calibri"/>
        </w:rPr>
      </w:pPr>
      <w:r>
        <w:rPr>
          <w:rFonts w:ascii="Calibri" w:hAnsi="Calibri" w:cs="Calibri"/>
          <w:color w:val="000000"/>
          <w:lang w:val="en-US"/>
        </w:rPr>
        <w:t>During stimulating growth conditions, mRNAs can be rapidly initiated resulting in accumulation of multiple ribosomes on the same mRNA molecules, which form structures known as polyribosomes, or polysomes. Polysomes can be separated by ultracentrifugation in sucrose gradients, where they sediment based on their order (number of concurrently attached ribosomes on mRNA). When translation is suppressed, ribosomes fail to engage in another round of translation soon enough, resulting in (partial) ‘disassembly’ of polysomes, which is exhibited as a modal shift toward the polysomes of a lower order and accumulation of monosomes</w:t>
      </w:r>
      <w:r>
        <w:fldChar w:fldCharType="begin"/>
      </w:r>
      <w:r>
        <w:rPr>
          <w:rFonts w:ascii="Calibri" w:hAnsi="Calibri" w:cs="Calibri"/>
          <w:color w:val="000000"/>
          <w:lang w:val="en-US"/>
        </w:rPr>
        <w:instrText>ADDIN EN.CITE &lt;EndNote&gt;&lt;Cite&gt;&lt;Author&gt;Ashe&lt;/Author&gt;&lt;Year&gt;2000&lt;/Year&gt;&lt;RecNum&gt;4&lt;/RecNum&gt;&lt;DisplayText&gt;&lt;style face="superscript"&gt;4&lt;/style&gt;&lt;/DisplayText&gt;&lt;record&gt;&lt;rec-number&gt;4&lt;/rec-number&gt;&lt;foreign-keys&gt;&lt;key app="EN" db-id="pax2w20wtrf02kez5zr5ssez02e2ds2d0ztz" timestamp="1614308930"&gt;4&lt;/key&gt;&lt;/foreign-keys&gt;&lt;ref-type name="Journal Article"&gt;17&lt;/ref-type&gt;&lt;contributors&gt;&lt;authors&gt;&lt;author&gt;Ashe, M. P.&lt;/author&gt;&lt;author&gt;De Long, S. K.&lt;/author&gt;&lt;author&gt;Sachs, A. B.&lt;/author&gt;&lt;/authors&gt;&lt;/contributors&gt;&lt;auth-address&gt;Department of Molecular and Cell Biology, University of California at Berkeley, Berkeley, California 94720, USA.&lt;/auth-address&gt;&lt;titles&gt;&lt;title&gt;Glucose depletion rapidly inhibits translation initiation in yeast&lt;/title&gt;&lt;secondary-title&gt;Mol Biol Cell&lt;/secondary-title&gt;&lt;/titles&gt;&lt;periodical&gt;&lt;full-title&gt;Mol Biol Cell&lt;/full-title&gt;&lt;/periodical&gt;&lt;pages&gt;833-48&lt;/pages&gt;&lt;volume&gt;11&lt;/volume&gt;&lt;number&gt;3&lt;/number&gt;&lt;edition&gt;2000/03/11&lt;/edition&gt;&lt;keywords&gt;&lt;keyword&gt;Adenosine Triphosphate/metabolism&lt;/keyword&gt;&lt;keyword&gt;Cyclic AMP-Dependent Protein Kinases/genetics/metabolism&lt;/keyword&gt;&lt;keyword&gt;Gene Expression Regulation, Fungal&lt;/keyword&gt;&lt;keyword&gt;Glucose/*physiology&lt;/keyword&gt;&lt;keyword&gt;Monosaccharide Transport Proteins/biosynthesis&lt;/keyword&gt;&lt;keyword&gt;Polyribosomes/metabolism&lt;/keyword&gt;&lt;keyword&gt;Protein Biosynthesis&lt;/keyword&gt;&lt;keyword&gt;RNA, Messenger/metabolism&lt;/keyword&gt;&lt;keyword&gt;Saccharomyces cerevisiae/*genetics&lt;/keyword&gt;&lt;/keywords&gt;&lt;dates&gt;&lt;year&gt;2000&lt;/year&gt;&lt;pub-dates&gt;&lt;date&gt;Mar&lt;/date&gt;&lt;/pub-dates&gt;&lt;/dates&gt;&lt;isbn&gt;1059-1524 (Print)&amp;#xD;1059-1524&lt;/isbn&gt;&lt;accession-num&gt;10712503&lt;/accession-num&gt;&lt;urls&gt;&lt;/urls&gt;&lt;custom2&gt;PMC14814&lt;/custom2&gt;&lt;electronic-resource-num&gt;10.1091/mbc.11.3.833&lt;/electronic-resource-num&gt;&lt;remote-database-provider&gt;NLM&lt;/remote-database-provider&gt;&lt;language&gt;eng&lt;/language&gt;&lt;/record&gt;&lt;/Cite&gt;&lt;/EndNote&gt;</w:instrText>
      </w:r>
      <w:r>
        <w:rPr>
          <w:rFonts w:ascii="Calibri" w:hAnsi="Calibri" w:cs="Calibri"/>
          <w:color w:val="000000"/>
          <w:lang w:val="en-US"/>
        </w:rPr>
        <w:fldChar w:fldCharType="separate"/>
      </w:r>
      <w:r>
        <w:rPr>
          <w:rFonts w:ascii="Calibri" w:hAnsi="Calibri" w:cs="Calibri"/>
          <w:color w:val="000000"/>
          <w:vertAlign w:val="superscript"/>
          <w:lang w:val="en-US"/>
        </w:rPr>
        <w:t>4,26</w:t>
      </w:r>
      <w:r>
        <w:rPr>
          <w:rFonts w:ascii="Calibri" w:hAnsi="Calibri" w:cs="Calibri"/>
          <w:color w:val="000000"/>
          <w:lang w:val="en-US"/>
        </w:rPr>
        <w:fldChar w:fldCharType="end"/>
      </w:r>
      <w:r>
        <w:fldChar w:fldCharType="begin"/>
      </w:r>
      <w:r>
        <w:rPr>
          <w:rFonts w:ascii="Calibri" w:hAnsi="Calibri" w:cs="Calibri"/>
          <w:color w:val="000000"/>
          <w:lang w:val="en-US"/>
        </w:rPr>
        <w:instrText>ADDIN EN.CITE &lt;EndNote&gt;&lt;Cite&gt;&lt;Author&gt;Ashe&lt;/Author&gt;&lt;Year&gt;2000&lt;/Year&gt;&lt;RecNum&gt;24&lt;/RecNum&gt;&lt;DisplayText&gt;&lt;style face="superscript"&gt;4&lt;/style&gt;&lt;/DisplayText&gt;&lt;record&gt;&lt;rec-number&gt;24&lt;/rec-number&gt;&lt;foreign-keys&gt;&lt;key app="EN" db-id="wpr922529xf2die52wfpxxrm0faw0dp9ppp2" timestamp="1613455912"&gt;24&lt;/key&gt;&lt;/foreign-keys&gt;&lt;ref-type name="Journal Article"&gt;17&lt;/ref-type&gt;&lt;contributors&gt;&lt;authors&gt;&lt;author&gt;Ashe, M. P.&lt;/author&gt;&lt;author&gt;De Long, S. K.&lt;/author&gt;&lt;author&gt;Sachs, A. B.&lt;/author&gt;&lt;/authors&gt;&lt;/contributors&gt;&lt;auth-address&gt;Department of Molecular and Cell Biology, University of California at Berkeley, Berkeley, California 94720, USA.&lt;/auth-address&gt;&lt;titles&gt;&lt;title&gt;Glucose depletion rapidly inhibits translation initiation in yeast&lt;/title&gt;&lt;secondary-title&gt;Mol Biol Cell&lt;/secondary-title&gt;&lt;/titles&gt;&lt;periodical&gt;&lt;full-title&gt;Mol Biol Cell&lt;/full-title&gt;&lt;/periodical&gt;&lt;pages&gt;833-48&lt;/pages&gt;&lt;volume&gt;11&lt;/volume&gt;&lt;number&gt;3&lt;/number&gt;&lt;edition&gt;2000/03/11&lt;/edition&gt;&lt;keywords&gt;&lt;keyword&gt;Adenosine Triphosphate/metabolism&lt;/keyword&gt;&lt;keyword&gt;Cyclic AMP-Dependent Protein Kinases/genetics/metabolism&lt;/keyword&gt;&lt;keyword&gt;Gene Expression Regulation, Fungal&lt;/keyword&gt;&lt;keyword&gt;Glucose/*physiology&lt;/keyword&gt;&lt;keyword&gt;Monosaccharide Transport Proteins/biosynthesis&lt;/keyword&gt;&lt;keyword&gt;Polyribosomes/metabolism&lt;/keyword&gt;&lt;keyword&gt;Protein Biosynthesis&lt;/keyword&gt;&lt;keyword&gt;RNA, Messenger/metabolism&lt;/keyword&gt;&lt;keyword&gt;Saccharomyces cerevisiae/*genetics&lt;/keyword&gt;&lt;/keywords&gt;&lt;dates&gt;&lt;year&gt;2000&lt;/year&gt;&lt;pub-dates&gt;&lt;date&gt;Mar&lt;/date&gt;&lt;/pub-dates&gt;&lt;/dates&gt;&lt;isbn&gt;1059-1524 (Print)&amp;#xD;1059-1524 (Linking)&lt;/isbn&gt;&lt;accession-num&gt;10712503&lt;/accession-num&gt;&lt;urls&gt;&lt;related-urls&gt;&lt;url&gt;https://www.ncbi.nlm.nih.gov/pubmed/10712503&lt;/url&gt;&lt;/related-urls&gt;&lt;/urls&gt;&lt;custom2&gt;PMC14814&lt;/custom2&gt;&lt;electronic-resource-num&gt;10.1091/mbc.11.3.833&lt;/electronic-resource-num&gt;&lt;/record&gt;&lt;/Cite&gt;&lt;/EndNote&gt;</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t>.</w:t>
      </w:r>
    </w:p>
    <w:p w14:paraId="260E9281" w14:textId="77777777" w:rsidR="006B6616" w:rsidRDefault="006B6616">
      <w:pPr>
        <w:jc w:val="both"/>
        <w:rPr>
          <w:rFonts w:ascii="Calibri" w:hAnsi="Calibri" w:cs="Calibri"/>
          <w:color w:val="000000"/>
          <w:lang w:val="en-US"/>
        </w:rPr>
      </w:pPr>
    </w:p>
    <w:p w14:paraId="18172945" w14:textId="77777777" w:rsidR="006B6616" w:rsidRDefault="00E473AD">
      <w:pPr>
        <w:jc w:val="both"/>
        <w:rPr>
          <w:rFonts w:ascii="Calibri" w:hAnsi="Calibri" w:cs="Calibri"/>
        </w:rPr>
      </w:pPr>
      <w:r>
        <w:rPr>
          <w:rFonts w:ascii="Calibri" w:hAnsi="Calibri" w:cs="Calibri"/>
          <w:color w:val="000000"/>
          <w:lang w:val="en-US"/>
        </w:rPr>
        <w:t>A model of translational response that can be visualized on the polysome order distribution level can be provided by glucose starvation. Glucose depletion elicits one of the most dramatic and rapid translational inhibitory effects on yeast</w:t>
      </w:r>
      <w:r>
        <w:fldChar w:fldCharType="begin"/>
      </w:r>
      <w:r>
        <w:rPr>
          <w:rFonts w:ascii="Calibri" w:hAnsi="Calibri" w:cs="Calibri"/>
          <w:color w:val="000000"/>
          <w:lang w:val="en-US"/>
        </w:rPr>
        <w:instrText>ADDIN ZOTERO_ITEM CSL_CITATION {"citationID":"ux9jhlJs","properties":{"formattedCitation":"\\super 1, 3, 38\\nosupersub{}","plainCitation":"1, 3, 38","dontUpdate":true,"noteIndex":0},"citationItems":[{"id":276,"uris":["http://zotero.org/users/6977825/items/NIUQC8MW"],"uri":["http://zotero.org/users/6977825/items/NIUQC8MW"],"itemData":{"id":276,"type":"article-journal","abstract":"Glucose performs key functions as a signaling molecule in the yeast Saccharomyces cerevisiae. Glucose depletion is known to regulate gene expression via pathways that lead to derepression of genes at the transcriptional level. In this study, we have investigated the effect of glucose depletion on protein synthesis. We discovered that glucose withdrawal from the growth medium led to a rapid inhibition of protein synthesis and that this effect was readily reversed upon readdition of glucose. Neither the inhibition nor the reactivation of translation required new transcription. This inhibition also did not require activation of the amino acid starvation pathway or inactivation of the TOR kinase pathway. However, mutants in the glucose repression (reg1, glc7, hxk2, and ssn6), hexose transporter induction (snf3 rgt2), and cAMP-dependent protein kinase (tpk1(w) and tpk2(w)) pathways were resistant to the inhibitory effects of glucose withdrawal on translation. These findings highlight the intimate connection between the nutrient status of the cell and its translational capacity. They also help to define a new area of posttranscriptional regulation in yeast.","archive_location":"10712503","container-title":"Molecular Biology of the Cell","DOI":"10.1091/mbc.11.3.833","ISSN":"1059-1524 (Print) 1059-1524","issue":"3","language":"eng","note":"edition: 2000/03/11","page":"833-48","source":"NLM","title":"Glucose depletion rapidly inhibits translation initiation in yeast","volume":"11","author":[{"family":"Ashe","given":"M. P."},{"family":"De Long","given":"S. K."},{"family":"Sachs","given":"A. B."}],"issued":{"date-parts":[["2000",3]]}}},{"id":406,"uris":["http://zotero.org/users/6977825/items/3UC97V3N"],"uri":["http://zotero.org/users/6977825/items/3UC97V3N"],"itemData":{"id":406,"type":"article-journal","abstract":"Glucose is one of the most important sources of carbon across all life. Glucose starvation is a key stress relevant to all eukaryotic cells. Glucose starvation responses have important implications in diseases, such as diabetes and cancer. In yeast, glucose starvation causes rapid and dramatic effects on the synthesis of proteins (mRNA translation). Response to glucose deficiency targets the initiation phase of translation by different mechanisms and with diverse dynamics. Concomitantly, translationally repressed mRNAs and components of the protein synthesis machinery may enter a variety of cytoplasmic foci, which also form with variable kinetics and may store or degrade mRNA. Much progress has been made in understanding these processes in the last decade, including with the use of high-throughput/omics methods of RNA and RNA:protein detection. This review dissects the current knowledge of yeast reactions to glucose starvation systematized by the stage of translation initiation, with the focus on rapid responses. We provide parallels to mechanisms found in higher eukaryotes, such as metazoans, for the most critical responses, and point out major remaining gaps in knowledge and possible future directions of research on translational responses to glucose starvation.","container-title":"International Journal of Molecular Sciences","DOI":"10.3390/ijms20164043","ISSN":"1422-0067","issue":"16","journalAbbreviation":"IJMS","language":"en","page":"4043","source":"DOI.org (Crossref)","title":"Control of Translation at the Initiation Phase During Glucose Starvation in Yeast","volume":"20","author":[{"family":"Janapala","given":"Yoshika"},{"family":"Preiss","given":"Thomas"},{"family":"Shirokikh","given":"Nikolay E."}],"issued":{"date-parts":[["2019",8,19]]}}},{"id":286,"uris":["http://zotero.org/users/6977825/items/LPG6VWG9"],"uri":["http://zotero.org/users/6977825/items/LPG6VWG9"],"itemData":{"id":286,"type":"article-journal","abstract":"Cellular stress can globally inhibit translation initiation, and glucose removal from yeast causes one of the most dramatic effects in terms of rapidity and scale. Here we show that the same rapid inhibition occurs during yeast growth as glucose levels diminish. We characterize this novel regulation showing that it involves alterations within the 48S preinitiation complex. In particular, the interaction between eIF4A and eIF4G is destabilized, leading to a temporary stabilization of the eIF3-eIF4G interaction on the 48S complex. Under such conditions, specific mRNAs that are important for the adaptation to the new conditions must continue to be translated. We have determined which mRNAs remain translated early after glucose starvation. These experiments enable us to provide a physiological context for this translational regulation by ascribing defined functions that are translationally maintained or up-regulated. Overrepresented in this class of mRNA are those involved in carbohydrate metabolism, including several mRNAs from the pentose phosphate pathway. Our data support a hypothesis that a concerted preemptive activation of the pentose phosphate pathway, which targets both mRNA transcription and translation, is important for the transition from fermentative to respiratory growth in yeast.","archive_location":"21795399","container-title":"Molecular Biology of the Cell","DOI":"10.1091/mbc.E11-02-0153","ISSN":"1059-1524 (Print) 1059-1524","issue":"18","language":"eng","note":"edition: 2011/07/29","page":"3379-93","source":"NLM","title":"Glucose depletion inhibits translation initiation via eIF4A loss and subsequent 48S preinitiation complex accumulation, while the pentose phosphate pathway is coordinately up-regulated","volume":"22","author":[{"family":"Castelli","given":"L. M."},{"family":"Lui","given":"J."},{"family":"Campbell","given":"S. G."},{"family":"Rowe","given":"W."},{"family":"Zeef","given":"L. A."},{"family":"Holmes","given":"L. E."},{"family":"Hoyle","given":"N. P."},{"family":"Bone","given":"J."},{"family":"Selley","given":"J. N."},{"family":"Sims","given":"P. F."},{"family":"Ashe","given":"M. P."}],"issued":{"date-parts":[["2011",9]]}}}],"schema":"https://github.com/citation-style-language/schema/raw/master/csl-citation.json"}</w:instrText>
      </w:r>
      <w:r>
        <w:rPr>
          <w:rFonts w:ascii="Calibri" w:hAnsi="Calibri" w:cs="Calibri"/>
          <w:color w:val="000000"/>
          <w:lang w:val="en-US"/>
        </w:rPr>
        <w:fldChar w:fldCharType="separate"/>
      </w:r>
      <w:r>
        <w:rPr>
          <w:rFonts w:ascii="Calibri" w:hAnsi="Calibri" w:cs="Calibri"/>
          <w:vertAlign w:val="superscript"/>
          <w:lang w:val="en-US"/>
        </w:rPr>
        <w:t>1,3,38</w:t>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rPr>
          <w:rFonts w:ascii="Calibri" w:hAnsi="Calibri" w:cs="Calibri"/>
          <w:color w:val="000000"/>
          <w:lang w:val="en-US"/>
        </w:rPr>
        <w:t xml:space="preserve">. Previous studies evidenced that within 1 min of glucose depletion, loss of polysomes, accumulation of monosomes and inhibition of translation </w:t>
      </w:r>
      <w:r>
        <w:fldChar w:fldCharType="begin"/>
      </w:r>
      <w:r>
        <w:rPr>
          <w:rFonts w:ascii="Calibri" w:hAnsi="Calibri" w:cs="Calibri"/>
          <w:color w:val="000000"/>
          <w:lang w:val="en-US"/>
        </w:rPr>
        <w:instrText>4  c</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t>initiation</w:t>
      </w:r>
      <w:r>
        <w:rPr>
          <w:rFonts w:ascii="Calibri" w:hAnsi="Calibri" w:cs="Calibri"/>
          <w:lang w:val="en-US"/>
        </w:rPr>
        <w:t xml:space="preserve"> c</w:t>
      </w:r>
      <w:r>
        <w:rPr>
          <w:rFonts w:ascii="Calibri" w:hAnsi="Calibri" w:cs="Calibri"/>
          <w:color w:val="000000"/>
          <w:lang w:val="en-US"/>
        </w:rPr>
        <w:t>an occur</w:t>
      </w:r>
      <w:r>
        <w:fldChar w:fldCharType="begin"/>
      </w:r>
      <w:r>
        <w:rPr>
          <w:rFonts w:ascii="Calibri" w:hAnsi="Calibri" w:cs="Calibri"/>
          <w:color w:val="000000"/>
          <w:lang w:val="en-US"/>
        </w:rPr>
        <w:instrText>ADDIN EN.CITE &lt;EndNote&gt;&lt;Cite&gt;&lt;Author&gt;Ashe&lt;/Author&gt;&lt;Year&gt;2000&lt;/Year&gt;&lt;RecNum&gt;115&lt;/RecNum&gt;&lt;DisplayText&gt;&lt;style face="superscript"&gt;4&lt;/style&gt;&lt;/DisplayText&gt;&lt;record&gt;&lt;rec-number&gt;115&lt;/rec-number&gt;&lt;foreign-keys&gt;&lt;key app="EN" db-id="av52axsxop2fwbe0dpc5a0ak5rev99w02x2w" timestamp="1611286937"&gt;115&lt;/key&gt;&lt;/foreign-keys&gt;&lt;ref-type name="Journal Article"&gt;17&lt;/ref-type&gt;&lt;contributors&gt;&lt;authors&gt;&lt;author&gt;Ashe, M. P.&lt;/author&gt;&lt;author&gt;De Long, S. K.&lt;/author&gt;&lt;author&gt;Sachs, A. B.&lt;/author&gt;&lt;/authors&gt;&lt;/contributors&gt;&lt;auth-address&gt;Department of Molecular and Cell Biology, University of California at Berkeley, Berkeley, California 94720, USA.&lt;/auth-address&gt;&lt;titles&gt;&lt;title&gt;Glucose depletion rapidly inhibits translation initiation in yeast&lt;/title&gt;&lt;secondary-title&gt;Mol Biol Cell&lt;/secondary-title&gt;&lt;/titles&gt;&lt;periodical&gt;&lt;full-title&gt;Mol Biol Cell&lt;/full-title&gt;&lt;/periodical&gt;&lt;pages&gt;833-48&lt;/pages&gt;&lt;volume&gt;11&lt;/volume&gt;&lt;number&gt;3&lt;/number&gt;&lt;edition&gt;2000/03/11&lt;/edition&gt;&lt;keywords&gt;&lt;keyword&gt;Adenosine Triphosphate/metabolism&lt;/keyword&gt;&lt;keyword&gt;Cyclic AMP-Dependent Protein Kinases/genetics/metabolism&lt;/keyword&gt;&lt;keyword&gt;Gene Expression Regulation, Fungal&lt;/keyword&gt;&lt;keyword&gt;Glucose/*physiology&lt;/keyword&gt;&lt;keyword&gt;Monosaccharide Transport Proteins/biosynthesis&lt;/keyword&gt;&lt;keyword&gt;Polyribosomes/metabolism&lt;/keyword&gt;&lt;keyword&gt;Protein Biosynthesis&lt;/keyword&gt;&lt;keyword&gt;RNA, Messenger/metabolism&lt;/keyword&gt;&lt;keyword&gt;Saccharomyces cerevisiae/*genetics&lt;/keyword&gt;&lt;/keywords&gt;&lt;dates&gt;&lt;year&gt;2000&lt;/year&gt;&lt;pub-dates&gt;&lt;date&gt;Mar&lt;/date&gt;&lt;/pub-dates&gt;&lt;/dates&gt;&lt;isbn&gt;1059-1524 (Print)&amp;#xD;1059-1524&lt;/isbn&gt;&lt;accession-num&gt;10712503&lt;/accession-num&gt;&lt;urls&gt;&lt;/urls&gt;&lt;custom2&gt;PMC14814&lt;/custom2&gt;&lt;electronic-resource-num&gt;10.1091/mbc.11.3.833&lt;/electronic-resource-num&gt;&lt;remote-database-provider&gt;NLM&lt;/remote-database-provider&gt;&lt;language&gt;eng&lt;/language&gt;&lt;/record&gt;&lt;/Cite&gt;&lt;/EndNote&gt;</w:instrText>
      </w:r>
      <w:r>
        <w:rPr>
          <w:rFonts w:ascii="Calibri" w:hAnsi="Calibri" w:cs="Calibri"/>
          <w:color w:val="000000"/>
          <w:lang w:val="en-US"/>
        </w:rPr>
        <w:fldChar w:fldCharType="separate"/>
      </w:r>
      <w:r>
        <w:rPr>
          <w:rFonts w:ascii="Calibri" w:hAnsi="Calibri" w:cs="Calibri"/>
          <w:color w:val="000000"/>
          <w:vertAlign w:val="superscript"/>
          <w:lang w:val="en-US"/>
        </w:rPr>
        <w:t>4</w:t>
      </w:r>
      <w:r>
        <w:rPr>
          <w:rFonts w:ascii="Calibri" w:hAnsi="Calibri" w:cs="Calibri"/>
          <w:color w:val="000000"/>
          <w:lang w:val="en-US"/>
        </w:rPr>
        <w:fldChar w:fldCharType="end"/>
      </w:r>
      <w:r>
        <w:rPr>
          <w:rFonts w:ascii="Calibri" w:hAnsi="Calibri" w:cs="Calibri"/>
          <w:color w:val="000000"/>
          <w:lang w:val="en-US"/>
        </w:rPr>
        <w:t>. Within 5 min of glucose re-supplement, translation is quickly restored with evident increase in polysomes</w:t>
      </w:r>
      <w:r>
        <w:rPr>
          <w:rFonts w:ascii="Calibri" w:hAnsi="Calibri" w:cs="Calibri"/>
          <w:color w:val="000000"/>
          <w:vertAlign w:val="superscript"/>
          <w:lang w:val="en-US"/>
        </w:rPr>
        <w:t>3,4</w:t>
      </w:r>
      <w:r>
        <w:rPr>
          <w:rFonts w:ascii="Calibri" w:hAnsi="Calibri" w:cs="Calibri"/>
          <w:color w:val="000000"/>
          <w:lang w:val="en-US"/>
        </w:rPr>
        <w:t>. It was also observed that translation was inhibited when cells were exposed to media containing glucose of 0.5% (w/v) or lower and there was no effect seen in glucose levels of 0.6% (w/v) or higher</w:t>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EN.CITE.DATA56</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rPr>
          <w:rFonts w:ascii="Calibri" w:hAnsi="Calibri" w:cs="Calibri"/>
          <w:color w:val="000000"/>
          <w:lang w:val="en-US"/>
        </w:rPr>
        <w:t>.</w:t>
      </w:r>
    </w:p>
    <w:p w14:paraId="4B96FDB4" w14:textId="77777777" w:rsidR="006B6616" w:rsidRDefault="006B6616">
      <w:pPr>
        <w:jc w:val="both"/>
        <w:rPr>
          <w:rFonts w:ascii="Calibri" w:hAnsi="Calibri" w:cs="Calibri"/>
          <w:color w:val="000000"/>
          <w:lang w:val="en-US"/>
        </w:rPr>
      </w:pPr>
    </w:p>
    <w:p w14:paraId="7A8FC0B9" w14:textId="77777777" w:rsidR="006B6616" w:rsidRDefault="00E473AD">
      <w:pPr>
        <w:jc w:val="both"/>
        <w:rPr>
          <w:rFonts w:ascii="Calibri" w:hAnsi="Calibri" w:cs="Calibri"/>
        </w:rPr>
      </w:pPr>
      <w:r>
        <w:rPr>
          <w:rFonts w:ascii="Calibri" w:hAnsi="Calibri" w:cs="Calibri"/>
          <w:color w:val="000000"/>
          <w:lang w:val="en-US"/>
        </w:rPr>
        <w:t>We thus wished to determine whether our fixation conditions are suitable for the preservation of the translational differences within the dynamics of glucose stress response, as can be assessed by the polysome-to-monosome ratio. We compared the material from the cells grown in mid-exponential phase on high glucose (2.00% w/v added) with those transferred for 10 min into media with no or low added (0.00% or 0.25% w/v, respectively) glucose. The fixation has been performed using 2.2% w/v of formaldehyde in parallel in the control (non-starved; rapid media replacement with same standard media containing 2% w/v added glucose, followed by incubation for 10 min and fixation) and 10 min starved (rapid media replacement with same media but low 0.25 w/v or no added glucose, followed by incubation for 10 min and fixation) cells.</w:t>
      </w:r>
    </w:p>
    <w:p w14:paraId="77E16D58" w14:textId="77777777" w:rsidR="006B6616" w:rsidRDefault="006B6616">
      <w:pPr>
        <w:jc w:val="both"/>
        <w:rPr>
          <w:rFonts w:ascii="Calibri" w:hAnsi="Calibri" w:cs="Calibri"/>
          <w:color w:val="000000"/>
          <w:lang w:val="en-US"/>
        </w:rPr>
      </w:pPr>
    </w:p>
    <w:p w14:paraId="1E2CB7CA" w14:textId="77777777" w:rsidR="006B6616" w:rsidRDefault="00E473AD">
      <w:pPr>
        <w:jc w:val="both"/>
        <w:rPr>
          <w:rFonts w:ascii="Calibri" w:hAnsi="Calibri" w:cs="Calibri"/>
        </w:rPr>
      </w:pPr>
      <w:r>
        <w:rPr>
          <w:rFonts w:ascii="Calibri" w:hAnsi="Calibri" w:cs="Calibri"/>
          <w:color w:val="000000"/>
          <w:lang w:val="en-US"/>
        </w:rPr>
        <w:t>Consistent with the earlier findings, we observed that yeast cells heavily suppress translation upon glucose starvation stress (</w:t>
      </w:r>
      <w:r>
        <w:rPr>
          <w:rFonts w:ascii="Calibri" w:hAnsi="Calibri" w:cs="Calibri"/>
          <w:b/>
          <w:color w:val="000000"/>
          <w:lang w:val="en-US"/>
        </w:rPr>
        <w:t>Figure 4a</w:t>
      </w:r>
      <w:r>
        <w:rPr>
          <w:rFonts w:ascii="Calibri" w:hAnsi="Calibri" w:cs="Calibri"/>
          <w:color w:val="000000"/>
          <w:lang w:val="en-US"/>
        </w:rPr>
        <w:t>).</w:t>
      </w:r>
      <w:r>
        <w:rPr>
          <w:rFonts w:ascii="Calibri" w:hAnsi="Calibri" w:cs="Calibri"/>
          <w:b/>
          <w:color w:val="000000"/>
          <w:lang w:val="en-US"/>
        </w:rPr>
        <w:t xml:space="preserve"> </w:t>
      </w:r>
      <w:r>
        <w:rPr>
          <w:rFonts w:ascii="Calibri" w:hAnsi="Calibri" w:cs="Calibri"/>
          <w:color w:val="000000"/>
          <w:lang w:val="en-US"/>
        </w:rPr>
        <w:t xml:space="preserve">Both, no added and low glucose conditions induced polysome disassembly, with slightly but evidently more polysomes retained in the case of low added glucose. Thus, the yeast glucose removal response may be not of an all-on or all-off type and is gradually tuned. Affirming expectations for the stabilizing action of the formaldehyde crosslinking,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material from the fixed cells has demonstrated a higher distinction between the starved and non-starved cells, arguably preserving a higher dynamic range of the response (</w:t>
      </w:r>
      <w:r>
        <w:rPr>
          <w:rFonts w:ascii="Calibri" w:hAnsi="Calibri" w:cs="Calibri"/>
          <w:b/>
          <w:color w:val="000000"/>
          <w:lang w:val="en-US"/>
        </w:rPr>
        <w:t>Figure 4b</w:t>
      </w:r>
      <w:r>
        <w:rPr>
          <w:rFonts w:ascii="Calibri" w:hAnsi="Calibri" w:cs="Calibri"/>
          <w:color w:val="000000"/>
          <w:lang w:val="en-US"/>
        </w:rPr>
        <w:t xml:space="preserve">). Intriguingly, in the case of material from the fixed cells, low added glucose concentration resulted in the specific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abundance that is much better differentiated from the no added glucose condition, compared to the non-fixed cells (</w:t>
      </w:r>
      <w:r>
        <w:rPr>
          <w:rFonts w:ascii="Calibri" w:hAnsi="Calibri" w:cs="Calibri"/>
          <w:b/>
          <w:color w:val="000000"/>
          <w:lang w:val="en-US"/>
        </w:rPr>
        <w:t>Figure 4a</w:t>
      </w:r>
      <w:r>
        <w:rPr>
          <w:rFonts w:ascii="Calibri" w:hAnsi="Calibri" w:cs="Calibri"/>
          <w:color w:val="000000"/>
          <w:lang w:val="en-US"/>
        </w:rPr>
        <w:t>). This is a strong indication of the suitability of formaldehyde fixation approach in preserving and capturing relatively minute and transient differences in the equilibrium of highly dynamic processes, such as during translational responses.</w:t>
      </w:r>
    </w:p>
    <w:p w14:paraId="34938CBC" w14:textId="77777777" w:rsidR="006B6616" w:rsidRDefault="006B6616">
      <w:pPr>
        <w:jc w:val="both"/>
        <w:rPr>
          <w:rFonts w:ascii="Calibri" w:hAnsi="Calibri" w:cs="Calibri"/>
          <w:color w:val="000000"/>
        </w:rPr>
      </w:pPr>
    </w:p>
    <w:p w14:paraId="1B8AE5A9" w14:textId="77777777" w:rsidR="006B6616" w:rsidRDefault="00E473AD">
      <w:pPr>
        <w:widowControl w:val="0"/>
        <w:tabs>
          <w:tab w:val="left" w:pos="270"/>
        </w:tabs>
        <w:jc w:val="both"/>
        <w:rPr>
          <w:rFonts w:ascii="Calibri" w:hAnsi="Calibri" w:cs="Calibri"/>
        </w:rPr>
      </w:pPr>
      <w:r>
        <w:rPr>
          <w:rFonts w:ascii="Calibri" w:hAnsi="Calibri" w:cs="Calibri"/>
          <w:color w:val="000000"/>
          <w:lang w:val="en-US"/>
        </w:rPr>
        <w:t>[Place Figure 4 here]</w:t>
      </w:r>
    </w:p>
    <w:p w14:paraId="3A99444F" w14:textId="77777777" w:rsidR="006B6616" w:rsidRDefault="006B6616">
      <w:pPr>
        <w:jc w:val="both"/>
        <w:rPr>
          <w:rFonts w:ascii="Calibri" w:hAnsi="Calibri" w:cs="Calibri"/>
          <w:color w:val="000000"/>
          <w:lang w:val="en-US"/>
        </w:rPr>
      </w:pPr>
    </w:p>
    <w:p w14:paraId="24DE6238" w14:textId="5EE0BBBC" w:rsidR="006B6616" w:rsidRDefault="00E473AD">
      <w:pPr>
        <w:jc w:val="both"/>
        <w:rPr>
          <w:rFonts w:ascii="Calibri" w:hAnsi="Calibri" w:cs="Calibri"/>
        </w:rPr>
      </w:pPr>
      <w:r>
        <w:rPr>
          <w:rFonts w:ascii="Calibri" w:hAnsi="Calibri" w:cs="Calibri"/>
          <w:color w:val="000000"/>
          <w:lang w:val="en-US"/>
        </w:rPr>
        <w:t>Monitoring translational status by the ribosomes associated with actively translating mRNA using sucrose gradient sedimentation (‘polysome profiling’) is a widely applied technique</w:t>
      </w:r>
      <w:r>
        <w:fldChar w:fldCharType="begin"/>
      </w:r>
      <w:r>
        <w:rPr>
          <w:rFonts w:ascii="Calibri" w:hAnsi="Calibri" w:cs="Calibri"/>
          <w:color w:val="000000"/>
          <w:lang w:val="en-US"/>
        </w:rPr>
        <w:instrText>ADDIN EN.CITE &lt;EndNote&gt;&lt;Cite&gt;&lt;Author&gt;Arava&lt;/Author&gt;&lt;Year&gt;2003&lt;/Year&gt;&lt;RecNum&gt;1&lt;/RecNum&gt;&lt;DisplayText&gt;&lt;style face="superscript"&gt;33&lt;/style&gt;&lt;/DisplayText&gt;&lt;record&gt;&lt;rec-number&gt;1&lt;/rec-number&gt;&lt;foreign-keys&gt;&lt;key app="EN" db-id="pax2w20wtrf02kez5zr5ssez02e2ds2d0ztz" timestamp="1614308930"&gt;1&lt;/key&gt;&lt;/foreign-keys&gt;&lt;ref-type name="Journal Article"&gt;17&lt;/ref-type&gt;&lt;contributors&gt;&lt;authors&gt;&lt;author&gt;Arava, Y.&lt;/author&gt;&lt;author&gt;Wang, Y.&lt;/author&gt;&lt;author&gt;Storey, J. D.&lt;/author&gt;&lt;author&gt;Liu, C. L.&lt;/author&gt;&lt;author&gt;Brown, P. O.&lt;/author&gt;&lt;author&gt;Herschlag, D.&lt;/author&gt;&lt;/authors&gt;&lt;/contributors&gt;&lt;auth-address&gt;Department of Biochemistry, Stanford University, Stanford, CA 94305-5307, USA.&lt;/auth-address&gt;&lt;titles&gt;&lt;title&gt;Genome-wide analysis of mRNA translation profiles in Saccharomyces cerevisiae&lt;/title&gt;&lt;secondary-title&gt;Proc Natl Acad Sci U S A&lt;/secondary-title&gt;&lt;/titles&gt;&lt;periodical&gt;&lt;full-title&gt;Proc Natl Acad Sci U S A&lt;/full-title&gt;&lt;/periodical&gt;&lt;pages&gt;3889-94&lt;/pages&gt;&lt;volume&gt;100&lt;/volume&gt;&lt;number&gt;7&lt;/number&gt;&lt;edition&gt;2003/03/28&lt;/edition&gt;&lt;keywords&gt;&lt;keyword&gt;*Genome, Fungal&lt;/keyword&gt;&lt;keyword&gt;Oligonucleotide Array Sequence Analysis&lt;/keyword&gt;&lt;keyword&gt;Polyribosomes/genetics/metabolism&lt;/keyword&gt;&lt;keyword&gt;Protein Biosynthesis&lt;/keyword&gt;&lt;keyword&gt;RNA, Fungal/genetics&lt;/keyword&gt;&lt;keyword&gt;RNA, Messenger/*genetics&lt;/keyword&gt;&lt;keyword&gt;Ribosomes/genetics/ultrastructure&lt;/keyword&gt;&lt;keyword&gt;Saccharomyces cerevisiae/*genetics&lt;/keyword&gt;&lt;/keywords&gt;&lt;dates&gt;&lt;year&gt;2003&lt;/year&gt;&lt;pub-dates&gt;&lt;date&gt;Apr 1&lt;/date&gt;&lt;/pub-dates&gt;&lt;/dates&gt;&lt;isbn&gt;0027-8424 (Print)&amp;#xD;0027-8424&lt;/isbn&gt;&lt;accession-num&gt;12660367&lt;/accession-num&gt;&lt;urls&gt;&lt;/urls&gt;&lt;custom2&gt;PMC153018&lt;/custom2&gt;&lt;electronic-resource-num&gt;10.1073/pnas.0635171100&lt;/electronic-resource-num&gt;&lt;remote-database-provider&gt;NLM&lt;/remote-database-provider&gt;&lt;language&gt;eng&lt;/language&gt;&lt;/record&gt;&lt;/Cite&gt;&lt;/EndNote&gt;</w:instrText>
      </w:r>
      <w:r>
        <w:rPr>
          <w:rFonts w:ascii="Calibri" w:hAnsi="Calibri" w:cs="Calibri"/>
          <w:color w:val="000000"/>
          <w:lang w:val="en-US"/>
        </w:rPr>
        <w:fldChar w:fldCharType="separate"/>
      </w:r>
      <w:r>
        <w:rPr>
          <w:rFonts w:ascii="Calibri" w:hAnsi="Calibri" w:cs="Calibri"/>
          <w:color w:val="000000"/>
          <w:vertAlign w:val="superscript"/>
          <w:lang w:val="en-US"/>
        </w:rPr>
        <w:t>26-28</w:t>
      </w:r>
      <w:r>
        <w:rPr>
          <w:rFonts w:ascii="Calibri" w:hAnsi="Calibri" w:cs="Calibri"/>
          <w:color w:val="000000"/>
          <w:lang w:val="en-US"/>
        </w:rPr>
        <w:fldChar w:fldCharType="end"/>
      </w:r>
      <w:r>
        <w:fldChar w:fldCharType="begin"/>
      </w:r>
      <w:r>
        <w:rPr>
          <w:rFonts w:ascii="Calibri" w:hAnsi="Calibri" w:cs="Calibri"/>
          <w:color w:val="000000"/>
          <w:lang w:val="en-US"/>
        </w:rPr>
        <w:instrText>ADDIN EN.CITE &lt;EndNote&gt;&lt;Cite&gt;&lt;Author&gt;Arava&lt;/Author&gt;&lt;Year&gt;2003&lt;/Year&gt;&lt;RecNum&gt;21&lt;/RecNum&gt;&lt;DisplayText&gt;&lt;style face="superscript"&gt;33&lt;/style&gt;&lt;/DisplayText&gt;&lt;record&gt;&lt;rec-number&gt;21&lt;/rec-number&gt;&lt;foreign-keys&gt;&lt;key app="EN" db-id="wpr922529xf2die52wfpxxrm0faw0dp9ppp2" timestamp="1613455912"&gt;21&lt;/key&gt;&lt;/foreign-keys&gt;&lt;ref-type name="Journal Article"&gt;17&lt;/ref-type&gt;&lt;contributors&gt;&lt;authors&gt;&lt;author&gt;Arava, Y.&lt;/author&gt;&lt;author&gt;Wang, Y.&lt;/author&gt;&lt;author&gt;Storey, J. D.&lt;/author&gt;&lt;author&gt;Liu, C. L.&lt;/author&gt;&lt;author&gt;Brown, P. O.&lt;/author&gt;&lt;author&gt;Herschlag, D.&lt;/author&gt;&lt;/authors&gt;&lt;/contributors&gt;&lt;auth-address&gt;Department of Biochemistry, Stanford University, Stanford, CA 94305-5307, USA.&lt;/auth-address&gt;&lt;titles&gt;&lt;title&gt;Genome-wide analysis of mRNA translation profiles in Saccharomyces cerevisiae&lt;/title&gt;&lt;secondary-title&gt;Proc Natl Acad Sci U S A&lt;/secondary-title&gt;&lt;/titles&gt;&lt;periodical&gt;&lt;full-title&gt;Proc Natl Acad Sci U S A&lt;/full-title&gt;&lt;/periodical&gt;&lt;pages&gt;3889-94&lt;/pages&gt;&lt;volume&gt;100&lt;/volume&gt;&lt;number&gt;7&lt;/number&gt;&lt;edition&gt;2003/03/28&lt;/edition&gt;&lt;keywords&gt;&lt;keyword&gt;*Genome, Fungal&lt;/keyword&gt;&lt;keyword&gt;Oligonucleotide Array Sequence Analysis&lt;/keyword&gt;&lt;keyword&gt;Polyribosomes/genetics/metabolism&lt;/keyword&gt;&lt;keyword&gt;Protein Biosynthesis&lt;/keyword&gt;&lt;keyword&gt;RNA, Fungal/genetics&lt;/keyword&gt;&lt;keyword&gt;RNA, Messenger/*genetics&lt;/keyword&gt;&lt;keyword&gt;Ribosomes/genetics/ultrastructure&lt;/keyword&gt;&lt;keyword&gt;Saccharomyces cerevisiae/*genetics&lt;/keyword&gt;&lt;/keywords&gt;&lt;dates&gt;&lt;year&gt;2003&lt;/year&gt;&lt;pub-dates&gt;&lt;date&gt;Apr 1&lt;/date&gt;&lt;/pub-dates&gt;&lt;/dates&gt;&lt;isbn&gt;0027-8424 (Print)&amp;#xD;0027-8424 (Linking)&lt;/isbn&gt;&lt;accession-num&gt;12660367&lt;/accession-num&gt;&lt;urls&gt;&lt;related-urls&gt;&lt;url&gt;https://www.ncbi.nlm.nih.gov/pubmed/12660367&lt;/url&gt;&lt;/related-urls&gt;&lt;/urls&gt;&lt;custom2&gt;PMC153018&lt;/custom2&gt;&lt;electronic-resource-num&gt;10.1073/pnas.0635171100&lt;/electronic-resource-num&gt;&lt;/record&gt;&lt;/Cite&gt;&lt;/EndNote&gt;</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t>. In a combination with quantitative microarray analysis and more recently with high throughput sequencing</w:t>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vertAlign w:val="superscript"/>
          <w:lang w:val="en-US"/>
        </w:rPr>
        <w:t>28</w:t>
      </w:r>
      <w:r>
        <w:rPr>
          <w:rFonts w:ascii="Calibri" w:hAnsi="Calibri" w:cs="Calibri"/>
          <w:color w:val="000000"/>
          <w:lang w:val="en-US"/>
        </w:rPr>
        <w:fldChar w:fldCharType="end"/>
      </w:r>
      <w:r>
        <w:rPr>
          <w:rFonts w:ascii="Calibri" w:hAnsi="Calibri" w:cs="Calibri"/>
          <w:color w:val="000000"/>
          <w:vertAlign w:val="superscript"/>
          <w:lang w:val="en-US"/>
        </w:rPr>
        <w:t>,42</w:t>
      </w:r>
      <w:r>
        <w:fldChar w:fldCharType="begin"/>
      </w:r>
      <w:r>
        <w:rPr>
          <w:rFonts w:ascii="Calibri" w:hAnsi="Calibri"/>
        </w:rPr>
        <w:instrText>ADDIN EN.CITE</w:instrText>
      </w:r>
      <w:r>
        <w:rPr>
          <w:rFonts w:ascii="Calibri" w:hAnsi="Calibri"/>
        </w:rPr>
        <w:fldChar w:fldCharType="separate"/>
      </w:r>
      <w:r>
        <w:fldChar w:fldCharType="begin"/>
      </w:r>
      <w:r>
        <w:rPr>
          <w:rFonts w:ascii="Calibri" w:hAnsi="Calibri"/>
        </w:rPr>
        <w:instrText>ADDIN EN.CITE.DATA</w:instrText>
      </w:r>
      <w:r w:rsidR="0021610B">
        <w:rPr>
          <w:rFonts w:ascii="Calibri" w:hAnsi="Calibri"/>
        </w:rPr>
        <w:fldChar w:fldCharType="separate"/>
      </w:r>
      <w:r>
        <w:rPr>
          <w:rFonts w:ascii="Calibri" w:hAnsi="Calibri"/>
        </w:rPr>
        <w:fldChar w:fldCharType="end"/>
      </w:r>
      <w:r>
        <w:rPr>
          <w:rFonts w:ascii="Calibri" w:hAnsi="Calibri"/>
        </w:rPr>
        <w:fldChar w:fldCharType="end"/>
      </w:r>
      <w:r>
        <w:rPr>
          <w:rFonts w:ascii="Calibri" w:hAnsi="Calibri" w:cs="Calibri"/>
          <w:color w:val="000000"/>
          <w:lang w:val="en-US"/>
        </w:rPr>
        <w:t xml:space="preserve">, polysome profiling provides information about ribosome-associated mRNAs transcriptome-wide. With several assumptions, it has been traditionally argued in the field of protein biosynthesis research that the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presence is an indication of active involvement in translation of the respective mRNAs. A further conclusion is often (but not always) justified, that the more ribosomes are present on an mRNA of a given length (the higher the order of the polysomes), the more actively that mRNA is involved in translation. Thus, separating the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fraction from the rest of material can be useful from the standpoint of isolating the actively translated RNA.</w:t>
      </w:r>
      <w:r>
        <w:rPr>
          <w:rFonts w:ascii="Calibri" w:hAnsi="Calibri" w:cs="Calibri"/>
          <w:lang w:val="en-US"/>
        </w:rPr>
        <w:t xml:space="preserve"> </w:t>
      </w:r>
      <w:r>
        <w:fldChar w:fldCharType="begin"/>
      </w:r>
      <w:r>
        <w:rPr>
          <w:rFonts w:ascii="Calibri" w:hAnsi="Calibri" w:cs="Calibri"/>
          <w:lang w:val="en-US"/>
        </w:rPr>
        <w:instrText>58-61. The</w:instrText>
      </w:r>
      <w:r>
        <w:rPr>
          <w:rFonts w:ascii="Calibri" w:hAnsi="Calibri" w:cs="Calibri"/>
          <w:lang w:val="en-US"/>
        </w:rPr>
        <w:fldChar w:fldCharType="separate"/>
      </w:r>
      <w:r>
        <w:fldChar w:fldCharType="begin"/>
      </w:r>
      <w:r>
        <w:rPr>
          <w:rFonts w:ascii="Calibri" w:hAnsi="Calibri" w:cs="Calibri"/>
          <w:lang w:val="en-US"/>
        </w:rPr>
        <w:instrText>36,</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fldChar w:fldCharType="begin"/>
      </w:r>
      <w:r>
        <w:rPr>
          <w:rFonts w:ascii="Calibri" w:hAnsi="Calibri" w:cs="Calibri"/>
          <w:lang w:val="en-US"/>
        </w:rPr>
        <w:instrText>62 st</w:instrText>
      </w:r>
      <w:r w:rsidR="0021610B">
        <w:rPr>
          <w:rFonts w:ascii="Calibri" w:hAnsi="Calibri" w:cs="Calibri"/>
          <w:lang w:val="en-US"/>
        </w:rPr>
        <w:fldChar w:fldCharType="separate"/>
      </w:r>
      <w:r>
        <w:rPr>
          <w:rFonts w:ascii="Calibri" w:hAnsi="Calibri" w:cs="Calibri"/>
          <w:lang w:val="en-US"/>
        </w:rPr>
        <w:fldChar w:fldCharType="end"/>
      </w:r>
      <w:r>
        <w:fldChar w:fldCharType="begin"/>
      </w:r>
      <w:r>
        <w:rPr>
          <w:rFonts w:ascii="Calibri" w:hAnsi="Calibri" w:cs="Calibri"/>
          <w:lang w:val="en-US"/>
        </w:rPr>
        <w:instrText>This</w:instrText>
      </w:r>
      <w:r>
        <w:rPr>
          <w:rFonts w:ascii="Calibri" w:hAnsi="Calibri" w:cs="Calibri"/>
          <w:lang w:val="en-US"/>
        </w:rPr>
        <w:fldChar w:fldCharType="separate"/>
      </w:r>
      <w:r>
        <w:fldChar w:fldCharType="begin"/>
      </w:r>
      <w:r>
        <w:rPr>
          <w:rFonts w:ascii="Calibri" w:hAnsi="Calibri" w:cs="Calibri"/>
          <w:lang w:val="en-US"/>
        </w:rPr>
        <w:instrText>63.</w:instrText>
      </w:r>
      <w:r w:rsidR="0021610B">
        <w:rPr>
          <w:rFonts w:ascii="Calibri" w:hAnsi="Calibri" w:cs="Calibri"/>
          <w:lang w:val="en-US"/>
        </w:rPr>
        <w:fldChar w:fldCharType="separate"/>
      </w:r>
      <w:r>
        <w:rPr>
          <w:rFonts w:ascii="Calibri" w:hAnsi="Calibri" w:cs="Calibri"/>
          <w:lang w:val="en-US"/>
        </w:rPr>
        <w:fldChar w:fldCharType="end"/>
      </w:r>
      <w:r>
        <w:rPr>
          <w:rFonts w:ascii="Calibri" w:hAnsi="Calibri" w:cs="Calibri"/>
          <w:lang w:val="en-US"/>
        </w:rPr>
        <w:fldChar w:fldCharType="end"/>
      </w:r>
      <w:r>
        <w:rPr>
          <w:rFonts w:ascii="Calibri" w:hAnsi="Calibri" w:cs="Calibri"/>
          <w:color w:val="000000"/>
          <w:lang w:val="en-US"/>
        </w:rPr>
        <w:t>Within the footprint profiling approaches, and particularly TCP-seq</w:t>
      </w:r>
      <w:r>
        <w:fldChar w:fldCharType="begin"/>
      </w:r>
      <w:r>
        <w:rPr>
          <w:rFonts w:ascii="Calibri" w:hAnsi="Calibri" w:cs="Calibri"/>
          <w:color w:val="000000"/>
          <w:lang w:val="en-US"/>
        </w:rPr>
        <w:instrText>ADDIN ZOTERO_ITEM CSL_CITATION {"citationID":"tPgr7JFa","properties":{"formattedCitation":"\\super 9, 31, 38\\nosupersub{}","plainCitation":"9, 31, 38","dontUpdate":true,"noteIndex":0},"citationItems":[{"id":274,"uris":["http://zotero.org/users/6977825/items/NRI4UE8J"],"uri":["http://zotero.org/users/6977825/items/NRI4UE8J"],"itemData":{"id":274,"type":"article-journal","abstract":"Regulation of messenger RNA translation is central to eukaryotic gene expression control. Regulatory inputs are specified by them RNA untranslated regions (UTRs) and often target translation initiation. Initiation involves binding of the 40S ribosomal small subunit (SSU) and associated eukaryotic initiation factors (eIFs)near the mRNA 5′ cap; the SSU then scans in the 3′ direction until it detects the start codon and is joined by the 60S ribosomal large subunit (LSU) to form the 80S ribosome. Scanning and other dynamic aspects of the initiation model have remained as conjectures because methods to trap early intermediates were lacking. Here we uncover the dynamics of the complete translation cycle in live yeast cells using translation complex profile sequencing (TCP-seq), a method developed from the ribosome profiling approach. We document scanning by observing SSU footprints along 5′ UTRs. Scanning SSU have 5′-extended footprints (up to~75 nucleotides), indicative of additional interactions with mRNA emerging from the exit channel, promoting forward movement. We visualized changes in initiation complex conformation as SSU footprints coalesced into three major sizes at start codons (19, 29 and 37 nucleotides). These share the same 5′ start site but differ at the 3′ end, reflecting successive changes at the entry channel from an open to a closed state following start codon recognition. We also observe SSU 'lingering' at stop codons after LSU departure. Our results underpin mechanistic models of translation initiation and termination, built on decades of biochemical and structural investigation, with direct genome-wide in vivo evidence. Our approach captures ribosomal complexes at all phases of translation and will aid in studying translation dynamics in diverse cellular contexts. Dysregulation of translation is common in disease and, for example, SSU scanning is a target of anti-cancer drug development. TCP-seq will prove useful in discerning differences in mRNA-specific initiation in pathologies and their response to treatment.","archive_location":"27437580","container-title":"Nature","DOI":"10.1038/nature18647","ISSN":"0028-0836","issue":"7613","language":"eng","note":"edition: 2016/07/21","page":"570-4","source":"NLM","title":"Dynamics of ribosome scanning and recycling revealed by translation complex profiling","volume":"535","author":[{"family":"Archer","given":"S. K."},{"family":"Shirokikh","given":"N. E."},{"family":"Beilharz","given":"T. H."},{"family":"Preiss","given":"T."}],"issued":{"date-parts":[["2016",7,28]]}}},{"id":374,"uris":["http://zotero.org/users/6977825/items/DXAVYW7C"],"uri":["http://zotero.org/users/6977825/items/DXAVYW7C"],"itemData":{"id":374,"type":"article-journal","abstract":"Messenger RNA (mRNA) translation is a tightly controlled process that is integral to gene expression. It features intricate and dynamic interactions of the small and large subunits of the ribosome with mRNAs, aided by multiple auxiliary factors during distinct initiation, elongation and termination phases. The recently developed ribosome profiling method can generate transcriptome-wide surveys of translation and its regulation. Ribosome profiling records the footprints of fully assembled ribosomes along mRNAs and thus primarily interrogates the elongation phase of translation. Importantly, it does not monitor multiple substeps of initiation and termination that involve complexes between the small ribosomal subunit (SSU) and mRNA. Here we describe a related method, termed 'translation complex profile sequencing' (TCP-seq), that is uniquely capable of recording positions of any type of ribosome-mRNA complex transcriptome-wide. It uses fast covalent fixation of translation complexes in live cells, followed by RNase footprinting of translation intermediates and their separation into complexes involving either the full ribosome or the SSU. The footprints derived from each type of complex are then deep-sequenced separately, generating native distribution profiles during the elongation, as well as the initiation and termination stages of translation. We provide the full TCP-seq protocol for Saccharomyces cerevisiae liquid suspension culture, including a data analysis pipeline. The protocol takes ∼3 weeks to complete by a researcher who is well acquainted with standard molecular biology techniques and who has some experience in ultracentrifugation and the preparation of RNA sequencing (RNA-seq) libraries. Basic Bash and UNIX/Linux command skills are required to use the bioinformatics tools provided.","archive_location":"28253237","container-title":"Nature Protocols","DOI":"10.1038/nprot.2016.189","ISSN":"1750-2799","issue":"4","language":"eng","note":"edition: 2017/03/03","page":"697-731","source":"NLM","title":"Translation complex profile sequencing to study the in vivo dynamics of mRNA-ribosome interactions during translation initiation, elongation and termination","volume":"12","author":[{"family":"Shirokikh","given":"N. E."},{"family":"Archer","given":"S. K."},{"family":"Beilharz","given":"T. H."},{"family":"Powell","given":"D."},{"family":"Preiss","given":"T."}],"issued":{"date-parts":[["2017",4]]}}},{"id":391,"uris":["http://zotero.org/users/6977825/items/SHZQCH7A"],"uri":["http://zotero.org/users/6977825/items/SHZQCH7A"],"itemData":{"id":391,"type":"article-journal","abstract":"Messenger RNA (mRNA) translation is a central step of gene expression. Translational regulation plays essential roles in various biological processes. Ribosome profiling is a powerful technique to study genome-wide translational regulation at a single-codon resolution. Based on conventional ribosome profiling procedures, many new experimental methods have recently been developed to investigate the biology of mRNA translation from different aspects. These technical advances have significantly advanced our understanding of translational regulation at genomic scales from the following perspectives: (1) identification of translational initiation sites; (2) characterization of the dynamics of the complete translation cycle; (3) profiling of active ribosomes; (4) tissue-specific translational regulation; (5) translational regulation in subcellular locations; (6) detection of ribosome traffic jams; (7) plastid translatomes; and (8) ribosome heterogeneity and translational preference. Here, we summarize the key differences between these new techniques and the conventional ribosome profiling approach. We also review the computational methods designed to analyze ribosome profiling data.","archive_location":"31103613","container-title":"Methods","DOI":"10.1016/j.ymeth.2019.05.011","ISSN":"1046-2023","language":"eng","note":"edition: 2019/05/20","page":"46-54","source":"NLM","title":"Recent advances in ribosome profiling for deciphering translational regulation","volume":"176","author":[{"family":"Wang","given":"Y."},{"family":"Zhang","given":"H."},{"family":"Lu","given":"J."}],"issued":{"date-parts":[["2020",4,1]]}}}],"schema":"https://github.com/citation-style-language/schema/raw/master/csl-citation.json"}</w:instrText>
      </w:r>
      <w:r>
        <w:rPr>
          <w:rFonts w:ascii="Calibri" w:hAnsi="Calibri" w:cs="Calibri"/>
          <w:color w:val="000000"/>
          <w:lang w:val="en-US"/>
        </w:rPr>
        <w:fldChar w:fldCharType="separate"/>
      </w:r>
      <w:r>
        <w:rPr>
          <w:rFonts w:ascii="Calibri" w:hAnsi="Calibri" w:cs="Calibri"/>
          <w:vertAlign w:val="superscript"/>
          <w:lang w:val="en-US"/>
        </w:rPr>
        <w:t>10,36,37</w:t>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rPr>
          <w:rFonts w:ascii="Calibri" w:hAnsi="Calibri" w:cs="Calibri"/>
          <w:color w:val="000000"/>
          <w:lang w:val="en-US"/>
        </w:rPr>
        <w:t xml:space="preserve"> that generates a separate population of the liberated SSUs derived from the scanning, start and stop codon complexes, it may be additionally insightful to remove ribosomal subunits that do not co-sediment with the complete monosomes or polysomes.</w:t>
      </w:r>
    </w:p>
    <w:p w14:paraId="3C914C03" w14:textId="77777777" w:rsidR="006B6616" w:rsidRDefault="006B6616">
      <w:pPr>
        <w:jc w:val="both"/>
        <w:rPr>
          <w:rFonts w:ascii="Calibri" w:hAnsi="Calibri" w:cs="Calibri"/>
          <w:lang w:val="en-US"/>
        </w:rPr>
      </w:pPr>
    </w:p>
    <w:p w14:paraId="2D1DEBED" w14:textId="77777777" w:rsidR="006B6616" w:rsidRDefault="00E473AD">
      <w:pPr>
        <w:jc w:val="both"/>
        <w:rPr>
          <w:rFonts w:ascii="Calibri" w:hAnsi="Calibri" w:cs="Calibri"/>
        </w:rPr>
      </w:pPr>
      <w:r>
        <w:fldChar w:fldCharType="begin"/>
      </w:r>
      <w:r>
        <w:rPr>
          <w:rFonts w:ascii="Calibri" w:hAnsi="Calibri"/>
        </w:rPr>
        <w:instrText>43,64. After ribonuclease digestion, the SSUs and the protected mRNA fragments are separated from RS through sucrose gradient sedimentation. The sequencing of these ribosome footprints provides information about the different steps of translation in their native state.Ther</w:instrText>
      </w:r>
      <w:r>
        <w:rPr>
          <w:rFonts w:ascii="Calibri" w:hAnsi="Calibri"/>
        </w:rPr>
        <w:fldChar w:fldCharType="separate"/>
      </w:r>
      <w:r>
        <w:fldChar w:fldCharType="begin"/>
      </w:r>
      <w:r>
        <w:rPr>
          <w:rFonts w:ascii="Calibri" w:hAnsi="Calibri"/>
        </w:rPr>
        <w:instrText>12,</w:instrText>
      </w:r>
      <w:r w:rsidR="0021610B">
        <w:rPr>
          <w:rFonts w:ascii="Calibri" w:hAnsi="Calibri"/>
        </w:rPr>
        <w:fldChar w:fldCharType="separate"/>
      </w:r>
      <w:r>
        <w:rPr>
          <w:rFonts w:ascii="Calibri" w:hAnsi="Calibri"/>
        </w:rPr>
        <w:fldChar w:fldCharType="end"/>
      </w:r>
      <w:r>
        <w:rPr>
          <w:rFonts w:ascii="Calibri" w:hAnsi="Calibri"/>
        </w:rPr>
        <w:fldChar w:fldCharType="end"/>
      </w:r>
      <w:r>
        <w:rPr>
          <w:rFonts w:ascii="Calibri" w:hAnsi="Calibri" w:cs="Calibri"/>
          <w:color w:val="000000"/>
          <w:lang w:val="en-US"/>
        </w:rPr>
        <w:t xml:space="preserve">We thus have employed separation of the ‘non-translated’ </w:t>
      </w:r>
      <w:proofErr w:type="spellStart"/>
      <w:r>
        <w:rPr>
          <w:rFonts w:ascii="Calibri" w:hAnsi="Calibri" w:cs="Calibri"/>
          <w:color w:val="000000"/>
          <w:lang w:val="en-US"/>
        </w:rPr>
        <w:t>mRNPs</w:t>
      </w:r>
      <w:proofErr w:type="spellEnd"/>
      <w:r>
        <w:rPr>
          <w:rFonts w:ascii="Calibri" w:hAnsi="Calibri" w:cs="Calibri"/>
          <w:color w:val="000000"/>
          <w:lang w:val="en-US"/>
        </w:rPr>
        <w:t xml:space="preserve"> such as free SSUs (mRNA bound to single SSU or SSUs without attached mRNA) away from the ‘actively translating’ pool of mRNAs. To achieve this, we assumed that mRNAs involved in interactions with either one (mono-) or several ribosomes (polysomes) can be actively translated. Such complexes can be separated from the others by their higher sedimentation coefficient. We also suggested to separate the ‘actively translated’ pool of mRNAs into a sucrose cushion (50% w/v of sucrose) instead of direct pelleting the material on the tube wall. Centrifugation of the fast-</w:t>
      </w:r>
      <w:proofErr w:type="spellStart"/>
      <w:r>
        <w:rPr>
          <w:rFonts w:ascii="Calibri" w:hAnsi="Calibri" w:cs="Calibri"/>
          <w:color w:val="000000"/>
          <w:lang w:val="en-US"/>
        </w:rPr>
        <w:t>sedimenting</w:t>
      </w:r>
      <w:proofErr w:type="spellEnd"/>
      <w:r>
        <w:rPr>
          <w:rFonts w:ascii="Calibri" w:hAnsi="Calibri" w:cs="Calibri"/>
          <w:color w:val="000000"/>
          <w:lang w:val="en-US"/>
        </w:rPr>
        <w:t xml:space="preserve"> complexes into the cushion allowed us to </w:t>
      </w:r>
      <w:r>
        <w:rPr>
          <w:rFonts w:ascii="Calibri" w:eastAsia="Arial" w:hAnsi="Calibri" w:cs="Calibri"/>
          <w:color w:val="000000"/>
          <w:lang w:val="en-US"/>
        </w:rPr>
        <w:t>monitor the separation using absorbance profile readout and to achieve a higher output of the solubilized, non-aggregated and non-denatured material, compared to</w:t>
      </w:r>
      <w:r>
        <w:rPr>
          <w:rFonts w:ascii="Calibri" w:hAnsi="Calibri" w:cs="Calibri"/>
          <w:color w:val="000000"/>
          <w:lang w:val="en-US"/>
        </w:rPr>
        <w:t xml:space="preserve"> pelleting and re-solubilization</w:t>
      </w:r>
      <w:r>
        <w:fldChar w:fldCharType="begin"/>
      </w:r>
      <w:r>
        <w:rPr>
          <w:rFonts w:ascii="Calibri" w:hAnsi="Calibri" w:cs="Calibri"/>
          <w:color w:val="000000"/>
          <w:lang w:val="en-US"/>
        </w:rPr>
        <w:instrText>ADDIN ZOTERO_ITEM CSL_CITATION {"citationID":"F2tw3L36","properties":{"formattedCitation":"\\super 10, 32\\nosupersub{}","plainCitation":"10, 32","dontUpdate":true,"noteIndex":0},"citationItems":[{"id":274,"uris":["http://zotero.org/users/6977825/items/NRI4UE8J"],"uri":["http://zotero.org/users/6977825/items/NRI4UE8J"],"itemData":{"id":274,"type":"article-journal","abstract":"Regulation of messenger RNA translation is central to eukaryotic gene expression control. Regulatory inputs are specified by them RNA untranslated regions (UTRs) and often target translation initiation. Initiation involves binding of the 40S ribosomal small subunit (SSU) and associated eukaryotic initiation factors (eIFs)near the mRNA 5′ cap; the SSU then scans in the 3′ direction until it detects the start codon and is joined by the 60S ribosomal large subunit (LSU) to form the 80S ribosome. Scanning and other dynamic aspects of the initiation model have remained as conjectures because methods to trap early intermediates were lacking. Here we uncover the dynamics of the complete translation cycle in live yeast cells using translation complex profile sequencing (TCP-seq), a method developed from the ribosome profiling approach. We document scanning by observing SSU footprints along 5′ UTRs. Scanning SSU have 5′-extended footprints (up to~75 nucleotides), indicative of additional interactions with mRNA emerging from the exit channel, promoting forward movement. We visualized changes in initiation complex conformation as SSU footprints coalesced into three major sizes at start codons (19, 29 and 37 nucleotides). These share the same 5′ start site but differ at the 3′ end, reflecting successive changes at the entry channel from an open to a closed state following start codon recognition. We also observe SSU 'lingering' at stop codons after LSU departure. Our results underpin mechanistic models of translation initiation and termination, built on decades of biochemical and structural investigation, with direct genome-wide in vivo evidence. Our approach captures ribosomal complexes at all phases of translation and will aid in studying translation dynamics in diverse cellular contexts. Dysregulation of translation is common in disease and, for example, SSU scanning is a target of anti-cancer drug development. TCP-seq will prove useful in discerning differences in mRNA-specific initiation in pathologies and their response to treatment.","archive_location":"27437580","container-title":"Nature","DOI":"10.1038/nature18647","ISSN":"0028-0836","issue":"7613","language":"eng","note":"edition: 2016/07/21","page":"570-4","source":"NLM","title":"Dynamics of ribosome scanning and recycling revealed by translation complex profiling","volume":"535","author":[{"family":"Archer","given":"S. K."},{"family":"Shirokikh","given":"N. E."},{"family":"Beilharz","given":"T. H."},{"family":"Preiss","given":"T."}],"issued":{"date-parts":[["2016",7,28]]}}},{"id":374,"uris":["http://zotero.org/users/6977825/items/DXAVYW7C"],"uri":["http://zotero.org/users/6977825/items/DXAVYW7C"],"itemData":{"id":374,"type":"article-journal","abstract":"Messenger RNA (mRNA) translation is a tightly controlled process that is integral to gene expression. It features intricate and dynamic interactions of the small and large subunits of the ribosome with mRNAs, aided by multiple auxiliary factors during distinct initiation, elongation and termination phases. The recently developed ribosome profiling method can generate transcriptome-wide surveys of translation and its regulation. Ribosome profiling records the footprints of fully assembled ribosomes along mRNAs and thus primarily interrogates the elongation phase of translation. Importantly, it does not monitor multiple substeps of initiation and termination that involve complexes between the small ribosomal subunit (SSU) and mRNA. Here we describe a related method, termed 'translation complex profile sequencing' (TCP-seq), that is uniquely capable of recording positions of any type of ribosome-mRNA complex transcriptome-wide. It uses fast covalent fixation of translation complexes in live cells, followed by RNase footprinting of translation intermediates and their separation into complexes involving either the full ribosome or the SSU. The footprints derived from each type of complex are then deep-sequenced separately, generating native distribution profiles during the elongation, as well as the initiation and termination stages of translation. We provide the full TCP-seq protocol for Saccharomyces cerevisiae liquid suspension culture, including a data analysis pipeline. The protocol takes ∼3 weeks to complete by a researcher who is well acquainted with standard molecular biology techniques and who has some experience in ultracentrifugation and the preparation of RNA sequencing (RNA-seq) libraries. Basic Bash and UNIX/Linux command skills are required to use the bioinformatics tools provided.","archive_location":"28253237","container-title":"Nature Protocols","DOI":"10.1038/nprot.2016.189","ISSN":"1750-2799","issue":"4","language":"eng","note":"edition: 2017/03/03","page":"697-731","source":"NLM","title":"Translation complex profile sequencing to study the in vivo dynamics of mRNA-ribosome interactions during translation initiation, elongation and termination","volume":"12","author":[{"family":"Shirokikh","given":"N. E."},{"family":"Archer","given":"S. K."},{"family":"Beilharz","given":"T. H."},{"family":"Powell","given":"D."},{"family":"Preiss","given":"T."}],"issued":{"date-parts":[["2017",4]]}}}],"schema":"https://github.com/citation-style-language/schema/raw/master/csl-citation.json"}</w:instrText>
      </w:r>
      <w:r>
        <w:rPr>
          <w:rFonts w:ascii="Calibri" w:hAnsi="Calibri" w:cs="Calibri"/>
          <w:color w:val="000000"/>
          <w:lang w:val="en-US"/>
        </w:rPr>
        <w:fldChar w:fldCharType="separate"/>
      </w:r>
      <w:r>
        <w:rPr>
          <w:rFonts w:ascii="Calibri" w:hAnsi="Calibri" w:cs="Calibri"/>
          <w:vertAlign w:val="superscript"/>
          <w:lang w:val="en-US"/>
        </w:rPr>
        <w:t>10,36</w:t>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rPr>
          <w:rFonts w:ascii="Calibri" w:eastAsia="Arial" w:hAnsi="Calibri" w:cs="Calibri"/>
          <w:color w:val="000000"/>
          <w:lang w:val="en-US"/>
        </w:rPr>
        <w:t>.</w:t>
      </w:r>
    </w:p>
    <w:p w14:paraId="6FF0BEF5" w14:textId="77777777" w:rsidR="006B6616" w:rsidRDefault="006B6616">
      <w:pPr>
        <w:jc w:val="both"/>
        <w:rPr>
          <w:rFonts w:ascii="Calibri" w:hAnsi="Calibri" w:cs="Calibri"/>
          <w:color w:val="000000"/>
          <w:lang w:val="en-US"/>
        </w:rPr>
      </w:pPr>
    </w:p>
    <w:p w14:paraId="01DAB15F" w14:textId="77777777" w:rsidR="006B6616" w:rsidRDefault="00E473AD">
      <w:pPr>
        <w:jc w:val="both"/>
        <w:rPr>
          <w:rFonts w:ascii="Calibri" w:hAnsi="Calibri" w:cs="Calibri"/>
        </w:rPr>
      </w:pPr>
      <w:r>
        <w:rPr>
          <w:rFonts w:ascii="Calibri" w:hAnsi="Calibri" w:cs="Calibri"/>
          <w:color w:val="000000"/>
          <w:lang w:val="en-US"/>
        </w:rPr>
        <w:t xml:space="preserve">Overall, to purify the individual SSUs, ribosomes, </w:t>
      </w:r>
      <w:proofErr w:type="spellStart"/>
      <w:r>
        <w:rPr>
          <w:rFonts w:ascii="Calibri" w:hAnsi="Calibri" w:cs="Calibri"/>
          <w:color w:val="000000"/>
          <w:lang w:val="en-US"/>
        </w:rPr>
        <w:t>disomes</w:t>
      </w:r>
      <w:proofErr w:type="spellEnd"/>
      <w:r>
        <w:rPr>
          <w:rFonts w:ascii="Calibri" w:hAnsi="Calibri" w:cs="Calibri"/>
          <w:color w:val="000000"/>
          <w:lang w:val="en-US"/>
        </w:rPr>
        <w:t>, and potentially compactly packed polysomes of a higher order, fixed clarified lysates were subjected to a two-stage ultracentrifugation process (</w:t>
      </w:r>
      <w:r>
        <w:rPr>
          <w:rFonts w:ascii="Calibri" w:hAnsi="Calibri" w:cs="Calibri"/>
          <w:b/>
          <w:bCs/>
          <w:color w:val="000000"/>
          <w:lang w:val="en-US"/>
        </w:rPr>
        <w:t>Figure 5</w:t>
      </w:r>
      <w:r>
        <w:rPr>
          <w:rFonts w:ascii="Calibri" w:hAnsi="Calibri" w:cs="Calibri"/>
          <w:color w:val="000000"/>
          <w:lang w:val="en-US"/>
        </w:rPr>
        <w:t>). In the first sucrose gradient, the ultracentrifugation resulted in separated free SSUs and LSUs in the top (10%–20% w/v of sucrose) portion of the gradient, whereas the crosslinked translated pool including polysomes and mRNAs associated with one complete ribosome were concentrated at the bottom (50% w/v of sucrose) of the gradient (</w:t>
      </w:r>
      <w:r>
        <w:rPr>
          <w:rFonts w:ascii="Calibri" w:hAnsi="Calibri" w:cs="Calibri"/>
          <w:b/>
          <w:bCs/>
          <w:color w:val="000000"/>
          <w:lang w:val="en-US"/>
        </w:rPr>
        <w:t>Figure 5a</w:t>
      </w:r>
      <w:r>
        <w:rPr>
          <w:rFonts w:ascii="Calibri" w:hAnsi="Calibri" w:cs="Calibri"/>
          <w:color w:val="000000"/>
          <w:lang w:val="en-US"/>
        </w:rPr>
        <w:t xml:space="preserve">). The bottom 50% w/v of sucrose layer containing the translated mRNA pool was then concentrated and its RNA digested with RNase I, followed by a second sucrose gradient ultracentrifugation to obtain separate SSU, LSU, RS, RNase resistant </w:t>
      </w:r>
      <w:proofErr w:type="spellStart"/>
      <w:r>
        <w:rPr>
          <w:rFonts w:ascii="Calibri" w:hAnsi="Calibri" w:cs="Calibri"/>
          <w:color w:val="000000"/>
          <w:lang w:val="en-US"/>
        </w:rPr>
        <w:t>disomes</w:t>
      </w:r>
      <w:proofErr w:type="spellEnd"/>
      <w:r>
        <w:rPr>
          <w:rFonts w:ascii="Calibri" w:hAnsi="Calibri" w:cs="Calibri"/>
          <w:color w:val="000000"/>
          <w:lang w:val="en-US"/>
        </w:rPr>
        <w:t xml:space="preserve"> (DS) and minor fraction of higher-order nuclease-resistant polysomes</w:t>
      </w:r>
      <w:r>
        <w:rPr>
          <w:rFonts w:ascii="Calibri" w:hAnsi="Calibri" w:cs="Calibri"/>
          <w:b/>
          <w:bCs/>
          <w:color w:val="000000"/>
          <w:lang w:val="en-US"/>
        </w:rPr>
        <w:t xml:space="preserve"> (</w:t>
      </w:r>
      <w:r>
        <w:rPr>
          <w:rFonts w:ascii="Calibri" w:hAnsi="Calibri" w:cs="Calibri"/>
          <w:b/>
          <w:color w:val="000000"/>
          <w:lang w:val="en-US"/>
        </w:rPr>
        <w:t>Figure 5b</w:t>
      </w:r>
      <w:r>
        <w:rPr>
          <w:rFonts w:ascii="Calibri" w:hAnsi="Calibri" w:cs="Calibri"/>
          <w:color w:val="000000"/>
          <w:lang w:val="en-US"/>
        </w:rPr>
        <w:t>). Negative staining with uranyl acetate and imaging with a transmission electron microscope confirmed the identity of the complexes isolated in each sedimentation stage (</w:t>
      </w:r>
      <w:r>
        <w:rPr>
          <w:rFonts w:ascii="Calibri" w:hAnsi="Calibri" w:cs="Calibri"/>
          <w:b/>
          <w:color w:val="000000"/>
          <w:lang w:val="en-US"/>
        </w:rPr>
        <w:t>Figure 5</w:t>
      </w:r>
      <w:r>
        <w:rPr>
          <w:rFonts w:ascii="Calibri" w:hAnsi="Calibri" w:cs="Calibri"/>
          <w:color w:val="000000"/>
          <w:lang w:val="en-US"/>
        </w:rPr>
        <w:t>).</w:t>
      </w:r>
    </w:p>
    <w:p w14:paraId="3DD3406F" w14:textId="77777777" w:rsidR="006B6616" w:rsidRDefault="006B6616">
      <w:pPr>
        <w:widowControl w:val="0"/>
        <w:tabs>
          <w:tab w:val="left" w:pos="270"/>
        </w:tabs>
        <w:jc w:val="both"/>
        <w:rPr>
          <w:rFonts w:ascii="Calibri" w:hAnsi="Calibri" w:cs="Calibri"/>
          <w:color w:val="000000"/>
          <w:lang w:val="en-US"/>
        </w:rPr>
      </w:pPr>
    </w:p>
    <w:p w14:paraId="6C5BC1A2" w14:textId="77777777" w:rsidR="006B6616" w:rsidRDefault="00E473AD">
      <w:pPr>
        <w:widowControl w:val="0"/>
        <w:tabs>
          <w:tab w:val="left" w:pos="270"/>
        </w:tabs>
        <w:jc w:val="both"/>
        <w:rPr>
          <w:rFonts w:ascii="Calibri" w:hAnsi="Calibri" w:cs="Calibri"/>
        </w:rPr>
      </w:pPr>
      <w:r>
        <w:rPr>
          <w:rFonts w:ascii="Calibri" w:hAnsi="Calibri" w:cs="Calibri"/>
          <w:color w:val="000000"/>
          <w:lang w:val="en-US"/>
        </w:rPr>
        <w:t>[Place Figure 5 here]</w:t>
      </w:r>
    </w:p>
    <w:p w14:paraId="1720567F" w14:textId="77777777" w:rsidR="006B6616" w:rsidRDefault="006B6616">
      <w:pPr>
        <w:pStyle w:val="ListParagraph"/>
        <w:spacing w:after="0" w:line="240" w:lineRule="auto"/>
        <w:ind w:left="0"/>
        <w:jc w:val="both"/>
        <w:rPr>
          <w:rFonts w:cs="Calibri"/>
          <w:color w:val="000000"/>
          <w:sz w:val="24"/>
          <w:szCs w:val="24"/>
          <w:lang w:val="en-US"/>
        </w:rPr>
      </w:pPr>
    </w:p>
    <w:p w14:paraId="4EA2F651" w14:textId="77777777" w:rsidR="006B6616" w:rsidRDefault="00E473AD">
      <w:pPr>
        <w:pStyle w:val="ListParagraph"/>
        <w:spacing w:after="0" w:line="240" w:lineRule="auto"/>
        <w:ind w:left="0"/>
        <w:jc w:val="both"/>
        <w:rPr>
          <w:rFonts w:cs="Calibri"/>
        </w:rPr>
      </w:pPr>
      <w:r>
        <w:rPr>
          <w:rFonts w:cs="Calibri"/>
          <w:color w:val="000000"/>
          <w:sz w:val="24"/>
          <w:szCs w:val="24"/>
          <w:lang w:val="en-US"/>
        </w:rPr>
        <w:t xml:space="preserve">In order to check the suitability of the fixation regimen for the retention of transient ribosome-associated proteins (particularly, </w:t>
      </w:r>
      <w:proofErr w:type="spellStart"/>
      <w:r>
        <w:rPr>
          <w:rFonts w:cs="Calibri"/>
          <w:color w:val="000000"/>
          <w:sz w:val="24"/>
          <w:szCs w:val="24"/>
          <w:lang w:val="en-US"/>
        </w:rPr>
        <w:t>eIFs</w:t>
      </w:r>
      <w:proofErr w:type="spellEnd"/>
      <w:r>
        <w:rPr>
          <w:rFonts w:cs="Calibri"/>
          <w:color w:val="000000"/>
          <w:sz w:val="24"/>
          <w:szCs w:val="24"/>
          <w:lang w:val="en-US"/>
        </w:rPr>
        <w:t xml:space="preserve">), we tested for the co-sedimentation of eIF4A, a labile </w:t>
      </w:r>
      <w:proofErr w:type="spellStart"/>
      <w:r>
        <w:rPr>
          <w:rFonts w:cs="Calibri"/>
          <w:color w:val="000000"/>
          <w:sz w:val="24"/>
          <w:szCs w:val="24"/>
          <w:lang w:val="en-US"/>
        </w:rPr>
        <w:t>eIF</w:t>
      </w:r>
      <w:proofErr w:type="spellEnd"/>
      <w:r>
        <w:rPr>
          <w:rFonts w:cs="Calibri"/>
          <w:color w:val="000000"/>
          <w:sz w:val="24"/>
          <w:szCs w:val="24"/>
          <w:lang w:val="en-US"/>
        </w:rPr>
        <w:t xml:space="preserve"> dynamically bound to the ribosome</w:t>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EN.CITE.DATA58-61</w:instrText>
      </w:r>
      <w:r w:rsidR="0021610B">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w:instrText>
      </w:r>
      <w:r w:rsidR="0021610B">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rPr>
          <w:rFonts w:cs="Calibri"/>
          <w:color w:val="000000"/>
          <w:sz w:val="24"/>
          <w:szCs w:val="24"/>
          <w:lang w:val="en-US"/>
        </w:rPr>
        <w:t xml:space="preserve">, across the ribosomal fractions. </w:t>
      </w:r>
      <w:r>
        <w:rPr>
          <w:rFonts w:cs="Calibri"/>
          <w:color w:val="000000"/>
          <w:sz w:val="24"/>
          <w:szCs w:val="24"/>
          <w:lang w:val="en-US" w:eastAsia="en-US"/>
        </w:rPr>
        <w:t xml:space="preserve">We took advantage of the eIF4A Tandem Affinity Purification (TAP) tagged yeast strain </w:t>
      </w:r>
      <w:r>
        <w:rPr>
          <w:rFonts w:cs="Calibri"/>
          <w:color w:val="000000"/>
          <w:sz w:val="24"/>
          <w:szCs w:val="24"/>
          <w:lang w:val="en-US"/>
        </w:rPr>
        <w:t>(TIF1-TAP)</w:t>
      </w:r>
      <w:r>
        <w:rPr>
          <w:rFonts w:cs="Calibri"/>
          <w:color w:val="000000"/>
          <w:sz w:val="24"/>
          <w:szCs w:val="24"/>
          <w:lang w:val="en-US" w:eastAsia="en-US"/>
        </w:rPr>
        <w:t xml:space="preserve"> and investigated eIF4A presence in material derived from the fixed </w:t>
      </w:r>
      <w:r w:rsidRPr="007E2E3F">
        <w:rPr>
          <w:rFonts w:cs="Calibri"/>
          <w:i/>
          <w:iCs/>
          <w:color w:val="000000"/>
          <w:sz w:val="24"/>
          <w:szCs w:val="24"/>
          <w:lang w:val="en-US" w:eastAsia="en-US"/>
        </w:rPr>
        <w:t>vs.</w:t>
      </w:r>
      <w:r>
        <w:rPr>
          <w:rFonts w:cs="Calibri"/>
          <w:color w:val="000000"/>
          <w:sz w:val="24"/>
          <w:szCs w:val="24"/>
          <w:lang w:val="en-US" w:eastAsia="en-US"/>
        </w:rPr>
        <w:t xml:space="preserve"> non-fixed cells by using anti-TAP antibody, compared to the abundance of Pab1p as an additional RNA-binding control, using</w:t>
      </w:r>
      <w:r>
        <w:fldChar w:fldCharType="begin"/>
      </w:r>
      <w:r>
        <w:rPr>
          <w:rFonts w:cs="Calibri"/>
          <w:color w:val="000000"/>
          <w:sz w:val="24"/>
          <w:szCs w:val="24"/>
          <w:lang w:val="en-US" w:eastAsia="en-US"/>
        </w:rPr>
        <w:instrText>ADDIN EN.CITE</w:instrText>
      </w:r>
      <w:r>
        <w:rPr>
          <w:rFonts w:cs="Calibri"/>
          <w:color w:val="000000"/>
          <w:sz w:val="24"/>
          <w:szCs w:val="24"/>
          <w:lang w:val="en-US" w:eastAsia="en-US"/>
        </w:rPr>
        <w:fldChar w:fldCharType="separate"/>
      </w:r>
      <w:r>
        <w:fldChar w:fldCharType="begin"/>
      </w:r>
      <w:r>
        <w:rPr>
          <w:rFonts w:cs="Calibri"/>
          <w:color w:val="000000"/>
          <w:sz w:val="24"/>
          <w:szCs w:val="24"/>
          <w:lang w:val="en-US" w:eastAsia="en-US"/>
        </w:rPr>
        <w:instrText>ADDIN EN.CITE.DATA</w:instrText>
      </w:r>
      <w:r w:rsidR="0021610B">
        <w:rPr>
          <w:rFonts w:cs="Calibri"/>
          <w:color w:val="000000"/>
          <w:sz w:val="24"/>
          <w:szCs w:val="24"/>
          <w:lang w:val="en-US" w:eastAsia="en-US"/>
        </w:rPr>
        <w:fldChar w:fldCharType="separate"/>
      </w:r>
      <w:r>
        <w:rPr>
          <w:rFonts w:cs="Calibri"/>
          <w:color w:val="000000"/>
          <w:sz w:val="24"/>
          <w:szCs w:val="24"/>
          <w:lang w:val="en-US" w:eastAsia="en-US"/>
        </w:rPr>
        <w:fldChar w:fldCharType="end"/>
      </w:r>
      <w:r>
        <w:rPr>
          <w:rFonts w:cs="Calibri"/>
          <w:color w:val="000000"/>
          <w:sz w:val="24"/>
          <w:szCs w:val="24"/>
          <w:lang w:val="en-US" w:eastAsia="en-US"/>
        </w:rPr>
        <w:fldChar w:fldCharType="end"/>
      </w:r>
      <w:r>
        <w:rPr>
          <w:rFonts w:cs="Calibri"/>
          <w:color w:val="000000"/>
          <w:sz w:val="24"/>
          <w:szCs w:val="24"/>
          <w:lang w:val="en-US"/>
        </w:rPr>
        <w:t xml:space="preserve"> SDS-PAGE followed by western blotting (</w:t>
      </w:r>
      <w:r>
        <w:rPr>
          <w:rFonts w:cs="Calibri"/>
          <w:b/>
          <w:color w:val="000000"/>
          <w:sz w:val="24"/>
          <w:szCs w:val="24"/>
          <w:lang w:val="en-US"/>
        </w:rPr>
        <w:t>Figure 6</w:t>
      </w:r>
      <w:r>
        <w:rPr>
          <w:rFonts w:cs="Calibri"/>
          <w:color w:val="000000"/>
          <w:sz w:val="24"/>
          <w:szCs w:val="24"/>
          <w:lang w:val="en-US"/>
        </w:rPr>
        <w:t>).</w:t>
      </w:r>
    </w:p>
    <w:p w14:paraId="5CD05365" w14:textId="77777777" w:rsidR="006B6616" w:rsidRDefault="006B6616">
      <w:pPr>
        <w:widowControl w:val="0"/>
        <w:tabs>
          <w:tab w:val="left" w:pos="270"/>
        </w:tabs>
        <w:jc w:val="both"/>
        <w:textAlignment w:val="baseline"/>
        <w:rPr>
          <w:rFonts w:ascii="Calibri" w:hAnsi="Calibri" w:cs="Calibri"/>
          <w:color w:val="000000"/>
          <w:lang w:val="en-US"/>
        </w:rPr>
      </w:pPr>
    </w:p>
    <w:p w14:paraId="3F1C3EF4" w14:textId="77777777" w:rsidR="006B6616" w:rsidRDefault="00E473AD">
      <w:pPr>
        <w:widowControl w:val="0"/>
        <w:tabs>
          <w:tab w:val="left" w:pos="270"/>
        </w:tabs>
        <w:jc w:val="both"/>
        <w:textAlignment w:val="baseline"/>
        <w:rPr>
          <w:rFonts w:ascii="Calibri" w:hAnsi="Calibri" w:cs="Calibri"/>
        </w:rPr>
      </w:pPr>
      <w:r>
        <w:rPr>
          <w:rFonts w:ascii="Calibri" w:hAnsi="Calibri" w:cs="Calibri"/>
          <w:color w:val="000000"/>
          <w:lang w:val="en-US"/>
        </w:rPr>
        <w:t>[Place Figure 6 here]</w:t>
      </w:r>
    </w:p>
    <w:p w14:paraId="39A7FABF" w14:textId="77777777" w:rsidR="006B6616" w:rsidRDefault="006B6616">
      <w:pPr>
        <w:jc w:val="both"/>
        <w:rPr>
          <w:rFonts w:ascii="Calibri" w:hAnsi="Calibri" w:cs="Calibri"/>
          <w:color w:val="000000"/>
          <w:lang w:val="en-US"/>
        </w:rPr>
      </w:pPr>
    </w:p>
    <w:p w14:paraId="7C4B3EA2" w14:textId="77777777" w:rsidR="006B6616" w:rsidRDefault="00E473AD">
      <w:pPr>
        <w:jc w:val="both"/>
        <w:rPr>
          <w:rFonts w:ascii="Calibri" w:hAnsi="Calibri" w:cs="Calibri"/>
        </w:rPr>
      </w:pPr>
      <w:r>
        <w:rPr>
          <w:rFonts w:ascii="Calibri" w:hAnsi="Calibri" w:cs="Calibri"/>
          <w:color w:val="000000"/>
          <w:lang w:val="en-US"/>
        </w:rPr>
        <w:t xml:space="preserve">Consistent with their high abundance in the cells, we observed a high intensity of the signal from </w:t>
      </w:r>
      <w:proofErr w:type="gramStart"/>
      <w:r>
        <w:rPr>
          <w:rFonts w:ascii="Calibri" w:hAnsi="Calibri" w:cs="Calibri"/>
          <w:color w:val="000000"/>
          <w:lang w:val="en-US"/>
        </w:rPr>
        <w:t>both of the proteins</w:t>
      </w:r>
      <w:proofErr w:type="gramEnd"/>
      <w:r>
        <w:rPr>
          <w:rFonts w:ascii="Calibri" w:hAnsi="Calibri" w:cs="Calibri"/>
          <w:color w:val="000000"/>
          <w:lang w:val="en-US"/>
        </w:rPr>
        <w:t xml:space="preserve"> in the whole cell lysate (WCL) and slower-</w:t>
      </w:r>
      <w:proofErr w:type="spellStart"/>
      <w:r>
        <w:rPr>
          <w:rFonts w:ascii="Calibri" w:hAnsi="Calibri" w:cs="Calibri"/>
          <w:color w:val="000000"/>
          <w:lang w:val="en-US"/>
        </w:rPr>
        <w:t>sedimenting</w:t>
      </w:r>
      <w:proofErr w:type="spellEnd"/>
      <w:r>
        <w:rPr>
          <w:rFonts w:ascii="Calibri" w:hAnsi="Calibri" w:cs="Calibri"/>
          <w:color w:val="000000"/>
          <w:lang w:val="en-US"/>
        </w:rPr>
        <w:t xml:space="preserve"> fractions derived from non-fixed cells (</w:t>
      </w:r>
      <w:r>
        <w:rPr>
          <w:rFonts w:ascii="Calibri" w:hAnsi="Calibri" w:cs="Calibri"/>
          <w:b/>
          <w:color w:val="000000"/>
          <w:lang w:val="en-US"/>
        </w:rPr>
        <w:t>Figure 6a</w:t>
      </w:r>
      <w:r>
        <w:rPr>
          <w:rFonts w:ascii="Calibri" w:hAnsi="Calibri" w:cs="Calibri"/>
          <w:color w:val="000000"/>
          <w:lang w:val="en-US"/>
        </w:rPr>
        <w:t>, bottom panel). We have also detected substantial amounts of these proteins in the WCL derived from the fixed cells and reassuring the efficiency of the crosslinked material extraction and absence of unexpected losses (</w:t>
      </w:r>
      <w:r>
        <w:rPr>
          <w:rFonts w:ascii="Calibri" w:hAnsi="Calibri" w:cs="Calibri"/>
          <w:b/>
          <w:color w:val="000000"/>
          <w:lang w:val="en-US"/>
        </w:rPr>
        <w:t>Figure 6b</w:t>
      </w:r>
      <w:r>
        <w:rPr>
          <w:rFonts w:ascii="Calibri" w:hAnsi="Calibri" w:cs="Calibri"/>
          <w:color w:val="000000"/>
          <w:lang w:val="en-US"/>
        </w:rPr>
        <w:t>, bottom panel). However, in contrast to the non-fixed cells, material from the fixed cells demonstrated elevated relative presence of eIF4A in the faster-</w:t>
      </w:r>
      <w:proofErr w:type="spellStart"/>
      <w:r>
        <w:rPr>
          <w:rFonts w:ascii="Calibri" w:hAnsi="Calibri" w:cs="Calibri"/>
          <w:color w:val="000000"/>
          <w:lang w:val="en-US"/>
        </w:rPr>
        <w:t>sedimenting</w:t>
      </w:r>
      <w:proofErr w:type="spellEnd"/>
      <w:r>
        <w:rPr>
          <w:rFonts w:ascii="Calibri" w:hAnsi="Calibri" w:cs="Calibri"/>
          <w:color w:val="000000"/>
          <w:lang w:val="en-US"/>
        </w:rPr>
        <w:t xml:space="preserve"> ribosomal fractions, in comparison to Pab1p (</w:t>
      </w:r>
      <w:r>
        <w:rPr>
          <w:rFonts w:ascii="Calibri" w:hAnsi="Calibri" w:cs="Calibri"/>
          <w:b/>
          <w:color w:val="000000"/>
          <w:lang w:val="en-US"/>
        </w:rPr>
        <w:t>Figure 6c</w:t>
      </w:r>
      <w:r>
        <w:rPr>
          <w:rFonts w:ascii="Calibri" w:hAnsi="Calibri" w:cs="Calibri"/>
          <w:color w:val="000000"/>
          <w:lang w:val="en-US"/>
        </w:rPr>
        <w:t>). This result suggests that eIF4A remains more firmly associated with the polysomes in formaldehyde-crosslinked material.</w:t>
      </w:r>
    </w:p>
    <w:p w14:paraId="6DAED777" w14:textId="77777777" w:rsidR="006B6616" w:rsidRDefault="006B6616">
      <w:pPr>
        <w:jc w:val="both"/>
        <w:rPr>
          <w:rFonts w:ascii="Calibri" w:hAnsi="Calibri" w:cs="Calibri"/>
          <w:color w:val="000000"/>
          <w:lang w:val="en-US"/>
        </w:rPr>
      </w:pPr>
    </w:p>
    <w:p w14:paraId="678CF1EE" w14:textId="77777777" w:rsidR="006B6616" w:rsidRDefault="00E473AD">
      <w:pPr>
        <w:jc w:val="both"/>
        <w:rPr>
          <w:rFonts w:ascii="Calibri" w:hAnsi="Calibri" w:cs="Calibri"/>
        </w:rPr>
      </w:pPr>
      <w:r>
        <w:rPr>
          <w:rFonts w:ascii="Calibri" w:hAnsi="Calibri" w:cs="Calibri"/>
          <w:color w:val="000000"/>
          <w:lang w:val="en-US"/>
        </w:rPr>
        <w:t xml:space="preserve">Having confirmed the positive and specific stabilization effect of crosslinking on eIF4A presence in the ribosomal fractions, we used the fixed material from eIF4A-tagged (TIF1-TAP) yeast strain to capture and enrich eIF4A-containing complexes by affinity purification with magnetic IgG beads. We have </w:t>
      </w:r>
      <w:proofErr w:type="gramStart"/>
      <w:r>
        <w:rPr>
          <w:rFonts w:ascii="Calibri" w:hAnsi="Calibri" w:cs="Calibri"/>
          <w:color w:val="000000"/>
          <w:lang w:val="en-US"/>
        </w:rPr>
        <w:t>affinity-enriched</w:t>
      </w:r>
      <w:proofErr w:type="gramEnd"/>
      <w:r>
        <w:rPr>
          <w:rFonts w:ascii="Calibri" w:hAnsi="Calibri" w:cs="Calibri"/>
          <w:color w:val="000000"/>
          <w:lang w:val="en-US"/>
        </w:rPr>
        <w:t xml:space="preserve"> WCL, free SSU and </w:t>
      </w:r>
      <w:proofErr w:type="spellStart"/>
      <w:r>
        <w:rPr>
          <w:rFonts w:ascii="Calibri" w:hAnsi="Calibri" w:cs="Calibri"/>
          <w:color w:val="000000"/>
          <w:lang w:val="en-US"/>
        </w:rPr>
        <w:t>polysomal</w:t>
      </w:r>
      <w:proofErr w:type="spellEnd"/>
      <w:r>
        <w:rPr>
          <w:rFonts w:ascii="Calibri" w:hAnsi="Calibri" w:cs="Calibri"/>
          <w:color w:val="000000"/>
          <w:lang w:val="en-US"/>
        </w:rPr>
        <w:t xml:space="preserve"> (translated mRNA pool) fractions after the first sedimentation through sucrose gradient (e.g., section 1.3 of the yeast protocol), as well as SSU, LSU and RS fractions from the second sedimentation upon the disassembly of the translated pool into individual complexes with RNase I (e.g., section 1.4 of the yeast protocol) (</w:t>
      </w:r>
      <w:r>
        <w:rPr>
          <w:rFonts w:ascii="Calibri" w:hAnsi="Calibri" w:cs="Calibri"/>
          <w:b/>
          <w:bCs/>
          <w:color w:val="000000"/>
          <w:lang w:val="en-US"/>
        </w:rPr>
        <w:t>Figure 7</w:t>
      </w:r>
      <w:r>
        <w:rPr>
          <w:rFonts w:ascii="Calibri" w:hAnsi="Calibri" w:cs="Calibri"/>
          <w:color w:val="000000"/>
          <w:lang w:val="en-US"/>
        </w:rPr>
        <w:t>). In all cases, except for the LSU fraction, we were able to observe selective enrichment of the eIF4A in the purified fractions (eluate, E), in comparison to the presence of β-actin in the source material (input, I) (</w:t>
      </w:r>
      <w:r>
        <w:rPr>
          <w:rFonts w:ascii="Calibri" w:hAnsi="Calibri" w:cs="Calibri"/>
          <w:b/>
          <w:bCs/>
          <w:color w:val="000000"/>
          <w:lang w:val="en-US"/>
        </w:rPr>
        <w:t>Figure 7</w:t>
      </w:r>
      <w:r>
        <w:rPr>
          <w:rFonts w:ascii="Calibri" w:hAnsi="Calibri" w:cs="Calibri"/>
          <w:color w:val="000000"/>
          <w:lang w:val="en-US"/>
        </w:rPr>
        <w:t>).</w:t>
      </w:r>
    </w:p>
    <w:p w14:paraId="252A217D" w14:textId="77777777" w:rsidR="006B6616" w:rsidRDefault="006B6616">
      <w:pPr>
        <w:jc w:val="both"/>
        <w:rPr>
          <w:rFonts w:ascii="Calibri" w:hAnsi="Calibri" w:cs="Calibri"/>
          <w:color w:val="000000"/>
        </w:rPr>
      </w:pPr>
    </w:p>
    <w:p w14:paraId="5C536CB5" w14:textId="77777777" w:rsidR="006B6616" w:rsidRDefault="00E473AD">
      <w:pPr>
        <w:jc w:val="both"/>
        <w:rPr>
          <w:rFonts w:ascii="Calibri" w:hAnsi="Calibri" w:cs="Calibri"/>
        </w:rPr>
      </w:pPr>
      <w:r>
        <w:rPr>
          <w:rFonts w:ascii="Calibri" w:hAnsi="Calibri" w:cs="Calibri"/>
          <w:color w:val="000000"/>
          <w:lang w:val="en-US"/>
        </w:rPr>
        <w:t>[Place Figure 7 here]</w:t>
      </w:r>
    </w:p>
    <w:p w14:paraId="077E53B8" w14:textId="77777777" w:rsidR="006B6616" w:rsidRDefault="006B6616">
      <w:pPr>
        <w:jc w:val="both"/>
        <w:rPr>
          <w:rFonts w:ascii="Calibri" w:hAnsi="Calibri" w:cs="Calibri"/>
          <w:b/>
          <w:bCs/>
          <w:color w:val="000000"/>
          <w:lang w:val="en-US"/>
        </w:rPr>
      </w:pPr>
    </w:p>
    <w:p w14:paraId="145E65E8" w14:textId="77777777" w:rsidR="006B6616" w:rsidRDefault="00E473AD">
      <w:pPr>
        <w:jc w:val="both"/>
        <w:rPr>
          <w:rFonts w:ascii="Calibri" w:hAnsi="Calibri" w:cs="Calibri"/>
        </w:rPr>
      </w:pPr>
      <w:r>
        <w:rPr>
          <w:rFonts w:ascii="Calibri" w:hAnsi="Calibri" w:cs="Calibri"/>
          <w:b/>
          <w:bCs/>
          <w:color w:val="000000"/>
          <w:lang w:val="en-US"/>
        </w:rPr>
        <w:t>FIGURE LEGENDS</w:t>
      </w:r>
    </w:p>
    <w:p w14:paraId="04782145" w14:textId="77777777" w:rsidR="006B6616" w:rsidRDefault="00E473AD">
      <w:pPr>
        <w:pStyle w:val="Standard"/>
        <w:spacing w:after="0" w:line="240" w:lineRule="auto"/>
        <w:jc w:val="both"/>
        <w:rPr>
          <w:rFonts w:cs="Calibri"/>
        </w:rPr>
      </w:pPr>
      <w:r>
        <w:rPr>
          <w:rFonts w:cs="Calibri"/>
          <w:b/>
          <w:bCs/>
          <w:color w:val="000000"/>
          <w:sz w:val="24"/>
          <w:szCs w:val="24"/>
          <w:lang w:val="en-US"/>
        </w:rPr>
        <w:t>Figure 1</w:t>
      </w:r>
      <w:r>
        <w:rPr>
          <w:rFonts w:cs="Calibri"/>
          <w:b/>
          <w:color w:val="000000"/>
          <w:sz w:val="24"/>
          <w:szCs w:val="24"/>
          <w:lang w:val="en-US"/>
        </w:rPr>
        <w:t>:</w:t>
      </w:r>
      <w:r>
        <w:rPr>
          <w:rFonts w:cs="Calibri"/>
          <w:b/>
          <w:bCs/>
          <w:color w:val="000000"/>
          <w:sz w:val="24"/>
          <w:szCs w:val="24"/>
          <w:lang w:val="en-US"/>
        </w:rPr>
        <w:t xml:space="preserve"> Schematic depicting an overview of the typical experimental setup.</w:t>
      </w:r>
      <w:r>
        <w:rPr>
          <w:rFonts w:cs="Calibri"/>
          <w:color w:val="000000"/>
          <w:sz w:val="24"/>
          <w:szCs w:val="24"/>
          <w:lang w:val="en-US"/>
        </w:rPr>
        <w:t xml:space="preserve"> Key steps of </w:t>
      </w:r>
      <w:r>
        <w:rPr>
          <w:rFonts w:cs="Calibri"/>
          <w:i/>
          <w:iCs/>
          <w:color w:val="000000"/>
          <w:sz w:val="24"/>
          <w:szCs w:val="24"/>
          <w:lang w:val="en-US"/>
        </w:rPr>
        <w:t>in vivo</w:t>
      </w:r>
      <w:r>
        <w:rPr>
          <w:rFonts w:cs="Calibri"/>
          <w:color w:val="000000"/>
          <w:sz w:val="24"/>
          <w:szCs w:val="24"/>
          <w:lang w:val="en-US"/>
        </w:rPr>
        <w:t xml:space="preserve"> formaldehyde stabilization of translational complexes are depicted as a flowchart, supplemented by information about the key necessary instruments. Potential downstream applications of the crosslinked material are outlined, including examples which have been successfully employed but not directly covered in this protocol, such as SPRI bead purification of RNA, RNA sequencing, and mass-spectrometry.</w:t>
      </w:r>
    </w:p>
    <w:p w14:paraId="0FA0F916" w14:textId="77777777" w:rsidR="006B6616" w:rsidRDefault="006B6616">
      <w:pPr>
        <w:pStyle w:val="Standard"/>
        <w:spacing w:after="0" w:line="240" w:lineRule="auto"/>
        <w:jc w:val="both"/>
        <w:rPr>
          <w:rFonts w:cs="Calibri"/>
          <w:sz w:val="24"/>
          <w:szCs w:val="24"/>
          <w:lang w:val="en-US"/>
        </w:rPr>
      </w:pPr>
    </w:p>
    <w:p w14:paraId="2D806A21" w14:textId="77777777" w:rsidR="006B6616" w:rsidRDefault="00E473AD">
      <w:pPr>
        <w:pStyle w:val="Standard"/>
        <w:tabs>
          <w:tab w:val="left" w:pos="797"/>
        </w:tabs>
        <w:spacing w:after="0" w:line="240" w:lineRule="auto"/>
        <w:jc w:val="both"/>
        <w:textAlignment w:val="auto"/>
        <w:rPr>
          <w:rFonts w:cs="Calibri"/>
        </w:rPr>
      </w:pPr>
      <w:r>
        <w:rPr>
          <w:rFonts w:cs="Calibri"/>
          <w:b/>
          <w:bCs/>
          <w:color w:val="000000"/>
          <w:sz w:val="24"/>
          <w:szCs w:val="24"/>
          <w:lang w:val="en-US"/>
        </w:rPr>
        <w:t>Figure 2</w:t>
      </w:r>
      <w:r>
        <w:rPr>
          <w:rFonts w:cs="Calibri"/>
          <w:color w:val="000000"/>
          <w:sz w:val="24"/>
          <w:szCs w:val="24"/>
          <w:lang w:val="en-US"/>
        </w:rPr>
        <w:t>:</w:t>
      </w:r>
      <w:r>
        <w:rPr>
          <w:rFonts w:cs="Calibri"/>
          <w:b/>
          <w:bCs/>
          <w:color w:val="000000"/>
          <w:sz w:val="24"/>
          <w:szCs w:val="24"/>
          <w:lang w:val="en-US"/>
        </w:rPr>
        <w:t xml:space="preserve"> Buffer conditions for complex extraction and assessment of the stabilizing effect of the fixation. </w:t>
      </w:r>
      <w:r>
        <w:rPr>
          <w:rFonts w:cs="Calibri"/>
          <w:color w:val="000000"/>
          <w:sz w:val="24"/>
          <w:szCs w:val="24"/>
          <w:lang w:val="en-US"/>
        </w:rPr>
        <w:t>Shown are UV absorbance profiles collected at 260 nm for the total yeast cell lysate separated in 10%–40% w/v sucrose gradients. (</w:t>
      </w:r>
      <w:r>
        <w:rPr>
          <w:rFonts w:cs="Calibri"/>
          <w:b/>
          <w:bCs/>
          <w:color w:val="000000"/>
          <w:sz w:val="24"/>
          <w:szCs w:val="24"/>
          <w:lang w:val="en-US"/>
        </w:rPr>
        <w:t>a</w:t>
      </w:r>
      <w:r>
        <w:rPr>
          <w:rFonts w:cs="Calibri"/>
          <w:color w:val="000000"/>
          <w:sz w:val="24"/>
          <w:szCs w:val="24"/>
          <w:lang w:val="en-US"/>
        </w:rPr>
        <w:t>) Effects of mono- and divalent salts and magnesium ion sequestration on the sedimentation of material extracted from non-fixed yeast cells. Red and gray lines represent a typical replicate. (</w:t>
      </w:r>
      <w:proofErr w:type="spellStart"/>
      <w:proofErr w:type="gramStart"/>
      <w:r>
        <w:rPr>
          <w:rFonts w:cs="Calibri"/>
          <w:b/>
          <w:bCs/>
          <w:color w:val="000000"/>
          <w:sz w:val="24"/>
          <w:szCs w:val="24"/>
          <w:lang w:val="en-US"/>
        </w:rPr>
        <w:t>b,c</w:t>
      </w:r>
      <w:proofErr w:type="spellEnd"/>
      <w:proofErr w:type="gramEnd"/>
      <w:r>
        <w:rPr>
          <w:rFonts w:cs="Calibri"/>
          <w:color w:val="000000"/>
          <w:sz w:val="24"/>
          <w:szCs w:val="24"/>
          <w:lang w:val="en-US"/>
        </w:rPr>
        <w:t>) Comparison of lysates derived from non-fixed (gray line), 2.2% (black line) and 4.4% (black dotted line) w/v of formaldehyde-fixed yeast cells. (</w:t>
      </w:r>
      <w:r>
        <w:rPr>
          <w:rFonts w:cs="Calibri"/>
          <w:b/>
          <w:bCs/>
          <w:color w:val="000000"/>
          <w:sz w:val="24"/>
          <w:szCs w:val="24"/>
          <w:lang w:val="en-US"/>
        </w:rPr>
        <w:t>d</w:t>
      </w:r>
      <w:r>
        <w:rPr>
          <w:rFonts w:cs="Calibri"/>
          <w:color w:val="000000"/>
          <w:sz w:val="24"/>
          <w:szCs w:val="24"/>
          <w:lang w:val="en-US"/>
        </w:rPr>
        <w:t>) Stabilization of polysomes by the optimized 0.2% w/v of formaldehyde fixation (black dashed-and-dotted line) of HEK 293T cells, as compared to the material from same non-fixed cells (gray line).</w:t>
      </w:r>
    </w:p>
    <w:p w14:paraId="3274431D" w14:textId="77777777" w:rsidR="006B6616" w:rsidRDefault="006B6616">
      <w:pPr>
        <w:jc w:val="both"/>
        <w:rPr>
          <w:rFonts w:ascii="Calibri" w:hAnsi="Calibri" w:cs="Calibri"/>
          <w:lang w:val="en-US"/>
        </w:rPr>
      </w:pPr>
    </w:p>
    <w:p w14:paraId="313F822F" w14:textId="77777777" w:rsidR="006B6616" w:rsidRDefault="00E473AD">
      <w:pPr>
        <w:jc w:val="both"/>
        <w:rPr>
          <w:rFonts w:ascii="Calibri" w:hAnsi="Calibri" w:cs="Calibri"/>
        </w:rPr>
      </w:pPr>
      <w:r>
        <w:rPr>
          <w:rFonts w:ascii="Calibri" w:hAnsi="Calibri" w:cs="Calibri"/>
          <w:b/>
          <w:bCs/>
          <w:color w:val="000000"/>
          <w:lang w:val="en-US"/>
        </w:rPr>
        <w:t>Figure 3</w:t>
      </w:r>
      <w:r>
        <w:rPr>
          <w:rFonts w:ascii="Calibri" w:hAnsi="Calibri" w:cs="Calibri"/>
          <w:color w:val="000000"/>
          <w:lang w:val="en-US"/>
        </w:rPr>
        <w:t xml:space="preserve">: </w:t>
      </w:r>
      <w:r>
        <w:rPr>
          <w:rFonts w:ascii="Calibri" w:hAnsi="Calibri" w:cs="Calibri"/>
          <w:b/>
          <w:bCs/>
          <w:color w:val="000000"/>
          <w:lang w:val="en-US"/>
        </w:rPr>
        <w:t xml:space="preserve">Effects of </w:t>
      </w:r>
      <w:r>
        <w:rPr>
          <w:rFonts w:ascii="Calibri" w:hAnsi="Calibri" w:cs="Calibri"/>
          <w:b/>
          <w:bCs/>
          <w:i/>
          <w:iCs/>
          <w:color w:val="000000"/>
          <w:lang w:val="en-US"/>
        </w:rPr>
        <w:t>in vivo</w:t>
      </w:r>
      <w:r>
        <w:rPr>
          <w:rFonts w:ascii="Calibri" w:hAnsi="Calibri" w:cs="Calibri"/>
          <w:b/>
          <w:bCs/>
          <w:color w:val="000000"/>
          <w:lang w:val="en-US"/>
        </w:rPr>
        <w:t xml:space="preserve"> yeast formaldehyde fixation on the stability of polysomes.</w:t>
      </w:r>
      <w:r>
        <w:rPr>
          <w:rFonts w:ascii="Calibri" w:hAnsi="Calibri" w:cs="Calibri"/>
          <w:color w:val="000000"/>
          <w:lang w:val="en-US"/>
        </w:rPr>
        <w:t xml:space="preserve"> Buffer 1 (see text and </w:t>
      </w:r>
      <w:r>
        <w:rPr>
          <w:rFonts w:ascii="Calibri" w:hAnsi="Calibri" w:cs="Calibri"/>
          <w:b/>
          <w:bCs/>
          <w:color w:val="000000"/>
          <w:lang w:val="en-US"/>
        </w:rPr>
        <w:t>Figure 2a</w:t>
      </w:r>
      <w:r>
        <w:rPr>
          <w:rFonts w:ascii="Calibri" w:hAnsi="Calibri" w:cs="Calibri"/>
          <w:color w:val="000000"/>
          <w:lang w:val="en-US"/>
        </w:rPr>
        <w:t xml:space="preserve">) was used in all experiments. Data type and plotting as described in the </w:t>
      </w:r>
      <w:r>
        <w:rPr>
          <w:rFonts w:ascii="Calibri" w:hAnsi="Calibri" w:cs="Calibri"/>
          <w:b/>
          <w:bCs/>
          <w:color w:val="000000"/>
          <w:lang w:val="en-US"/>
        </w:rPr>
        <w:t>Figure 2</w:t>
      </w:r>
      <w:r>
        <w:rPr>
          <w:rFonts w:ascii="Calibri" w:hAnsi="Calibri" w:cs="Calibri"/>
          <w:color w:val="000000"/>
          <w:lang w:val="en-US"/>
        </w:rPr>
        <w:t xml:space="preserve"> legend. (</w:t>
      </w:r>
      <w:r>
        <w:rPr>
          <w:rFonts w:ascii="Calibri" w:hAnsi="Calibri" w:cs="Calibri"/>
          <w:b/>
          <w:bCs/>
          <w:color w:val="000000"/>
          <w:lang w:val="en-US"/>
        </w:rPr>
        <w:t>a</w:t>
      </w:r>
      <w:r>
        <w:rPr>
          <w:rFonts w:ascii="Calibri" w:hAnsi="Calibri" w:cs="Calibri"/>
          <w:color w:val="000000"/>
          <w:lang w:val="en-US"/>
        </w:rPr>
        <w:t>) Comparison of the addition of 15 mM EDTA to the cell lysates and subsequent buffers on the stability of the polysomes derived from non-fixed (gray line), 2.2% (black line) and 4% (black dotted line) w/v of formaldehyde-fixed cells. (</w:t>
      </w:r>
      <w:r>
        <w:rPr>
          <w:rFonts w:ascii="Calibri" w:hAnsi="Calibri" w:cs="Calibri"/>
          <w:b/>
          <w:bCs/>
          <w:color w:val="000000"/>
          <w:lang w:val="en-US"/>
        </w:rPr>
        <w:t>b</w:t>
      </w:r>
      <w:r>
        <w:rPr>
          <w:rFonts w:ascii="Calibri" w:hAnsi="Calibri" w:cs="Calibri"/>
          <w:color w:val="000000"/>
          <w:lang w:val="en-US"/>
        </w:rPr>
        <w:t>) same as (</w:t>
      </w:r>
      <w:r>
        <w:rPr>
          <w:rFonts w:ascii="Calibri" w:hAnsi="Calibri" w:cs="Calibri"/>
          <w:b/>
          <w:bCs/>
          <w:color w:val="000000"/>
          <w:lang w:val="en-US"/>
        </w:rPr>
        <w:t>a</w:t>
      </w:r>
      <w:r>
        <w:rPr>
          <w:rFonts w:ascii="Calibri" w:hAnsi="Calibri" w:cs="Calibri"/>
          <w:color w:val="000000"/>
          <w:lang w:val="en-US"/>
        </w:rPr>
        <w:t>), but for the addition of 50 mM EDTA and excluding 4% w/v of formaldehyde-fixed cells. (</w:t>
      </w:r>
      <w:r>
        <w:rPr>
          <w:rFonts w:ascii="Calibri" w:hAnsi="Calibri" w:cs="Calibri"/>
          <w:b/>
          <w:bCs/>
          <w:color w:val="000000"/>
          <w:lang w:val="en-US"/>
        </w:rPr>
        <w:t>c</w:t>
      </w:r>
      <w:r>
        <w:rPr>
          <w:rFonts w:ascii="Calibri" w:hAnsi="Calibri" w:cs="Calibri"/>
          <w:color w:val="000000"/>
          <w:lang w:val="en-US"/>
        </w:rPr>
        <w:t>) same as (</w:t>
      </w:r>
      <w:r>
        <w:rPr>
          <w:rFonts w:ascii="Calibri" w:hAnsi="Calibri" w:cs="Calibri"/>
          <w:b/>
          <w:bCs/>
          <w:color w:val="000000"/>
          <w:lang w:val="en-US"/>
        </w:rPr>
        <w:t>a</w:t>
      </w:r>
      <w:r>
        <w:rPr>
          <w:rFonts w:ascii="Calibri" w:hAnsi="Calibri" w:cs="Calibri"/>
          <w:color w:val="000000"/>
          <w:lang w:val="en-US"/>
        </w:rPr>
        <w:t xml:space="preserve">), but for the addition of 500 mM </w:t>
      </w:r>
      <w:proofErr w:type="spellStart"/>
      <w:r>
        <w:rPr>
          <w:rFonts w:ascii="Calibri" w:hAnsi="Calibri" w:cs="Calibri"/>
          <w:color w:val="000000"/>
          <w:lang w:val="en-US"/>
        </w:rPr>
        <w:t>KCl</w:t>
      </w:r>
      <w:proofErr w:type="spellEnd"/>
      <w:r>
        <w:rPr>
          <w:rFonts w:ascii="Calibri" w:hAnsi="Calibri" w:cs="Calibri"/>
          <w:color w:val="000000"/>
          <w:lang w:val="en-US"/>
        </w:rPr>
        <w:t xml:space="preserve"> and excluding 2.2% w/v of formaldehyde-fixed cells.</w:t>
      </w:r>
    </w:p>
    <w:p w14:paraId="6C7205F6" w14:textId="77777777" w:rsidR="006B6616" w:rsidRDefault="006B6616">
      <w:pPr>
        <w:jc w:val="both"/>
        <w:rPr>
          <w:rFonts w:ascii="Calibri" w:hAnsi="Calibri" w:cs="Calibri"/>
          <w:lang w:val="en-US"/>
        </w:rPr>
      </w:pPr>
    </w:p>
    <w:p w14:paraId="6D5B93BE" w14:textId="77777777" w:rsidR="006B6616" w:rsidRDefault="00E473AD">
      <w:pPr>
        <w:pStyle w:val="ListParagraph"/>
        <w:suppressAutoHyphens w:val="0"/>
        <w:spacing w:after="0" w:line="240" w:lineRule="auto"/>
        <w:ind w:left="0"/>
        <w:jc w:val="both"/>
        <w:textAlignment w:val="auto"/>
        <w:rPr>
          <w:rFonts w:cs="Calibri"/>
        </w:rPr>
      </w:pPr>
      <w:r>
        <w:rPr>
          <w:rFonts w:cs="Calibri"/>
          <w:b/>
          <w:bCs/>
          <w:color w:val="000000"/>
          <w:sz w:val="24"/>
          <w:szCs w:val="24"/>
          <w:lang w:val="en-US"/>
        </w:rPr>
        <w:t>Figure 4:</w:t>
      </w:r>
      <w:r>
        <w:rPr>
          <w:rFonts w:cs="Calibri"/>
          <w:color w:val="000000"/>
          <w:sz w:val="24"/>
          <w:szCs w:val="24"/>
          <w:lang w:val="en-US"/>
        </w:rPr>
        <w:t xml:space="preserve"> </w:t>
      </w:r>
      <w:r>
        <w:rPr>
          <w:rFonts w:cs="Calibri"/>
          <w:b/>
          <w:bCs/>
          <w:color w:val="000000"/>
          <w:sz w:val="24"/>
          <w:szCs w:val="24"/>
          <w:lang w:val="en-US"/>
        </w:rPr>
        <w:t>Capturing rapid changes in yeast translation upon glucose starvation</w:t>
      </w:r>
      <w:r>
        <w:rPr>
          <w:rFonts w:cs="Calibri"/>
          <w:color w:val="000000"/>
          <w:sz w:val="24"/>
          <w:szCs w:val="24"/>
          <w:lang w:val="en-US"/>
        </w:rPr>
        <w:t xml:space="preserve">. Buffer 1 (see text and </w:t>
      </w:r>
      <w:r>
        <w:rPr>
          <w:rFonts w:cs="Calibri"/>
          <w:b/>
          <w:bCs/>
          <w:color w:val="000000"/>
          <w:sz w:val="24"/>
          <w:szCs w:val="24"/>
          <w:lang w:val="en-US"/>
        </w:rPr>
        <w:t>Figure 2a</w:t>
      </w:r>
      <w:r>
        <w:rPr>
          <w:rFonts w:cs="Calibri"/>
          <w:color w:val="000000"/>
          <w:sz w:val="24"/>
          <w:szCs w:val="24"/>
          <w:lang w:val="en-US"/>
        </w:rPr>
        <w:t xml:space="preserve">) was used in all </w:t>
      </w:r>
      <w:r>
        <w:rPr>
          <w:rFonts w:eastAsia="Times New Roman" w:cs="Calibri"/>
          <w:color w:val="000000"/>
          <w:sz w:val="24"/>
          <w:szCs w:val="24"/>
          <w:lang w:val="en-US"/>
        </w:rPr>
        <w:t>experiments.</w:t>
      </w:r>
      <w:r>
        <w:rPr>
          <w:rFonts w:cs="Calibri"/>
          <w:color w:val="000000"/>
          <w:sz w:val="24"/>
          <w:szCs w:val="24"/>
          <w:lang w:val="en-US"/>
        </w:rPr>
        <w:t xml:space="preserve"> Data type and p</w:t>
      </w:r>
      <w:r>
        <w:rPr>
          <w:rFonts w:eastAsia="Times New Roman" w:cs="Calibri"/>
          <w:color w:val="000000"/>
          <w:sz w:val="24"/>
          <w:szCs w:val="24"/>
          <w:lang w:val="en-US"/>
        </w:rPr>
        <w:t xml:space="preserve">lotting as described in the </w:t>
      </w:r>
      <w:r>
        <w:rPr>
          <w:rFonts w:eastAsia="Times New Roman" w:cs="Calibri"/>
          <w:b/>
          <w:bCs/>
          <w:color w:val="000000"/>
          <w:sz w:val="24"/>
          <w:szCs w:val="24"/>
          <w:lang w:val="en-US"/>
        </w:rPr>
        <w:t>Figure 2</w:t>
      </w:r>
      <w:r>
        <w:rPr>
          <w:rFonts w:eastAsia="Times New Roman" w:cs="Calibri"/>
          <w:color w:val="000000"/>
          <w:sz w:val="24"/>
          <w:szCs w:val="24"/>
          <w:lang w:val="en-US"/>
        </w:rPr>
        <w:t xml:space="preserve"> legend. (</w:t>
      </w:r>
      <w:r>
        <w:rPr>
          <w:rFonts w:eastAsia="Times New Roman" w:cs="Calibri"/>
          <w:b/>
          <w:bCs/>
          <w:color w:val="000000"/>
          <w:sz w:val="24"/>
          <w:szCs w:val="24"/>
          <w:lang w:val="en-US"/>
        </w:rPr>
        <w:t>a</w:t>
      </w:r>
      <w:r>
        <w:rPr>
          <w:rFonts w:eastAsia="Times New Roman" w:cs="Calibri"/>
          <w:color w:val="000000"/>
          <w:sz w:val="24"/>
          <w:szCs w:val="24"/>
          <w:lang w:val="en-US"/>
        </w:rPr>
        <w:t xml:space="preserve">) Cell lysates obtained from non-starved (gray line), restricted glucose-starved (0.25% w/v added glucose for 10 min; brown line) and glucose-depleted (no added glucose for 10 min; red line) non-fixed yeast cells. </w:t>
      </w:r>
      <w:r>
        <w:rPr>
          <w:rFonts w:cs="Calibri"/>
          <w:color w:val="000000"/>
          <w:sz w:val="24"/>
          <w:szCs w:val="24"/>
          <w:lang w:val="en-US"/>
        </w:rPr>
        <w:t>(</w:t>
      </w:r>
      <w:r>
        <w:rPr>
          <w:rFonts w:cs="Calibri"/>
          <w:b/>
          <w:bCs/>
          <w:color w:val="000000"/>
          <w:sz w:val="24"/>
          <w:szCs w:val="24"/>
          <w:lang w:val="en-US"/>
        </w:rPr>
        <w:t>b</w:t>
      </w:r>
      <w:r>
        <w:rPr>
          <w:rFonts w:cs="Calibri"/>
          <w:color w:val="000000"/>
          <w:sz w:val="24"/>
          <w:szCs w:val="24"/>
          <w:lang w:val="en-US"/>
        </w:rPr>
        <w:t>) same as (</w:t>
      </w:r>
      <w:r>
        <w:rPr>
          <w:rFonts w:cs="Calibri"/>
          <w:b/>
          <w:bCs/>
          <w:color w:val="000000"/>
          <w:sz w:val="24"/>
          <w:szCs w:val="24"/>
          <w:lang w:val="en-US"/>
        </w:rPr>
        <w:t>a</w:t>
      </w:r>
      <w:r>
        <w:rPr>
          <w:rFonts w:cs="Calibri"/>
          <w:color w:val="000000"/>
          <w:sz w:val="24"/>
          <w:szCs w:val="24"/>
          <w:lang w:val="en-US"/>
        </w:rPr>
        <w:t>), but for 2.2% w/v formaldehyde-fixed cells.</w:t>
      </w:r>
    </w:p>
    <w:p w14:paraId="6D3FD715" w14:textId="77777777" w:rsidR="006B6616" w:rsidRDefault="006B6616">
      <w:pPr>
        <w:pStyle w:val="ListParagraph"/>
        <w:suppressAutoHyphens w:val="0"/>
        <w:spacing w:after="0" w:line="240" w:lineRule="auto"/>
        <w:ind w:left="0"/>
        <w:jc w:val="both"/>
        <w:textAlignment w:val="auto"/>
        <w:rPr>
          <w:rFonts w:cs="Calibri"/>
          <w:sz w:val="24"/>
          <w:szCs w:val="24"/>
          <w:lang w:val="en-US"/>
        </w:rPr>
      </w:pPr>
    </w:p>
    <w:p w14:paraId="452B3298" w14:textId="77777777" w:rsidR="006B6616" w:rsidRDefault="00E473AD">
      <w:pPr>
        <w:pStyle w:val="ListParagraph"/>
        <w:suppressAutoHyphens w:val="0"/>
        <w:spacing w:after="0" w:line="240" w:lineRule="auto"/>
        <w:ind w:left="0"/>
        <w:jc w:val="both"/>
        <w:textAlignment w:val="auto"/>
        <w:rPr>
          <w:rFonts w:cs="Calibri"/>
        </w:rPr>
      </w:pPr>
      <w:r>
        <w:rPr>
          <w:rFonts w:cs="Calibri"/>
          <w:b/>
          <w:bCs/>
          <w:color w:val="000000"/>
          <w:sz w:val="24"/>
          <w:szCs w:val="24"/>
          <w:lang w:val="en-US"/>
        </w:rPr>
        <w:t xml:space="preserve">Figure 5: Isolation of the total translated RNA fractions away from the untranslated RNA. </w:t>
      </w:r>
      <w:r>
        <w:rPr>
          <w:rFonts w:cs="Calibri"/>
          <w:color w:val="000000"/>
          <w:sz w:val="24"/>
          <w:szCs w:val="24"/>
          <w:lang w:val="en-US"/>
        </w:rPr>
        <w:t>(</w:t>
      </w:r>
      <w:proofErr w:type="spellStart"/>
      <w:r>
        <w:rPr>
          <w:rFonts w:cs="Calibri"/>
          <w:b/>
          <w:bCs/>
          <w:color w:val="000000"/>
          <w:sz w:val="24"/>
          <w:szCs w:val="24"/>
          <w:lang w:val="en-US"/>
        </w:rPr>
        <w:t>a,c</w:t>
      </w:r>
      <w:proofErr w:type="spellEnd"/>
      <w:r>
        <w:rPr>
          <w:rFonts w:cs="Calibri"/>
          <w:color w:val="000000"/>
          <w:sz w:val="24"/>
          <w:szCs w:val="24"/>
          <w:lang w:val="en-US"/>
        </w:rPr>
        <w:t xml:space="preserve">) Schematic (left) and the respective representative results (right; data type and plotting as described in the </w:t>
      </w:r>
      <w:r>
        <w:rPr>
          <w:rFonts w:cs="Calibri"/>
          <w:b/>
          <w:bCs/>
          <w:color w:val="000000"/>
          <w:sz w:val="24"/>
          <w:szCs w:val="24"/>
          <w:lang w:val="en-US"/>
        </w:rPr>
        <w:t>Figure 2</w:t>
      </w:r>
      <w:r>
        <w:rPr>
          <w:rFonts w:cs="Calibri"/>
          <w:color w:val="000000"/>
          <w:sz w:val="24"/>
          <w:szCs w:val="24"/>
          <w:lang w:val="en-US"/>
        </w:rPr>
        <w:t xml:space="preserve"> legend) of (</w:t>
      </w:r>
      <w:r>
        <w:rPr>
          <w:rFonts w:cs="Calibri"/>
          <w:b/>
          <w:bCs/>
          <w:color w:val="000000"/>
          <w:sz w:val="24"/>
          <w:szCs w:val="24"/>
          <w:lang w:val="en-US"/>
        </w:rPr>
        <w:t>a</w:t>
      </w:r>
      <w:r>
        <w:rPr>
          <w:rFonts w:cs="Calibri"/>
          <w:color w:val="000000"/>
          <w:sz w:val="24"/>
          <w:szCs w:val="24"/>
          <w:lang w:val="en-US"/>
        </w:rPr>
        <w:t>) first discontinuous sucrose gradient separation of the non-translated cytosol fractions including free SSUs and the translated mRNA pool identified by co-sedimentation with ribosomes and polysomes, and (</w:t>
      </w:r>
      <w:r>
        <w:rPr>
          <w:rFonts w:cs="Calibri"/>
          <w:b/>
          <w:bCs/>
          <w:color w:val="000000"/>
          <w:sz w:val="24"/>
          <w:szCs w:val="24"/>
          <w:lang w:val="en-US"/>
        </w:rPr>
        <w:t>c</w:t>
      </w:r>
      <w:r>
        <w:rPr>
          <w:rFonts w:cs="Calibri"/>
          <w:color w:val="000000"/>
          <w:sz w:val="24"/>
          <w:szCs w:val="24"/>
          <w:lang w:val="en-US"/>
        </w:rPr>
        <w:t xml:space="preserve">) separation of the individual ribosomal complexes liberated from the translated mRNA pool by controlled RNase I digestion and ultracentrifugation through a second linear sucrose gradient into SSU, LSU, ribosomal (RS), and nuclease-resistant </w:t>
      </w:r>
      <w:proofErr w:type="spellStart"/>
      <w:r>
        <w:rPr>
          <w:rFonts w:cs="Calibri"/>
          <w:color w:val="000000"/>
          <w:sz w:val="24"/>
          <w:szCs w:val="24"/>
          <w:lang w:val="en-US"/>
        </w:rPr>
        <w:t>disomal</w:t>
      </w:r>
      <w:proofErr w:type="spellEnd"/>
      <w:r>
        <w:rPr>
          <w:rFonts w:cs="Calibri"/>
          <w:color w:val="000000"/>
          <w:sz w:val="24"/>
          <w:szCs w:val="24"/>
          <w:lang w:val="en-US"/>
        </w:rPr>
        <w:t xml:space="preserve"> (DS) fractions. High (15 AU</w:t>
      </w:r>
      <w:r>
        <w:rPr>
          <w:rFonts w:cs="Calibri"/>
          <w:color w:val="000000"/>
          <w:sz w:val="24"/>
          <w:szCs w:val="24"/>
          <w:vertAlign w:val="subscript"/>
          <w:lang w:val="en-US"/>
        </w:rPr>
        <w:t>260</w:t>
      </w:r>
      <w:r>
        <w:rPr>
          <w:rFonts w:cs="Calibri"/>
          <w:color w:val="000000"/>
          <w:sz w:val="24"/>
          <w:szCs w:val="24"/>
          <w:lang w:val="en-US"/>
        </w:rPr>
        <w:t>) and low (8 AU</w:t>
      </w:r>
      <w:r>
        <w:rPr>
          <w:rFonts w:cs="Calibri"/>
          <w:color w:val="000000"/>
          <w:sz w:val="24"/>
          <w:szCs w:val="24"/>
          <w:vertAlign w:val="subscript"/>
          <w:lang w:val="en-US"/>
        </w:rPr>
        <w:t>260</w:t>
      </w:r>
      <w:r>
        <w:rPr>
          <w:rFonts w:cs="Calibri"/>
          <w:color w:val="000000"/>
          <w:sz w:val="24"/>
          <w:szCs w:val="24"/>
          <w:lang w:val="en-US"/>
        </w:rPr>
        <w:t>) amounts of the non-starved digested material were included to demonstrate a possibility of increasing the ultracentrifugation loads when minor fractions are of an interest. Higher-order nuclease-resistant polysomes can also be identified (</w:t>
      </w:r>
      <w:proofErr w:type="spellStart"/>
      <w:proofErr w:type="gramStart"/>
      <w:r>
        <w:rPr>
          <w:rFonts w:cs="Calibri"/>
          <w:color w:val="000000"/>
          <w:sz w:val="24"/>
          <w:szCs w:val="24"/>
          <w:lang w:val="en-US"/>
        </w:rPr>
        <w:t>e.g</w:t>
      </w:r>
      <w:proofErr w:type="spellEnd"/>
      <w:r>
        <w:rPr>
          <w:rFonts w:cs="Calibri"/>
          <w:color w:val="000000"/>
          <w:sz w:val="24"/>
          <w:szCs w:val="24"/>
          <w:lang w:val="en-US"/>
        </w:rPr>
        <w:t>,.</w:t>
      </w:r>
      <w:proofErr w:type="gramEnd"/>
      <w:r>
        <w:rPr>
          <w:rFonts w:cs="Calibri"/>
          <w:color w:val="000000"/>
          <w:sz w:val="24"/>
          <w:szCs w:val="24"/>
          <w:lang w:val="en-US"/>
        </w:rPr>
        <w:t xml:space="preserve"> </w:t>
      </w:r>
      <w:proofErr w:type="spellStart"/>
      <w:r>
        <w:rPr>
          <w:rFonts w:cs="Calibri"/>
          <w:color w:val="000000"/>
          <w:sz w:val="24"/>
          <w:szCs w:val="24"/>
          <w:lang w:val="en-US"/>
        </w:rPr>
        <w:t>trisomes</w:t>
      </w:r>
      <w:proofErr w:type="spellEnd"/>
      <w:r>
        <w:rPr>
          <w:rFonts w:cs="Calibri"/>
          <w:color w:val="000000"/>
          <w:sz w:val="24"/>
          <w:szCs w:val="24"/>
          <w:lang w:val="en-US"/>
        </w:rPr>
        <w:t xml:space="preserve"> in the provided examples). (</w:t>
      </w:r>
      <w:proofErr w:type="spellStart"/>
      <w:proofErr w:type="gramStart"/>
      <w:r>
        <w:rPr>
          <w:rFonts w:cs="Calibri"/>
          <w:b/>
          <w:bCs/>
          <w:color w:val="000000"/>
          <w:sz w:val="24"/>
          <w:szCs w:val="24"/>
          <w:lang w:val="en-US"/>
        </w:rPr>
        <w:t>b,d</w:t>
      </w:r>
      <w:proofErr w:type="spellEnd"/>
      <w:proofErr w:type="gramEnd"/>
      <w:r>
        <w:rPr>
          <w:rFonts w:cs="Calibri"/>
          <w:color w:val="000000"/>
          <w:sz w:val="24"/>
          <w:szCs w:val="24"/>
          <w:lang w:val="en-US"/>
        </w:rPr>
        <w:t>) Representative TEM images of uranyl acetate-contrasted fractions from (</w:t>
      </w:r>
      <w:proofErr w:type="spellStart"/>
      <w:r>
        <w:rPr>
          <w:rFonts w:cs="Calibri"/>
          <w:b/>
          <w:bCs/>
          <w:color w:val="000000"/>
          <w:sz w:val="24"/>
          <w:szCs w:val="24"/>
          <w:lang w:val="en-US"/>
        </w:rPr>
        <w:t>a,c</w:t>
      </w:r>
      <w:proofErr w:type="spellEnd"/>
      <w:r>
        <w:rPr>
          <w:rFonts w:cs="Calibri"/>
          <w:color w:val="000000"/>
          <w:sz w:val="24"/>
          <w:szCs w:val="24"/>
          <w:lang w:val="en-US"/>
        </w:rPr>
        <w:t>), respectively as labeled.</w:t>
      </w:r>
    </w:p>
    <w:p w14:paraId="2540D5B3" w14:textId="77777777" w:rsidR="006B6616" w:rsidRDefault="006B6616">
      <w:pPr>
        <w:pStyle w:val="ListParagraph"/>
        <w:suppressAutoHyphens w:val="0"/>
        <w:spacing w:after="0" w:line="240" w:lineRule="auto"/>
        <w:ind w:left="0"/>
        <w:jc w:val="both"/>
        <w:textAlignment w:val="auto"/>
        <w:rPr>
          <w:rFonts w:cs="Calibri"/>
          <w:sz w:val="24"/>
          <w:szCs w:val="24"/>
          <w:lang w:val="en-US"/>
        </w:rPr>
      </w:pPr>
    </w:p>
    <w:p w14:paraId="4352FDC2" w14:textId="6E8F13DB" w:rsidR="006B6616" w:rsidRDefault="00E473AD">
      <w:pPr>
        <w:pStyle w:val="ListParagraph"/>
        <w:spacing w:after="0" w:line="240" w:lineRule="auto"/>
        <w:ind w:left="0"/>
        <w:jc w:val="both"/>
        <w:rPr>
          <w:rFonts w:cs="Calibri"/>
        </w:rPr>
      </w:pPr>
      <w:r>
        <w:rPr>
          <w:rFonts w:cs="Calibri"/>
          <w:b/>
          <w:bCs/>
          <w:color w:val="000000"/>
          <w:sz w:val="24"/>
          <w:szCs w:val="24"/>
          <w:lang w:val="en-US"/>
        </w:rPr>
        <w:t xml:space="preserve">Figure 6: </w:t>
      </w:r>
      <w:r>
        <w:rPr>
          <w:rFonts w:cs="Calibri"/>
          <w:b/>
          <w:color w:val="000000"/>
          <w:sz w:val="24"/>
          <w:szCs w:val="24"/>
          <w:lang w:val="en-US"/>
        </w:rPr>
        <w:t xml:space="preserve">Stabilization of transient proteins in the translational complexes upon </w:t>
      </w:r>
      <w:r>
        <w:rPr>
          <w:rFonts w:cs="Calibri"/>
          <w:b/>
          <w:i/>
          <w:iCs/>
          <w:color w:val="000000"/>
          <w:sz w:val="24"/>
          <w:szCs w:val="24"/>
          <w:lang w:val="en-US"/>
        </w:rPr>
        <w:t>in vivo</w:t>
      </w:r>
      <w:r>
        <w:rPr>
          <w:rFonts w:cs="Calibri"/>
          <w:b/>
          <w:color w:val="000000"/>
          <w:sz w:val="24"/>
          <w:szCs w:val="24"/>
          <w:lang w:val="en-US"/>
        </w:rPr>
        <w:t xml:space="preserve"> formaldehyde fixation</w:t>
      </w:r>
      <w:r>
        <w:rPr>
          <w:rFonts w:cs="Calibri"/>
          <w:color w:val="000000"/>
          <w:sz w:val="24"/>
          <w:szCs w:val="24"/>
          <w:lang w:val="en-US"/>
        </w:rPr>
        <w:t>. (</w:t>
      </w:r>
      <w:proofErr w:type="spellStart"/>
      <w:proofErr w:type="gramStart"/>
      <w:r>
        <w:rPr>
          <w:rFonts w:cs="Calibri"/>
          <w:b/>
          <w:bCs/>
          <w:color w:val="000000"/>
          <w:sz w:val="24"/>
          <w:szCs w:val="24"/>
          <w:lang w:val="en-US"/>
        </w:rPr>
        <w:t>a,b</w:t>
      </w:r>
      <w:proofErr w:type="spellEnd"/>
      <w:proofErr w:type="gramEnd"/>
      <w:r>
        <w:rPr>
          <w:rFonts w:cs="Calibri"/>
          <w:color w:val="000000"/>
          <w:sz w:val="24"/>
          <w:szCs w:val="24"/>
          <w:lang w:val="en-US"/>
        </w:rPr>
        <w:t>) (</w:t>
      </w:r>
      <w:r>
        <w:rPr>
          <w:rFonts w:cs="Calibri"/>
          <w:b/>
          <w:bCs/>
          <w:color w:val="000000"/>
          <w:sz w:val="24"/>
          <w:szCs w:val="24"/>
          <w:lang w:val="en-US"/>
        </w:rPr>
        <w:t>top plots</w:t>
      </w:r>
      <w:r>
        <w:rPr>
          <w:rFonts w:cs="Calibri"/>
          <w:color w:val="000000"/>
          <w:sz w:val="24"/>
          <w:szCs w:val="24"/>
          <w:lang w:val="en-US"/>
        </w:rPr>
        <w:t>) Whole cell lysate (WCL) of (</w:t>
      </w:r>
      <w:r>
        <w:rPr>
          <w:rFonts w:cs="Calibri"/>
          <w:b/>
          <w:bCs/>
          <w:color w:val="000000"/>
          <w:sz w:val="24"/>
          <w:szCs w:val="24"/>
          <w:lang w:val="en-US"/>
        </w:rPr>
        <w:t>a</w:t>
      </w:r>
      <w:r>
        <w:rPr>
          <w:rFonts w:cs="Calibri"/>
          <w:color w:val="000000"/>
          <w:sz w:val="24"/>
          <w:szCs w:val="24"/>
          <w:lang w:val="en-US"/>
        </w:rPr>
        <w:t>) non-fixed and (</w:t>
      </w:r>
      <w:r>
        <w:rPr>
          <w:rFonts w:cs="Calibri"/>
          <w:b/>
          <w:bCs/>
          <w:color w:val="000000"/>
          <w:sz w:val="24"/>
          <w:szCs w:val="24"/>
          <w:lang w:val="en-US"/>
        </w:rPr>
        <w:t>b</w:t>
      </w:r>
      <w:r>
        <w:rPr>
          <w:rFonts w:cs="Calibri"/>
          <w:color w:val="000000"/>
          <w:sz w:val="24"/>
          <w:szCs w:val="24"/>
          <w:lang w:val="en-US"/>
        </w:rPr>
        <w:t xml:space="preserve">) 2.2% formaldehyde-fixed eIF4A-TAP yeast cells separated by ultracentrifugation and visualized as described in the </w:t>
      </w:r>
      <w:r>
        <w:rPr>
          <w:rFonts w:cs="Calibri"/>
          <w:b/>
          <w:bCs/>
          <w:color w:val="000000"/>
          <w:sz w:val="24"/>
          <w:szCs w:val="24"/>
          <w:lang w:val="en-US"/>
        </w:rPr>
        <w:t>Figure 2</w:t>
      </w:r>
      <w:r>
        <w:rPr>
          <w:rFonts w:cs="Calibri"/>
          <w:color w:val="000000"/>
          <w:sz w:val="24"/>
          <w:szCs w:val="24"/>
          <w:lang w:val="en-US"/>
        </w:rPr>
        <w:t xml:space="preserve"> legend. (</w:t>
      </w:r>
      <w:proofErr w:type="gramStart"/>
      <w:r>
        <w:rPr>
          <w:rFonts w:cs="Calibri"/>
          <w:b/>
          <w:bCs/>
          <w:color w:val="000000"/>
          <w:sz w:val="24"/>
          <w:szCs w:val="24"/>
          <w:lang w:val="en-US"/>
        </w:rPr>
        <w:t>bottom</w:t>
      </w:r>
      <w:proofErr w:type="gramEnd"/>
      <w:r>
        <w:rPr>
          <w:rFonts w:cs="Calibri"/>
          <w:b/>
          <w:bCs/>
          <w:color w:val="000000"/>
          <w:sz w:val="24"/>
          <w:szCs w:val="24"/>
          <w:lang w:val="en-US"/>
        </w:rPr>
        <w:t xml:space="preserve"> plots</w:t>
      </w:r>
      <w:r>
        <w:rPr>
          <w:rFonts w:cs="Calibri"/>
          <w:color w:val="000000"/>
          <w:sz w:val="24"/>
          <w:szCs w:val="24"/>
          <w:lang w:val="en-US"/>
        </w:rPr>
        <w:t>) Western-blot imaging of the respective sucrose gradient fractions upon separation of the material analyzed in the corresponding gradients (top plots), and WCL as a control. (</w:t>
      </w:r>
      <w:r>
        <w:rPr>
          <w:rFonts w:cs="Calibri"/>
          <w:b/>
          <w:bCs/>
          <w:color w:val="000000"/>
          <w:sz w:val="24"/>
          <w:szCs w:val="24"/>
          <w:lang w:val="en-US"/>
        </w:rPr>
        <w:t>c</w:t>
      </w:r>
      <w:r>
        <w:rPr>
          <w:rFonts w:cs="Calibri"/>
          <w:color w:val="000000"/>
          <w:sz w:val="24"/>
          <w:szCs w:val="24"/>
          <w:lang w:val="en-US"/>
        </w:rPr>
        <w:t>) Average ratio between the eIF4A or Pab1p abundance in the fractions of fixed and non-fixed material. Relative proportions (normalized to the signal of all 2–7 fractions) of eIF4A (black bars) and Pab1p (gray bars) were calculated across 2,3 (SSU, LSU), 4,5 (RS, light polysomes), and 6,7 (heavy polysomes) from the data of (</w:t>
      </w:r>
      <w:proofErr w:type="spellStart"/>
      <w:proofErr w:type="gramStart"/>
      <w:r>
        <w:rPr>
          <w:rFonts w:cs="Calibri"/>
          <w:color w:val="000000"/>
          <w:sz w:val="24"/>
          <w:szCs w:val="24"/>
          <w:lang w:val="en-US"/>
        </w:rPr>
        <w:t>a,b</w:t>
      </w:r>
      <w:proofErr w:type="spellEnd"/>
      <w:proofErr w:type="gramEnd"/>
      <w:r>
        <w:rPr>
          <w:rFonts w:cs="Calibri"/>
          <w:color w:val="000000"/>
          <w:sz w:val="24"/>
          <w:szCs w:val="24"/>
          <w:lang w:val="en-US"/>
        </w:rPr>
        <w:t>) (bottom plots), and their fixed to non-fixed ratio taken. Error bars indicate standard deviation of the ratio from the mean with the pooled fractions (dotted boxes) treated as replicates.</w:t>
      </w:r>
    </w:p>
    <w:p w14:paraId="61DDCB20" w14:textId="77777777" w:rsidR="006B6616" w:rsidRDefault="006B6616">
      <w:pPr>
        <w:pStyle w:val="ListParagraph"/>
        <w:spacing w:after="0" w:line="240" w:lineRule="auto"/>
        <w:ind w:left="0"/>
        <w:jc w:val="both"/>
        <w:rPr>
          <w:rFonts w:cs="Calibri"/>
          <w:sz w:val="24"/>
          <w:szCs w:val="24"/>
          <w:lang w:val="en-US"/>
        </w:rPr>
      </w:pPr>
    </w:p>
    <w:p w14:paraId="14C667B0" w14:textId="77777777" w:rsidR="006B6616" w:rsidRDefault="00E473AD">
      <w:pPr>
        <w:pStyle w:val="ListParagraph"/>
        <w:spacing w:after="0" w:line="240" w:lineRule="auto"/>
        <w:ind w:left="0"/>
        <w:jc w:val="both"/>
        <w:rPr>
          <w:rFonts w:cs="Calibri"/>
        </w:rPr>
      </w:pPr>
      <w:r>
        <w:rPr>
          <w:rFonts w:cs="Calibri"/>
          <w:b/>
          <w:bCs/>
          <w:color w:val="000000"/>
          <w:sz w:val="24"/>
          <w:szCs w:val="24"/>
          <w:lang w:val="en-US"/>
        </w:rPr>
        <w:t xml:space="preserve">Figure 7: Selective </w:t>
      </w:r>
      <w:proofErr w:type="spellStart"/>
      <w:r>
        <w:rPr>
          <w:rFonts w:cs="Calibri"/>
          <w:b/>
          <w:bCs/>
          <w:color w:val="000000"/>
          <w:sz w:val="24"/>
          <w:szCs w:val="24"/>
          <w:lang w:val="en-US"/>
        </w:rPr>
        <w:t>immunopurification</w:t>
      </w:r>
      <w:proofErr w:type="spellEnd"/>
      <w:r>
        <w:rPr>
          <w:rFonts w:cs="Calibri"/>
          <w:b/>
          <w:bCs/>
          <w:color w:val="000000"/>
          <w:sz w:val="24"/>
          <w:szCs w:val="24"/>
          <w:lang w:val="en-US"/>
        </w:rPr>
        <w:t xml:space="preserve"> of </w:t>
      </w:r>
      <w:r>
        <w:rPr>
          <w:rFonts w:cs="Calibri"/>
          <w:b/>
          <w:bCs/>
          <w:i/>
          <w:iCs/>
          <w:color w:val="000000"/>
          <w:sz w:val="24"/>
          <w:szCs w:val="24"/>
          <w:lang w:val="en-US"/>
        </w:rPr>
        <w:t>in vivo</w:t>
      </w:r>
      <w:r>
        <w:rPr>
          <w:rFonts w:cs="Calibri"/>
          <w:b/>
          <w:bCs/>
          <w:color w:val="000000"/>
          <w:sz w:val="24"/>
          <w:szCs w:val="24"/>
          <w:lang w:val="en-US"/>
        </w:rPr>
        <w:t xml:space="preserve"> formaldehyde-stabilized translational complexes by transiently associated eIF4A.</w:t>
      </w:r>
      <w:r>
        <w:rPr>
          <w:rFonts w:cs="Calibri"/>
          <w:color w:val="000000"/>
          <w:sz w:val="24"/>
          <w:szCs w:val="24"/>
          <w:lang w:val="en-US"/>
        </w:rPr>
        <w:t xml:space="preserve"> Schematic illustrates the source of different translational complexes and eIF4A epitope, including the non-fractionated clarified WCL of the eIF4A-TAP yeast cells; free SSUs and translated RNA pool (polysomes) segregated in the first ultracentrifugation; SSU, LSU and RS fractions liberated from the translated RNA by RNase I digestion and segregated using second ultracentrifugation (see text). Western blot image provides a visualization of the eIF4A abundance in the fractions compared to the abundance of concurrently stained β-actin control.</w:t>
      </w:r>
    </w:p>
    <w:p w14:paraId="1A849558" w14:textId="77777777" w:rsidR="006B6616" w:rsidRDefault="006B6616">
      <w:pPr>
        <w:pStyle w:val="ListParagraph"/>
        <w:spacing w:after="0" w:line="240" w:lineRule="auto"/>
        <w:ind w:left="0"/>
        <w:jc w:val="both"/>
        <w:rPr>
          <w:rFonts w:cs="Calibri"/>
          <w:sz w:val="24"/>
          <w:szCs w:val="24"/>
          <w:lang w:val="en-US"/>
        </w:rPr>
      </w:pPr>
    </w:p>
    <w:p w14:paraId="6B62129B" w14:textId="77777777" w:rsidR="006B6616" w:rsidRDefault="00E473AD">
      <w:pPr>
        <w:pStyle w:val="ListParagraph"/>
        <w:spacing w:after="0" w:line="240" w:lineRule="auto"/>
        <w:ind w:left="0"/>
        <w:jc w:val="both"/>
        <w:rPr>
          <w:rFonts w:cs="Calibri"/>
        </w:rPr>
      </w:pPr>
      <w:r>
        <w:rPr>
          <w:rFonts w:cs="Calibri"/>
          <w:b/>
          <w:bCs/>
          <w:sz w:val="24"/>
          <w:szCs w:val="24"/>
          <w:lang w:val="en-US"/>
        </w:rPr>
        <w:t>DISCUSSION</w:t>
      </w:r>
    </w:p>
    <w:p w14:paraId="2C70A2A5" w14:textId="77777777" w:rsidR="006B6616" w:rsidRDefault="00E473AD">
      <w:pPr>
        <w:pStyle w:val="Standard"/>
        <w:spacing w:after="0" w:line="240" w:lineRule="auto"/>
        <w:jc w:val="both"/>
        <w:rPr>
          <w:rFonts w:cs="Calibri"/>
        </w:rPr>
      </w:pPr>
      <w:r>
        <w:rPr>
          <w:rFonts w:cs="Calibri"/>
          <w:sz w:val="24"/>
          <w:szCs w:val="24"/>
          <w:lang w:val="en-US"/>
        </w:rPr>
        <w:t xml:space="preserve">Formaldehyde fixation is a convenient and </w:t>
      </w:r>
      <w:r>
        <w:rPr>
          <w:rFonts w:cs="Calibri"/>
          <w:color w:val="000000"/>
          <w:sz w:val="24"/>
          <w:szCs w:val="24"/>
          <w:lang w:val="en-US"/>
        </w:rPr>
        <w:t>popular</w:t>
      </w:r>
      <w:r>
        <w:rPr>
          <w:rFonts w:cs="Calibri"/>
          <w:sz w:val="24"/>
          <w:szCs w:val="24"/>
          <w:lang w:val="en-US"/>
        </w:rPr>
        <w:t xml:space="preserve"> method of achieving rapid </w:t>
      </w:r>
      <w:r>
        <w:rPr>
          <w:rFonts w:cs="Calibri"/>
          <w:i/>
          <w:iCs/>
          <w:sz w:val="24"/>
          <w:szCs w:val="24"/>
          <w:lang w:val="en-US"/>
        </w:rPr>
        <w:t xml:space="preserve">in vivo </w:t>
      </w:r>
      <w:r>
        <w:rPr>
          <w:rFonts w:cs="Calibri"/>
          <w:sz w:val="24"/>
          <w:szCs w:val="24"/>
          <w:lang w:val="en-US"/>
        </w:rPr>
        <w:t>crosslinking of biomolecules</w:t>
      </w:r>
      <w:r>
        <w:fldChar w:fldCharType="begin"/>
      </w:r>
      <w:r>
        <w:rPr>
          <w:rFonts w:cs="Calibri"/>
          <w:sz w:val="24"/>
          <w:szCs w:val="24"/>
          <w:lang w:val="en-US"/>
        </w:rPr>
        <w:instrText>ADDIN ZOTERO_ITEM CSL_CITATION {"citationID":"VnTP5nS8","properties":{"formattedCitation":"\\super 30, 40\\uc0\\u8211{}43\\nosupersub{}","plainCitation":"30, 40–43","dontUpdate":true,"noteIndex":0},"citationItems":[{"id":311,"uris":["http://zotero.org/users/6977825/items/KTGZXGNW"],"uri":["http://zotero.org/users/6977825/items/KTGZXGNW"],"itemData":{"id":311,"type":"article-journal","abstract":"Formaldehyde has been used for decades to probe macromolecular structure and function and to trap complexes, cells, and tissues for further analysis. Formaldehyde crosslinking is routinely employed for detection and quantification of protein-DNA interactions, interactions between chromatin proteins, and interactions between distal segments of the chromatin fiber. Despite widespread use and a rich biochemical literature, important aspects of formaldehyde behavior in cells have not been well described. Here, we highlight features of formaldehyde chemistry relevant to its use in analyses of chromatin complexes, focusing on how its properties may influence studies of chromatin structure and function.","archive_location":"26354429","container-title":"Journal of Biological Chemistry","DOI":"10.1074/jbc.R115.651679","ISSN":"0021-9258 (Print) 0021-9258","issue":"44","language":"eng","note":"edition: 2015/09/12","page":"26404-11","source":"NLM","title":"Formaldehyde crosslinking: a tool for the study of chromatin complexes","volume":"290","author":[{"family":"Hoffman","given":"E. A."},{"family":"Frey","given":"B. L."},{"family":"Smith","given":"L. M."},{"family":"Auble","given":"D. T."}],"issued":{"date-parts":[["2015",10,30]]}}},{"id":415,"uris":["http://zotero.org/users/6977825/items/KHZ7NFJN"],"uri":["http://zotero.org/users/6977825/items/KHZ7NFJN"],"itemData":{"id":415,"type":"article-journal","container-title":"Trends in Biochemical Sciences","DOI":"10.1016/S0968-0004(99)01535-2","ISSN":"09680004","issue":"3","journalAbbreviation":"Trends in Biochemical Sciences","language":"en","page":"99-104","source":"DOI.org (Crossref)","title":"Mapping chromosomal proteins in vivo by formaldehyde-crosslinked-chromatin immunoprecipitation","volume":"25","author":[{"family":"Orlando","given":"Valerio"}],"issued":{"date-parts":[["2000",3]]}}},{"id":416,"uris":["http://zotero.org/users/6977825/items/IPIBVRNE"],"uri":["http://zotero.org/users/6977825/items/IPIBVRNE"],"itemData":{"id":416,"type":"article-journal","container-title":"PLoS ONE","DOI":"10.1371/journal.pone.0004636","ISSN":"1932-6203","issue":"2","journalAbbreviation":"PLoS ONE","language":"en","page":"e4636","source":"DOI.org (Crossref)","title":"A Temporal Threshold for Formaldehyde Crosslinking and Fixation","volume":"4","author":[{"family":"Schmiedeberg","given":"Lars"},{"family":"Skene","given":"Pete"},{"family":"Deaton","given":"Aimée"},{"family":"Bird","given":"Adrian"}],"editor":[{"family":"Rappoport","given":"Joshua Z."}],"issued":{"date-parts":[["2009",2,27]]}}},{"id":419,"uris":["http://zotero.org/users/6977825/items/DS7RYT8H"],"uri":["http://zotero.org/users/6977825/items/DS7RYT8H"],"itemData":{"id":419,"type":"article-journal","container-title":"Proceedings of the National Academy of Sciences","DOI":"10.1073/pnas.82.19.6470","ISSN":"0027-8424, 1091-6490","issue":"19","journalAbbreviation":"Proceedings of the National Academy of Sciences","language":"en","page":"6470-6474","source":"DOI.org (Crossref)","title":"Formaldehyde-mediated DNA-protein crosslinking: a probe for in vivo chromatin structures.","title-short":"Formaldehyde-mediated DNA-protein crosslinking","volume":"82","author":[{"family":"Solomon","given":"M. J."},{"family":"Varshavsky","given":"A."}],"issued":{"date-parts":[["1985",10,1]]}}},{"id":418,"uris":["http://zotero.org/users/6977825/items/IP39UFM4"],"uri":["http://zotero.org/users/6977825/items/IP39UFM4"],"itemData":{"id":418,"type":"article-journal","container-title":"Cell","DOI":"10.1016/S0092-8674(88)90469-2","ISSN":"00928674","issue":"6","journalAbbreviation":"Cell","language":"en","page":"937-947","source":"DOI.org (Crossref)","title":"Mapping proteinDNA interactions in vivo with formaldehyde: Evidence that histone H4 is retained on a highly transcribed gene","title-short":"Mapping proteinDNA interactions in vivo with formaldehyde","volume":"53","author":[{"family":"Solomon","given":"Mark J."},{"family":"Larsen","given":"Pamela L."},{"family":"Varshavsky","given":"Alexander"}],"issued":{"date-parts":[["1988",6]]}}}],"schema":"https://github.com/citation-style-language/schema/raw/master/csl-citation.json"}</w:instrText>
      </w:r>
      <w:r>
        <w:rPr>
          <w:rFonts w:cs="Calibri"/>
          <w:sz w:val="24"/>
          <w:szCs w:val="24"/>
          <w:lang w:val="en-US"/>
        </w:rPr>
        <w:fldChar w:fldCharType="separate"/>
      </w:r>
      <w:r>
        <w:rPr>
          <w:rFonts w:cs="Calibri"/>
          <w:sz w:val="24"/>
          <w:szCs w:val="24"/>
          <w:vertAlign w:val="superscript"/>
          <w:lang w:val="en-US"/>
        </w:rPr>
        <w:t>10,34,43–46</w:t>
      </w:r>
      <w:r>
        <w:rPr>
          <w:rFonts w:cs="Calibri"/>
          <w:sz w:val="24"/>
          <w:szCs w:val="24"/>
          <w:lang w:val="en-US"/>
        </w:rPr>
        <w:fldChar w:fldCharType="end"/>
      </w:r>
      <w:r>
        <w:fldChar w:fldCharType="begin"/>
      </w:r>
      <w:r>
        <w:rPr>
          <w:rFonts w:cs="Calibri"/>
          <w:sz w:val="24"/>
          <w:szCs w:val="24"/>
          <w:lang w:val="en-US"/>
        </w:rPr>
        <w:instrText>ADDIN EN.CITE</w:instrText>
      </w:r>
      <w:r>
        <w:rPr>
          <w:rFonts w:cs="Calibri"/>
          <w:sz w:val="24"/>
          <w:szCs w:val="24"/>
          <w:lang w:val="en-US"/>
        </w:rPr>
        <w:fldChar w:fldCharType="separate"/>
      </w:r>
      <w:r>
        <w:fldChar w:fldCharType="begin"/>
      </w:r>
      <w:r>
        <w:rPr>
          <w:rFonts w:cs="Calibri"/>
          <w:sz w:val="24"/>
          <w:szCs w:val="24"/>
          <w:lang w:val="en-US"/>
        </w:rPr>
        <w:instrText>ADDIN EN.CITE.DATA</w:instrText>
      </w:r>
      <w:r w:rsidR="0021610B">
        <w:rPr>
          <w:rFonts w:cs="Calibri"/>
          <w:sz w:val="24"/>
          <w:szCs w:val="24"/>
          <w:lang w:val="en-US"/>
        </w:rPr>
        <w:fldChar w:fldCharType="separate"/>
      </w:r>
      <w:r>
        <w:rPr>
          <w:rFonts w:cs="Calibri"/>
          <w:sz w:val="24"/>
          <w:szCs w:val="24"/>
          <w:lang w:val="en-US"/>
        </w:rPr>
        <w:fldChar w:fldCharType="end"/>
      </w:r>
      <w:r>
        <w:rPr>
          <w:rFonts w:cs="Calibri"/>
          <w:sz w:val="24"/>
          <w:szCs w:val="24"/>
          <w:lang w:val="en-US"/>
        </w:rPr>
        <w:fldChar w:fldCharType="end"/>
      </w:r>
      <w:r>
        <w:rPr>
          <w:rFonts w:cs="Calibri"/>
          <w:sz w:val="24"/>
          <w:szCs w:val="24"/>
          <w:lang w:val="en-US"/>
        </w:rPr>
        <w:t xml:space="preserve">. Compared to the other potential biomolecule targets, successful capture of translational complexes necessitates an immediate fixation during the snap chilling of the cells or other material. Without the </w:t>
      </w:r>
      <w:proofErr w:type="spellStart"/>
      <w:r>
        <w:rPr>
          <w:rFonts w:cs="Calibri"/>
          <w:sz w:val="24"/>
          <w:szCs w:val="24"/>
          <w:lang w:val="en-US"/>
        </w:rPr>
        <w:t>undelayed</w:t>
      </w:r>
      <w:proofErr w:type="spellEnd"/>
      <w:r>
        <w:rPr>
          <w:rFonts w:cs="Calibri"/>
          <w:sz w:val="24"/>
          <w:szCs w:val="24"/>
          <w:lang w:val="en-US"/>
        </w:rPr>
        <w:t xml:space="preserve"> </w:t>
      </w:r>
      <w:r>
        <w:rPr>
          <w:rFonts w:cs="Calibri"/>
          <w:color w:val="000000"/>
          <w:sz w:val="24"/>
          <w:szCs w:val="24"/>
          <w:lang w:val="en-US"/>
        </w:rPr>
        <w:t>stabilization</w:t>
      </w:r>
      <w:r>
        <w:rPr>
          <w:rFonts w:cs="Calibri"/>
          <w:sz w:val="24"/>
          <w:szCs w:val="24"/>
          <w:lang w:val="en-US"/>
        </w:rPr>
        <w:t xml:space="preserve">, there is a potential for </w:t>
      </w:r>
      <w:r>
        <w:rPr>
          <w:rFonts w:cs="Calibri"/>
          <w:color w:val="000000"/>
          <w:sz w:val="24"/>
          <w:szCs w:val="24"/>
          <w:lang w:val="en-US"/>
        </w:rPr>
        <w:t>different</w:t>
      </w:r>
      <w:r>
        <w:rPr>
          <w:rFonts w:cs="Calibri"/>
          <w:sz w:val="24"/>
          <w:szCs w:val="24"/>
          <w:lang w:val="en-US"/>
        </w:rPr>
        <w:t xml:space="preserve"> translation-related processes to continue, shifting the complex distribution away from the unperturbed </w:t>
      </w:r>
      <w:r>
        <w:rPr>
          <w:rFonts w:cs="Calibri"/>
          <w:i/>
          <w:iCs/>
          <w:sz w:val="24"/>
          <w:szCs w:val="24"/>
          <w:lang w:val="en-US"/>
        </w:rPr>
        <w:t>in vivo</w:t>
      </w:r>
      <w:r>
        <w:rPr>
          <w:rFonts w:cs="Calibri"/>
          <w:sz w:val="24"/>
          <w:szCs w:val="24"/>
          <w:lang w:val="en-US"/>
        </w:rPr>
        <w:t xml:space="preserve"> state</w:t>
      </w:r>
      <w:r>
        <w:fldChar w:fldCharType="begin"/>
      </w:r>
      <w:r>
        <w:rPr>
          <w:rFonts w:cs="Calibri"/>
          <w:sz w:val="24"/>
          <w:szCs w:val="24"/>
          <w:lang w:val="en-US"/>
        </w:rPr>
        <w:instrText>ADDIN EN.CITE &lt;EndNote&gt;&lt;Cite&gt;&lt;Author&gt;Brar&lt;/Author&gt;&lt;Year&gt;2015&lt;/Year&gt;&lt;RecNum&gt;7&lt;/RecNum&gt;&lt;DisplayText&gt;&lt;style face="superscript"&gt;43&lt;/style&gt;&lt;/DisplayText&gt;&lt;record&gt;&lt;rec-number&gt;7&lt;/rec-number&gt;&lt;foreign-keys&gt;&lt;key app="EN" db-id="pax2w20wtrf02kez5zr5ssez02e2ds2d0ztz" timestamp="1614308930"&gt;7&lt;/key&gt;&lt;/foreign-keys&gt;&lt;ref-type name="Journal Article"&gt;17&lt;/ref-type&gt;&lt;contributors&gt;&lt;authors&gt;&lt;author&gt;Brar, G. A.&lt;/author&gt;&lt;author&gt;Weissman, J. S.&lt;/author&gt;&lt;/authors&gt;&lt;/contributors&gt;&lt;auth-address&gt;Department of Molecular and Cell Biology, University of California, Berkeley, California 94720, USA.&amp;#xD;Center for RNA Systems Biology, University of California, Berkeley, California 94720, USA.&amp;#xD;California Institute for Quantitative Biosciences (QB3), University of California, San Francisco, California 94158, USA.&amp;#xD;Howard Hughes Medical Institute, Department of Cellular and Molecular Pharmacology, University of California, San Francisco, California 94158, USA.&lt;/auth-address&gt;&lt;titles&gt;&lt;title&gt;Ribosome profiling reveals the what, when, where and how of protein synthesis&lt;/title&gt;&lt;secondary-title&gt;Nat Rev Mol Cell Biol&lt;/secondary-title&gt;&lt;/titles&gt;&lt;periodical&gt;&lt;full-title&gt;Nat Rev Mol Cell Biol&lt;/full-title&gt;&lt;/periodical&gt;&lt;pages&gt;651-64&lt;/pages&gt;&lt;volume&gt;16&lt;/volume&gt;&lt;number&gt;11&lt;/number&gt;&lt;edition&gt;2015/10/16&lt;/edition&gt;&lt;keywords&gt;&lt;keyword&gt;Base Sequence&lt;/keyword&gt;&lt;keyword&gt;High-Throughput Nucleotide Sequencing&lt;/keyword&gt;&lt;keyword&gt;Humans&lt;/keyword&gt;&lt;keyword&gt;Protein Biosynthesis/*genetics&lt;/keyword&gt;&lt;keyword&gt;Proteins/metabolism&lt;/keyword&gt;&lt;keyword&gt;RNA, Messenger/*genetics&lt;/keyword&gt;&lt;keyword&gt;Ribosomes/*genetics&lt;/keyword&gt;&lt;keyword&gt;Sequence Analysis, RNA&lt;/keyword&gt;&lt;/keywords&gt;&lt;dates&gt;&lt;year&gt;2015&lt;/year&gt;&lt;pub-dates&gt;&lt;date&gt;Nov&lt;/date&gt;&lt;/pub-dates&gt;&lt;/dates&gt;&lt;isbn&gt;1471-0072 (Print)&amp;#xD;1471-0072&lt;/isbn&gt;&lt;accession-num&gt;26465719&lt;/accession-num&gt;&lt;urls&gt;&lt;/urls&gt;&lt;custom2&gt;PMC5522010&lt;/custom2&gt;&lt;custom6&gt;NIHMS870137 profiling.&lt;/custom6&gt;&lt;electronic-resource-num&gt;10.1038/nrm4069&lt;/electronic-resource-num&gt;&lt;remote-database-provider&gt;NLM&lt;/remote-database-provider&gt;&lt;language&gt;eng&lt;/language&gt;&lt;/record&gt;&lt;/Cite&gt;&lt;/EndNote&gt;</w:instrText>
      </w:r>
      <w:r>
        <w:rPr>
          <w:rFonts w:cs="Calibri"/>
          <w:sz w:val="24"/>
          <w:szCs w:val="24"/>
          <w:lang w:val="en-US"/>
        </w:rPr>
        <w:fldChar w:fldCharType="separate"/>
      </w:r>
      <w:r>
        <w:rPr>
          <w:rFonts w:cs="Calibri"/>
          <w:sz w:val="24"/>
          <w:szCs w:val="24"/>
          <w:vertAlign w:val="superscript"/>
          <w:lang w:val="en-US"/>
        </w:rPr>
        <w:t>47</w:t>
      </w:r>
      <w:r>
        <w:rPr>
          <w:rFonts w:cs="Calibri"/>
          <w:sz w:val="24"/>
          <w:szCs w:val="24"/>
          <w:lang w:val="en-US"/>
        </w:rPr>
        <w:fldChar w:fldCharType="end"/>
      </w:r>
      <w:r>
        <w:fldChar w:fldCharType="begin"/>
      </w:r>
      <w:r>
        <w:rPr>
          <w:rFonts w:cs="Calibri"/>
          <w:sz w:val="24"/>
          <w:szCs w:val="24"/>
          <w:lang w:val="en-US"/>
        </w:rPr>
        <w:instrText>ADDIN EN.CITE &lt;EndNote&gt;&lt;Cite&gt;&lt;Author&gt;Brar&lt;/Author&gt;&lt;Year&gt;2015&lt;/Year&gt;&lt;RecNum&gt;104&lt;/RecNum&gt;&lt;DisplayText&gt;&lt;style face="superscript"&gt;41&lt;/style&gt;&lt;/DisplayText&gt;&lt;record&gt;&lt;rec-number&gt;104&lt;/rec-number&gt;&lt;foreign-keys&gt;&lt;key app="EN" db-id="av52axsxop2fwbe0dpc5a0ak5rev99w02x2w" timestamp="1610411619"&gt;104&lt;/key&gt;&lt;/foreign-keys&gt;&lt;ref-type name="Journal Article"&gt;17&lt;/ref-type&gt;&lt;contributors&gt;&lt;authors&gt;&lt;author&gt;Brar, G. A.&lt;/author&gt;&lt;author&gt;Weissman, J. S.&lt;/author&gt;&lt;/authors&gt;&lt;/contributors&gt;&lt;auth-address&gt;Department of Molecular and Cell Biology, University of California, Berkeley, California 94720, USA.&amp;#xD;Center for RNA Systems Biology, University of California, Berkeley, California 94720, USA.&amp;#xD;California Institute for Quantitative Biosciences (QB3), University of California, San Francisco, California 94158, USA.&amp;#xD;Howard Hughes Medical Institute, Department of Cellular and Molecular Pharmacology, University of California, San Francisco, California 94158, USA.&lt;/auth-address&gt;&lt;titles&gt;&lt;title&gt;Ribosome profiling reveals the what, when, where and how of protein synthesis&lt;/title&gt;&lt;secondary-title&gt;Nat Rev Mol Cell Biol&lt;/secondary-title&gt;&lt;/titles&gt;&lt;periodical&gt;&lt;full-title&gt;Nat Rev Mol Cell Biol&lt;/full-title&gt;&lt;/periodical&gt;&lt;pages&gt;651-64&lt;/pages&gt;&lt;volume&gt;16&lt;/volume&gt;&lt;number&gt;11&lt;/number&gt;&lt;edition&gt;2015/10/16&lt;/edition&gt;&lt;keywords&gt;&lt;keyword&gt;Base Sequence&lt;/keyword&gt;&lt;keyword&gt;High-Throughput Nucleotide Sequencing&lt;/keyword&gt;&lt;keyword&gt;Humans&lt;/keyword&gt;&lt;keyword&gt;Protein Biosynthesis/*genetics&lt;/keyword&gt;&lt;keyword&gt;Proteins/metabolism&lt;/keyword&gt;&lt;keyword&gt;RNA, Messenger/*genetics&lt;/keyword&gt;&lt;keyword&gt;Ribosomes/*genetics&lt;/keyword&gt;&lt;keyword&gt;Sequence Analysis, RNA&lt;/keyword&gt;&lt;/keywords&gt;&lt;dates&gt;&lt;year&gt;2015&lt;/year&gt;&lt;pub-dates&gt;&lt;date&gt;Nov&lt;/date&gt;&lt;/pub-dates&gt;&lt;/dates&gt;&lt;isbn&gt;1471-0072 (Print)&amp;#xD;1471-0072&lt;/isbn&gt;&lt;accession-num&gt;26465719&lt;/accession-num&gt;&lt;urls&gt;&lt;/urls&gt;&lt;custom2&gt;PMC5522010&lt;/custom2&gt;&lt;custom6&gt;NIHMS870137 profiling.&lt;/custom6&gt;&lt;electronic-resource-num&gt;10.1038/nrm4069&lt;/electronic-resource-num&gt;&lt;remote-database-provider&gt;NLM&lt;/remote-database-provider&gt;&lt;language&gt;eng&lt;/language&gt;&lt;/record&gt;&lt;/Cite&gt;&lt;/EndNote&gt;</w:instrText>
      </w:r>
      <w:r w:rsidR="0021610B">
        <w:rPr>
          <w:rFonts w:cs="Calibri"/>
          <w:sz w:val="24"/>
          <w:szCs w:val="24"/>
          <w:lang w:val="en-US"/>
        </w:rPr>
        <w:fldChar w:fldCharType="separate"/>
      </w:r>
      <w:r>
        <w:rPr>
          <w:rFonts w:cs="Calibri"/>
          <w:sz w:val="24"/>
          <w:szCs w:val="24"/>
          <w:lang w:val="en-US"/>
        </w:rPr>
        <w:fldChar w:fldCharType="end"/>
      </w:r>
      <w:r>
        <w:rPr>
          <w:rFonts w:cs="Calibri"/>
          <w:sz w:val="24"/>
          <w:szCs w:val="24"/>
          <w:lang w:val="en-US"/>
        </w:rPr>
        <w:t xml:space="preserve">. Compared to the other methods of translational arrest and ribosomal complex stabilization, the swiftness of formaldehyde action across cell membranes and the indiscriminate nature of the crosslinks promise preservation of the maximal </w:t>
      </w:r>
      <w:r>
        <w:rPr>
          <w:rFonts w:cs="Calibri"/>
          <w:color w:val="000000"/>
          <w:sz w:val="24"/>
          <w:szCs w:val="24"/>
          <w:lang w:val="en-US"/>
        </w:rPr>
        <w:t>diversity</w:t>
      </w:r>
      <w:r>
        <w:rPr>
          <w:rFonts w:cs="Calibri"/>
          <w:sz w:val="24"/>
          <w:szCs w:val="24"/>
          <w:lang w:val="en-US"/>
        </w:rPr>
        <w:t xml:space="preserve"> of the translation complex intermediates closer to their natively distributed states.</w:t>
      </w:r>
    </w:p>
    <w:p w14:paraId="781C61CA" w14:textId="77777777" w:rsidR="006B6616" w:rsidRDefault="006B6616">
      <w:pPr>
        <w:pStyle w:val="Standard"/>
        <w:spacing w:after="0" w:line="240" w:lineRule="auto"/>
        <w:jc w:val="both"/>
        <w:rPr>
          <w:rFonts w:cs="Calibri"/>
          <w:sz w:val="24"/>
          <w:szCs w:val="24"/>
          <w:lang w:val="en-US"/>
        </w:rPr>
      </w:pPr>
    </w:p>
    <w:p w14:paraId="73E07804" w14:textId="77777777" w:rsidR="006B6616" w:rsidRDefault="00E473AD">
      <w:pPr>
        <w:pStyle w:val="Standard"/>
        <w:spacing w:after="0" w:line="240" w:lineRule="auto"/>
        <w:jc w:val="both"/>
        <w:rPr>
          <w:rFonts w:cs="Calibri"/>
        </w:rPr>
      </w:pPr>
      <w:r>
        <w:rPr>
          <w:rFonts w:cs="Calibri"/>
          <w:color w:val="000000"/>
          <w:sz w:val="24"/>
          <w:szCs w:val="24"/>
          <w:lang w:val="en-US"/>
        </w:rPr>
        <w:t>The approach presented here has been established and optimized in both yeast and mammalian cells</w:t>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EN.CITE.DATA50</w:instrText>
      </w:r>
      <w:r w:rsidR="0021610B">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w:instrText>
      </w:r>
      <w:r w:rsidR="0021610B">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rPr>
          <w:rFonts w:cs="Calibri"/>
          <w:color w:val="000000"/>
          <w:sz w:val="24"/>
          <w:szCs w:val="24"/>
          <w:lang w:val="en-US"/>
        </w:rPr>
        <w:t>, and methods have now been derived by the other groups for use across more diverse biological material, such as in whole vertebrates (</w:t>
      </w:r>
      <w:proofErr w:type="spellStart"/>
      <w:r>
        <w:rPr>
          <w:rFonts w:cs="Calibri"/>
          <w:color w:val="000000"/>
          <w:sz w:val="24"/>
          <w:szCs w:val="24"/>
          <w:lang w:val="en-US"/>
        </w:rPr>
        <w:t>e.g</w:t>
      </w:r>
      <w:proofErr w:type="spellEnd"/>
      <w:r>
        <w:rPr>
          <w:rFonts w:cs="Calibri"/>
          <w:color w:val="000000"/>
          <w:sz w:val="24"/>
          <w:szCs w:val="24"/>
          <w:lang w:val="en-US"/>
        </w:rPr>
        <w:t>,. zebrafish embryos)</w:t>
      </w:r>
      <w:r>
        <w:fldChar w:fldCharType="begin"/>
      </w:r>
      <w:r>
        <w:rPr>
          <w:rFonts w:cs="Calibri"/>
          <w:color w:val="000000"/>
          <w:sz w:val="24"/>
          <w:szCs w:val="24"/>
          <w:lang w:val="en-US"/>
        </w:rPr>
        <w:instrText>ADDIN ZOTERO_ITEM CSL_CITATION {"citationID":"njsySV56","properties":{"formattedCitation":"\\super 10, 32, 33, 44, 45\\nosupersub{}","plainCitation":"10, 32, 33, 44, 45","dontUpdate":true,"noteIndex":0},"citationItems":[{"id":274,"uris":["http://zotero.org/users/6977825/items/NRI4UE8J"],"uri":["http://zotero.org/users/6977825/items/NRI4UE8J"],"itemData":{"id":274,"type":"article-journal","abstract":"Regulation of messenger RNA translation is central to eukaryotic gene expression control. Regulatory inputs are specified by them RNA untranslated regions (UTRs) and often target translation initiation. Initiation involves binding of the 40S ribosomal small subunit (SSU) and associated eukaryotic initiation factors (eIFs)near the mRNA 5′ cap; the SSU then scans in the 3′ direction until it detects the start codon and is joined by the 60S ribosomal large subunit (LSU) to form the 80S ribosome. Scanning and other dynamic aspects of the initiation model have remained as conjectures because methods to trap early intermediates were lacking. Here we uncover the dynamics of the complete translation cycle in live yeast cells using translation complex profile sequencing (TCP-seq), a method developed from the ribosome profiling approach. We document scanning by observing SSU footprints along 5′ UTRs. Scanning SSU have 5′-extended footprints (up to~75 nucleotides), indicative of additional interactions with mRNA emerging from the exit channel, promoting forward movement. We visualized changes in initiation complex conformation as SSU footprints coalesced into three major sizes at start codons (19, 29 and 37 nucleotides). These share the same 5′ start site but differ at the 3′ end, reflecting successive changes at the entry channel from an open to a closed state following start codon recognition. We also observe SSU 'lingering' at stop codons after LSU departure. Our results underpin mechanistic models of translation initiation and termination, built on decades of biochemical and structural investigation, with direct genome-wide in vivo evidence. Our approach captures ribosomal complexes at all phases of translation and will aid in studying translation dynamics in diverse cellular contexts. Dysregulation of translation is common in disease and, for example, SSU scanning is a target of anti-cancer drug development. TCP-seq will prove useful in discerning differences in mRNA-specific initiation in pathologies and their response to treatment.","archive_location":"27437580","container-title":"Nature","DOI":"10.1038/nature18647","ISSN":"0028-0836","issue":"7613","language":"eng","note":"edition: 2016/07/21","page":"570-4","source":"NLM","title":"Dynamics of ribosome scanning and recycling revealed by translation complex profiling","volume":"535","author":[{"family":"Archer","given":"S. K."},{"family":"Shirokikh","given":"N. E."},{"family":"Beilharz","given":"T. H."},{"family":"Preiss","given":"T."}],"issued":{"date-parts":[["2016",7,28]]}}},{"id":374,"uris":["http://zotero.org/users/6977825/items/DXAVYW7C"],"uri":["http://zotero.org/users/6977825/items/DXAVYW7C"],"itemData":{"id":374,"type":"article-journal","abstract":"Messenger RNA (mRNA) translation is a tightly controlled process that is integral to gene expression. It features intricate and dynamic interactions of the small and large subunits of the ribosome with mRNAs, aided by multiple auxiliary factors during distinct initiation, elongation and termination phases. The recently developed ribosome profiling method can generate transcriptome-wide surveys of translation and its regulation. Ribosome profiling records the footprints of fully assembled ribosomes along mRNAs and thus primarily interrogates the elongation phase of translation. Importantly, it does not monitor multiple substeps of initiation and termination that involve complexes between the small ribosomal subunit (SSU) and mRNA. Here we describe a related method, termed 'translation complex profile sequencing' (TCP-seq), that is uniquely capable of recording positions of any type of ribosome-mRNA complex transcriptome-wide. It uses fast covalent fixation of translation complexes in live cells, followed by RNase footprinting of translation intermediates and their separation into complexes involving either the full ribosome or the SSU. The footprints derived from each type of complex are then deep-sequenced separately, generating native distribution profiles during the elongation, as well as the initiation and termination stages of translation. We provide the full TCP-seq protocol for Saccharomyces cerevisiae liquid suspension culture, including a data analysis pipeline. The protocol takes ∼3 weeks to complete by a researcher who is well acquainted with standard molecular biology techniques and who has some experience in ultracentrifugation and the preparation of RNA sequencing (RNA-seq) libraries. Basic Bash and UNIX/Linux command skills are required to use the bioinformatics tools provided.","archive_location":"28253237","container-title":"Nature Protocols","DOI":"10.1038/nprot.2016.189","ISSN":"1750-2799","issue":"4","language":"eng","note":"edition: 2017/03/03","page":"697-731","source":"NLM","title":"Translation complex profile sequencing to study the in vivo dynamics of mRNA-ribosome interactions during translation initiation, elongation and termination","volume":"12","author":[{"family":"Shirokikh","given":"N. E."},{"family":"Archer","given":"S. K."},{"family":"Beilharz","given":"T. H."},{"family":"Powell","given":"D."},{"family":"Preiss","given":"T."}],"issued":{"date-parts":[["2017",4]]}}},{"id":388,"uris":["http://zotero.org/users/6977825/items/UPH2VTW4"],"uri":["http://zotero.org/users/6977825/items/UPH2VTW4"],"itemData":{"id":388,"type":"article-journal","abstract":"Translational control targeting the initiation phase is central to the regulation of gene expression. Understanding all of its aspects requires substantial technological advancements. Here we modified yeast translation complex profile sequencing (TCP-seq), related to ribosome profiling, and adapted it for mammalian cells. Human TCP-seq, capable of capturing footprints of 40S subunits (40Ss) in addition to 80S ribosomes (80Ss), revealed that mammalian and yeast 40Ss distribute similarly across 5'TRs, indicating considerable evolutionary conservation. We further developed yeast and human selective TCP-seq (Sel-TCP-seq), enabling selection of 40Ss and 80Ss associated with immuno-targeted factors. Sel-TCP-seq demonstrated that eIF2 and eIF3 travel along 5' UTRs with scanning 40Ss to successively dissociate upon AUG recognition; notably, a proportion of eIF3 lingers on during the initial elongation cycles. Highlighting Sel-TCP-seq versatility, we also identified four initiating 48S conformational intermediates, provided novel insights into ATF4 and GCN4 mRNA translational control, and demonstrated co-translational assembly of initiation factor complexes.","archive_location":"32589964","container-title":"Molecular Cell","DOI":"10.1016/j.molcel.2020.06.004","ISSN":"1097-2765 (Print) 1097-2765","issue":"4","language":"eng","note":"edition: 2020/06/27","page":"546-560.e7","source":"NLM","title":"Selective Translation Complex Profiling Reveals Staged Initiation and Co-translational Assembly of Initiation Factor Complexes","volume":"79","author":[{"family":"Wagner","given":"S."},{"family":"Herrmannová","given":"A."},{"family":"Hronová","given":"V."},{"family":"Gunišová","given":"S."},{"family":"Sen","given":"N. D."},{"family":"Hannan","given":"R. D."},{"family":"Hinnebusch","given":"A. G."},{"family":"Shirokikh","given":"N. E."},{"family":"Preiss","given":"T."},{"family":"Valášek","given":"L. S."}],"issued":{"date-parts":[["2020",8,20]]}}},{"id":421,"uris":["http://zotero.org/users/6977825/items/PBCGQAUA"],"uri":["http://zotero.org/users/6977825/items/PBCGQAUA"],"itemData":{"id":421,"type":"article-journal","container-title":"Molecular Cell","DOI":"10.1016/j.molcel.2020.06.005","ISSN":"10972765","issue":"4","journalAbbreviation":"Molecular Cell","language":"en","page":"561-574.e5","source":"DOI.org (Crossref)","title":"Selective 40S Footprinting Reveals Cap-Tethered Ribosome Scanning in Human Cells","volume":"79","author":[{"family":"Bohlen","given":"Jonathan"},{"family":"Fenzl","given":"Kai"},{"family":"Kramer","given":"Günter"},{"family":"Bukau","given":"Bernd"},{"family":"Teleman","given":"Aurelio A."}],"issued":{"date-parts":[["2020",8]]}}},{"id":422,"uris":["http://zotero.org/users/6977825/items/DU4G5UAS"],"uri":["http://zotero.org/users/6977825/items/DU4G5UAS"],"itemData":{"id":422,"type":"article-journal","container-title":"Cell Reports","DOI":"10.1016/j.celrep.2020.107534","ISSN":"22111247","issue":"3","journalAbbreviation":"Cell Reports","language":"en","page":"107534","source":"DOI.org (Crossref)","title":"Profiling of Small Ribosomal Subunits Reveals Modes and Regulation of Translation Initiation","volume":"31","author":[{"family":"Giess","given":"Adam"},{"family":"Torres Cleuren","given":"Yamila N."},{"family":"Tjeldnes","given":"Håkon"},{"family":"Krause","given":"Maximilian"},{"family":"Bizuayehu","given":"Teshome Tilahun"},{"family":"Hiensch","given":"Senna"},{"family":"Okon","given":"Aniekan"},{"family":"Wagner","given":"Carston R."},{"family":"Valen","given":"Eivind"}],"issued":{"date-parts":[["2020",4]]}}}],"schema":"https://github.com/citation-style-language/schema/raw/master/csl-citation.json"}</w:instrText>
      </w:r>
      <w:r>
        <w:rPr>
          <w:rFonts w:cs="Calibri"/>
          <w:color w:val="000000"/>
          <w:sz w:val="24"/>
          <w:szCs w:val="24"/>
          <w:lang w:val="en-US"/>
        </w:rPr>
        <w:fldChar w:fldCharType="separate"/>
      </w:r>
      <w:r>
        <w:rPr>
          <w:rFonts w:cs="Calibri"/>
          <w:sz w:val="24"/>
          <w:szCs w:val="24"/>
          <w:vertAlign w:val="superscript"/>
          <w:lang w:val="en-US"/>
        </w:rPr>
        <w:t>10,36,37,47-49</w:t>
      </w:r>
      <w:r>
        <w:rPr>
          <w:rFonts w:cs="Calibri"/>
          <w:color w:val="000000"/>
          <w:sz w:val="24"/>
          <w:szCs w:val="24"/>
          <w:lang w:val="en-US"/>
        </w:rPr>
        <w:fldChar w:fldCharType="end"/>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w:instrText>
      </w:r>
      <w:r w:rsidR="0021610B">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rPr>
          <w:rFonts w:cs="Calibri"/>
          <w:color w:val="000000"/>
          <w:sz w:val="24"/>
          <w:szCs w:val="24"/>
          <w:lang w:val="en-US"/>
        </w:rPr>
        <w:t>. Although these works collectively reassure the versatility and broad applicability of the approach, rapid formaldehyde crosslinking of translational complexes can be considered somewhat difficult to transpose to new types of biological material due to the need of optimizations and adjustments.</w:t>
      </w:r>
    </w:p>
    <w:p w14:paraId="0569388E" w14:textId="77777777" w:rsidR="006B6616" w:rsidRDefault="006B6616">
      <w:pPr>
        <w:pStyle w:val="Standard"/>
        <w:spacing w:after="0" w:line="240" w:lineRule="auto"/>
        <w:jc w:val="both"/>
        <w:rPr>
          <w:rFonts w:cs="Calibri"/>
          <w:color w:val="000000"/>
          <w:sz w:val="24"/>
          <w:szCs w:val="24"/>
          <w:lang w:val="en-US"/>
        </w:rPr>
      </w:pPr>
    </w:p>
    <w:p w14:paraId="30AB3FE2" w14:textId="77777777" w:rsidR="006B6616" w:rsidRDefault="00E473AD">
      <w:pPr>
        <w:pStyle w:val="Standard"/>
        <w:spacing w:after="0" w:line="240" w:lineRule="auto"/>
        <w:jc w:val="both"/>
        <w:rPr>
          <w:rFonts w:cs="Calibri"/>
        </w:rPr>
      </w:pPr>
      <w:r>
        <w:rPr>
          <w:rFonts w:cs="Calibri"/>
          <w:color w:val="000000"/>
          <w:sz w:val="24"/>
          <w:szCs w:val="24"/>
          <w:lang w:val="en-US"/>
        </w:rPr>
        <w:t xml:space="preserve">A foremost requirement to the success of the method is the re-optimization of the concentration of the formaldehyde and the cell collection and disruption technique. Less permeable, </w:t>
      </w:r>
      <w:proofErr w:type="gramStart"/>
      <w:r>
        <w:rPr>
          <w:rFonts w:cs="Calibri"/>
          <w:color w:val="000000"/>
          <w:sz w:val="24"/>
          <w:szCs w:val="24"/>
          <w:lang w:val="en-US"/>
        </w:rPr>
        <w:t>small</w:t>
      </w:r>
      <w:proofErr w:type="gramEnd"/>
      <w:r>
        <w:rPr>
          <w:rFonts w:cs="Calibri"/>
          <w:color w:val="000000"/>
          <w:sz w:val="24"/>
          <w:szCs w:val="24"/>
          <w:lang w:val="en-US"/>
        </w:rPr>
        <w:t xml:space="preserve"> and round yeast cells require much higher (at least, 10-fold) formaldehyde concentration and physical disruption of the fixed cells. In contrast, large and flattened adherent mammalian cells in culture can be easily over-fixed and require gentle handling upon fixation, while the extraction of the fixed complexes can be performed chemically with membrane disruption using detergents. Under-crosslinking may allow less stable or more short-lived intermediates to dissociate or leak into a later state. Over-crosslinking may negatively affect the ability to isolate and study ribosomal fractions and can create selective biases such as deeper depletion of heavy complexes</w:t>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EN.CITE.DATA49</w:instrText>
      </w:r>
      <w:r w:rsidR="0021610B">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w:instrText>
      </w:r>
      <w:r w:rsidR="0021610B">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rPr>
          <w:rFonts w:cs="Calibri"/>
          <w:color w:val="000000"/>
          <w:sz w:val="24"/>
          <w:szCs w:val="24"/>
          <w:lang w:val="en-US"/>
        </w:rPr>
        <w:t xml:space="preserve">. In our observation, even </w:t>
      </w:r>
      <w:r>
        <w:rPr>
          <w:rFonts w:eastAsia="Times New Roman" w:cs="Calibri"/>
          <w:color w:val="000000"/>
          <w:sz w:val="24"/>
          <w:szCs w:val="24"/>
          <w:lang w:val="en-US"/>
        </w:rPr>
        <w:t>minor</w:t>
      </w:r>
      <w:r>
        <w:rPr>
          <w:rFonts w:cs="Calibri"/>
          <w:color w:val="000000"/>
          <w:sz w:val="24"/>
          <w:szCs w:val="24"/>
          <w:lang w:val="en-US"/>
        </w:rPr>
        <w:t xml:space="preserve"> alterations, such as the type of adherent human cells used, can affect the yield of the recover</w:t>
      </w:r>
      <w:r>
        <w:rPr>
          <w:rFonts w:eastAsia="Times New Roman" w:cs="Calibri"/>
          <w:color w:val="000000"/>
          <w:sz w:val="24"/>
          <w:szCs w:val="24"/>
          <w:lang w:val="en-US"/>
        </w:rPr>
        <w:t>ed</w:t>
      </w:r>
      <w:r>
        <w:rPr>
          <w:rFonts w:cs="Calibri"/>
          <w:color w:val="000000"/>
          <w:sz w:val="24"/>
          <w:szCs w:val="24"/>
          <w:lang w:val="en-US"/>
        </w:rPr>
        <w:t xml:space="preserve"> crosslinked </w:t>
      </w:r>
      <w:proofErr w:type="gramStart"/>
      <w:r>
        <w:rPr>
          <w:rFonts w:cs="Calibri"/>
          <w:color w:val="000000"/>
          <w:sz w:val="24"/>
          <w:szCs w:val="24"/>
          <w:lang w:val="en-US"/>
        </w:rPr>
        <w:t>complexes</w:t>
      </w:r>
      <w:proofErr w:type="gramEnd"/>
      <w:r>
        <w:rPr>
          <w:rFonts w:cs="Calibri"/>
          <w:color w:val="000000"/>
          <w:sz w:val="24"/>
          <w:szCs w:val="24"/>
          <w:lang w:val="en-US"/>
        </w:rPr>
        <w:t xml:space="preserve"> and may require re-optimization of the crosslinking regimen. We can also anticipate that cells with substantially different permeability properties, such as plant cells, will require additional extensive optimization of the fixation conditions</w:t>
      </w:r>
      <w:r>
        <w:fldChar w:fldCharType="begin"/>
      </w:r>
      <w:r>
        <w:rPr>
          <w:rFonts w:cs="Calibri"/>
          <w:color w:val="000000"/>
          <w:sz w:val="24"/>
          <w:szCs w:val="24"/>
          <w:lang w:val="en-US"/>
        </w:rPr>
        <w:instrText>ADDIN EN.CITE &lt;EndNote&gt;&lt;Cite&gt;&lt;Author&gt;Firmino&lt;/Author&gt;&lt;Year&gt;2020&lt;/Year&gt;&lt;RecNum&gt;86&lt;/RecNum&gt;&lt;DisplayText&gt;&lt;style face="superscript"&gt;68&lt;/style&gt;&lt;/DisplayText&gt;&lt;record&gt;&lt;rec-number&gt;86&lt;/rec-number&gt;&lt;foreign-keys&gt;&lt;key app="EN" db-id="pax2w20wtrf02kez5zr5ssez02e2ds2d0ztz" timestamp="1614319745"&gt;86&lt;/key&gt;&lt;/foreign-keys&gt;&lt;ref-type name="Journal Article"&gt;17&lt;/ref-type&gt;&lt;contributors&gt;&lt;authors&gt;&lt;author&gt;Firmino, A. A. P.&lt;/author&gt;&lt;author&gt;Gorka, M.&lt;/author&gt;&lt;author&gt;Graf, A.&lt;/author&gt;&lt;author&gt;Skirycz, A.&lt;/author&gt;&lt;author&gt;Martinez-Seidel, F.&lt;/author&gt;&lt;author&gt;Zander, K.&lt;/author&gt;&lt;author&gt;Kopka, J.&lt;/author&gt;&lt;author&gt;Beine-Golovchuk, O.&lt;/author&gt;&lt;/authors&gt;&lt;/contributors&gt;&lt;auth-address&gt;Max Planck Institute of Molecular Plant Physiology, 14476 Potsdam-Golm, Germany.&amp;#xD;School of BioSciences, University of Melbourne, Melbourne, VIC 3010, Australia.&amp;#xD;Heidelberg University, Biochemie-Zentrum, Nuclear Pore Complex and Ribosome Assembly, 69120 Heidelberg, Germany.&lt;/auth-address&gt;&lt;titles&gt;&lt;title&gt;Separation and Paired Proteome Profiling of Plant Chloroplast and Cytoplasmic Ribosomes&lt;/title&gt;&lt;secondary-title&gt;Plants (Basel)&lt;/secondary-title&gt;&lt;/titles&gt;&lt;periodical&gt;&lt;full-title&gt;Plants (Basel)&lt;/full-title&gt;&lt;/periodical&gt;&lt;volume&gt;9&lt;/volume&gt;&lt;number&gt;7&lt;/number&gt;&lt;edition&gt;2020/07/18&lt;/edition&gt;&lt;keywords&gt;&lt;keyword&gt;in vivo protein complex stabilization&lt;/keyword&gt;&lt;keyword&gt;plant proteomics&lt;/keyword&gt;&lt;keyword&gt;ribo-proteome&lt;/keyword&gt;&lt;keyword&gt;ribosome complexes&lt;/keyword&gt;&lt;keyword&gt;tissue specific separation&lt;/keyword&gt;&lt;/keywords&gt;&lt;dates&gt;&lt;year&gt;2020&lt;/year&gt;&lt;pub-dates&gt;&lt;date&gt;Jul 14&lt;/date&gt;&lt;/pub-dates&gt;&lt;/dates&gt;&lt;isbn&gt;2223-7747 (Print)&amp;#xD;2223-7747&lt;/isbn&gt;&lt;accession-num&gt;32674508&lt;/accession-num&gt;&lt;urls&gt;&lt;/urls&gt;&lt;custom2&gt;PMC7411607&lt;/custom2&gt;&lt;electronic-resource-num&gt;10.3390/plants9070892&lt;/electronic-resource-num&gt;&lt;remote-database-provider&gt;NLM&lt;/remote-database-provider&gt;&lt;language&gt;eng&lt;/language&gt;&lt;/record&gt;&lt;/Cite&gt;&lt;/EndNote&gt;</w:instrText>
      </w:r>
      <w:r>
        <w:rPr>
          <w:rFonts w:cs="Calibri"/>
          <w:color w:val="000000"/>
          <w:sz w:val="24"/>
          <w:szCs w:val="24"/>
          <w:lang w:val="en-US"/>
        </w:rPr>
        <w:fldChar w:fldCharType="separate"/>
      </w:r>
      <w:r>
        <w:rPr>
          <w:rFonts w:cs="Calibri"/>
          <w:color w:val="000000"/>
          <w:sz w:val="24"/>
          <w:szCs w:val="24"/>
          <w:vertAlign w:val="superscript"/>
          <w:lang w:val="en-US"/>
        </w:rPr>
        <w:t>49</w:t>
      </w:r>
      <w:r>
        <w:rPr>
          <w:rFonts w:cs="Calibri"/>
          <w:color w:val="000000"/>
          <w:sz w:val="24"/>
          <w:szCs w:val="24"/>
          <w:lang w:val="en-US"/>
        </w:rPr>
        <w:fldChar w:fldCharType="end"/>
      </w:r>
      <w:r>
        <w:rPr>
          <w:rFonts w:cs="Calibri"/>
          <w:color w:val="000000"/>
          <w:sz w:val="24"/>
          <w:szCs w:val="24"/>
          <w:lang w:val="en-US"/>
        </w:rPr>
        <w:t>. Yet, it is difficult to imagine a type of biological material that would be entirely incompatible with the approach.</w:t>
      </w:r>
    </w:p>
    <w:p w14:paraId="0C4A2702" w14:textId="77777777" w:rsidR="006B6616" w:rsidRDefault="006B6616">
      <w:pPr>
        <w:pStyle w:val="Standard"/>
        <w:spacing w:after="0" w:line="240" w:lineRule="auto"/>
        <w:jc w:val="both"/>
        <w:rPr>
          <w:rFonts w:cs="Calibri"/>
          <w:color w:val="000000"/>
          <w:sz w:val="24"/>
          <w:szCs w:val="24"/>
          <w:lang w:val="en-US"/>
        </w:rPr>
      </w:pPr>
    </w:p>
    <w:p w14:paraId="13C7304D" w14:textId="77777777" w:rsidR="006B6616" w:rsidRDefault="00E473AD">
      <w:pPr>
        <w:jc w:val="both"/>
        <w:rPr>
          <w:rFonts w:ascii="Calibri" w:hAnsi="Calibri" w:cs="Calibri"/>
          <w:color w:val="000000"/>
          <w:lang w:val="en-US"/>
        </w:rPr>
      </w:pPr>
      <w:r>
        <w:rPr>
          <w:rFonts w:asciiTheme="minorHAnsi" w:hAnsiTheme="minorHAnsi" w:cstheme="minorHAnsi"/>
          <w:color w:val="000000"/>
          <w:lang w:val="en-US"/>
        </w:rPr>
        <w:t xml:space="preserve">One consideration pertinent to the mammalian fixation protocol is the density and amount of cell material used as input. </w:t>
      </w:r>
      <w:r>
        <w:rPr>
          <w:rFonts w:asciiTheme="minorHAnsi" w:hAnsiTheme="minorHAnsi" w:cstheme="minorHAnsi"/>
          <w:lang w:val="en-US"/>
        </w:rPr>
        <w:t xml:space="preserve">It is recommended to have the cells continuously growing without re-seeding or other perturbations for at least 2 days to avoid external influences on cellular translation dynamics. Applicable for most cell types, but for </w:t>
      </w:r>
      <w:proofErr w:type="gramStart"/>
      <w:r>
        <w:rPr>
          <w:rFonts w:asciiTheme="minorHAnsi" w:hAnsiTheme="minorHAnsi" w:cstheme="minorHAnsi"/>
          <w:lang w:val="en-US"/>
        </w:rPr>
        <w:t>the majority of</w:t>
      </w:r>
      <w:proofErr w:type="gramEnd"/>
      <w:r>
        <w:rPr>
          <w:rFonts w:asciiTheme="minorHAnsi" w:hAnsiTheme="minorHAnsi" w:cstheme="minorHAnsi"/>
          <w:lang w:val="en-US"/>
        </w:rPr>
        <w:t xml:space="preserve"> adherent cells consistently achieved confluence levels of no more than 70% will ensure absence of major contact inhibition effects that can negatively and unpredictably affect translation rates.</w:t>
      </w:r>
      <w:bookmarkStart w:id="12" w:name="move867529231"/>
      <w:bookmarkEnd w:id="12"/>
    </w:p>
    <w:p w14:paraId="5B94B2C4" w14:textId="77777777" w:rsidR="006B6616" w:rsidRDefault="006B6616">
      <w:pPr>
        <w:pStyle w:val="Standard"/>
        <w:spacing w:after="0" w:line="240" w:lineRule="auto"/>
        <w:jc w:val="both"/>
        <w:rPr>
          <w:rFonts w:cs="Calibri"/>
          <w:color w:val="000000"/>
          <w:sz w:val="24"/>
          <w:szCs w:val="24"/>
          <w:lang w:val="en-US"/>
        </w:rPr>
      </w:pPr>
    </w:p>
    <w:p w14:paraId="729AFD44" w14:textId="01F99C5E" w:rsidR="006B6616" w:rsidRDefault="00E473AD">
      <w:pPr>
        <w:pStyle w:val="Standard"/>
        <w:spacing w:after="0" w:line="240" w:lineRule="auto"/>
        <w:jc w:val="both"/>
        <w:rPr>
          <w:rFonts w:cs="Calibri"/>
        </w:rPr>
      </w:pPr>
      <w:r>
        <w:rPr>
          <w:rFonts w:cs="Calibri"/>
          <w:color w:val="000000"/>
          <w:sz w:val="24"/>
          <w:szCs w:val="24"/>
          <w:lang w:val="en-US"/>
        </w:rPr>
        <w:t xml:space="preserve">Another interesting, and potentially uniquely convenient, feature of formaldehyde fixation stemming from its indiscriminate reactivity is the stabilization effect on translational complexes in systems of mixed taxonomy. Bacterial, and even more so translational complexes of mitochondria, </w:t>
      </w:r>
      <w:proofErr w:type="gramStart"/>
      <w:r>
        <w:rPr>
          <w:rFonts w:cs="Calibri"/>
          <w:color w:val="000000"/>
          <w:sz w:val="24"/>
          <w:szCs w:val="24"/>
          <w:lang w:val="en-US"/>
        </w:rPr>
        <w:t>chloroplasts</w:t>
      </w:r>
      <w:proofErr w:type="gramEnd"/>
      <w:r>
        <w:rPr>
          <w:rFonts w:cs="Calibri"/>
          <w:color w:val="000000"/>
          <w:sz w:val="24"/>
          <w:szCs w:val="24"/>
          <w:lang w:val="en-US"/>
        </w:rPr>
        <w:t xml:space="preserve"> and different intracellular parasites, have been notoriously difficult to target with specific translation inhibitors</w:t>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EN.CITE.DATA69-71</w:instrText>
      </w:r>
      <w:r w:rsidR="0021610B">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rPr>
          <w:rFonts w:cs="Calibri"/>
          <w:color w:val="000000"/>
          <w:sz w:val="24"/>
          <w:szCs w:val="24"/>
          <w:lang w:val="en-US"/>
        </w:rPr>
        <w:t xml:space="preserve">. In contrast, in the TCP-seq data, footprints mapping to the </w:t>
      </w:r>
      <w:proofErr w:type="spellStart"/>
      <w:r>
        <w:rPr>
          <w:rFonts w:cs="Calibri"/>
          <w:color w:val="000000"/>
          <w:sz w:val="24"/>
          <w:szCs w:val="24"/>
          <w:lang w:val="en-US"/>
        </w:rPr>
        <w:t>mitotranscriptome</w:t>
      </w:r>
      <w:proofErr w:type="spellEnd"/>
      <w:r>
        <w:rPr>
          <w:rFonts w:cs="Calibri"/>
          <w:color w:val="000000"/>
          <w:sz w:val="24"/>
          <w:szCs w:val="24"/>
          <w:lang w:val="en-US"/>
        </w:rPr>
        <w:t xml:space="preserve"> are readily observable in the data</w:t>
      </w:r>
      <w:r>
        <w:fldChar w:fldCharType="begin"/>
      </w:r>
      <w:r>
        <w:rPr>
          <w:rFonts w:cs="Calibri"/>
          <w:color w:val="000000"/>
          <w:sz w:val="24"/>
          <w:szCs w:val="24"/>
          <w:lang w:val="en-US"/>
        </w:rPr>
        <w:instrText>ADDIN ZOTERO_ITEM CSL_CITATION {"citationID":"aI3vpoQT","properties":{"formattedCitation":"\\super 32, 33\\nosupersub{}","plainCitation":"32, 33","dontUpdate":true,"noteIndex":0},"citationItems":[{"id":374,"uris":["http://zotero.org/users/6977825/items/DXAVYW7C"],"uri":["http://zotero.org/users/6977825/items/DXAVYW7C"],"itemData":{"id":374,"type":"article-journal","abstract":"Messenger RNA (mRNA) translation is a tightly controlled process that is integral to gene expression. It features intricate and dynamic interactions of the small and large subunits of the ribosome with mRNAs, aided by multiple auxiliary factors during distinct initiation, elongation and termination phases. The recently developed ribosome profiling method can generate transcriptome-wide surveys of translation and its regulation. Ribosome profiling records the footprints of fully assembled ribosomes along mRNAs and thus primarily interrogates the elongation phase of translation. Importantly, it does not monitor multiple substeps of initiation and termination that involve complexes between the small ribosomal subunit (SSU) and mRNA. Here we describe a related method, termed 'translation complex profile sequencing' (TCP-seq), that is uniquely capable of recording positions of any type of ribosome-mRNA complex transcriptome-wide. It uses fast covalent fixation of translation complexes in live cells, followed by RNase footprinting of translation intermediates and their separation into complexes involving either the full ribosome or the SSU. The footprints derived from each type of complex are then deep-sequenced separately, generating native distribution profiles during the elongation, as well as the initiation and termination stages of translation. We provide the full TCP-seq protocol for Saccharomyces cerevisiae liquid suspension culture, including a data analysis pipeline. The protocol takes ∼3 weeks to complete by a researcher who is well acquainted with standard molecular biology techniques and who has some experience in ultracentrifugation and the preparation of RNA sequencing (RNA-seq) libraries. Basic Bash and UNIX/Linux command skills are required to use the bioinformatics tools provided.","archive_location":"28253237","container-title":"Nature Protocols","DOI":"10.1038/nprot.2016.189","ISSN":"1750-2799","issue":"4","language":"eng","note":"edition: 2017/03/03","page":"697-731","source":"NLM","title":"Translation complex profile sequencing to study the in vivo dynamics of mRNA-ribosome interactions during translation initiation, elongation and termination","volume":"12","author":[{"family":"Shirokikh","given":"N. E."},{"family":"Archer","given":"S. K."},{"family":"Beilharz","given":"T. H."},{"family":"Powell","given":"D."},{"family":"Preiss","given":"T."}],"issued":{"date-parts":[["2017",4]]}}},{"id":388,"uris":["http://zotero.org/users/6977825/items/UPH2VTW4"],"uri":["http://zotero.org/users/6977825/items/UPH2VTW4"],"itemData":{"id":388,"type":"article-journal","abstract":"Translational control targeting the initiation phase is central to the regulation of gene expression. Understanding all of its aspects requires substantial technological advancements. Here we modified yeast translation complex profile sequencing (TCP-seq), related to ribosome profiling, and adapted it for mammalian cells. Human TCP-seq, capable of capturing footprints of 40S subunits (40Ss) in addition to 80S ribosomes (80Ss), revealed that mammalian and yeast 40Ss distribute similarly across 5'TRs, indicating considerable evolutionary conservation. We further developed yeast and human selective TCP-seq (Sel-TCP-seq), enabling selection of 40Ss and 80Ss associated with immuno-targeted factors. Sel-TCP-seq demonstrated that eIF2 and eIF3 travel along 5' UTRs with scanning 40Ss to successively dissociate upon AUG recognition; notably, a proportion of eIF3 lingers on during the initial elongation cycles. Highlighting Sel-TCP-seq versatility, we also identified four initiating 48S conformational intermediates, provided novel insights into ATF4 and GCN4 mRNA translational control, and demonstrated co-translational assembly of initiation factor complexes.","archive_location":"32589964","container-title":"Molecular Cell","DOI":"10.1016/j.molcel.2020.06.004","ISSN":"1097-2765 (Print) 1097-2765","issue":"4","language":"eng","note":"edition: 2020/06/27","page":"546-560.e7","source":"NLM","title":"Selective Translation Complex Profiling Reveals Staged Initiation and Co-translational Assembly of Initiation Factor Complexes","volume":"79","author":[{"family":"Wagner","given":"S."},{"family":"Herrmannová","given":"A."},{"family":"Hronová","given":"V."},{"family":"Gunišová","given":"S."},{"family":"Sen","given":"N. D."},{"family":"Hannan","given":"R. D."},{"family":"Hinnebusch","given":"A. G."},{"family":"Shirokikh","given":"N. E."},{"family":"Preiss","given":"T."},{"family":"Valášek","given":"L. S."}],"issued":{"date-parts":[["2020",8,20]]}}}],"schema":"https://github.com/citation-style-language/schema/raw/master/csl-citation.json"}</w:instrText>
      </w:r>
      <w:r>
        <w:rPr>
          <w:rFonts w:cs="Calibri"/>
          <w:color w:val="000000"/>
          <w:sz w:val="24"/>
          <w:szCs w:val="24"/>
          <w:lang w:val="en-US"/>
        </w:rPr>
        <w:fldChar w:fldCharType="separate"/>
      </w:r>
      <w:r>
        <w:rPr>
          <w:rFonts w:cs="Calibri"/>
          <w:sz w:val="24"/>
          <w:szCs w:val="24"/>
          <w:vertAlign w:val="superscript"/>
          <w:lang w:val="en-US"/>
        </w:rPr>
        <w:t>36,37</w:t>
      </w:r>
      <w:r>
        <w:rPr>
          <w:rFonts w:cs="Calibri"/>
          <w:color w:val="000000"/>
          <w:sz w:val="24"/>
          <w:szCs w:val="24"/>
          <w:lang w:val="en-US"/>
        </w:rPr>
        <w:fldChar w:fldCharType="end"/>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w:instrText>
      </w:r>
      <w:r w:rsidR="0021610B">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rPr>
          <w:rFonts w:cs="Calibri"/>
          <w:color w:val="000000"/>
          <w:sz w:val="24"/>
          <w:szCs w:val="24"/>
          <w:lang w:val="en-US"/>
        </w:rPr>
        <w:t xml:space="preserve">. An interesting subsequent development could be the use of the approach to investigate translation in entire </w:t>
      </w:r>
      <w:proofErr w:type="spellStart"/>
      <w:r>
        <w:rPr>
          <w:rFonts w:cs="Calibri"/>
          <w:color w:val="000000"/>
          <w:sz w:val="24"/>
          <w:szCs w:val="24"/>
          <w:lang w:val="en-US"/>
        </w:rPr>
        <w:t>microcommunities</w:t>
      </w:r>
      <w:proofErr w:type="spellEnd"/>
      <w:r>
        <w:rPr>
          <w:rFonts w:cs="Calibri"/>
          <w:color w:val="000000"/>
          <w:sz w:val="24"/>
          <w:szCs w:val="24"/>
          <w:lang w:val="en-US"/>
        </w:rPr>
        <w:t xml:space="preserve">, such as in soil, </w:t>
      </w:r>
      <w:proofErr w:type="gramStart"/>
      <w:r>
        <w:rPr>
          <w:rFonts w:cs="Calibri"/>
          <w:color w:val="000000"/>
          <w:sz w:val="24"/>
          <w:szCs w:val="24"/>
          <w:lang w:val="en-US"/>
        </w:rPr>
        <w:t>water</w:t>
      </w:r>
      <w:proofErr w:type="gramEnd"/>
      <w:r>
        <w:rPr>
          <w:rFonts w:cs="Calibri"/>
          <w:color w:val="000000"/>
          <w:sz w:val="24"/>
          <w:szCs w:val="24"/>
          <w:lang w:val="en-US"/>
        </w:rPr>
        <w:t xml:space="preserve"> or gut samples, where reliable rapid translational arrest and complex stabilization with any other means would be problematic.</w:t>
      </w:r>
    </w:p>
    <w:p w14:paraId="3EF30167" w14:textId="77777777" w:rsidR="006B6616" w:rsidRDefault="006B6616">
      <w:pPr>
        <w:pStyle w:val="Standard"/>
        <w:spacing w:after="0" w:line="240" w:lineRule="auto"/>
        <w:jc w:val="both"/>
        <w:rPr>
          <w:rFonts w:cs="Calibri"/>
          <w:color w:val="000000"/>
          <w:sz w:val="24"/>
          <w:szCs w:val="24"/>
          <w:lang w:val="en-US"/>
        </w:rPr>
      </w:pPr>
    </w:p>
    <w:p w14:paraId="0B89B53F" w14:textId="77777777" w:rsidR="006B6616" w:rsidRDefault="00E473AD">
      <w:pPr>
        <w:pStyle w:val="Standard"/>
        <w:spacing w:after="0" w:line="240" w:lineRule="auto"/>
        <w:jc w:val="both"/>
        <w:rPr>
          <w:rFonts w:cs="Calibri"/>
        </w:rPr>
      </w:pPr>
      <w:r>
        <w:rPr>
          <w:rFonts w:cs="Calibri"/>
          <w:color w:val="000000"/>
          <w:sz w:val="24"/>
          <w:szCs w:val="24"/>
          <w:lang w:val="en-US"/>
        </w:rPr>
        <w:t>It should also be mentioned that for the most complicated material (such as hard and/or bulky tissues), nothing prevents the use of formaldehyde stabilization immediately upon cell disruption and material homogenization. This approach is already frequently employed to remove the cell entry delay when stabilizing translational complexes with specific small molecule inhibitors</w:t>
      </w:r>
      <w:r>
        <w:fldChar w:fldCharType="begin"/>
      </w:r>
      <w:r>
        <w:rPr>
          <w:rFonts w:cs="Calibri"/>
          <w:color w:val="000000"/>
          <w:sz w:val="24"/>
          <w:szCs w:val="24"/>
          <w:lang w:val="en-US"/>
        </w:rPr>
        <w:instrText>ADDIN ZOTERO_ITEM CSL_CITATION {"citationID":"byfY49Rt","properties":{"formattedCitation":"\\super 46\\uc0\\u8211{}49\\nosupersub{}","plainCitation":"46–49","noteIndex":0},"citationItems":[{"id":305,"uris":["http://zotero.org/users/6977825/items/KW9HDQ27"],"uri":["http://zotero.org/users/6977825/items/KW9HDQ27"],"itemData":{"id":305,"type":"article-journal","abstract":"Information on unique and coordinated regulation of transcription and translation in response to stress is central to the understanding of cellular homeostasis. Here we used ribosome profiling coupled with next-generation sequencing to examine the interplay between transcription and translation under conditions of hydrogen peroxide treatment in Saccharomyces cerevisiae. Hydrogen peroxide treatment led to a massive and rapid increase in ribosome occupancy of short upstream ORFs, including those with non-AUG translational starts, and of the N-terminal regions of ORFs that preceded the transcriptional response. In addition, this treatment induced the synthesis of N-terminally extended proteins and elevated stop codon read-through and frameshift events. It also increased ribosome occupancy at the beginning of ORFs and potentially the duration of the elongation step. We identified proteins whose synthesis was regulated rapidly by hydrogen peroxide posttranscriptionally; however, for the majority of genes increased protein synthesis followed transcriptional regulation. These data define the landscape of genome-wide regulation of translation in response to hydrogen peroxide and suggest that potentiation (coregulation of the transcript level and translation) is a feature of oxidative stress.","archive_location":"23045643","container-title":"Proceedings of the National Academy of Sciences of the United States of America","DOI":"10.1073/pnas.1120799109","ISSN":"0027-8424 (Print) 0027-8424","issue":"43","language":"eng","note":"edition: 2012/10/10","page":"17394-9","source":"NLM","title":"Genome-wide ribosome profiling reveals complex translational regulation in response to oxidative stress","volume":"109","author":[{"family":"Gerashchenko","given":"M. V."},{"family":"Lobanov","given":"A. V."},{"family":"Gladyshev","given":"V. N."}],"issued":{"date-parts":[["2012",10,23]]}}},{"id":313,"uris":["http://zotero.org/users/6977825/items/Y9U9MQXF"],"uri":["http://zotero.org/users/6977825/items/Y9U9MQXF"],"itemData":{"id":313,"type":"article-journal","abstract":"Ribosome profiling produces snapshots of the locations of actively translating ribosomes on messenger RNAs. These snapshots can be used to make inferences about translation dynamics. Recent ribosome profiling studies in yeast, however, have reached contradictory conclusions regarding the average translation rate of each codon. Some experiments have used cycloheximide (CHX) to stabilize ribosomes before measuring their positions, and these studies all counterintuitively report a weak negative correlation between the translation rate of a codon and the abundance of its cognate tRNA. In contrast, some experiments performed without CHX report strong positive correlations. To explain this contradiction, we identify unexpected patterns in ribosome density downstream of each type of codon in experiments that use CHX. These patterns are evidence that elongation continues to occur in the presence of CHX but with dramatically altered codon-specific elongation rates. The measured positions of ribosomes in these experiments therefore do not reflect the amounts of time ribosomes spend at each position in vivo. These results suggest that conclusions from experiments in yeast using CHX may need reexamination. In particular, we show that in all such experiments, codons decoded by less abundant tRNAs were in fact being translated more slowly before the addition of CHX disrupted these dynamics.","archive_location":"26656907","container-title":"Proceedings of the National Academy of Sciences Genetics","DOI":"10.1371/journal.pgen.1005732","ISSN":"1553-7390 (Print) 1553-7390","issue":"12","language":"eng","note":"edition: 2015/12/15","page":"e1005732","source":"NLM","title":"Understanding Biases in Ribosome Profiling Experiments Reveals Signatures of Translation Dynamics in Yeast","volume":"11","author":[{"family":"Hussmann","given":"J. A."},{"family":"Patchett","given":"S."},{"family":"Johnson","given":"A."},{"family":"Sawyer","given":"S."},{"family":"Press","given":"W. H."}],"issued":{"date-parts":[["2015",12]]}}},{"id":425,"uris":["http://zotero.org/users/6977825/items/3D4KHQ2Q"],"uri":["http://zotero.org/users/6977825/items/3D4KHQ2Q"],"itemData":{"id":425,"type":"article-journal","container-title":"Nucleic Acids Research","DOI":"10.1093/nar/gkz205","ISSN":"0305-1048, 1362-4962","issue":"10","language":"en","page":"4974-4985","source":"DOI.org (Crossref)","title":"Cycloheximide can distort measurements of mRNA levels and translation efficiency","volume":"47","author":[{"family":"Santos","given":"Daniel A"},{"family":"Shi","given":"Lei"},{"family":"Tu","given":"Benjamin P"},{"family":"Weissman","given":"Jonathan S"}],"issued":{"date-parts":[["2019",6,4]]}}},{"id":53,"uris":["http://zotero.org/groups/4364049/items/GVIHTHHM"],"uri":["http://zotero.org/groups/4364049/items/GVIHTHHM"],"itemData":{"id":53,"type":"article-journal","container-title":"Nature Chemical Biology","DOI":"10.1038/nchembio.304","ISSN":"1552-4450, 1552-4469","issue":"3","journalAbbreviation":"Nat Chem Biol","language":"en","page":"209-217","source":"DOI.org (Crossref)","title":"Inhibition of eukaryotic translation elongation by cycloheximide and lactimidomycin","volume":"6","author":[{"family":"Schneider-Poetsch","given":"Tilman"},{"family":"Ju","given":"Jianhua"},{"family":"Eyler","given":"Daniel E"},{"family":"Dang","given":"Yongjun"},{"family":"Bhat","given":"Shridhar"},{"family":"Merrick","given":"William C"},{"family":"Green","given":"Rachel"},{"family":"Shen","given":"Ben"},{"family":"Liu","given":"Jun O"}],"issued":{"date-parts":[["2010",3]]}}}],"schema":"https://github.com/citation-style-language/schema/raw/master/csl-citation.json"}</w:instrText>
      </w:r>
      <w:r>
        <w:rPr>
          <w:rFonts w:cs="Calibri"/>
          <w:color w:val="000000"/>
          <w:sz w:val="24"/>
          <w:szCs w:val="24"/>
          <w:lang w:val="en-US"/>
        </w:rPr>
        <w:fldChar w:fldCharType="separate"/>
      </w:r>
      <w:r>
        <w:rPr>
          <w:rFonts w:cs="Calibri"/>
          <w:sz w:val="24"/>
          <w:szCs w:val="24"/>
          <w:vertAlign w:val="superscript"/>
          <w:lang w:val="en-US"/>
        </w:rPr>
        <w:t>31,50–52</w:t>
      </w:r>
      <w:r>
        <w:rPr>
          <w:rFonts w:cs="Calibri"/>
          <w:color w:val="000000"/>
          <w:sz w:val="24"/>
          <w:szCs w:val="24"/>
          <w:lang w:val="en-US"/>
        </w:rPr>
        <w:fldChar w:fldCharType="end"/>
      </w:r>
      <w:r>
        <w:rPr>
          <w:rFonts w:cs="Calibri"/>
          <w:color w:val="000000"/>
          <w:sz w:val="24"/>
          <w:szCs w:val="24"/>
          <w:lang w:val="en-US"/>
        </w:rPr>
        <w:t xml:space="preserve">. </w:t>
      </w:r>
      <w:r>
        <w:fldChar w:fldCharType="begin"/>
      </w:r>
      <w:r>
        <w:rPr>
          <w:rFonts w:cs="Calibri"/>
          <w:color w:val="000000"/>
          <w:sz w:val="24"/>
          <w:szCs w:val="24"/>
          <w:lang w:val="en-US"/>
        </w:rPr>
        <w:instrText>ADDIN EN.CITEThese refs are broken please check/re-insert!</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w:instrText>
      </w:r>
      <w:r w:rsidR="0021610B">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fldChar w:fldCharType="begin"/>
      </w:r>
      <w:r>
        <w:rPr>
          <w:rFonts w:cs="Calibri"/>
          <w:color w:val="000000"/>
          <w:sz w:val="24"/>
          <w:szCs w:val="24"/>
          <w:lang w:val="en-US"/>
        </w:rPr>
        <w:instrText>ADDIN ZOTERO_ITEM CSL_CITATION {"citationID":"0S6La5bt","properties":{"formattedCitation":"\\super 39, 49\\uc0\\u8211{}51\\nosupersub{}","plainCitation":"39, 49–51","dontUpdate":true,"noteIndex":0},"citationItems":[{"id":415,"uris":["http://zotero.org/users/6977825/items/KHZ7NFJN"],"uri":["http://zotero.org/users/6977825/items/KHZ7NFJN"],"itemData":{"id":415,"type":"article-journal","container-title":"Trends in Biochemical Sciences","DOI":"10.1016/S0968-0004(99)01535-2","ISSN":"09680004","issue":"3","journalAbbreviation":"Trends in Biochemical Sciences","language":"en","page":"99-104","source":"DOI.org (Crossref)","title":"Mapping chromosomal proteins in vivo by formaldehyde-crosslinked-chromatin immunoprecipitation","volume":"25","author":[{"family":"Orlando","given":"Valerio"}],"issued":{"date-parts":[["2000",3]]}}},{"id":427,"uris":["http://zotero.org/users/6977825/items/6T27L3DF"],"uri":["http://zotero.org/users/6977825/items/6T27L3DF"],"itemData":{"id":427,"type":"article-journal","abstract":"This review deals with the general principles and problems of formaldehyde fixation. After a short description of 1) formaldehyde methods of production, 2) chemical properties of formaldehyde solution, and 3) kinetic of formaldehyde binding in tissue, formaldehyde reactivity with the tissue biopolymers, proteins and cucleic acids mainly, are described. How formaldehyde fixation of tissues adversely affects the reactivity of cellular proteins with their respective specific antibody and the ways the most commonly used retrieval techniques in immunohistochemistry act are, thereafter, discussed. Finally, concerns that need to be dealt with when formalin-fixed specimens are used for genomic analysis and studies of DNA expression are highlighted.","container-title":"Annales De Pathologie","ISSN":"0242-6498","issue":"1","journalAbbreviation":"Ann Pathol","language":"fre","note":"PMID: 11223558","page":"29-47","source":"PubMed","title":"[Formaldehyde fixation in the third millennium]","volume":"21","author":[{"family":"Plénat","given":"F."},{"family":"Antunes","given":"L."},{"family":"Haller","given":"T."},{"family":"Piet-Ounnoughene","given":"M."},{"family":"Klein-Monhoven","given":"N."},{"family":"Champigneulle","given":"J."},{"family":"Chenal","given":"P."},{"family":"Bland","given":"V."},{"family":"Garcia-Pimenta","given":"F."},{"family":"Labouyrie","given":"E."}],"issued":{"date-parts":[["2001",2]]}}},{"id":429,"uris":["http://zotero.org/users/6977825/items/24N3BLSA"],"uri":["http://zotero.org/users/6977825/items/24N3BLSA"],"itemData":{"id":429,"type":"article-journal","container-title":"Proceedings of the National Academy of Sciences","DOI":"10.1073/pnas.0712168105","ISSN":"0027-8424, 1091-6490","issue":"7","journalAbbreviation":"Proceedings of the National Academy of Sciences","language":"en","page":"2415-2420","source":"DOI.org (Crossref)","title":"A chemical method for fast and sensitive detection of DNA synthesis in vivo","volume":"105","author":[{"family":"Salic","given":"A."},{"family":"Mitchison","given":"T. J."}],"issued":{"date-parts":[["2008",2,19]]}}},{"id":431,"uris":["http://zotero.org/users/6977825/items/5HPT9JUM"],"uri":["http://zotero.org/users/6977825/items/5HPT9JUM"],"itemData":{"id":431,"type":"article-journal","abstract":"The fine structures of tissues processed routinely for light microscopy were studied retrospectively in 44 tissues and tumors and prospectively in 13 tissues and tumors. In the prospective study, we fixed tissues in an ample amount of fixatives, carefully avoiding crushed and air-dried portions, and processed them by five methods. The fine structures of the retrospective cases were mostly poor or passable, whereas those of the prospective cases were generally good. All formaldehyde-fixed tissues showed varied degrees of tissue extraction, notably of lipids, membranous structures, ribosomes, glycogen, and other loose cellular and intercellular matrix materials, that was related to the status and type of tissue as well as the kind and duration of fixation, dehydration, and tissue clearance. Paraffin embedding per se appeared to cause little alteration of the fine structure. Transmission electron microscopy of the paraffin-embedded tissue appeared most useful to identify infective agents, foreign particles, and densely packed organelles or structures, usually in the differential diagnosis of neoplasms. Although many factors are difficult to control, initial careful thin slicing, judicious selection, and fixation of the tissue (even by regular phosphate-buffered formaldehyde solution) can improve the fine structure of paraffin-embedded tissues and be useful in the direct correlation of light and electron microscopic findings.","container-title":"Human Pathology","DOI":"10.1016/s0046-8177(87)80243-5","ISSN":"0046-8177","issue":"7","journalAbbreviation":"Hum Pathol","language":"eng","note":"PMID: 3596588","page":"715-727","source":"PubMed","title":"The formaldehyde-fixed and paraffin-embedded tissues for diagnostic transmission electron microscopy: a retrospective and prospective study","title-short":"The formaldehyde-fixed and paraffin-embedded tissues for diagnostic transmission electron microscopy","volume":"18","author":[{"family":"Wang","given":"N. S."},{"family":"Minassian","given":"H."}],"issued":{"date-parts":[["1987",7]]}}}],"schema":"https://github.com/citation-style-language/schema/raw/master/csl-citation.json"}</w:instrText>
      </w:r>
      <w:r w:rsidR="0021610B">
        <w:rPr>
          <w:rFonts w:cs="Calibri"/>
          <w:color w:val="000000"/>
          <w:sz w:val="24"/>
          <w:szCs w:val="24"/>
          <w:lang w:val="en-US"/>
        </w:rPr>
        <w:fldChar w:fldCharType="separate"/>
      </w:r>
      <w:r>
        <w:rPr>
          <w:rFonts w:cs="Calibri"/>
          <w:color w:val="000000"/>
          <w:sz w:val="24"/>
          <w:szCs w:val="24"/>
          <w:lang w:val="en-US"/>
        </w:rPr>
        <w:fldChar w:fldCharType="end"/>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w:instrText>
      </w:r>
      <w:r w:rsidR="0021610B">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r>
        <w:rPr>
          <w:rFonts w:cs="Calibri"/>
          <w:color w:val="000000"/>
          <w:sz w:val="24"/>
          <w:szCs w:val="24"/>
          <w:lang w:val="en-US"/>
        </w:rPr>
        <w:t xml:space="preserve">Given that formaldehyde fixation has been traditionally used with excellent results for </w:t>
      </w:r>
      <w:r>
        <w:rPr>
          <w:rFonts w:cs="Calibri"/>
          <w:i/>
          <w:iCs/>
          <w:color w:val="000000"/>
          <w:sz w:val="24"/>
          <w:szCs w:val="24"/>
          <w:lang w:val="en-US"/>
        </w:rPr>
        <w:t>ex vivo/in vitro</w:t>
      </w:r>
      <w:r>
        <w:rPr>
          <w:rFonts w:cs="Calibri"/>
          <w:color w:val="000000"/>
          <w:sz w:val="24"/>
          <w:szCs w:val="24"/>
          <w:lang w:val="en-US"/>
        </w:rPr>
        <w:t xml:space="preserve"> sample stabilization in applications such as electron microscopy</w:t>
      </w:r>
      <w:r>
        <w:rPr>
          <w:rFonts w:cs="Calibri"/>
          <w:color w:val="000000"/>
          <w:sz w:val="24"/>
          <w:szCs w:val="24"/>
          <w:vertAlign w:val="superscript"/>
          <w:lang w:val="en-US"/>
        </w:rPr>
        <w:t>43,53–55</w:t>
      </w:r>
      <w:r>
        <w:rPr>
          <w:rFonts w:cs="Calibri"/>
          <w:color w:val="000000"/>
          <w:sz w:val="24"/>
          <w:szCs w:val="24"/>
          <w:lang w:val="en-US"/>
        </w:rPr>
        <w:t xml:space="preserve">, we can expect even </w:t>
      </w:r>
      <w:proofErr w:type="gramStart"/>
      <w:r>
        <w:rPr>
          <w:rFonts w:cs="Calibri"/>
          <w:color w:val="000000"/>
          <w:sz w:val="24"/>
          <w:szCs w:val="24"/>
          <w:lang w:val="en-US"/>
        </w:rPr>
        <w:t>less</w:t>
      </w:r>
      <w:proofErr w:type="gramEnd"/>
      <w:r>
        <w:rPr>
          <w:rFonts w:cs="Calibri"/>
          <w:color w:val="000000"/>
          <w:sz w:val="24"/>
          <w:szCs w:val="24"/>
          <w:lang w:val="en-US"/>
        </w:rPr>
        <w:t xml:space="preserve"> negative effects in this case, particularly those associated with the poor extraction of the translational complexes from the thoroughly fixed cells.</w:t>
      </w:r>
      <w:r>
        <w:fldChar w:fldCharType="begin"/>
      </w:r>
      <w:r>
        <w:rPr>
          <w:rFonts w:cs="Calibri"/>
          <w:color w:val="000000"/>
          <w:sz w:val="24"/>
          <w:szCs w:val="24"/>
          <w:lang w:val="en-US"/>
        </w:rPr>
        <w:instrText>ADDIN EN.CITE</w:instrText>
      </w:r>
      <w:r>
        <w:rPr>
          <w:rFonts w:cs="Calibri"/>
          <w:color w:val="000000"/>
          <w:sz w:val="24"/>
          <w:szCs w:val="24"/>
          <w:lang w:val="en-US"/>
        </w:rPr>
        <w:fldChar w:fldCharType="separate"/>
      </w:r>
      <w:r>
        <w:fldChar w:fldCharType="begin"/>
      </w:r>
      <w:r>
        <w:rPr>
          <w:rFonts w:cs="Calibri"/>
          <w:color w:val="000000"/>
          <w:sz w:val="24"/>
          <w:szCs w:val="24"/>
          <w:lang w:val="en-US"/>
        </w:rPr>
        <w:instrText>ADDIN EN.CITE.DATA</w:instrText>
      </w:r>
      <w:r w:rsidR="0021610B">
        <w:rPr>
          <w:rFonts w:cs="Calibri"/>
          <w:color w:val="000000"/>
          <w:sz w:val="24"/>
          <w:szCs w:val="24"/>
          <w:lang w:val="en-US"/>
        </w:rPr>
        <w:fldChar w:fldCharType="separate"/>
      </w:r>
      <w:r>
        <w:rPr>
          <w:rFonts w:cs="Calibri"/>
          <w:color w:val="000000"/>
          <w:sz w:val="24"/>
          <w:szCs w:val="24"/>
          <w:lang w:val="en-US"/>
        </w:rPr>
        <w:fldChar w:fldCharType="end"/>
      </w:r>
      <w:r>
        <w:rPr>
          <w:rFonts w:cs="Calibri"/>
          <w:color w:val="000000"/>
          <w:sz w:val="24"/>
          <w:szCs w:val="24"/>
          <w:lang w:val="en-US"/>
        </w:rPr>
        <w:fldChar w:fldCharType="end"/>
      </w:r>
    </w:p>
    <w:p w14:paraId="4DC5B371" w14:textId="77777777" w:rsidR="006B6616" w:rsidRDefault="006B6616">
      <w:pPr>
        <w:jc w:val="both"/>
        <w:rPr>
          <w:rFonts w:ascii="Calibri" w:hAnsi="Calibri" w:cs="Calibri"/>
          <w:color w:val="000000"/>
          <w:lang w:val="en-US"/>
        </w:rPr>
      </w:pPr>
    </w:p>
    <w:p w14:paraId="3481DA62" w14:textId="268CD06C" w:rsidR="006B6616" w:rsidRDefault="00E473AD">
      <w:pPr>
        <w:jc w:val="both"/>
        <w:rPr>
          <w:rFonts w:ascii="Calibri" w:hAnsi="Calibri" w:cs="Calibri"/>
        </w:rPr>
      </w:pPr>
      <w:r>
        <w:rPr>
          <w:rFonts w:ascii="Calibri" w:hAnsi="Calibri" w:cs="Calibri"/>
          <w:color w:val="000000"/>
          <w:lang w:val="en-US"/>
        </w:rPr>
        <w:t xml:space="preserve">Our findings confirm the usability of rapid formaldehyde fixation to stabilize highly transient complexes, such as those that include eIF4A. It is noteworthy that in contrast to mammals, yeast eIF4A is much </w:t>
      </w:r>
      <w:proofErr w:type="gramStart"/>
      <w:r>
        <w:rPr>
          <w:rFonts w:ascii="Calibri" w:hAnsi="Calibri" w:cs="Calibri"/>
          <w:color w:val="000000"/>
          <w:lang w:val="en-US"/>
        </w:rPr>
        <w:t>more weakly</w:t>
      </w:r>
      <w:proofErr w:type="gramEnd"/>
      <w:r>
        <w:rPr>
          <w:rFonts w:ascii="Calibri" w:hAnsi="Calibri" w:cs="Calibri"/>
          <w:color w:val="000000"/>
          <w:lang w:val="en-US"/>
        </w:rPr>
        <w:t xml:space="preserve"> associated with the cap binding complex eIF4F and, as a result, translational complexes in general. eIF4A is usually lost during any extensive purification of the ribosomal material in yeast</w:t>
      </w:r>
      <w:r>
        <w:fldChar w:fldCharType="begin"/>
      </w:r>
      <w:r>
        <w:rPr>
          <w:rFonts w:ascii="Calibri" w:hAnsi="Calibri" w:cs="Calibri"/>
          <w:color w:val="000000"/>
          <w:lang w:val="en-US"/>
        </w:rPr>
        <w:instrText>ADDIN ZOTERO_ITEM CSL_CITATION {"citationID":"d0ZeOPaD","properties":{"formattedCitation":"\\super 29, 53\\uc0\\u8211{}57\\nosupersub{}","plainCitation":"29, 53–57","dontUpdate":true,"noteIndex":0},"citationItems":[{"id":332,"uris":["http://zotero.org/users/6977825/items/MGWEFWVU"],"uri":["http://zotero.org/users/6977825/items/MGWEFWVU"],"itemData":{"id":332,"type":"article-journal","abstract":"Gene expression is controlled at multiple layers, and cells may integrate different regulatory steps for coherent production of proper protein levels. We applied various microarray-based approaches to determine key gene-expression intermediates in exponentially growing fission yeast, providing genome-wide data for translational profiles, mRNA steady-state levels, polyadenylation profiles, start-codon sequence context, mRNA half-lives, and RNA polymerase II occupancy. We uncovered widespread and unexpected relationships between distinct aspects of gene expression. Translation and polyadenylation are aligned on a global scale with both the lengths and levels of mRNAs: efficiently translated mRNAs have longer poly(A) tails and are shorter, more stable, and more efficiently transcribed on average. Transcription and translation may be independently but congruently optimized to streamline protein production. These rich data sets, all acquired under a standardized condition, reveal a substantial coordination between regulatory layers and provide a basis for a systems-level understanding of multilayered gene-expression programs.","archive_location":"17434133","container-title":"Molecular Cell","DOI":"10.1016/j.molcel.2007.03.002","ISSN":"1097-2765 (Print) 1097-2765","issue":"1","language":"eng","note":"edition: 2007/04/17","page":"145-55","source":"NLM","title":"A network of multiple regulatory layers shapes gene expression in fission yeast","volume":"26","author":[{"family":"Lackner","given":"D. H."},{"family":"Beilharz","given":"T. H."},{"family":"Marguerat","given":"S."},{"family":"Mata","given":"J."},{"family":"Watt","given":"S."},{"family":"Schubert","given":"F."},{"family":"Preiss","given":"T."},{"family":"Bähler","given":"J."}],"issued":{"date-parts":[["2007",4,13]]}}},{"id":433,"uris":["http://zotero.org/users/6977825/items/XP6NBY2X"],"uri":["http://zotero.org/users/6977825/items/XP6NBY2X"],"itemData":{"id":433,"type":"article-journal","container-title":"Journal of Biological Chemistry","DOI":"10.1016/S0021-9258(18)34662-3","ISSN":"00219258","issue":"9","journalAbbreviation":"Journal of Biological Chemistry","language":"en","page":"5246-5252","source":"DOI.org (Crossref)","title":"Characterization of eukaryotic initiation factor 4A, a protein involved in ATP-dependent binding of globin mRNA.","volume":"257","author":[{"family":"Grifo","given":"J A"},{"family":"Tahara","given":"S M"},{"family":"Leis","given":"J P"},{"family":"Morgan","given":"M A"},{"family":"Shatkin","given":"A J"},{"family":"Merrick","given":"W C"}],"issued":{"date-parts":[["1982",5]]}}},{"id":334,"uris":["http://zotero.org/users/6977825/items/WVV8PG9P"],"uri":["http://zotero.org/users/6977825/items/WVV8PG9P"],"itemData":{"id":334,"type":"article-journal","abstract":"TAP (tandem affinity purification) allows rapid and clean isolation of a tagged protein along with its interacting partners from cell lysates. Initially developed in yeast, the TAP method has subsequently been adapted to other cells and organisms. In combination with MS analysis, this method has become an indispensable tool for systematic identification of target-associated protein complexes. The key feature of TAP is the use of a dual-affinity tag, which is fused to the protein of interest. The original TAP tag consisted of two IgG-binding units of Protein A of Staphylococcus aureus and the calmodulin-binding peptide. As the technique has been widely exploited, a number of alternative TAP tags based on other affinity handles have been developed. The present review gives an overview of the various tag combinations for TAP with a highlight on those alternatives that result in improved yields or unique features. The information provided should assist in the selection and development of TAP tags for specific applications.","archive_location":"20156193","container-title":"Biotechnology and Applied Biochemistry","DOI":"10.1042/ba20090273","ISSN":"0885-4513","issue":"2","language":"eng","note":"edition: 2010/02/17","page":"73-83","source":"NLM","title":"Commonly used tag combinations for tandem affinity purification","volume":"55","author":[{"family":"Li","given":"Y."}],"issued":{"date-parts":[["2010",2,15]]}}},{"id":435,"uris":["http://zotero.org/users/6977825/items/4KF664BS"],"uri":["http://zotero.org/users/6977825/items/4KF664BS"],"itemData":{"id":435,"type":"article-journal","container-title":"Proceedings of the National Academy of Sciences","DOI":"10.1073/pnas.89.16.7664","ISSN":"0027-8424, 1091-6490","issue":"16","journalAbbreviation":"Proceedings of the National Academy of Sciences","language":"en","page":"7664-7668","source":"DOI.org (Crossref)","title":"ATP hydrolysis by initiation factor 4A is required for translation initiation in Saccharomyces cerevisiae.","volume":"89","author":[{"family":"Blum","given":"S."},{"family":"Schmid","given":"S. R."},{"family":"Pause","given":"A."},{"family":"Buser","given":"P."},{"family":"Linder","given":"P."},{"family":"Sonenberg","given":"N."},{"family":"Trachsel","given":"H."}],"issued":{"date-parts":[["1992",8,15]]}}},{"id":437,"uris":["http://zotero.org/users/6977825/items/E86VGEYL"],"uri":["http://zotero.org/users/6977825/items/E86VGEYL"],"itemData":{"id":437,"type":"article-journal","container-title":"Journal of Biological Chemistry","DOI":"10.1074/jbc.R115.675280","ISSN":"00219258","issue":"40","journalAbbreviation":"Journal of Biological Chemistry","language":"en","page":"24091-24099","source":"DOI.org (Crossref)","title":"eIF4F: A Retrospective","title-short":"eIF4F","volume":"290","author":[{"family":"Merrick","given":"William C."}],"issued":{"date-parts":[["2015",10]]}}},{"id":439,"uris":["http://zotero.org/users/6977825/items/HDYSL6RW"],"uri":["http://zotero.org/users/6977825/items/HDYSL6RW"],"itemData":{"id":439,"type":"article-journal","abstract":"eIF4A has long been considered the \"gold standard\" for DEAD box helicases. In large measure, this reflected two items: first, the role of eIF4A in protein synthesis initiation was relatively well established. Second, a wide variety of biochemical studies had established the ability of eIF4A to bind nucleic acids in an ATP-dependent manner, to hydrolyze ATP in an RNA-dependent manner, and to unwind RNA duplexes in an ATP-dependent manner. In this article, these basic observations are reviewed for biochemical consistency and also interpreted in light of the available crystal structures for DEAD box proteins. The role of non-processive vs. processive helicase activity in protein synthesis is discussed. Also examined is the influence of ancillary protein factors (eIF4B, eIF4G, and eIF4H) on this activity. Finally, the \"real\" role(s) for eIF4A helicase activity in protein synthesis is discussed and related to other circumstances that likely also involve the use of non-processive or slightly processive DEAD box helicases (ribosome biosynthesis, RNA splicing).","container-title":"Progress in Nucleic Acid Research and Molecular Biology","DOI":"10.1016/s0079-6603(02)72073-4","ISSN":"0079-6603","journalAbbreviation":"Prog Nucleic Acid Res Mol Biol","language":"eng","note":"PMID: 12206455","page":"307-331","source":"PubMed","title":"eIF4A: the godfather of the DEAD box helicases","title-short":"eIF4A","volume":"72","author":[{"family":"Rogers","given":"George W."},{"family":"Komar","given":"Anton A."},{"family":"Merrick","given":"William C."}],"issued":{"date-parts":[["2002"]]}}}],"schema":"https://github.com/citation-style-language/schema/raw/master/csl-citation.json"}</w:instrText>
      </w:r>
      <w:r>
        <w:rPr>
          <w:rFonts w:ascii="Calibri" w:hAnsi="Calibri" w:cs="Calibri"/>
          <w:color w:val="000000"/>
          <w:lang w:val="en-US"/>
        </w:rPr>
        <w:fldChar w:fldCharType="separate"/>
      </w:r>
      <w:r>
        <w:rPr>
          <w:rFonts w:ascii="Calibri" w:hAnsi="Calibri" w:cs="Calibri"/>
          <w:vertAlign w:val="superscript"/>
          <w:lang w:val="en-US"/>
        </w:rPr>
        <w:t>29,56–60</w:t>
      </w:r>
      <w:r>
        <w:rPr>
          <w:rFonts w:ascii="Calibri" w:hAnsi="Calibri" w:cs="Calibri"/>
          <w:color w:val="000000"/>
          <w:lang w:val="en-US"/>
        </w:rPr>
        <w:fldChar w:fldCharType="end"/>
      </w:r>
      <w:r>
        <w:fldChar w:fldCharType="begin"/>
      </w:r>
      <w:r>
        <w:rPr>
          <w:rFonts w:ascii="Calibri" w:hAnsi="Calibri" w:cs="Calibri"/>
          <w:color w:val="000000"/>
          <w:lang w:val="en-US"/>
        </w:rPr>
        <w:instrText>ADDIN EN.CITEPlease check the citation order.</w:instrText>
      </w:r>
      <w:r>
        <w:rPr>
          <w:rFonts w:ascii="Calibri" w:hAnsi="Calibri"/>
        </w:rPr>
        <w:fldChar w:fldCharType="separate"/>
      </w:r>
      <w:r>
        <w:fldChar w:fldCharType="begin"/>
      </w:r>
      <w:r>
        <w:rPr>
          <w:rFonts w:ascii="Calibri" w:hAnsi="Calibri"/>
        </w:rPr>
        <w:instrText>ADDIN EN.CITE.DATA</w:instrText>
      </w:r>
      <w:r w:rsidR="0021610B">
        <w:rPr>
          <w:rFonts w:ascii="Calibri" w:hAnsi="Calibri"/>
        </w:rPr>
        <w:fldChar w:fldCharType="separate"/>
      </w:r>
      <w:r>
        <w:rPr>
          <w:rFonts w:ascii="Calibri" w:hAnsi="Calibri"/>
        </w:rPr>
        <w:fldChar w:fldCharType="end"/>
      </w:r>
      <w:r>
        <w:rPr>
          <w:rFonts w:ascii="Calibri" w:hAnsi="Calibri"/>
        </w:rPr>
        <w:fldChar w:fldCharType="end"/>
      </w:r>
      <w:r>
        <w:rPr>
          <w:rFonts w:ascii="Calibri" w:hAnsi="Calibri" w:cs="Calibri"/>
          <w:color w:val="000000"/>
          <w:lang w:val="en-US"/>
        </w:rPr>
        <w:t xml:space="preserve">. Yet, in the </w:t>
      </w:r>
      <w:r>
        <w:rPr>
          <w:rFonts w:ascii="Calibri" w:hAnsi="Calibri" w:cs="Calibri"/>
          <w:i/>
          <w:iCs/>
          <w:color w:val="000000"/>
          <w:lang w:val="en-US"/>
        </w:rPr>
        <w:t>in vivo</w:t>
      </w:r>
      <w:r>
        <w:rPr>
          <w:rFonts w:ascii="Calibri" w:hAnsi="Calibri" w:cs="Calibri"/>
          <w:color w:val="000000"/>
          <w:lang w:val="en-US"/>
        </w:rPr>
        <w:t xml:space="preserve">-fixed yeast material, it is possible to achieve reliable enrichment of eIF4A in all fractions of translational complexes where its presence would be anticipated. The previously published </w:t>
      </w:r>
      <w:proofErr w:type="spellStart"/>
      <w:r>
        <w:rPr>
          <w:rFonts w:ascii="Calibri" w:hAnsi="Calibri" w:cs="Calibri"/>
          <w:color w:val="000000"/>
          <w:lang w:val="en-US"/>
        </w:rPr>
        <w:t>Sel</w:t>
      </w:r>
      <w:proofErr w:type="spellEnd"/>
      <w:r>
        <w:rPr>
          <w:rFonts w:ascii="Calibri" w:hAnsi="Calibri" w:cs="Calibri"/>
          <w:color w:val="000000"/>
          <w:lang w:val="en-US"/>
        </w:rPr>
        <w:t>-TCP-seq</w:t>
      </w:r>
      <w:r>
        <w:fldChar w:fldCharType="begin"/>
      </w:r>
      <w:r>
        <w:rPr>
          <w:rFonts w:ascii="Calibri" w:hAnsi="Calibri" w:cs="Calibri"/>
          <w:color w:val="000000"/>
          <w:lang w:val="en-US"/>
        </w:rPr>
        <w:instrText>ADDIN ZOTERO_ITEM CSL_CITATION {"citationID":"ztmfZhaF","properties":{"formattedCitation":"\\super 32\\nosupersub{}","plainCitation":"32","dontUpdate":true,"noteIndex":0},"citationItems":[{"id":388,"uris":["http://zotero.org/users/6977825/items/UPH2VTW4"],"uri":["http://zotero.org/users/6977825/items/UPH2VTW4"],"itemData":{"id":388,"type":"article-journal","abstract":"Translational control targeting the initiation phase is central to the regulation of gene expression. Understanding all of its aspects requires substantial technological advancements. Here we modified yeast translation complex profile sequencing (TCP-seq), related to ribosome profiling, and adapted it for mammalian cells. Human TCP-seq, capable of capturing footprints of 40S subunits (40Ss) in addition to 80S ribosomes (80Ss), revealed that mammalian and yeast 40Ss distribute similarly across 5'TRs, indicating considerable evolutionary conservation. We further developed yeast and human selective TCP-seq (Sel-TCP-seq), enabling selection of 40Ss and 80Ss associated with immuno-targeted factors. Sel-TCP-seq demonstrated that eIF2 and eIF3 travel along 5' UTRs with scanning 40Ss to successively dissociate upon AUG recognition; notably, a proportion of eIF3 lingers on during the initial elongation cycles. Highlighting Sel-TCP-seq versatility, we also identified four initiating 48S conformational intermediates, provided novel insights into ATF4 and GCN4 mRNA translational control, and demonstrated co-translational assembly of initiation factor complexes.","archive_location":"32589964","container-title":"Molecular Cell","DOI":"10.1016/j.molcel.2020.06.004","ISSN":"1097-2765 (Print) 1097-2765","issue":"4","language":"eng","note":"edition: 2020/06/27","page":"546-560.e7","source":"NLM","title":"Selective Translation Complex Profiling Reveals Staged Initiation and Co-translational Assembly of Initiation Factor Complexes","volume":"79","author":[{"family":"Wagner","given":"S."},{"family":"Herrmannová","given":"A."},{"family":"Hronová","given":"V."},{"family":"Gunišová","given":"S."},{"family":"Sen","given":"N. D."},{"family":"Hannan","given":"R. D."},{"family":"Hinnebusch","given":"A. G."},{"family":"Shirokikh","given":"N. E."},{"family":"Preiss","given":"T."},{"family":"Valášek","given":"L. S."}],"issued":{"date-parts":[["2020",8,20]]}}}],"schema":"https://github.com/citation-style-language/schema/raw/master/csl-citation.json"}</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rPr>
          <w:rFonts w:ascii="Calibri" w:hAnsi="Calibri" w:cs="Calibri"/>
          <w:color w:val="000000"/>
          <w:lang w:val="en-US"/>
        </w:rPr>
        <w:t xml:space="preserve"> data have demonstrated the enrichment of eIF2 and eIF3 that more strongly associate with the ribosomes (but also revealed transiently occurring co-translational protein complex assembly)</w:t>
      </w:r>
      <w:r>
        <w:rPr>
          <w:rFonts w:ascii="Calibri" w:hAnsi="Calibri" w:cs="Calibri"/>
          <w:color w:val="000000"/>
          <w:vertAlign w:val="superscript"/>
          <w:lang w:val="en-US"/>
        </w:rPr>
        <w:t>37</w:t>
      </w:r>
      <w:r>
        <w:rPr>
          <w:rFonts w:ascii="Calibri" w:hAnsi="Calibri" w:cs="Calibri"/>
          <w:color w:val="000000"/>
          <w:lang w:val="en-US"/>
        </w:rPr>
        <w:t xml:space="preserve">. Thus, the method is suitable </w:t>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fldChar w:fldCharType="begin"/>
      </w:r>
      <w:r>
        <w:rPr>
          <w:rFonts w:ascii="Calibri" w:hAnsi="Calibri" w:cs="Calibri"/>
          <w:color w:val="000000"/>
          <w:lang w:val="en-US"/>
        </w:rPr>
        <w:instrText>ADDIN EN.CITE</w:instrText>
      </w:r>
      <w:r>
        <w:rPr>
          <w:rFonts w:ascii="Calibri" w:hAnsi="Calibri" w:cs="Calibri"/>
          <w:color w:val="000000"/>
          <w:lang w:val="en-US"/>
        </w:rPr>
        <w:fldChar w:fldCharType="separate"/>
      </w:r>
      <w:r>
        <w:fldChar w:fldCharType="begin"/>
      </w:r>
      <w:r>
        <w:rPr>
          <w:rFonts w:ascii="Calibri" w:hAnsi="Calibri" w:cs="Calibri"/>
          <w:color w:val="000000"/>
          <w:lang w:val="en-US"/>
        </w:rPr>
        <w:instrText>ADDIN EN.CITE.DATA</w:instrText>
      </w:r>
      <w:r w:rsidR="0021610B">
        <w:rPr>
          <w:rFonts w:ascii="Calibri" w:hAnsi="Calibri" w:cs="Calibri"/>
          <w:color w:val="000000"/>
          <w:lang w:val="en-US"/>
        </w:rPr>
        <w:fldChar w:fldCharType="separate"/>
      </w:r>
      <w:r>
        <w:rPr>
          <w:rFonts w:ascii="Calibri" w:hAnsi="Calibri" w:cs="Calibri"/>
          <w:color w:val="000000"/>
          <w:lang w:val="en-US"/>
        </w:rPr>
        <w:fldChar w:fldCharType="end"/>
      </w:r>
      <w:r>
        <w:rPr>
          <w:rFonts w:ascii="Calibri" w:hAnsi="Calibri" w:cs="Calibri"/>
          <w:color w:val="000000"/>
          <w:lang w:val="en-US"/>
        </w:rPr>
        <w:fldChar w:fldCharType="end"/>
      </w:r>
      <w:r>
        <w:rPr>
          <w:rFonts w:ascii="Calibri" w:hAnsi="Calibri" w:cs="Calibri"/>
          <w:color w:val="000000"/>
          <w:lang w:val="en-US"/>
        </w:rPr>
        <w:t>for the detection of both, stronger and weaker attached constituents of the translational complexes.</w:t>
      </w:r>
    </w:p>
    <w:p w14:paraId="05DD90DE" w14:textId="77777777" w:rsidR="006B6616" w:rsidRDefault="006B6616">
      <w:pPr>
        <w:pStyle w:val="Standard"/>
        <w:spacing w:after="0" w:line="240" w:lineRule="auto"/>
        <w:jc w:val="both"/>
        <w:rPr>
          <w:rFonts w:cs="Calibri"/>
          <w:sz w:val="24"/>
          <w:szCs w:val="24"/>
          <w:lang w:val="en-US"/>
        </w:rPr>
      </w:pPr>
    </w:p>
    <w:p w14:paraId="200B3A44" w14:textId="77777777" w:rsidR="006B6616" w:rsidRDefault="00E473AD">
      <w:pPr>
        <w:pStyle w:val="Standard"/>
        <w:spacing w:after="0" w:line="240" w:lineRule="auto"/>
        <w:jc w:val="both"/>
        <w:rPr>
          <w:rFonts w:cs="Calibri"/>
        </w:rPr>
      </w:pPr>
      <w:r>
        <w:fldChar w:fldCharType="begin"/>
      </w:r>
      <w:r>
        <w:rPr>
          <w:sz w:val="24"/>
          <w:szCs w:val="24"/>
        </w:rPr>
        <w:instrText>ADDIN EN.CITE</w:instrText>
      </w:r>
      <w:r>
        <w:rPr>
          <w:sz w:val="24"/>
          <w:szCs w:val="24"/>
        </w:rPr>
        <w:fldChar w:fldCharType="separate"/>
      </w:r>
      <w:r>
        <w:fldChar w:fldCharType="begin"/>
      </w:r>
      <w:r>
        <w:rPr>
          <w:sz w:val="24"/>
          <w:szCs w:val="24"/>
        </w:rPr>
        <w:instrText>ADDIN EN.CITE.DATA</w:instrText>
      </w:r>
      <w:r w:rsidR="0021610B">
        <w:rPr>
          <w:sz w:val="24"/>
          <w:szCs w:val="24"/>
        </w:rPr>
        <w:fldChar w:fldCharType="separate"/>
      </w:r>
      <w:r>
        <w:rPr>
          <w:sz w:val="24"/>
          <w:szCs w:val="24"/>
        </w:rPr>
        <w:fldChar w:fldCharType="end"/>
      </w:r>
      <w:r>
        <w:rPr>
          <w:sz w:val="24"/>
          <w:szCs w:val="24"/>
        </w:rPr>
        <w:fldChar w:fldCharType="end"/>
      </w:r>
      <w:r>
        <w:fldChar w:fldCharType="begin"/>
      </w:r>
      <w:r>
        <w:rPr>
          <w:sz w:val="24"/>
          <w:szCs w:val="24"/>
        </w:rPr>
        <w:instrText>ADDIN EN.CITE</w:instrText>
      </w:r>
      <w:r>
        <w:rPr>
          <w:sz w:val="24"/>
          <w:szCs w:val="24"/>
        </w:rPr>
        <w:fldChar w:fldCharType="separate"/>
      </w:r>
      <w:r>
        <w:fldChar w:fldCharType="begin"/>
      </w:r>
      <w:r>
        <w:rPr>
          <w:sz w:val="24"/>
          <w:szCs w:val="24"/>
        </w:rPr>
        <w:instrText>ADDIN EN.CITE.DATA</w:instrText>
      </w:r>
      <w:r w:rsidR="0021610B">
        <w:rPr>
          <w:sz w:val="24"/>
          <w:szCs w:val="24"/>
        </w:rPr>
        <w:fldChar w:fldCharType="separate"/>
      </w:r>
      <w:r>
        <w:rPr>
          <w:sz w:val="24"/>
          <w:szCs w:val="24"/>
        </w:rPr>
        <w:fldChar w:fldCharType="end"/>
      </w:r>
      <w:r>
        <w:rPr>
          <w:sz w:val="24"/>
          <w:szCs w:val="24"/>
        </w:rPr>
        <w:fldChar w:fldCharType="end"/>
      </w:r>
      <w:r>
        <w:rPr>
          <w:rFonts w:cs="Calibri"/>
          <w:color w:val="000000"/>
          <w:sz w:val="24"/>
          <w:szCs w:val="24"/>
          <w:lang w:val="en-US"/>
        </w:rPr>
        <w:t>To summarize, we have presented an</w:t>
      </w:r>
      <w:r>
        <w:rPr>
          <w:rFonts w:cs="Calibri"/>
          <w:sz w:val="24"/>
          <w:szCs w:val="24"/>
          <w:lang w:val="en-US"/>
        </w:rPr>
        <w:t xml:space="preserve"> approach useful to gain insights primarily into the changes occurring at the initiation phase of translation and when minimally perturbed ribosomal distribution over the mRNA is required. </w:t>
      </w:r>
      <w:r>
        <w:rPr>
          <w:rFonts w:cs="Calibri"/>
          <w:color w:val="000000"/>
          <w:sz w:val="24"/>
          <w:szCs w:val="24"/>
          <w:lang w:val="en-US"/>
        </w:rPr>
        <w:t>Importantly</w:t>
      </w:r>
      <w:r>
        <w:rPr>
          <w:rFonts w:cs="Calibri"/>
          <w:sz w:val="24"/>
          <w:szCs w:val="24"/>
          <w:lang w:val="en-US"/>
        </w:rPr>
        <w:t xml:space="preserve">, the approach is suitable for the stabilization of relatively labile and dynamic components of the translational complexes, such as eIF4A, and can be used broadly subjected to necessary optimizations. We have also provided evidence of the usefulness of formaldehyde fixation in the </w:t>
      </w:r>
      <w:r>
        <w:rPr>
          <w:rFonts w:cs="Calibri"/>
          <w:color w:val="000000"/>
          <w:sz w:val="24"/>
          <w:szCs w:val="24"/>
          <w:lang w:val="en-US"/>
        </w:rPr>
        <w:t>scenarios</w:t>
      </w:r>
      <w:r>
        <w:rPr>
          <w:rFonts w:cs="Calibri"/>
          <w:sz w:val="24"/>
          <w:szCs w:val="24"/>
          <w:lang w:val="en-US"/>
        </w:rPr>
        <w:t xml:space="preserve"> of rapid dynamic change of translation, </w:t>
      </w:r>
      <w:proofErr w:type="gramStart"/>
      <w:r>
        <w:rPr>
          <w:rFonts w:cs="Calibri"/>
          <w:sz w:val="24"/>
          <w:szCs w:val="24"/>
          <w:lang w:val="en-US"/>
        </w:rPr>
        <w:t>opening up</w:t>
      </w:r>
      <w:proofErr w:type="gramEnd"/>
      <w:r>
        <w:rPr>
          <w:rFonts w:cs="Calibri"/>
          <w:sz w:val="24"/>
          <w:szCs w:val="24"/>
          <w:lang w:val="en-US"/>
        </w:rPr>
        <w:t xml:space="preserve"> areas of investigation such as fast-paced cellular responses to environmental changes </w:t>
      </w:r>
      <w:r>
        <w:rPr>
          <w:rFonts w:cs="Calibri"/>
          <w:color w:val="000000"/>
          <w:sz w:val="24"/>
          <w:szCs w:val="24"/>
          <w:lang w:val="en-US"/>
        </w:rPr>
        <w:t>or</w:t>
      </w:r>
      <w:r>
        <w:rPr>
          <w:rFonts w:cs="Calibri"/>
          <w:sz w:val="24"/>
          <w:szCs w:val="24"/>
          <w:lang w:val="en-US"/>
        </w:rPr>
        <w:t xml:space="preserve"> stress conditions.</w:t>
      </w:r>
    </w:p>
    <w:p w14:paraId="69C6FD38" w14:textId="77777777" w:rsidR="006B6616" w:rsidRDefault="006B6616">
      <w:pPr>
        <w:pStyle w:val="Standard"/>
        <w:spacing w:after="0" w:line="240" w:lineRule="auto"/>
        <w:jc w:val="both"/>
        <w:rPr>
          <w:rFonts w:cs="Calibri"/>
          <w:sz w:val="24"/>
          <w:szCs w:val="24"/>
          <w:lang w:val="en-US"/>
        </w:rPr>
      </w:pPr>
    </w:p>
    <w:p w14:paraId="11ED483B" w14:textId="77777777" w:rsidR="006B6616" w:rsidRDefault="00E473AD">
      <w:pPr>
        <w:jc w:val="both"/>
        <w:rPr>
          <w:rFonts w:ascii="Calibri" w:hAnsi="Calibri" w:cs="Calibri"/>
        </w:rPr>
      </w:pPr>
      <w:r>
        <w:rPr>
          <w:rFonts w:ascii="Calibri" w:hAnsi="Calibri" w:cs="Calibri"/>
          <w:b/>
          <w:bCs/>
          <w:lang w:val="en-US"/>
        </w:rPr>
        <w:t>ACKNOWLEDGMENT:</w:t>
      </w:r>
    </w:p>
    <w:p w14:paraId="56F8AEB6" w14:textId="03248991" w:rsidR="006B6616" w:rsidRDefault="00E473AD">
      <w:pPr>
        <w:pStyle w:val="Standard"/>
        <w:spacing w:after="0" w:line="240" w:lineRule="auto"/>
        <w:jc w:val="both"/>
        <w:rPr>
          <w:rFonts w:cs="Calibri"/>
        </w:rPr>
      </w:pPr>
      <w:r>
        <w:rPr>
          <w:rFonts w:cs="Calibri"/>
          <w:sz w:val="24"/>
          <w:szCs w:val="24"/>
          <w:lang w:val="en-US"/>
        </w:rPr>
        <w:t xml:space="preserve">This work was supported by Australian Research Council Discovery Project grant (DP180100111 to T.P. and N.E.S), National Health and Medical Research Council Investigator Grant (GNT1175388 to N.E.S.) and </w:t>
      </w:r>
      <w:r>
        <w:rPr>
          <w:rFonts w:cs="Calibri"/>
          <w:color w:val="000000"/>
          <w:sz w:val="24"/>
          <w:szCs w:val="24"/>
          <w:lang w:val="en-US"/>
        </w:rPr>
        <w:t>R</w:t>
      </w:r>
      <w:r>
        <w:rPr>
          <w:rFonts w:cs="Calibri"/>
          <w:sz w:val="24"/>
          <w:szCs w:val="24"/>
          <w:lang w:val="en-US"/>
        </w:rPr>
        <w:t xml:space="preserve">esearch </w:t>
      </w:r>
      <w:r>
        <w:rPr>
          <w:rFonts w:cs="Calibri"/>
          <w:color w:val="000000"/>
          <w:sz w:val="24"/>
          <w:szCs w:val="24"/>
          <w:lang w:val="en-US"/>
        </w:rPr>
        <w:t>F</w:t>
      </w:r>
      <w:r>
        <w:rPr>
          <w:rFonts w:cs="Calibri"/>
          <w:sz w:val="24"/>
          <w:szCs w:val="24"/>
          <w:lang w:val="en-US"/>
        </w:rPr>
        <w:t xml:space="preserve">ellowship (APP1135928 to T.P.). </w:t>
      </w:r>
      <w:r>
        <w:rPr>
          <w:rFonts w:eastAsia="Times New Roman" w:cs="Calibri"/>
          <w:bCs/>
          <w:iCs/>
          <w:color w:val="000000"/>
          <w:spacing w:val="2"/>
          <w:sz w:val="24"/>
          <w:szCs w:val="24"/>
          <w:lang w:val="en-US"/>
        </w:rPr>
        <w:t xml:space="preserve">The authors acknowledge the facilities </w:t>
      </w:r>
      <w:bookmarkStart w:id="13" w:name="_GoBack1"/>
      <w:bookmarkEnd w:id="13"/>
      <w:r>
        <w:rPr>
          <w:rFonts w:eastAsia="Times New Roman" w:cs="Calibri"/>
          <w:bCs/>
          <w:iCs/>
          <w:color w:val="000000"/>
          <w:spacing w:val="2"/>
          <w:sz w:val="24"/>
          <w:szCs w:val="24"/>
          <w:lang w:val="en-US"/>
        </w:rPr>
        <w:t>of Microscopy Australia at the Centre for Advanced Microscopy, Australian National University, a facility that is funded by the University and the Federal Government.</w:t>
      </w:r>
    </w:p>
    <w:p w14:paraId="1D536D90" w14:textId="77777777" w:rsidR="006B6616" w:rsidRDefault="006B6616">
      <w:pPr>
        <w:pStyle w:val="Standard"/>
        <w:spacing w:after="0" w:line="240" w:lineRule="auto"/>
        <w:jc w:val="both"/>
        <w:rPr>
          <w:rFonts w:eastAsia="Times New Roman" w:cs="Calibri"/>
          <w:bCs/>
          <w:iCs/>
          <w:color w:val="000000"/>
          <w:spacing w:val="2"/>
          <w:sz w:val="24"/>
          <w:szCs w:val="24"/>
        </w:rPr>
      </w:pPr>
    </w:p>
    <w:p w14:paraId="249EE0F1" w14:textId="77777777" w:rsidR="006B6616" w:rsidRDefault="00E473AD">
      <w:pPr>
        <w:pStyle w:val="Standard"/>
        <w:spacing w:after="0" w:line="240" w:lineRule="auto"/>
        <w:jc w:val="both"/>
        <w:rPr>
          <w:rFonts w:cs="Calibri"/>
        </w:rPr>
      </w:pPr>
      <w:r>
        <w:rPr>
          <w:rFonts w:cs="Calibri"/>
          <w:b/>
          <w:sz w:val="24"/>
          <w:szCs w:val="24"/>
          <w:lang w:val="en-US"/>
        </w:rPr>
        <w:t>DISCLOSURES:</w:t>
      </w:r>
    </w:p>
    <w:p w14:paraId="7E2836CB" w14:textId="77777777" w:rsidR="006B6616" w:rsidRDefault="00E473AD">
      <w:pPr>
        <w:pStyle w:val="Standard"/>
        <w:spacing w:after="0" w:line="240" w:lineRule="auto"/>
        <w:jc w:val="both"/>
        <w:rPr>
          <w:rFonts w:cs="Calibri"/>
        </w:rPr>
      </w:pPr>
      <w:r>
        <w:rPr>
          <w:rFonts w:cs="Calibri"/>
          <w:sz w:val="24"/>
          <w:szCs w:val="24"/>
          <w:lang w:val="en-US"/>
        </w:rPr>
        <w:t>The authors declare no conflicts of interest.</w:t>
      </w:r>
    </w:p>
    <w:p w14:paraId="67CB0141" w14:textId="77777777" w:rsidR="006B6616" w:rsidRDefault="006B6616">
      <w:pPr>
        <w:pStyle w:val="Standard"/>
        <w:spacing w:after="0" w:line="240" w:lineRule="auto"/>
        <w:jc w:val="both"/>
        <w:rPr>
          <w:rFonts w:cs="Calibri"/>
          <w:b/>
          <w:bCs/>
          <w:sz w:val="24"/>
          <w:szCs w:val="24"/>
          <w:lang w:val="en-US"/>
        </w:rPr>
      </w:pPr>
    </w:p>
    <w:p w14:paraId="71FC1006" w14:textId="77777777" w:rsidR="006B6616" w:rsidRPr="003B7B3C" w:rsidRDefault="00E473AD" w:rsidP="003B7B3C">
      <w:pPr>
        <w:pStyle w:val="Standard"/>
        <w:spacing w:after="0" w:line="240" w:lineRule="auto"/>
        <w:jc w:val="both"/>
        <w:rPr>
          <w:rFonts w:asciiTheme="minorHAnsi" w:hAnsiTheme="minorHAnsi" w:cstheme="minorHAnsi"/>
          <w:sz w:val="24"/>
          <w:szCs w:val="24"/>
        </w:rPr>
      </w:pPr>
      <w:r>
        <w:rPr>
          <w:rFonts w:cs="Calibri"/>
          <w:b/>
          <w:bCs/>
          <w:sz w:val="24"/>
          <w:szCs w:val="24"/>
          <w:lang w:val="en-US"/>
        </w:rPr>
        <w:t>REFERENCES:</w:t>
      </w:r>
      <w:r w:rsidRPr="003B7B3C">
        <w:rPr>
          <w:rFonts w:asciiTheme="minorHAnsi" w:hAnsiTheme="minorHAnsi" w:cstheme="minorHAnsi"/>
          <w:sz w:val="24"/>
          <w:szCs w:val="24"/>
        </w:rPr>
        <w:fldChar w:fldCharType="begin"/>
      </w:r>
      <w:r w:rsidRPr="003B7B3C">
        <w:rPr>
          <w:rFonts w:asciiTheme="minorHAnsi" w:hAnsiTheme="minorHAnsi" w:cstheme="minorHAnsi"/>
          <w:b/>
          <w:bCs/>
          <w:sz w:val="24"/>
          <w:szCs w:val="24"/>
          <w:lang w:val="en-US"/>
        </w:rPr>
        <w:instrText>ADDIN EN.REFLIST</w:instrText>
      </w:r>
      <w:r w:rsidR="0021610B">
        <w:rPr>
          <w:rFonts w:asciiTheme="minorHAnsi" w:hAnsiTheme="minorHAnsi" w:cstheme="minorHAnsi"/>
          <w:b/>
          <w:bCs/>
          <w:sz w:val="24"/>
          <w:szCs w:val="24"/>
          <w:lang w:val="en-US"/>
        </w:rPr>
        <w:fldChar w:fldCharType="separate"/>
      </w:r>
      <w:r w:rsidRPr="003B7B3C">
        <w:rPr>
          <w:rFonts w:asciiTheme="minorHAnsi" w:hAnsiTheme="minorHAnsi" w:cstheme="minorHAnsi"/>
          <w:b/>
          <w:bCs/>
          <w:sz w:val="24"/>
          <w:szCs w:val="24"/>
          <w:lang w:val="en-US"/>
        </w:rPr>
        <w:fldChar w:fldCharType="end"/>
      </w:r>
    </w:p>
    <w:p w14:paraId="6DFFA838" w14:textId="251A76CC"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fldChar w:fldCharType="begin"/>
      </w:r>
      <w:r w:rsidRPr="003B7B3C">
        <w:rPr>
          <w:rFonts w:asciiTheme="minorHAnsi" w:hAnsiTheme="minorHAnsi" w:cstheme="minorHAnsi"/>
          <w:sz w:val="24"/>
          <w:szCs w:val="24"/>
        </w:rPr>
        <w:instrText>ADDIN ZOTERO_BIBL {"uncited":[],"omitted":[],"custom":[]} CSL_BIBLIOGRAPHY</w:instrText>
      </w:r>
      <w:r w:rsidRPr="003B7B3C">
        <w:rPr>
          <w:rFonts w:asciiTheme="minorHAnsi" w:hAnsiTheme="minorHAnsi" w:cstheme="minorHAnsi"/>
          <w:sz w:val="24"/>
          <w:szCs w:val="24"/>
        </w:rPr>
        <w:fldChar w:fldCharType="separate"/>
      </w:r>
      <w:r w:rsidRPr="003B7B3C">
        <w:rPr>
          <w:rFonts w:asciiTheme="minorHAnsi" w:hAnsiTheme="minorHAnsi" w:cstheme="minorHAnsi"/>
          <w:sz w:val="24"/>
          <w:szCs w:val="24"/>
        </w:rPr>
        <w:t>1.</w:t>
      </w:r>
      <w:r w:rsidRPr="003B7B3C">
        <w:rPr>
          <w:rFonts w:asciiTheme="minorHAnsi" w:hAnsiTheme="minorHAnsi" w:cstheme="minorHAnsi"/>
          <w:sz w:val="24"/>
          <w:szCs w:val="24"/>
        </w:rPr>
        <w:tab/>
        <w:t>Janapala, Y., Preiss, T., Shirokikh, N.</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E. Control of </w:t>
      </w:r>
      <w:r w:rsidR="003B7B3C">
        <w:rPr>
          <w:rFonts w:asciiTheme="minorHAnsi" w:hAnsiTheme="minorHAnsi" w:cstheme="minorHAnsi"/>
          <w:sz w:val="24"/>
          <w:szCs w:val="24"/>
        </w:rPr>
        <w:t>t</w:t>
      </w:r>
      <w:r w:rsidRPr="003B7B3C">
        <w:rPr>
          <w:rFonts w:asciiTheme="minorHAnsi" w:hAnsiTheme="minorHAnsi" w:cstheme="minorHAnsi"/>
          <w:sz w:val="24"/>
          <w:szCs w:val="24"/>
        </w:rPr>
        <w:t xml:space="preserve">ranslation at the </w:t>
      </w:r>
      <w:r w:rsidR="003B7B3C">
        <w:rPr>
          <w:rFonts w:asciiTheme="minorHAnsi" w:hAnsiTheme="minorHAnsi" w:cstheme="minorHAnsi"/>
          <w:sz w:val="24"/>
          <w:szCs w:val="24"/>
        </w:rPr>
        <w:t>i</w:t>
      </w:r>
      <w:r w:rsidRPr="003B7B3C">
        <w:rPr>
          <w:rFonts w:asciiTheme="minorHAnsi" w:hAnsiTheme="minorHAnsi" w:cstheme="minorHAnsi"/>
          <w:sz w:val="24"/>
          <w:szCs w:val="24"/>
        </w:rPr>
        <w:t xml:space="preserve">nitiation </w:t>
      </w:r>
      <w:r w:rsidR="003B7B3C">
        <w:rPr>
          <w:rFonts w:asciiTheme="minorHAnsi" w:hAnsiTheme="minorHAnsi" w:cstheme="minorHAnsi"/>
          <w:sz w:val="24"/>
          <w:szCs w:val="24"/>
        </w:rPr>
        <w:t>p</w:t>
      </w:r>
      <w:r w:rsidRPr="003B7B3C">
        <w:rPr>
          <w:rFonts w:asciiTheme="minorHAnsi" w:hAnsiTheme="minorHAnsi" w:cstheme="minorHAnsi"/>
          <w:sz w:val="24"/>
          <w:szCs w:val="24"/>
        </w:rPr>
        <w:t xml:space="preserve">hase </w:t>
      </w:r>
      <w:r w:rsidR="003B7B3C">
        <w:rPr>
          <w:rFonts w:asciiTheme="minorHAnsi" w:hAnsiTheme="minorHAnsi" w:cstheme="minorHAnsi"/>
          <w:sz w:val="24"/>
          <w:szCs w:val="24"/>
        </w:rPr>
        <w:t>d</w:t>
      </w:r>
      <w:r w:rsidRPr="003B7B3C">
        <w:rPr>
          <w:rFonts w:asciiTheme="minorHAnsi" w:hAnsiTheme="minorHAnsi" w:cstheme="minorHAnsi"/>
          <w:sz w:val="24"/>
          <w:szCs w:val="24"/>
        </w:rPr>
        <w:t xml:space="preserve">uring </w:t>
      </w:r>
      <w:r w:rsidR="003B7B3C">
        <w:rPr>
          <w:rFonts w:asciiTheme="minorHAnsi" w:hAnsiTheme="minorHAnsi" w:cstheme="minorHAnsi"/>
          <w:sz w:val="24"/>
          <w:szCs w:val="24"/>
        </w:rPr>
        <w:t>g</w:t>
      </w:r>
      <w:r w:rsidRPr="003B7B3C">
        <w:rPr>
          <w:rFonts w:asciiTheme="minorHAnsi" w:hAnsiTheme="minorHAnsi" w:cstheme="minorHAnsi"/>
          <w:sz w:val="24"/>
          <w:szCs w:val="24"/>
        </w:rPr>
        <w:t xml:space="preserve">lucose </w:t>
      </w:r>
      <w:r w:rsidR="003B7B3C">
        <w:rPr>
          <w:rFonts w:asciiTheme="minorHAnsi" w:hAnsiTheme="minorHAnsi" w:cstheme="minorHAnsi"/>
          <w:sz w:val="24"/>
          <w:szCs w:val="24"/>
        </w:rPr>
        <w:t>s</w:t>
      </w:r>
      <w:r w:rsidRPr="003B7B3C">
        <w:rPr>
          <w:rFonts w:asciiTheme="minorHAnsi" w:hAnsiTheme="minorHAnsi" w:cstheme="minorHAnsi"/>
          <w:sz w:val="24"/>
          <w:szCs w:val="24"/>
        </w:rPr>
        <w:t xml:space="preserve">tarvation in </w:t>
      </w:r>
      <w:r w:rsidR="003B7B3C">
        <w:rPr>
          <w:rFonts w:asciiTheme="minorHAnsi" w:hAnsiTheme="minorHAnsi" w:cstheme="minorHAnsi"/>
          <w:sz w:val="24"/>
          <w:szCs w:val="24"/>
        </w:rPr>
        <w:t>y</w:t>
      </w:r>
      <w:r w:rsidRPr="003B7B3C">
        <w:rPr>
          <w:rFonts w:asciiTheme="minorHAnsi" w:hAnsiTheme="minorHAnsi" w:cstheme="minorHAnsi"/>
          <w:sz w:val="24"/>
          <w:szCs w:val="24"/>
        </w:rPr>
        <w:t xml:space="preserve">east. </w:t>
      </w:r>
      <w:r w:rsidRPr="003B7B3C">
        <w:rPr>
          <w:rFonts w:asciiTheme="minorHAnsi" w:hAnsiTheme="minorHAnsi" w:cstheme="minorHAnsi"/>
          <w:i/>
          <w:iCs/>
          <w:sz w:val="24"/>
          <w:szCs w:val="24"/>
        </w:rPr>
        <w:t>International Journal of Molecular Sciences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20</w:t>
      </w:r>
      <w:r w:rsidRPr="003B7B3C">
        <w:rPr>
          <w:rFonts w:asciiTheme="minorHAnsi" w:hAnsiTheme="minorHAnsi" w:cstheme="minorHAnsi"/>
          <w:sz w:val="24"/>
          <w:szCs w:val="24"/>
        </w:rPr>
        <w:t xml:space="preserve"> (16), 4043 (2019).</w:t>
      </w:r>
    </w:p>
    <w:p w14:paraId="03E557DF" w14:textId="6394F389"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w:t>
      </w:r>
      <w:r w:rsidRPr="003B7B3C">
        <w:rPr>
          <w:rFonts w:asciiTheme="minorHAnsi" w:hAnsiTheme="minorHAnsi" w:cstheme="minorHAnsi"/>
          <w:sz w:val="24"/>
          <w:szCs w:val="24"/>
        </w:rPr>
        <w:tab/>
        <w:t xml:space="preserve">Masvidal, L., Hulea, L., Furic, L., Topisirovic, I., Larsson, O. mTOR-sensitive translation: Cleared fog reveals more trees. </w:t>
      </w:r>
      <w:r w:rsidRPr="003B7B3C">
        <w:rPr>
          <w:rFonts w:asciiTheme="minorHAnsi" w:hAnsiTheme="minorHAnsi" w:cstheme="minorHAnsi"/>
          <w:i/>
          <w:iCs/>
          <w:sz w:val="24"/>
          <w:szCs w:val="24"/>
        </w:rPr>
        <w:t>RNA Biology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14</w:t>
      </w:r>
      <w:r w:rsidRPr="003B7B3C">
        <w:rPr>
          <w:rFonts w:asciiTheme="minorHAnsi" w:hAnsiTheme="minorHAnsi" w:cstheme="minorHAnsi"/>
          <w:sz w:val="24"/>
          <w:szCs w:val="24"/>
        </w:rPr>
        <w:t xml:space="preserve"> (10), 1299–1305 (2017).</w:t>
      </w:r>
    </w:p>
    <w:p w14:paraId="1068AC4E" w14:textId="72C20F08"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3.</w:t>
      </w:r>
      <w:r w:rsidRPr="003B7B3C">
        <w:rPr>
          <w:rFonts w:asciiTheme="minorHAnsi" w:hAnsiTheme="minorHAnsi" w:cstheme="minorHAnsi"/>
          <w:sz w:val="24"/>
          <w:szCs w:val="24"/>
        </w:rPr>
        <w:tab/>
        <w:t>Ashe, M.</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P., De Long, S.</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K., Sachs, A.</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B. Glucose depletion rapidly inhibits translation initiation in yeast. </w:t>
      </w:r>
      <w:r w:rsidRPr="003B7B3C">
        <w:rPr>
          <w:rFonts w:asciiTheme="minorHAnsi" w:hAnsiTheme="minorHAnsi" w:cstheme="minorHAnsi"/>
          <w:i/>
          <w:iCs/>
          <w:sz w:val="24"/>
          <w:szCs w:val="24"/>
        </w:rPr>
        <w:t>Molecular Biology of the Cell</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11</w:t>
      </w:r>
      <w:r w:rsidRPr="003B7B3C">
        <w:rPr>
          <w:rFonts w:asciiTheme="minorHAnsi" w:hAnsiTheme="minorHAnsi" w:cstheme="minorHAnsi"/>
          <w:sz w:val="24"/>
          <w:szCs w:val="24"/>
        </w:rPr>
        <w:t xml:space="preserve"> (3), 833–848 (2000).</w:t>
      </w:r>
    </w:p>
    <w:p w14:paraId="1AA6D8D9" w14:textId="143A2371"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4.</w:t>
      </w:r>
      <w:r w:rsidRPr="003B7B3C">
        <w:rPr>
          <w:rFonts w:asciiTheme="minorHAnsi" w:hAnsiTheme="minorHAnsi" w:cstheme="minorHAnsi"/>
          <w:sz w:val="24"/>
          <w:szCs w:val="24"/>
        </w:rPr>
        <w:tab/>
        <w:t>Crawford, R.</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A., Pavitt, G.</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D. Translational regulation in response to stress in Saccharomyces cerevisiae. </w:t>
      </w:r>
      <w:r w:rsidRPr="003B7B3C">
        <w:rPr>
          <w:rFonts w:asciiTheme="minorHAnsi" w:hAnsiTheme="minorHAnsi" w:cstheme="minorHAnsi"/>
          <w:i/>
          <w:iCs/>
          <w:sz w:val="24"/>
          <w:szCs w:val="24"/>
        </w:rPr>
        <w:t>Yeast</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36</w:t>
      </w:r>
      <w:r w:rsidRPr="003B7B3C">
        <w:rPr>
          <w:rFonts w:asciiTheme="minorHAnsi" w:hAnsiTheme="minorHAnsi" w:cstheme="minorHAnsi"/>
          <w:sz w:val="24"/>
          <w:szCs w:val="24"/>
        </w:rPr>
        <w:t xml:space="preserve"> (1), 5–21 (2019).</w:t>
      </w:r>
    </w:p>
    <w:p w14:paraId="0DD9AC44" w14:textId="234E5FB0"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5.</w:t>
      </w:r>
      <w:r w:rsidRPr="003B7B3C">
        <w:rPr>
          <w:rFonts w:asciiTheme="minorHAnsi" w:hAnsiTheme="minorHAnsi" w:cstheme="minorHAnsi"/>
          <w:sz w:val="24"/>
          <w:szCs w:val="24"/>
        </w:rPr>
        <w:tab/>
        <w:t xml:space="preserve">Melamed, D., Pnueli, L., Arava, Y. Yeast translational response to high salinity: global analysis reveals regulation at multiple levels. </w:t>
      </w:r>
      <w:r w:rsidRPr="003B7B3C">
        <w:rPr>
          <w:rFonts w:asciiTheme="minorHAnsi" w:hAnsiTheme="minorHAnsi" w:cstheme="minorHAnsi"/>
          <w:i/>
          <w:iCs/>
          <w:sz w:val="24"/>
          <w:szCs w:val="24"/>
        </w:rPr>
        <w:t>R</w:t>
      </w:r>
      <w:r w:rsidR="003B7B3C">
        <w:rPr>
          <w:rFonts w:asciiTheme="minorHAnsi" w:hAnsiTheme="minorHAnsi" w:cstheme="minorHAnsi"/>
          <w:i/>
          <w:iCs/>
          <w:sz w:val="24"/>
          <w:szCs w:val="24"/>
        </w:rPr>
        <w:t>NA</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14</w:t>
      </w:r>
      <w:r w:rsidRPr="003B7B3C">
        <w:rPr>
          <w:rFonts w:asciiTheme="minorHAnsi" w:hAnsiTheme="minorHAnsi" w:cstheme="minorHAnsi"/>
          <w:sz w:val="24"/>
          <w:szCs w:val="24"/>
        </w:rPr>
        <w:t xml:space="preserve"> (7), 1337–1351 (2008).</w:t>
      </w:r>
    </w:p>
    <w:p w14:paraId="72B25F5A" w14:textId="37C18011"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6.</w:t>
      </w:r>
      <w:r w:rsidRPr="003B7B3C">
        <w:rPr>
          <w:rFonts w:asciiTheme="minorHAnsi" w:hAnsiTheme="minorHAnsi" w:cstheme="minorHAnsi"/>
          <w:sz w:val="24"/>
          <w:szCs w:val="24"/>
        </w:rPr>
        <w:tab/>
        <w:t>Hershey, J.</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W., Sonenberg, N., Mathews, M.</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B. Principles of translational control: </w:t>
      </w:r>
      <w:r w:rsidR="003B7B3C">
        <w:rPr>
          <w:rFonts w:asciiTheme="minorHAnsi" w:hAnsiTheme="minorHAnsi" w:cstheme="minorHAnsi"/>
          <w:sz w:val="24"/>
          <w:szCs w:val="24"/>
        </w:rPr>
        <w:t>A</w:t>
      </w:r>
      <w:r w:rsidRPr="003B7B3C">
        <w:rPr>
          <w:rFonts w:asciiTheme="minorHAnsi" w:hAnsiTheme="minorHAnsi" w:cstheme="minorHAnsi"/>
          <w:sz w:val="24"/>
          <w:szCs w:val="24"/>
        </w:rPr>
        <w:t xml:space="preserve">n overview. </w:t>
      </w:r>
      <w:r w:rsidRPr="003B7B3C">
        <w:rPr>
          <w:rFonts w:asciiTheme="minorHAnsi" w:hAnsiTheme="minorHAnsi" w:cstheme="minorHAnsi"/>
          <w:i/>
          <w:iCs/>
          <w:sz w:val="24"/>
          <w:szCs w:val="24"/>
        </w:rPr>
        <w:t>Cold Spring Harbor Perspectives in Biology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w:t>
      </w:r>
      <w:r w:rsidRPr="003B7B3C">
        <w:rPr>
          <w:rFonts w:asciiTheme="minorHAnsi" w:hAnsiTheme="minorHAnsi" w:cstheme="minorHAnsi"/>
          <w:sz w:val="24"/>
          <w:szCs w:val="24"/>
        </w:rPr>
        <w:t xml:space="preserve"> (12), a011528 (2012).</w:t>
      </w:r>
    </w:p>
    <w:p w14:paraId="4000F7CE" w14:textId="336B096B"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7.</w:t>
      </w:r>
      <w:r w:rsidRPr="003B7B3C">
        <w:rPr>
          <w:rFonts w:asciiTheme="minorHAnsi" w:hAnsiTheme="minorHAnsi" w:cstheme="minorHAnsi"/>
          <w:sz w:val="24"/>
          <w:szCs w:val="24"/>
        </w:rPr>
        <w:tab/>
        <w:t xml:space="preserve">Mata, J., Marguerat, S., Bähler, J. Post-transcriptional control of gene expression: a genome-wide perspective. </w:t>
      </w:r>
      <w:r w:rsidRPr="003B7B3C">
        <w:rPr>
          <w:rFonts w:asciiTheme="minorHAnsi" w:hAnsiTheme="minorHAnsi" w:cstheme="minorHAnsi"/>
          <w:i/>
          <w:iCs/>
          <w:sz w:val="24"/>
          <w:szCs w:val="24"/>
        </w:rPr>
        <w:t>Trends in Biochemical Sciences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30</w:t>
      </w:r>
      <w:r w:rsidRPr="003B7B3C">
        <w:rPr>
          <w:rFonts w:asciiTheme="minorHAnsi" w:hAnsiTheme="minorHAnsi" w:cstheme="minorHAnsi"/>
          <w:sz w:val="24"/>
          <w:szCs w:val="24"/>
        </w:rPr>
        <w:t xml:space="preserve"> (9), 506–514 (2005).</w:t>
      </w:r>
    </w:p>
    <w:p w14:paraId="002F7A46" w14:textId="1AF8922B"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8.</w:t>
      </w:r>
      <w:r w:rsidRPr="003B7B3C">
        <w:rPr>
          <w:rFonts w:asciiTheme="minorHAnsi" w:hAnsiTheme="minorHAnsi" w:cstheme="minorHAnsi"/>
          <w:sz w:val="24"/>
          <w:szCs w:val="24"/>
        </w:rPr>
        <w:tab/>
        <w:t>Spriggs, K.</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A., Bushell, M., Willis, A.</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E. Translational regulation of gene expression during conditions of cell stress. </w:t>
      </w:r>
      <w:r w:rsidRPr="003B7B3C">
        <w:rPr>
          <w:rFonts w:asciiTheme="minorHAnsi" w:hAnsiTheme="minorHAnsi" w:cstheme="minorHAnsi"/>
          <w:i/>
          <w:iCs/>
          <w:sz w:val="24"/>
          <w:szCs w:val="24"/>
        </w:rPr>
        <w:t>Molecular Cell</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40</w:t>
      </w:r>
      <w:r w:rsidRPr="003B7B3C">
        <w:rPr>
          <w:rFonts w:asciiTheme="minorHAnsi" w:hAnsiTheme="minorHAnsi" w:cstheme="minorHAnsi"/>
          <w:sz w:val="24"/>
          <w:szCs w:val="24"/>
        </w:rPr>
        <w:t xml:space="preserve"> (2), 228–237 (2010).</w:t>
      </w:r>
    </w:p>
    <w:p w14:paraId="38727A24" w14:textId="593BCF55"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9.</w:t>
      </w:r>
      <w:r w:rsidRPr="003B7B3C">
        <w:rPr>
          <w:rFonts w:asciiTheme="minorHAnsi" w:hAnsiTheme="minorHAnsi" w:cstheme="minorHAnsi"/>
          <w:sz w:val="24"/>
          <w:szCs w:val="24"/>
        </w:rPr>
        <w:tab/>
        <w:t>Liu, B., Qian, S.</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B. Translational reprogramming in cellular stress response. </w:t>
      </w:r>
      <w:r w:rsidRPr="003B7B3C">
        <w:rPr>
          <w:rFonts w:asciiTheme="minorHAnsi" w:hAnsiTheme="minorHAnsi" w:cstheme="minorHAnsi"/>
          <w:i/>
          <w:iCs/>
          <w:sz w:val="24"/>
          <w:szCs w:val="24"/>
        </w:rPr>
        <w:t>Wiley Interdisciplinary Reviews RNA</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5</w:t>
      </w:r>
      <w:r w:rsidRPr="003B7B3C">
        <w:rPr>
          <w:rFonts w:asciiTheme="minorHAnsi" w:hAnsiTheme="minorHAnsi" w:cstheme="minorHAnsi"/>
          <w:sz w:val="24"/>
          <w:szCs w:val="24"/>
        </w:rPr>
        <w:t xml:space="preserve"> (3), 301–315 (2014).</w:t>
      </w:r>
    </w:p>
    <w:p w14:paraId="1AC47F17" w14:textId="66234354"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10.</w:t>
      </w:r>
      <w:r w:rsidRPr="003B7B3C">
        <w:rPr>
          <w:rFonts w:asciiTheme="minorHAnsi" w:hAnsiTheme="minorHAnsi" w:cstheme="minorHAnsi"/>
          <w:sz w:val="24"/>
          <w:szCs w:val="24"/>
        </w:rPr>
        <w:tab/>
        <w:t>Archer, S.</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K., Shirokikh, N.</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E., Beilharz, T.</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H., Preiss, T. Dynamics of ribosome scanning and recycling revealed by translation complex profiling. </w:t>
      </w:r>
      <w:r w:rsidRPr="003B7B3C">
        <w:rPr>
          <w:rFonts w:asciiTheme="minorHAnsi" w:hAnsiTheme="minorHAnsi" w:cstheme="minorHAnsi"/>
          <w:i/>
          <w:iCs/>
          <w:sz w:val="24"/>
          <w:szCs w:val="24"/>
        </w:rPr>
        <w:t>Nature</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535</w:t>
      </w:r>
      <w:r w:rsidRPr="003B7B3C">
        <w:rPr>
          <w:rFonts w:asciiTheme="minorHAnsi" w:hAnsiTheme="minorHAnsi" w:cstheme="minorHAnsi"/>
          <w:sz w:val="24"/>
          <w:szCs w:val="24"/>
        </w:rPr>
        <w:t xml:space="preserve"> (7613), 570–574 (2016).</w:t>
      </w:r>
    </w:p>
    <w:p w14:paraId="7F4C4635" w14:textId="400E2E90"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11.</w:t>
      </w:r>
      <w:r w:rsidRPr="003B7B3C">
        <w:rPr>
          <w:rFonts w:asciiTheme="minorHAnsi" w:hAnsiTheme="minorHAnsi" w:cstheme="minorHAnsi"/>
          <w:sz w:val="24"/>
          <w:szCs w:val="24"/>
        </w:rPr>
        <w:tab/>
        <w:t>Hinnebusch, A.</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G., Ivanov, I.</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P., Sonenberg, N. Translational control by 5’-untranslated regions of eukaryotic mRNAs. </w:t>
      </w:r>
      <w:r w:rsidRPr="003B7B3C">
        <w:rPr>
          <w:rFonts w:asciiTheme="minorHAnsi" w:hAnsiTheme="minorHAnsi" w:cstheme="minorHAnsi"/>
          <w:i/>
          <w:iCs/>
          <w:sz w:val="24"/>
          <w:szCs w:val="24"/>
        </w:rPr>
        <w:t>Science</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352</w:t>
      </w:r>
      <w:r w:rsidRPr="003B7B3C">
        <w:rPr>
          <w:rFonts w:asciiTheme="minorHAnsi" w:hAnsiTheme="minorHAnsi" w:cstheme="minorHAnsi"/>
          <w:sz w:val="24"/>
          <w:szCs w:val="24"/>
        </w:rPr>
        <w:t xml:space="preserve"> (6292), 1413–1416 (2016).</w:t>
      </w:r>
    </w:p>
    <w:p w14:paraId="2C2E4994" w14:textId="085A34B2"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12.</w:t>
      </w:r>
      <w:r w:rsidRPr="003B7B3C">
        <w:rPr>
          <w:rFonts w:asciiTheme="minorHAnsi" w:hAnsiTheme="minorHAnsi" w:cstheme="minorHAnsi"/>
          <w:sz w:val="24"/>
          <w:szCs w:val="24"/>
        </w:rPr>
        <w:tab/>
        <w:t>Dever, T.</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E., Green, R. The elongation, termination, and recycling phases of translation in eukaryotes. </w:t>
      </w:r>
      <w:r w:rsidRPr="003B7B3C">
        <w:rPr>
          <w:rFonts w:asciiTheme="minorHAnsi" w:hAnsiTheme="minorHAnsi" w:cstheme="minorHAnsi"/>
          <w:i/>
          <w:iCs/>
          <w:sz w:val="24"/>
          <w:szCs w:val="24"/>
        </w:rPr>
        <w:t>Cold Spring Harbor Perspectives in Biology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w:t>
      </w:r>
      <w:r w:rsidRPr="003B7B3C">
        <w:rPr>
          <w:rFonts w:asciiTheme="minorHAnsi" w:hAnsiTheme="minorHAnsi" w:cstheme="minorHAnsi"/>
          <w:sz w:val="24"/>
          <w:szCs w:val="24"/>
        </w:rPr>
        <w:t xml:space="preserve"> (7), a013706 (2012).</w:t>
      </w:r>
    </w:p>
    <w:p w14:paraId="06C98305" w14:textId="066B72A0"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13.  Shirokikh, N.</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E., Preiss, T. Translation initiation by cap-dependent ribosome recruitment: Recent insights and open questions. </w:t>
      </w:r>
      <w:r w:rsidRPr="003B7B3C">
        <w:rPr>
          <w:rFonts w:asciiTheme="minorHAnsi" w:hAnsiTheme="minorHAnsi" w:cstheme="minorHAnsi"/>
          <w:i/>
          <w:iCs/>
          <w:sz w:val="24"/>
          <w:szCs w:val="24"/>
        </w:rPr>
        <w:t>Wiley Interdisciplinary Reviews RNA</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9</w:t>
      </w:r>
      <w:r w:rsidRPr="003B7B3C">
        <w:rPr>
          <w:rFonts w:asciiTheme="minorHAnsi" w:hAnsiTheme="minorHAnsi" w:cstheme="minorHAnsi"/>
          <w:sz w:val="24"/>
          <w:szCs w:val="24"/>
        </w:rPr>
        <w:t xml:space="preserve"> (4), e1473 (2018).</w:t>
      </w:r>
    </w:p>
    <w:p w14:paraId="7BB3F888" w14:textId="66AE8488"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14.</w:t>
      </w:r>
      <w:r w:rsidRPr="003B7B3C">
        <w:rPr>
          <w:rFonts w:asciiTheme="minorHAnsi" w:hAnsiTheme="minorHAnsi" w:cstheme="minorHAnsi"/>
          <w:sz w:val="24"/>
          <w:szCs w:val="24"/>
        </w:rPr>
        <w:tab/>
        <w:t>Jiménez-Díaz, A., Remacha, M., Ballesta, J.</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P., Berlanga, J.</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J. Phosphorylation of initiation factor eIF2 in response to stress conditions is mediated by acidic ribosomal P1/P2 proteins in Saccharomyces cerevisiae. </w:t>
      </w:r>
      <w:r w:rsidRPr="003B7B3C">
        <w:rPr>
          <w:rFonts w:asciiTheme="minorHAnsi" w:hAnsiTheme="minorHAnsi" w:cstheme="minorHAnsi"/>
          <w:i/>
          <w:iCs/>
          <w:sz w:val="24"/>
          <w:szCs w:val="24"/>
        </w:rPr>
        <w:t>PLoS O</w:t>
      </w:r>
      <w:r w:rsidR="003B7B3C">
        <w:rPr>
          <w:rFonts w:asciiTheme="minorHAnsi" w:hAnsiTheme="minorHAnsi" w:cstheme="minorHAnsi"/>
          <w:i/>
          <w:iCs/>
          <w:sz w:val="24"/>
          <w:szCs w:val="24"/>
        </w:rPr>
        <w:t>ne</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8</w:t>
      </w:r>
      <w:r w:rsidRPr="003B7B3C">
        <w:rPr>
          <w:rFonts w:asciiTheme="minorHAnsi" w:hAnsiTheme="minorHAnsi" w:cstheme="minorHAnsi"/>
          <w:sz w:val="24"/>
          <w:szCs w:val="24"/>
        </w:rPr>
        <w:t xml:space="preserve"> (12), e84219 (2013).</w:t>
      </w:r>
    </w:p>
    <w:p w14:paraId="42526F91" w14:textId="33811AB8"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15.</w:t>
      </w:r>
      <w:r w:rsidRPr="003B7B3C">
        <w:rPr>
          <w:rFonts w:asciiTheme="minorHAnsi" w:hAnsiTheme="minorHAnsi" w:cstheme="minorHAnsi"/>
          <w:sz w:val="24"/>
          <w:szCs w:val="24"/>
        </w:rPr>
        <w:tab/>
        <w:t>Sonenberg, N., Hinnebusch, A.</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G. Regulation of translation initiation in eukaryotes: mechanisms and biological targets. </w:t>
      </w:r>
      <w:r w:rsidRPr="003B7B3C">
        <w:rPr>
          <w:rFonts w:asciiTheme="minorHAnsi" w:hAnsiTheme="minorHAnsi" w:cstheme="minorHAnsi"/>
          <w:i/>
          <w:iCs/>
          <w:sz w:val="24"/>
          <w:szCs w:val="24"/>
        </w:rPr>
        <w:t>Cell</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136</w:t>
      </w:r>
      <w:r w:rsidRPr="003B7B3C">
        <w:rPr>
          <w:rFonts w:asciiTheme="minorHAnsi" w:hAnsiTheme="minorHAnsi" w:cstheme="minorHAnsi"/>
          <w:sz w:val="24"/>
          <w:szCs w:val="24"/>
        </w:rPr>
        <w:t xml:space="preserve"> (4), 731–745 (2009).</w:t>
      </w:r>
    </w:p>
    <w:p w14:paraId="6F8EF8BF" w14:textId="05DB3BFE"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16.</w:t>
      </w:r>
      <w:r w:rsidRPr="003B7B3C">
        <w:rPr>
          <w:rFonts w:asciiTheme="minorHAnsi" w:hAnsiTheme="minorHAnsi" w:cstheme="minorHAnsi"/>
          <w:sz w:val="24"/>
          <w:szCs w:val="24"/>
        </w:rPr>
        <w:tab/>
        <w:t>Majmundar, A.</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J., Wong, W.</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J., Simon, M.</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C. Hypoxia-inducible factors and the response to hypoxic stress. </w:t>
      </w:r>
      <w:r w:rsidRPr="003B7B3C">
        <w:rPr>
          <w:rFonts w:asciiTheme="minorHAnsi" w:hAnsiTheme="minorHAnsi" w:cstheme="minorHAnsi"/>
          <w:i/>
          <w:iCs/>
          <w:sz w:val="24"/>
          <w:szCs w:val="24"/>
        </w:rPr>
        <w:t>Molecular Cell</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40</w:t>
      </w:r>
      <w:r w:rsidRPr="003B7B3C">
        <w:rPr>
          <w:rFonts w:asciiTheme="minorHAnsi" w:hAnsiTheme="minorHAnsi" w:cstheme="minorHAnsi"/>
          <w:sz w:val="24"/>
          <w:szCs w:val="24"/>
        </w:rPr>
        <w:t xml:space="preserve"> (2), 294–309 (2010).</w:t>
      </w:r>
    </w:p>
    <w:p w14:paraId="5AE9A6E1" w14:textId="58170AEF"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17.</w:t>
      </w:r>
      <w:r w:rsidRPr="003B7B3C">
        <w:rPr>
          <w:rFonts w:asciiTheme="minorHAnsi" w:hAnsiTheme="minorHAnsi" w:cstheme="minorHAnsi"/>
          <w:sz w:val="24"/>
          <w:szCs w:val="24"/>
        </w:rPr>
        <w:tab/>
        <w:t>Barraza, C.</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E. et al. The role of PKA in the translational response to heat stress in Saccharomyces cerevisiae. </w:t>
      </w:r>
      <w:r w:rsidRPr="003B7B3C">
        <w:rPr>
          <w:rFonts w:asciiTheme="minorHAnsi" w:hAnsiTheme="minorHAnsi" w:cstheme="minorHAnsi"/>
          <w:i/>
          <w:iCs/>
          <w:sz w:val="24"/>
          <w:szCs w:val="24"/>
        </w:rPr>
        <w:t>PLoS One</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12</w:t>
      </w:r>
      <w:r w:rsidRPr="003B7B3C">
        <w:rPr>
          <w:rFonts w:asciiTheme="minorHAnsi" w:hAnsiTheme="minorHAnsi" w:cstheme="minorHAnsi"/>
          <w:sz w:val="24"/>
          <w:szCs w:val="24"/>
        </w:rPr>
        <w:t xml:space="preserve"> (10), e0185416 (2017).</w:t>
      </w:r>
    </w:p>
    <w:p w14:paraId="50B3EA5E" w14:textId="24A8350A"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18.</w:t>
      </w:r>
      <w:r w:rsidRPr="003B7B3C">
        <w:rPr>
          <w:rFonts w:asciiTheme="minorHAnsi" w:hAnsiTheme="minorHAnsi" w:cstheme="minorHAnsi"/>
          <w:sz w:val="24"/>
          <w:szCs w:val="24"/>
        </w:rPr>
        <w:tab/>
        <w:t xml:space="preserve">Richter, K., Haslbeck, M., Buchner, J. The heat shock response: </w:t>
      </w:r>
      <w:r w:rsidR="003B7B3C">
        <w:rPr>
          <w:rFonts w:asciiTheme="minorHAnsi" w:hAnsiTheme="minorHAnsi" w:cstheme="minorHAnsi"/>
          <w:sz w:val="24"/>
          <w:szCs w:val="24"/>
        </w:rPr>
        <w:t>L</w:t>
      </w:r>
      <w:r w:rsidRPr="003B7B3C">
        <w:rPr>
          <w:rFonts w:asciiTheme="minorHAnsi" w:hAnsiTheme="minorHAnsi" w:cstheme="minorHAnsi"/>
          <w:sz w:val="24"/>
          <w:szCs w:val="24"/>
        </w:rPr>
        <w:t xml:space="preserve">ife on the verge of death. </w:t>
      </w:r>
      <w:r w:rsidRPr="003B7B3C">
        <w:rPr>
          <w:rFonts w:asciiTheme="minorHAnsi" w:hAnsiTheme="minorHAnsi" w:cstheme="minorHAnsi"/>
          <w:i/>
          <w:iCs/>
          <w:sz w:val="24"/>
          <w:szCs w:val="24"/>
        </w:rPr>
        <w:t>Molecular Cell</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40</w:t>
      </w:r>
      <w:r w:rsidRPr="003B7B3C">
        <w:rPr>
          <w:rFonts w:asciiTheme="minorHAnsi" w:hAnsiTheme="minorHAnsi" w:cstheme="minorHAnsi"/>
          <w:sz w:val="24"/>
          <w:szCs w:val="24"/>
        </w:rPr>
        <w:t xml:space="preserve"> (2), 253–266 (2010).</w:t>
      </w:r>
    </w:p>
    <w:p w14:paraId="2132EFD1" w14:textId="7DD3B489"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19.</w:t>
      </w:r>
      <w:r w:rsidRPr="003B7B3C">
        <w:rPr>
          <w:rFonts w:asciiTheme="minorHAnsi" w:hAnsiTheme="minorHAnsi" w:cstheme="minorHAnsi"/>
          <w:sz w:val="24"/>
          <w:szCs w:val="24"/>
        </w:rPr>
        <w:tab/>
        <w:t>Jamar, N.</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H., Kritsiligkou, P., Grant, C.</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M. The non-stop decay mRNA surveillance pathway is required for oxidative stress tolerance. </w:t>
      </w:r>
      <w:r w:rsidRPr="003B7B3C">
        <w:rPr>
          <w:rFonts w:asciiTheme="minorHAnsi" w:hAnsiTheme="minorHAnsi" w:cstheme="minorHAnsi"/>
          <w:i/>
          <w:iCs/>
          <w:sz w:val="24"/>
          <w:szCs w:val="24"/>
        </w:rPr>
        <w:t>Nucleic Acids Research</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45</w:t>
      </w:r>
      <w:r w:rsidRPr="003B7B3C">
        <w:rPr>
          <w:rFonts w:asciiTheme="minorHAnsi" w:hAnsiTheme="minorHAnsi" w:cstheme="minorHAnsi"/>
          <w:sz w:val="24"/>
          <w:szCs w:val="24"/>
        </w:rPr>
        <w:t xml:space="preserve"> (11), 6881–6893 (2017).</w:t>
      </w:r>
    </w:p>
    <w:p w14:paraId="3A26EC55" w14:textId="5C0B43D7"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20.</w:t>
      </w:r>
      <w:r w:rsidRPr="003B7B3C">
        <w:rPr>
          <w:rFonts w:asciiTheme="minorHAnsi" w:hAnsiTheme="minorHAnsi" w:cstheme="minorHAnsi"/>
          <w:sz w:val="24"/>
          <w:szCs w:val="24"/>
        </w:rPr>
        <w:tab/>
        <w:t>Chen, Z.</w:t>
      </w:r>
      <w:r w:rsidR="003B7B3C">
        <w:rPr>
          <w:rFonts w:asciiTheme="minorHAnsi" w:hAnsiTheme="minorHAnsi" w:cstheme="minorHAnsi"/>
          <w:sz w:val="24"/>
          <w:szCs w:val="24"/>
        </w:rPr>
        <w:t xml:space="preserve"> et al</w:t>
      </w:r>
      <w:r w:rsidRPr="003B7B3C">
        <w:rPr>
          <w:rFonts w:asciiTheme="minorHAnsi" w:hAnsiTheme="minorHAnsi" w:cstheme="minorHAnsi"/>
          <w:sz w:val="24"/>
          <w:szCs w:val="24"/>
        </w:rPr>
        <w:t xml:space="preserve">. The </w:t>
      </w:r>
      <w:r w:rsidR="003B7B3C">
        <w:rPr>
          <w:rFonts w:asciiTheme="minorHAnsi" w:hAnsiTheme="minorHAnsi" w:cstheme="minorHAnsi"/>
          <w:sz w:val="24"/>
          <w:szCs w:val="24"/>
        </w:rPr>
        <w:t>c</w:t>
      </w:r>
      <w:r w:rsidRPr="003B7B3C">
        <w:rPr>
          <w:rFonts w:asciiTheme="minorHAnsi" w:hAnsiTheme="minorHAnsi" w:cstheme="minorHAnsi"/>
          <w:sz w:val="24"/>
          <w:szCs w:val="24"/>
        </w:rPr>
        <w:t xml:space="preserve">omplete </w:t>
      </w:r>
      <w:r w:rsidR="003B7B3C">
        <w:rPr>
          <w:rFonts w:asciiTheme="minorHAnsi" w:hAnsiTheme="minorHAnsi" w:cstheme="minorHAnsi"/>
          <w:sz w:val="24"/>
          <w:szCs w:val="24"/>
        </w:rPr>
        <w:t>p</w:t>
      </w:r>
      <w:r w:rsidRPr="003B7B3C">
        <w:rPr>
          <w:rFonts w:asciiTheme="minorHAnsi" w:hAnsiTheme="minorHAnsi" w:cstheme="minorHAnsi"/>
          <w:sz w:val="24"/>
          <w:szCs w:val="24"/>
        </w:rPr>
        <w:t xml:space="preserve">athway for </w:t>
      </w:r>
      <w:r w:rsidR="003B7B3C">
        <w:rPr>
          <w:rFonts w:asciiTheme="minorHAnsi" w:hAnsiTheme="minorHAnsi" w:cstheme="minorHAnsi"/>
          <w:sz w:val="24"/>
          <w:szCs w:val="24"/>
        </w:rPr>
        <w:t>t</w:t>
      </w:r>
      <w:r w:rsidRPr="003B7B3C">
        <w:rPr>
          <w:rFonts w:asciiTheme="minorHAnsi" w:hAnsiTheme="minorHAnsi" w:cstheme="minorHAnsi"/>
          <w:sz w:val="24"/>
          <w:szCs w:val="24"/>
        </w:rPr>
        <w:t xml:space="preserve">hiosulfate </w:t>
      </w:r>
      <w:r w:rsidR="003B7B3C">
        <w:rPr>
          <w:rFonts w:asciiTheme="minorHAnsi" w:hAnsiTheme="minorHAnsi" w:cstheme="minorHAnsi"/>
          <w:sz w:val="24"/>
          <w:szCs w:val="24"/>
        </w:rPr>
        <w:t>u</w:t>
      </w:r>
      <w:r w:rsidRPr="003B7B3C">
        <w:rPr>
          <w:rFonts w:asciiTheme="minorHAnsi" w:hAnsiTheme="minorHAnsi" w:cstheme="minorHAnsi"/>
          <w:sz w:val="24"/>
          <w:szCs w:val="24"/>
        </w:rPr>
        <w:t xml:space="preserve">tilization in Saccharomyces cerevisiae. </w:t>
      </w:r>
      <w:r w:rsidRPr="003B7B3C">
        <w:rPr>
          <w:rFonts w:asciiTheme="minorHAnsi" w:hAnsiTheme="minorHAnsi" w:cstheme="minorHAnsi"/>
          <w:i/>
          <w:iCs/>
          <w:sz w:val="24"/>
          <w:szCs w:val="24"/>
        </w:rPr>
        <w:t>Applied and Environmental Microbiology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84</w:t>
      </w:r>
      <w:r w:rsidRPr="003B7B3C">
        <w:rPr>
          <w:rFonts w:asciiTheme="minorHAnsi" w:hAnsiTheme="minorHAnsi" w:cstheme="minorHAnsi"/>
          <w:sz w:val="24"/>
          <w:szCs w:val="24"/>
        </w:rPr>
        <w:t xml:space="preserve"> (22) (2018).</w:t>
      </w:r>
    </w:p>
    <w:p w14:paraId="024556B1" w14:textId="10ED5892"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21.</w:t>
      </w:r>
      <w:r w:rsidRPr="003B7B3C">
        <w:rPr>
          <w:rFonts w:asciiTheme="minorHAnsi" w:hAnsiTheme="minorHAnsi" w:cstheme="minorHAnsi"/>
          <w:sz w:val="24"/>
          <w:szCs w:val="24"/>
        </w:rPr>
        <w:tab/>
        <w:t>Marzluf, G.</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A. Molecular genetics of sulfur assimilation in filamentous fungi and yeast. </w:t>
      </w:r>
      <w:r w:rsidRPr="003B7B3C">
        <w:rPr>
          <w:rFonts w:asciiTheme="minorHAnsi" w:hAnsiTheme="minorHAnsi" w:cstheme="minorHAnsi"/>
          <w:i/>
          <w:iCs/>
          <w:sz w:val="24"/>
          <w:szCs w:val="24"/>
        </w:rPr>
        <w:t>Annual Review of Microbiology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51</w:t>
      </w:r>
      <w:r w:rsidRPr="003B7B3C">
        <w:rPr>
          <w:rFonts w:asciiTheme="minorHAnsi" w:hAnsiTheme="minorHAnsi" w:cstheme="minorHAnsi"/>
          <w:sz w:val="24"/>
          <w:szCs w:val="24"/>
        </w:rPr>
        <w:t>, 73–96 (1997).</w:t>
      </w:r>
    </w:p>
    <w:p w14:paraId="391B87A9" w14:textId="696121C5"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22.</w:t>
      </w:r>
      <w:r w:rsidRPr="003B7B3C">
        <w:rPr>
          <w:rFonts w:asciiTheme="minorHAnsi" w:hAnsiTheme="minorHAnsi" w:cstheme="minorHAnsi"/>
          <w:sz w:val="24"/>
          <w:szCs w:val="24"/>
        </w:rPr>
        <w:tab/>
        <w:t xml:space="preserve">Miller, D., Brandt, N., Gresham, D. Systematic identification of factors mediating accelerated mRNA degradation in response to changes in environmental nitrogen. </w:t>
      </w:r>
      <w:r w:rsidRPr="003B7B3C">
        <w:rPr>
          <w:rFonts w:asciiTheme="minorHAnsi" w:hAnsiTheme="minorHAnsi" w:cstheme="minorHAnsi"/>
          <w:i/>
          <w:iCs/>
          <w:sz w:val="24"/>
          <w:szCs w:val="24"/>
        </w:rPr>
        <w:t>PLoS Genetics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14</w:t>
      </w:r>
      <w:r w:rsidRPr="003B7B3C">
        <w:rPr>
          <w:rFonts w:asciiTheme="minorHAnsi" w:hAnsiTheme="minorHAnsi" w:cstheme="minorHAnsi"/>
          <w:sz w:val="24"/>
          <w:szCs w:val="24"/>
        </w:rPr>
        <w:t xml:space="preserve"> (5), e1007406 (2018).</w:t>
      </w:r>
    </w:p>
    <w:p w14:paraId="7030438C" w14:textId="2C348556"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23.</w:t>
      </w:r>
      <w:r w:rsidRPr="003B7B3C">
        <w:rPr>
          <w:rFonts w:asciiTheme="minorHAnsi" w:hAnsiTheme="minorHAnsi" w:cstheme="minorHAnsi"/>
          <w:sz w:val="24"/>
          <w:szCs w:val="24"/>
        </w:rPr>
        <w:tab/>
        <w:t xml:space="preserve">Zhang, W., Du, G., Zhou, J., Chen, J. Regulation of </w:t>
      </w:r>
      <w:r w:rsidR="003B7B3C">
        <w:rPr>
          <w:rFonts w:asciiTheme="minorHAnsi" w:hAnsiTheme="minorHAnsi" w:cstheme="minorHAnsi"/>
          <w:sz w:val="24"/>
          <w:szCs w:val="24"/>
        </w:rPr>
        <w:t>s</w:t>
      </w:r>
      <w:r w:rsidRPr="003B7B3C">
        <w:rPr>
          <w:rFonts w:asciiTheme="minorHAnsi" w:hAnsiTheme="minorHAnsi" w:cstheme="minorHAnsi"/>
          <w:sz w:val="24"/>
          <w:szCs w:val="24"/>
        </w:rPr>
        <w:t xml:space="preserve">ensing, </w:t>
      </w:r>
      <w:r w:rsidR="003B7B3C">
        <w:rPr>
          <w:rFonts w:asciiTheme="minorHAnsi" w:hAnsiTheme="minorHAnsi" w:cstheme="minorHAnsi"/>
          <w:sz w:val="24"/>
          <w:szCs w:val="24"/>
        </w:rPr>
        <w:t>t</w:t>
      </w:r>
      <w:r w:rsidRPr="003B7B3C">
        <w:rPr>
          <w:rFonts w:asciiTheme="minorHAnsi" w:hAnsiTheme="minorHAnsi" w:cstheme="minorHAnsi"/>
          <w:sz w:val="24"/>
          <w:szCs w:val="24"/>
        </w:rPr>
        <w:t xml:space="preserve">ransportation, and </w:t>
      </w:r>
      <w:r w:rsidR="003B7B3C">
        <w:rPr>
          <w:rFonts w:asciiTheme="minorHAnsi" w:hAnsiTheme="minorHAnsi" w:cstheme="minorHAnsi"/>
          <w:sz w:val="24"/>
          <w:szCs w:val="24"/>
        </w:rPr>
        <w:t>c</w:t>
      </w:r>
      <w:r w:rsidRPr="003B7B3C">
        <w:rPr>
          <w:rFonts w:asciiTheme="minorHAnsi" w:hAnsiTheme="minorHAnsi" w:cstheme="minorHAnsi"/>
          <w:sz w:val="24"/>
          <w:szCs w:val="24"/>
        </w:rPr>
        <w:t xml:space="preserve">atabolism of </w:t>
      </w:r>
      <w:r w:rsidR="003B7B3C">
        <w:rPr>
          <w:rFonts w:asciiTheme="minorHAnsi" w:hAnsiTheme="minorHAnsi" w:cstheme="minorHAnsi"/>
          <w:sz w:val="24"/>
          <w:szCs w:val="24"/>
        </w:rPr>
        <w:t>n</w:t>
      </w:r>
      <w:r w:rsidRPr="003B7B3C">
        <w:rPr>
          <w:rFonts w:asciiTheme="minorHAnsi" w:hAnsiTheme="minorHAnsi" w:cstheme="minorHAnsi"/>
          <w:sz w:val="24"/>
          <w:szCs w:val="24"/>
        </w:rPr>
        <w:t xml:space="preserve">itrogen </w:t>
      </w:r>
      <w:r w:rsidR="003B7B3C">
        <w:rPr>
          <w:rFonts w:asciiTheme="minorHAnsi" w:hAnsiTheme="minorHAnsi" w:cstheme="minorHAnsi"/>
          <w:sz w:val="24"/>
          <w:szCs w:val="24"/>
        </w:rPr>
        <w:t>s</w:t>
      </w:r>
      <w:r w:rsidRPr="003B7B3C">
        <w:rPr>
          <w:rFonts w:asciiTheme="minorHAnsi" w:hAnsiTheme="minorHAnsi" w:cstheme="minorHAnsi"/>
          <w:sz w:val="24"/>
          <w:szCs w:val="24"/>
        </w:rPr>
        <w:t xml:space="preserve">ources in Saccharomyces cerevisiae. </w:t>
      </w:r>
      <w:r w:rsidRPr="003B7B3C">
        <w:rPr>
          <w:rFonts w:asciiTheme="minorHAnsi" w:hAnsiTheme="minorHAnsi" w:cstheme="minorHAnsi"/>
          <w:i/>
          <w:iCs/>
          <w:sz w:val="24"/>
          <w:szCs w:val="24"/>
        </w:rPr>
        <w:t>Microbiology and Molecular Biology Reviews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82</w:t>
      </w:r>
      <w:r w:rsidRPr="003B7B3C">
        <w:rPr>
          <w:rFonts w:asciiTheme="minorHAnsi" w:hAnsiTheme="minorHAnsi" w:cstheme="minorHAnsi"/>
          <w:sz w:val="24"/>
          <w:szCs w:val="24"/>
        </w:rPr>
        <w:t xml:space="preserve"> (1) (2018).</w:t>
      </w:r>
    </w:p>
    <w:p w14:paraId="069C4AF3" w14:textId="32778A45"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24.</w:t>
      </w:r>
      <w:r w:rsidRPr="003B7B3C">
        <w:rPr>
          <w:rFonts w:asciiTheme="minorHAnsi" w:hAnsiTheme="minorHAnsi" w:cstheme="minorHAnsi"/>
          <w:sz w:val="24"/>
          <w:szCs w:val="24"/>
        </w:rPr>
        <w:tab/>
        <w:t>Tokpohozin, S.</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E., Fischer, S., Becker, T. Selection of a new Saccharomyces yeast to enhance relevant sorghum beer aroma components, higher alcohols</w:t>
      </w:r>
      <w:r w:rsidR="003B7B3C">
        <w:rPr>
          <w:rFonts w:asciiTheme="minorHAnsi" w:hAnsiTheme="minorHAnsi" w:cstheme="minorHAnsi"/>
          <w:sz w:val="24"/>
          <w:szCs w:val="24"/>
        </w:rPr>
        <w:t>,</w:t>
      </w:r>
      <w:r w:rsidRPr="003B7B3C">
        <w:rPr>
          <w:rFonts w:asciiTheme="minorHAnsi" w:hAnsiTheme="minorHAnsi" w:cstheme="minorHAnsi"/>
          <w:sz w:val="24"/>
          <w:szCs w:val="24"/>
        </w:rPr>
        <w:t xml:space="preserve"> and esters. </w:t>
      </w:r>
      <w:r w:rsidRPr="003B7B3C">
        <w:rPr>
          <w:rFonts w:asciiTheme="minorHAnsi" w:hAnsiTheme="minorHAnsi" w:cstheme="minorHAnsi"/>
          <w:i/>
          <w:iCs/>
          <w:sz w:val="24"/>
          <w:szCs w:val="24"/>
        </w:rPr>
        <w:t>Food Microbiology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83</w:t>
      </w:r>
      <w:r w:rsidRPr="003B7B3C">
        <w:rPr>
          <w:rFonts w:asciiTheme="minorHAnsi" w:hAnsiTheme="minorHAnsi" w:cstheme="minorHAnsi"/>
          <w:sz w:val="24"/>
          <w:szCs w:val="24"/>
        </w:rPr>
        <w:t>, 181–186 (2019).</w:t>
      </w:r>
    </w:p>
    <w:p w14:paraId="34F3EDC5" w14:textId="21DBC105"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25.</w:t>
      </w:r>
      <w:r w:rsidRPr="003B7B3C">
        <w:rPr>
          <w:rFonts w:asciiTheme="minorHAnsi" w:hAnsiTheme="minorHAnsi" w:cstheme="minorHAnsi"/>
          <w:sz w:val="24"/>
          <w:szCs w:val="24"/>
        </w:rPr>
        <w:tab/>
        <w:t>Walker, G.</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M., Stewart, G.</w:t>
      </w:r>
      <w:r w:rsidR="003B7B3C">
        <w:rPr>
          <w:rFonts w:asciiTheme="minorHAnsi" w:hAnsiTheme="minorHAnsi" w:cstheme="minorHAnsi"/>
          <w:sz w:val="24"/>
          <w:szCs w:val="24"/>
        </w:rPr>
        <w:t xml:space="preserve"> </w:t>
      </w:r>
      <w:r w:rsidRPr="003B7B3C">
        <w:rPr>
          <w:rFonts w:asciiTheme="minorHAnsi" w:hAnsiTheme="minorHAnsi" w:cstheme="minorHAnsi"/>
          <w:sz w:val="24"/>
          <w:szCs w:val="24"/>
        </w:rPr>
        <w:t xml:space="preserve">G. Saccharomyces cerevisiae in the </w:t>
      </w:r>
      <w:r w:rsidR="003B7B3C">
        <w:rPr>
          <w:rFonts w:asciiTheme="minorHAnsi" w:hAnsiTheme="minorHAnsi" w:cstheme="minorHAnsi"/>
          <w:sz w:val="24"/>
          <w:szCs w:val="24"/>
        </w:rPr>
        <w:t>p</w:t>
      </w:r>
      <w:r w:rsidRPr="003B7B3C">
        <w:rPr>
          <w:rFonts w:asciiTheme="minorHAnsi" w:hAnsiTheme="minorHAnsi" w:cstheme="minorHAnsi"/>
          <w:sz w:val="24"/>
          <w:szCs w:val="24"/>
        </w:rPr>
        <w:t xml:space="preserve">roduction of </w:t>
      </w:r>
      <w:r w:rsidR="003B7B3C">
        <w:rPr>
          <w:rFonts w:asciiTheme="minorHAnsi" w:hAnsiTheme="minorHAnsi" w:cstheme="minorHAnsi"/>
          <w:sz w:val="24"/>
          <w:szCs w:val="24"/>
        </w:rPr>
        <w:t>f</w:t>
      </w:r>
      <w:r w:rsidRPr="003B7B3C">
        <w:rPr>
          <w:rFonts w:asciiTheme="minorHAnsi" w:hAnsiTheme="minorHAnsi" w:cstheme="minorHAnsi"/>
          <w:sz w:val="24"/>
          <w:szCs w:val="24"/>
        </w:rPr>
        <w:t xml:space="preserve">ermented </w:t>
      </w:r>
      <w:r w:rsidR="003B7B3C">
        <w:rPr>
          <w:rFonts w:asciiTheme="minorHAnsi" w:hAnsiTheme="minorHAnsi" w:cstheme="minorHAnsi"/>
          <w:sz w:val="24"/>
          <w:szCs w:val="24"/>
        </w:rPr>
        <w:t>b</w:t>
      </w:r>
      <w:r w:rsidRPr="003B7B3C">
        <w:rPr>
          <w:rFonts w:asciiTheme="minorHAnsi" w:hAnsiTheme="minorHAnsi" w:cstheme="minorHAnsi"/>
          <w:sz w:val="24"/>
          <w:szCs w:val="24"/>
        </w:rPr>
        <w:t xml:space="preserve">everages. </w:t>
      </w:r>
      <w:r w:rsidRPr="003B7B3C">
        <w:rPr>
          <w:rFonts w:asciiTheme="minorHAnsi" w:hAnsiTheme="minorHAnsi" w:cstheme="minorHAnsi"/>
          <w:i/>
          <w:iCs/>
          <w:sz w:val="24"/>
          <w:szCs w:val="24"/>
        </w:rPr>
        <w:t>Beverages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2</w:t>
      </w:r>
      <w:r w:rsidRPr="003B7B3C">
        <w:rPr>
          <w:rFonts w:asciiTheme="minorHAnsi" w:hAnsiTheme="minorHAnsi" w:cstheme="minorHAnsi"/>
          <w:sz w:val="24"/>
          <w:szCs w:val="24"/>
        </w:rPr>
        <w:t xml:space="preserve"> (4), 30 (2016).</w:t>
      </w:r>
    </w:p>
    <w:p w14:paraId="0CF57FD4" w14:textId="2FE87632"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26.</w:t>
      </w:r>
      <w:r w:rsidRPr="003B7B3C">
        <w:rPr>
          <w:rFonts w:asciiTheme="minorHAnsi" w:hAnsiTheme="minorHAnsi" w:cstheme="minorHAnsi"/>
          <w:sz w:val="24"/>
          <w:szCs w:val="24"/>
        </w:rPr>
        <w:tab/>
        <w:t xml:space="preserve">Chassé, H., Boulben, S., Costache, V., Cormier, P., Morales, J. Analysis of translation using polysome profiling. </w:t>
      </w:r>
      <w:r w:rsidRPr="003B7B3C">
        <w:rPr>
          <w:rFonts w:asciiTheme="minorHAnsi" w:hAnsiTheme="minorHAnsi" w:cstheme="minorHAnsi"/>
          <w:i/>
          <w:iCs/>
          <w:sz w:val="24"/>
          <w:szCs w:val="24"/>
        </w:rPr>
        <w:t>Nucleic Acids Research</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45</w:t>
      </w:r>
      <w:r w:rsidRPr="003B7B3C">
        <w:rPr>
          <w:rFonts w:asciiTheme="minorHAnsi" w:hAnsiTheme="minorHAnsi" w:cstheme="minorHAnsi"/>
          <w:sz w:val="24"/>
          <w:szCs w:val="24"/>
        </w:rPr>
        <w:t xml:space="preserve"> (3), e15 (2017).</w:t>
      </w:r>
    </w:p>
    <w:p w14:paraId="413592A6" w14:textId="29A403A3"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27.</w:t>
      </w:r>
      <w:r w:rsidRPr="003B7B3C">
        <w:rPr>
          <w:rFonts w:asciiTheme="minorHAnsi" w:hAnsiTheme="minorHAnsi" w:cstheme="minorHAnsi"/>
          <w:sz w:val="24"/>
          <w:szCs w:val="24"/>
        </w:rPr>
        <w:tab/>
        <w:t xml:space="preserve">Jin, H.Y., Xiao, C. An </w:t>
      </w:r>
      <w:r w:rsidR="00A06298" w:rsidRPr="003B7B3C">
        <w:rPr>
          <w:rFonts w:asciiTheme="minorHAnsi" w:hAnsiTheme="minorHAnsi" w:cstheme="minorHAnsi"/>
          <w:sz w:val="24"/>
          <w:szCs w:val="24"/>
        </w:rPr>
        <w:t>integrated polysome profiling and ribosome profiling method to investigate in vivo transla</w:t>
      </w:r>
      <w:r w:rsidRPr="003B7B3C">
        <w:rPr>
          <w:rFonts w:asciiTheme="minorHAnsi" w:hAnsiTheme="minorHAnsi" w:cstheme="minorHAnsi"/>
          <w:sz w:val="24"/>
          <w:szCs w:val="24"/>
        </w:rPr>
        <w:t xml:space="preserve">tome. </w:t>
      </w:r>
      <w:r w:rsidRPr="003B7B3C">
        <w:rPr>
          <w:rFonts w:asciiTheme="minorHAnsi" w:hAnsiTheme="minorHAnsi" w:cstheme="minorHAnsi"/>
          <w:i/>
          <w:iCs/>
          <w:sz w:val="24"/>
          <w:szCs w:val="24"/>
        </w:rPr>
        <w:t>Methods in Molecular Biology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1712</w:t>
      </w:r>
      <w:r w:rsidRPr="003B7B3C">
        <w:rPr>
          <w:rFonts w:asciiTheme="minorHAnsi" w:hAnsiTheme="minorHAnsi" w:cstheme="minorHAnsi"/>
          <w:sz w:val="24"/>
          <w:szCs w:val="24"/>
        </w:rPr>
        <w:t>, 1–18 (2018).</w:t>
      </w:r>
    </w:p>
    <w:p w14:paraId="3F47D1B5" w14:textId="6E9C7E0B"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28.</w:t>
      </w:r>
      <w:r w:rsidRPr="003B7B3C">
        <w:rPr>
          <w:rFonts w:asciiTheme="minorHAnsi" w:hAnsiTheme="minorHAnsi" w:cstheme="minorHAnsi"/>
          <w:sz w:val="24"/>
          <w:szCs w:val="24"/>
        </w:rPr>
        <w:tab/>
        <w:t>Arava, Y.</w:t>
      </w:r>
      <w:r w:rsidR="00A06298">
        <w:rPr>
          <w:rFonts w:asciiTheme="minorHAnsi" w:hAnsiTheme="minorHAnsi" w:cstheme="minorHAnsi"/>
          <w:sz w:val="24"/>
          <w:szCs w:val="24"/>
        </w:rPr>
        <w:t xml:space="preserve"> et al</w:t>
      </w:r>
      <w:r w:rsidRPr="003B7B3C">
        <w:rPr>
          <w:rFonts w:asciiTheme="minorHAnsi" w:hAnsiTheme="minorHAnsi" w:cstheme="minorHAnsi"/>
          <w:sz w:val="24"/>
          <w:szCs w:val="24"/>
        </w:rPr>
        <w:t xml:space="preserve">. Genome-wide analysis of mRNA translation profiles in Saccharomyces cerevisiae. </w:t>
      </w:r>
      <w:r w:rsidRPr="00A06298">
        <w:rPr>
          <w:rFonts w:asciiTheme="minorHAnsi" w:hAnsiTheme="minorHAnsi" w:cstheme="minorHAnsi"/>
          <w:i/>
          <w:iCs/>
          <w:sz w:val="24"/>
          <w:szCs w:val="24"/>
        </w:rPr>
        <w:t>Proceedings of the National Academy of Sciences of the United States of America.</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100</w:t>
      </w:r>
      <w:r w:rsidRPr="003B7B3C">
        <w:rPr>
          <w:rFonts w:asciiTheme="minorHAnsi" w:hAnsiTheme="minorHAnsi" w:cstheme="minorHAnsi"/>
          <w:sz w:val="24"/>
          <w:szCs w:val="24"/>
        </w:rPr>
        <w:t xml:space="preserve"> (7), 3889–3894 (2003). </w:t>
      </w:r>
    </w:p>
    <w:p w14:paraId="4144D9B5" w14:textId="5BB46717" w:rsidR="006B6616"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29.</w:t>
      </w:r>
      <w:r w:rsidRPr="003B7B3C">
        <w:rPr>
          <w:rFonts w:asciiTheme="minorHAnsi" w:hAnsiTheme="minorHAnsi" w:cstheme="minorHAnsi"/>
          <w:sz w:val="24"/>
          <w:szCs w:val="24"/>
        </w:rPr>
        <w:tab/>
        <w:t>Lackner, D.</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H.</w:t>
      </w:r>
      <w:r w:rsidRPr="00A06298">
        <w:rPr>
          <w:rFonts w:asciiTheme="minorHAnsi" w:hAnsiTheme="minorHAnsi" w:cstheme="minorHAnsi"/>
          <w:sz w:val="24"/>
          <w:szCs w:val="24"/>
        </w:rPr>
        <w:t xml:space="preserve"> et al.</w:t>
      </w:r>
      <w:r w:rsidRPr="003B7B3C">
        <w:rPr>
          <w:rFonts w:asciiTheme="minorHAnsi" w:hAnsiTheme="minorHAnsi" w:cstheme="minorHAnsi"/>
          <w:sz w:val="24"/>
          <w:szCs w:val="24"/>
        </w:rPr>
        <w:t xml:space="preserve"> A network of multiple regulatory layers shapes gene expression in fission yeast. </w:t>
      </w:r>
      <w:r w:rsidRPr="003B7B3C">
        <w:rPr>
          <w:rFonts w:asciiTheme="minorHAnsi" w:hAnsiTheme="minorHAnsi" w:cstheme="minorHAnsi"/>
          <w:i/>
          <w:iCs/>
          <w:sz w:val="24"/>
          <w:szCs w:val="24"/>
        </w:rPr>
        <w:t>Molecular Cell</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26</w:t>
      </w:r>
      <w:r w:rsidRPr="003B7B3C">
        <w:rPr>
          <w:rFonts w:asciiTheme="minorHAnsi" w:hAnsiTheme="minorHAnsi" w:cstheme="minorHAnsi"/>
          <w:sz w:val="24"/>
          <w:szCs w:val="24"/>
        </w:rPr>
        <w:t xml:space="preserve"> (1), 145–155 (2007).</w:t>
      </w:r>
    </w:p>
    <w:p w14:paraId="32E3C98E" w14:textId="19D9163C" w:rsidR="0021610B" w:rsidRDefault="0021610B" w:rsidP="0021610B">
      <w:r>
        <w:t>30.</w:t>
      </w:r>
      <w:r w:rsidRPr="0021610B">
        <w:rPr>
          <w:rFonts w:ascii="Calibri" w:hAnsi="Calibri" w:cs="Calibri"/>
          <w:color w:val="222222"/>
          <w:sz w:val="22"/>
          <w:szCs w:val="22"/>
          <w:shd w:val="clear" w:color="auto" w:fill="FFFFFF"/>
        </w:rPr>
        <w:t xml:space="preserve"> </w:t>
      </w:r>
      <w:proofErr w:type="spellStart"/>
      <w:r>
        <w:rPr>
          <w:rFonts w:ascii="Calibri" w:hAnsi="Calibri" w:cs="Calibri"/>
          <w:color w:val="222222"/>
          <w:sz w:val="22"/>
          <w:szCs w:val="22"/>
          <w:shd w:val="clear" w:color="auto" w:fill="FFFFFF"/>
        </w:rPr>
        <w:t>Ingolia</w:t>
      </w:r>
      <w:proofErr w:type="spellEnd"/>
      <w:r>
        <w:rPr>
          <w:rFonts w:ascii="Calibri" w:hAnsi="Calibri" w:cs="Calibri"/>
          <w:color w:val="222222"/>
          <w:sz w:val="22"/>
          <w:szCs w:val="22"/>
          <w:shd w:val="clear" w:color="auto" w:fill="FFFFFF"/>
        </w:rPr>
        <w:t xml:space="preserve">, N.T., </w:t>
      </w:r>
      <w:proofErr w:type="spellStart"/>
      <w:r>
        <w:rPr>
          <w:rFonts w:ascii="Calibri" w:hAnsi="Calibri" w:cs="Calibri"/>
          <w:color w:val="222222"/>
          <w:sz w:val="22"/>
          <w:szCs w:val="22"/>
          <w:shd w:val="clear" w:color="auto" w:fill="FFFFFF"/>
        </w:rPr>
        <w:t>Ghaemmaghami</w:t>
      </w:r>
      <w:proofErr w:type="spellEnd"/>
      <w:r>
        <w:rPr>
          <w:rFonts w:ascii="Calibri" w:hAnsi="Calibri" w:cs="Calibri"/>
          <w:color w:val="222222"/>
          <w:sz w:val="22"/>
          <w:szCs w:val="22"/>
          <w:shd w:val="clear" w:color="auto" w:fill="FFFFFF"/>
        </w:rPr>
        <w:t>, S., Newman, J.R.S., Weissman, J.S. Genome-Wide Analysis in Vivo of Translation with Nucleotide Resolution Using Ribosome Profiling. </w:t>
      </w:r>
      <w:r>
        <w:rPr>
          <w:rFonts w:ascii="Calibri" w:hAnsi="Calibri" w:cs="Calibri"/>
          <w:i/>
          <w:iCs/>
          <w:color w:val="222222"/>
          <w:sz w:val="22"/>
          <w:szCs w:val="22"/>
          <w:shd w:val="clear" w:color="auto" w:fill="FFFFFF"/>
        </w:rPr>
        <w:t>Science</w:t>
      </w:r>
      <w:r>
        <w:rPr>
          <w:rFonts w:ascii="Calibri" w:hAnsi="Calibri" w:cs="Calibri"/>
          <w:color w:val="222222"/>
          <w:sz w:val="22"/>
          <w:szCs w:val="22"/>
          <w:shd w:val="clear" w:color="auto" w:fill="FFFFFF"/>
        </w:rPr>
        <w:t>. </w:t>
      </w:r>
      <w:r>
        <w:rPr>
          <w:rFonts w:ascii="Calibri" w:hAnsi="Calibri" w:cs="Calibri"/>
          <w:b/>
          <w:bCs/>
          <w:color w:val="222222"/>
          <w:sz w:val="22"/>
          <w:szCs w:val="22"/>
          <w:shd w:val="clear" w:color="auto" w:fill="FFFFFF"/>
        </w:rPr>
        <w:t>324</w:t>
      </w:r>
      <w:r>
        <w:rPr>
          <w:rFonts w:ascii="Calibri" w:hAnsi="Calibri" w:cs="Calibri"/>
          <w:color w:val="222222"/>
          <w:sz w:val="22"/>
          <w:szCs w:val="22"/>
          <w:shd w:val="clear" w:color="auto" w:fill="FFFFFF"/>
        </w:rPr>
        <w:t xml:space="preserve"> (5924), 218–223, </w:t>
      </w:r>
      <w:proofErr w:type="spellStart"/>
      <w:r>
        <w:rPr>
          <w:rFonts w:ascii="Calibri" w:hAnsi="Calibri" w:cs="Calibri"/>
          <w:color w:val="222222"/>
          <w:sz w:val="22"/>
          <w:szCs w:val="22"/>
          <w:shd w:val="clear" w:color="auto" w:fill="FFFFFF"/>
        </w:rPr>
        <w:t>doi</w:t>
      </w:r>
      <w:proofErr w:type="spellEnd"/>
      <w:r>
        <w:rPr>
          <w:rFonts w:ascii="Calibri" w:hAnsi="Calibri" w:cs="Calibri"/>
          <w:color w:val="222222"/>
          <w:sz w:val="22"/>
          <w:szCs w:val="22"/>
          <w:shd w:val="clear" w:color="auto" w:fill="FFFFFF"/>
        </w:rPr>
        <w:t>: 10.1126/science.1168978 (2009)</w:t>
      </w:r>
    </w:p>
    <w:p w14:paraId="7418086F" w14:textId="1A15D2C4" w:rsidR="0021610B" w:rsidRPr="0021610B" w:rsidRDefault="0021610B" w:rsidP="0021610B">
      <w:r>
        <w:t>31.</w:t>
      </w:r>
      <w:r w:rsidRPr="0021610B">
        <w:rPr>
          <w:rFonts w:ascii="Calibri" w:hAnsi="Calibri" w:cs="Calibri"/>
          <w:color w:val="222222"/>
          <w:sz w:val="22"/>
          <w:szCs w:val="22"/>
          <w:shd w:val="clear" w:color="auto" w:fill="FFFFFF"/>
        </w:rPr>
        <w:t xml:space="preserve"> </w:t>
      </w:r>
      <w:r>
        <w:rPr>
          <w:rFonts w:ascii="Calibri" w:hAnsi="Calibri" w:cs="Calibri"/>
          <w:color w:val="222222"/>
          <w:sz w:val="22"/>
          <w:szCs w:val="22"/>
          <w:shd w:val="clear" w:color="auto" w:fill="FFFFFF"/>
        </w:rPr>
        <w:t> </w:t>
      </w:r>
      <w:proofErr w:type="spellStart"/>
      <w:r>
        <w:rPr>
          <w:rFonts w:ascii="Calibri" w:hAnsi="Calibri" w:cs="Calibri"/>
          <w:color w:val="222222"/>
          <w:sz w:val="22"/>
          <w:szCs w:val="22"/>
          <w:shd w:val="clear" w:color="auto" w:fill="FFFFFF"/>
        </w:rPr>
        <w:t>Ingolia</w:t>
      </w:r>
      <w:proofErr w:type="spellEnd"/>
      <w:r>
        <w:rPr>
          <w:rFonts w:ascii="Calibri" w:hAnsi="Calibri" w:cs="Calibri"/>
          <w:color w:val="222222"/>
          <w:sz w:val="22"/>
          <w:szCs w:val="22"/>
          <w:shd w:val="clear" w:color="auto" w:fill="FFFFFF"/>
        </w:rPr>
        <w:t>, N.T., Hussmann, J.A., Weissman, J.S. Ribosome Profiling: Global Views of Translation. </w:t>
      </w:r>
      <w:r>
        <w:rPr>
          <w:rFonts w:ascii="Calibri" w:hAnsi="Calibri" w:cs="Calibri"/>
          <w:i/>
          <w:iCs/>
          <w:color w:val="222222"/>
          <w:sz w:val="22"/>
          <w:szCs w:val="22"/>
          <w:shd w:val="clear" w:color="auto" w:fill="FFFFFF"/>
        </w:rPr>
        <w:t>Cold Spring Harbor Perspectives in Biology</w:t>
      </w:r>
      <w:r>
        <w:rPr>
          <w:rFonts w:ascii="Calibri" w:hAnsi="Calibri" w:cs="Calibri"/>
          <w:color w:val="222222"/>
          <w:sz w:val="22"/>
          <w:szCs w:val="22"/>
          <w:shd w:val="clear" w:color="auto" w:fill="FFFFFF"/>
        </w:rPr>
        <w:t>. </w:t>
      </w:r>
      <w:r>
        <w:rPr>
          <w:rFonts w:ascii="Calibri" w:hAnsi="Calibri" w:cs="Calibri"/>
          <w:b/>
          <w:bCs/>
          <w:color w:val="222222"/>
          <w:sz w:val="22"/>
          <w:szCs w:val="22"/>
          <w:shd w:val="clear" w:color="auto" w:fill="FFFFFF"/>
        </w:rPr>
        <w:t>11</w:t>
      </w:r>
      <w:r>
        <w:rPr>
          <w:rFonts w:ascii="Calibri" w:hAnsi="Calibri" w:cs="Calibri"/>
          <w:color w:val="222222"/>
          <w:sz w:val="22"/>
          <w:szCs w:val="22"/>
          <w:shd w:val="clear" w:color="auto" w:fill="FFFFFF"/>
        </w:rPr>
        <w:t xml:space="preserve"> (5), </w:t>
      </w:r>
      <w:proofErr w:type="spellStart"/>
      <w:r>
        <w:rPr>
          <w:rFonts w:ascii="Calibri" w:hAnsi="Calibri" w:cs="Calibri"/>
          <w:color w:val="222222"/>
          <w:sz w:val="22"/>
          <w:szCs w:val="22"/>
          <w:shd w:val="clear" w:color="auto" w:fill="FFFFFF"/>
        </w:rPr>
        <w:t>doi</w:t>
      </w:r>
      <w:proofErr w:type="spellEnd"/>
      <w:r>
        <w:rPr>
          <w:rFonts w:ascii="Calibri" w:hAnsi="Calibri" w:cs="Calibri"/>
          <w:color w:val="222222"/>
          <w:sz w:val="22"/>
          <w:szCs w:val="22"/>
          <w:shd w:val="clear" w:color="auto" w:fill="FFFFFF"/>
        </w:rPr>
        <w:t>: 10.1101/cshperspect.a032698 (2019)</w:t>
      </w:r>
    </w:p>
    <w:p w14:paraId="0960BD23" w14:textId="3C1B3C39"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3</w:t>
      </w:r>
      <w:r w:rsidR="0021610B">
        <w:rPr>
          <w:rFonts w:asciiTheme="minorHAnsi" w:hAnsiTheme="minorHAnsi" w:cstheme="minorHAnsi"/>
          <w:sz w:val="24"/>
          <w:szCs w:val="24"/>
        </w:rPr>
        <w:t>2</w:t>
      </w:r>
      <w:r w:rsidRPr="003B7B3C">
        <w:rPr>
          <w:rFonts w:asciiTheme="minorHAnsi" w:hAnsiTheme="minorHAnsi" w:cstheme="minorHAnsi"/>
          <w:sz w:val="24"/>
          <w:szCs w:val="24"/>
        </w:rPr>
        <w:t xml:space="preserve">.  </w:t>
      </w:r>
      <w:r w:rsidRPr="003B7B3C">
        <w:rPr>
          <w:rFonts w:asciiTheme="minorHAnsi" w:hAnsiTheme="minorHAnsi" w:cstheme="minorHAnsi"/>
          <w:sz w:val="24"/>
          <w:szCs w:val="24"/>
        </w:rPr>
        <w:tab/>
        <w:t>Gerashchenko, M.</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V., Lobanov, A.</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V., Gladyshev, V.</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 xml:space="preserve">N. Genome-wide ribosome profiling reveals complex translational regulation in response to oxidative stress. </w:t>
      </w:r>
      <w:r w:rsidRPr="003B7B3C">
        <w:rPr>
          <w:rFonts w:asciiTheme="minorHAnsi" w:hAnsiTheme="minorHAnsi" w:cstheme="minorHAnsi"/>
          <w:i/>
          <w:iCs/>
          <w:sz w:val="24"/>
          <w:szCs w:val="24"/>
        </w:rPr>
        <w:t>Proceedings of the National Academy of Sciences of the United States of America</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109</w:t>
      </w:r>
      <w:r w:rsidRPr="003B7B3C">
        <w:rPr>
          <w:rFonts w:asciiTheme="minorHAnsi" w:hAnsiTheme="minorHAnsi" w:cstheme="minorHAnsi"/>
          <w:sz w:val="24"/>
          <w:szCs w:val="24"/>
        </w:rPr>
        <w:t xml:space="preserve"> (43), 17394–17399 (2012).</w:t>
      </w:r>
    </w:p>
    <w:p w14:paraId="5F44AD06" w14:textId="2BD565EB"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3</w:t>
      </w:r>
      <w:r w:rsidR="0021610B">
        <w:rPr>
          <w:rFonts w:asciiTheme="minorHAnsi" w:hAnsiTheme="minorHAnsi" w:cstheme="minorHAnsi"/>
          <w:sz w:val="24"/>
          <w:szCs w:val="24"/>
        </w:rPr>
        <w:t>3</w:t>
      </w:r>
      <w:r w:rsidRPr="003B7B3C">
        <w:rPr>
          <w:rFonts w:asciiTheme="minorHAnsi" w:hAnsiTheme="minorHAnsi" w:cstheme="minorHAnsi"/>
          <w:sz w:val="24"/>
          <w:szCs w:val="24"/>
        </w:rPr>
        <w:t>.  Hussmann, J.</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A., Patchett, S., Johnson, A., Sawyer, S., Press, W.</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H. Understand</w:t>
      </w:r>
      <w:r w:rsidR="00A06298" w:rsidRPr="003B7B3C">
        <w:rPr>
          <w:rFonts w:asciiTheme="minorHAnsi" w:hAnsiTheme="minorHAnsi" w:cstheme="minorHAnsi"/>
          <w:sz w:val="24"/>
          <w:szCs w:val="24"/>
        </w:rPr>
        <w:t>ing biases in ribosome profiling experiments reveals signatures of translation dynamics in ye</w:t>
      </w:r>
      <w:r w:rsidRPr="003B7B3C">
        <w:rPr>
          <w:rFonts w:asciiTheme="minorHAnsi" w:hAnsiTheme="minorHAnsi" w:cstheme="minorHAnsi"/>
          <w:sz w:val="24"/>
          <w:szCs w:val="24"/>
        </w:rPr>
        <w:t xml:space="preserve">ast. </w:t>
      </w:r>
      <w:r w:rsidRPr="003B7B3C">
        <w:rPr>
          <w:rFonts w:asciiTheme="minorHAnsi" w:hAnsiTheme="minorHAnsi" w:cstheme="minorHAnsi"/>
          <w:i/>
          <w:iCs/>
          <w:sz w:val="24"/>
          <w:szCs w:val="24"/>
        </w:rPr>
        <w:t>Proceedings of the National Academy of Sciences Genetics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11</w:t>
      </w:r>
      <w:r w:rsidRPr="003B7B3C">
        <w:rPr>
          <w:rFonts w:asciiTheme="minorHAnsi" w:hAnsiTheme="minorHAnsi" w:cstheme="minorHAnsi"/>
          <w:sz w:val="24"/>
          <w:szCs w:val="24"/>
        </w:rPr>
        <w:t xml:space="preserve"> (12), e1005732 (2015).</w:t>
      </w:r>
    </w:p>
    <w:p w14:paraId="68AE99B1" w14:textId="6B8B0D30"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3</w:t>
      </w:r>
      <w:r w:rsidR="0021610B">
        <w:rPr>
          <w:rFonts w:asciiTheme="minorHAnsi" w:hAnsiTheme="minorHAnsi" w:cstheme="minorHAnsi"/>
          <w:sz w:val="24"/>
          <w:szCs w:val="24"/>
        </w:rPr>
        <w:t>4</w:t>
      </w:r>
      <w:r w:rsidRPr="003B7B3C">
        <w:rPr>
          <w:rFonts w:asciiTheme="minorHAnsi" w:hAnsiTheme="minorHAnsi" w:cstheme="minorHAnsi"/>
          <w:sz w:val="24"/>
          <w:szCs w:val="24"/>
        </w:rPr>
        <w:t>.</w:t>
      </w:r>
      <w:r w:rsidRPr="003B7B3C">
        <w:rPr>
          <w:rFonts w:asciiTheme="minorHAnsi" w:hAnsiTheme="minorHAnsi" w:cstheme="minorHAnsi"/>
          <w:sz w:val="24"/>
          <w:szCs w:val="24"/>
        </w:rPr>
        <w:tab/>
        <w:t>Santos, D.</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A., Shi, L., Tu, B.</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P., Weissman, J.</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 xml:space="preserve">S. Cycloheximide can distort measurements of mRNA levels and translation efficiency. </w:t>
      </w:r>
      <w:r w:rsidRPr="003B7B3C">
        <w:rPr>
          <w:rFonts w:asciiTheme="minorHAnsi" w:hAnsiTheme="minorHAnsi" w:cstheme="minorHAnsi"/>
          <w:i/>
          <w:iCs/>
          <w:sz w:val="24"/>
          <w:szCs w:val="24"/>
        </w:rPr>
        <w:t>Nucleic Acids Research</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47</w:t>
      </w:r>
      <w:r w:rsidRPr="003B7B3C">
        <w:rPr>
          <w:rFonts w:asciiTheme="minorHAnsi" w:hAnsiTheme="minorHAnsi" w:cstheme="minorHAnsi"/>
          <w:sz w:val="24"/>
          <w:szCs w:val="24"/>
        </w:rPr>
        <w:t xml:space="preserve"> (10), 4974–4985 (2019).</w:t>
      </w:r>
    </w:p>
    <w:p w14:paraId="0D4B0554" w14:textId="3B56B509"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3</w:t>
      </w:r>
      <w:r w:rsidR="0021610B">
        <w:rPr>
          <w:rFonts w:asciiTheme="minorHAnsi" w:hAnsiTheme="minorHAnsi" w:cstheme="minorHAnsi"/>
          <w:sz w:val="24"/>
          <w:szCs w:val="24"/>
        </w:rPr>
        <w:t>5</w:t>
      </w:r>
      <w:r w:rsidRPr="003B7B3C">
        <w:rPr>
          <w:rFonts w:asciiTheme="minorHAnsi" w:hAnsiTheme="minorHAnsi" w:cstheme="minorHAnsi"/>
          <w:sz w:val="24"/>
          <w:szCs w:val="24"/>
        </w:rPr>
        <w:t>.</w:t>
      </w:r>
      <w:r w:rsidRPr="003B7B3C">
        <w:rPr>
          <w:rFonts w:asciiTheme="minorHAnsi" w:hAnsiTheme="minorHAnsi" w:cstheme="minorHAnsi"/>
          <w:sz w:val="24"/>
          <w:szCs w:val="24"/>
        </w:rPr>
        <w:tab/>
        <w:t xml:space="preserve">Schneider-Poetsch, T. </w:t>
      </w:r>
      <w:r w:rsidRPr="00A06298">
        <w:rPr>
          <w:rFonts w:asciiTheme="minorHAnsi" w:hAnsiTheme="minorHAnsi" w:cstheme="minorHAnsi"/>
          <w:sz w:val="24"/>
          <w:szCs w:val="24"/>
        </w:rPr>
        <w:t>et al.</w:t>
      </w:r>
      <w:r w:rsidRPr="003B7B3C">
        <w:rPr>
          <w:rFonts w:asciiTheme="minorHAnsi" w:hAnsiTheme="minorHAnsi" w:cstheme="minorHAnsi"/>
          <w:sz w:val="24"/>
          <w:szCs w:val="24"/>
        </w:rPr>
        <w:t xml:space="preserve"> Inhibition of eukaryotic translation elongation by cycloheximide and lactimidomycin. </w:t>
      </w:r>
      <w:r w:rsidRPr="003B7B3C">
        <w:rPr>
          <w:rFonts w:asciiTheme="minorHAnsi" w:hAnsiTheme="minorHAnsi" w:cstheme="minorHAnsi"/>
          <w:i/>
          <w:iCs/>
          <w:sz w:val="24"/>
          <w:szCs w:val="24"/>
        </w:rPr>
        <w:t>Nature Chemical Biology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6</w:t>
      </w:r>
      <w:r w:rsidRPr="003B7B3C">
        <w:rPr>
          <w:rFonts w:asciiTheme="minorHAnsi" w:hAnsiTheme="minorHAnsi" w:cstheme="minorHAnsi"/>
          <w:sz w:val="24"/>
          <w:szCs w:val="24"/>
        </w:rPr>
        <w:t xml:space="preserve"> (3), 209–217 (2010).</w:t>
      </w:r>
    </w:p>
    <w:p w14:paraId="12181BD2" w14:textId="2DF42534"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3</w:t>
      </w:r>
      <w:r w:rsidR="0021610B">
        <w:rPr>
          <w:rFonts w:asciiTheme="minorHAnsi" w:hAnsiTheme="minorHAnsi" w:cstheme="minorHAnsi"/>
          <w:sz w:val="24"/>
          <w:szCs w:val="24"/>
        </w:rPr>
        <w:t>6</w:t>
      </w:r>
      <w:r w:rsidRPr="003B7B3C">
        <w:rPr>
          <w:rFonts w:asciiTheme="minorHAnsi" w:hAnsiTheme="minorHAnsi" w:cstheme="minorHAnsi"/>
          <w:sz w:val="24"/>
          <w:szCs w:val="24"/>
        </w:rPr>
        <w:t>.</w:t>
      </w:r>
      <w:r w:rsidRPr="003B7B3C">
        <w:rPr>
          <w:rFonts w:asciiTheme="minorHAnsi" w:hAnsiTheme="minorHAnsi" w:cstheme="minorHAnsi"/>
          <w:sz w:val="24"/>
          <w:szCs w:val="24"/>
        </w:rPr>
        <w:tab/>
        <w:t>Hoffman, E.</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A., Frey, B.</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L., Smith, L.</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M., Auble, D.</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 xml:space="preserve">T. Formaldehyde crosslinking: </w:t>
      </w:r>
      <w:r w:rsidR="00A06298">
        <w:rPr>
          <w:rFonts w:asciiTheme="minorHAnsi" w:hAnsiTheme="minorHAnsi" w:cstheme="minorHAnsi"/>
          <w:sz w:val="24"/>
          <w:szCs w:val="24"/>
        </w:rPr>
        <w:t>A</w:t>
      </w:r>
      <w:r w:rsidRPr="003B7B3C">
        <w:rPr>
          <w:rFonts w:asciiTheme="minorHAnsi" w:hAnsiTheme="minorHAnsi" w:cstheme="minorHAnsi"/>
          <w:sz w:val="24"/>
          <w:szCs w:val="24"/>
        </w:rPr>
        <w:t xml:space="preserve"> tool for the study of chromatin complexes. </w:t>
      </w:r>
      <w:r w:rsidRPr="003B7B3C">
        <w:rPr>
          <w:rFonts w:asciiTheme="minorHAnsi" w:hAnsiTheme="minorHAnsi" w:cstheme="minorHAnsi"/>
          <w:i/>
          <w:iCs/>
          <w:sz w:val="24"/>
          <w:szCs w:val="24"/>
        </w:rPr>
        <w:t>Journal of Biological Chemistry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290</w:t>
      </w:r>
      <w:r w:rsidRPr="003B7B3C">
        <w:rPr>
          <w:rFonts w:asciiTheme="minorHAnsi" w:hAnsiTheme="minorHAnsi" w:cstheme="minorHAnsi"/>
          <w:sz w:val="24"/>
          <w:szCs w:val="24"/>
        </w:rPr>
        <w:t xml:space="preserve"> (44), 26404–26411 (2015).</w:t>
      </w:r>
    </w:p>
    <w:p w14:paraId="41EFF286" w14:textId="6D67C21E"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3</w:t>
      </w:r>
      <w:r w:rsidR="0021610B">
        <w:rPr>
          <w:rFonts w:asciiTheme="minorHAnsi" w:hAnsiTheme="minorHAnsi" w:cstheme="minorHAnsi"/>
          <w:sz w:val="24"/>
          <w:szCs w:val="24"/>
        </w:rPr>
        <w:t>7</w:t>
      </w:r>
      <w:r w:rsidRPr="003B7B3C">
        <w:rPr>
          <w:rFonts w:asciiTheme="minorHAnsi" w:hAnsiTheme="minorHAnsi" w:cstheme="minorHAnsi"/>
          <w:sz w:val="24"/>
          <w:szCs w:val="24"/>
        </w:rPr>
        <w:t>.  Kage, U., Powell, J.</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J., Gardiner, D.</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 xml:space="preserve">M., Kazan, K. Ribosome profiling in plants: </w:t>
      </w:r>
      <w:r w:rsidR="00A06298">
        <w:rPr>
          <w:rFonts w:asciiTheme="minorHAnsi" w:hAnsiTheme="minorHAnsi" w:cstheme="minorHAnsi"/>
          <w:sz w:val="24"/>
          <w:szCs w:val="24"/>
        </w:rPr>
        <w:t>W</w:t>
      </w:r>
      <w:r w:rsidRPr="003B7B3C">
        <w:rPr>
          <w:rFonts w:asciiTheme="minorHAnsi" w:hAnsiTheme="minorHAnsi" w:cstheme="minorHAnsi"/>
          <w:sz w:val="24"/>
          <w:szCs w:val="24"/>
        </w:rPr>
        <w:t xml:space="preserve">hat is not lost in translation? </w:t>
      </w:r>
      <w:r w:rsidRPr="003B7B3C">
        <w:rPr>
          <w:rFonts w:asciiTheme="minorHAnsi" w:hAnsiTheme="minorHAnsi" w:cstheme="minorHAnsi"/>
          <w:i/>
          <w:iCs/>
          <w:sz w:val="24"/>
          <w:szCs w:val="24"/>
        </w:rPr>
        <w:t>Journal of Experimental Botany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71</w:t>
      </w:r>
      <w:r w:rsidRPr="003B7B3C">
        <w:rPr>
          <w:rFonts w:asciiTheme="minorHAnsi" w:hAnsiTheme="minorHAnsi" w:cstheme="minorHAnsi"/>
          <w:sz w:val="24"/>
          <w:szCs w:val="24"/>
        </w:rPr>
        <w:t xml:space="preserve"> (18), 5323–5332 (2020). </w:t>
      </w:r>
    </w:p>
    <w:p w14:paraId="2D37D11A" w14:textId="44EC2F2A"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3</w:t>
      </w:r>
      <w:r w:rsidR="0021610B">
        <w:rPr>
          <w:rFonts w:asciiTheme="minorHAnsi" w:hAnsiTheme="minorHAnsi" w:cstheme="minorHAnsi"/>
          <w:sz w:val="24"/>
          <w:szCs w:val="24"/>
        </w:rPr>
        <w:t>8</w:t>
      </w:r>
      <w:r w:rsidRPr="003B7B3C">
        <w:rPr>
          <w:rFonts w:asciiTheme="minorHAnsi" w:hAnsiTheme="minorHAnsi" w:cstheme="minorHAnsi"/>
          <w:sz w:val="24"/>
          <w:szCs w:val="24"/>
        </w:rPr>
        <w:t>.  Shirokikh, N.</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E., Archer, S.</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K., Beilharz, T.</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 xml:space="preserve">H., Powell, D., Preiss, T. Translation complex profile sequencing to study the in vivo dynamics of mRNA-ribosome interactions during translation initiation, </w:t>
      </w:r>
      <w:proofErr w:type="gramStart"/>
      <w:r w:rsidRPr="003B7B3C">
        <w:rPr>
          <w:rFonts w:asciiTheme="minorHAnsi" w:hAnsiTheme="minorHAnsi" w:cstheme="minorHAnsi"/>
          <w:sz w:val="24"/>
          <w:szCs w:val="24"/>
        </w:rPr>
        <w:t>elongation</w:t>
      </w:r>
      <w:proofErr w:type="gramEnd"/>
      <w:r w:rsidRPr="003B7B3C">
        <w:rPr>
          <w:rFonts w:asciiTheme="minorHAnsi" w:hAnsiTheme="minorHAnsi" w:cstheme="minorHAnsi"/>
          <w:sz w:val="24"/>
          <w:szCs w:val="24"/>
        </w:rPr>
        <w:t xml:space="preserve"> and termination. </w:t>
      </w:r>
      <w:r w:rsidRPr="003B7B3C">
        <w:rPr>
          <w:rFonts w:asciiTheme="minorHAnsi" w:hAnsiTheme="minorHAnsi" w:cstheme="minorHAnsi"/>
          <w:i/>
          <w:iCs/>
          <w:sz w:val="24"/>
          <w:szCs w:val="24"/>
        </w:rPr>
        <w:t>Nature Protocols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12</w:t>
      </w:r>
      <w:r w:rsidRPr="003B7B3C">
        <w:rPr>
          <w:rFonts w:asciiTheme="minorHAnsi" w:hAnsiTheme="minorHAnsi" w:cstheme="minorHAnsi"/>
          <w:sz w:val="24"/>
          <w:szCs w:val="24"/>
        </w:rPr>
        <w:t xml:space="preserve"> (4), 697–731 (2017).</w:t>
      </w:r>
    </w:p>
    <w:p w14:paraId="515DA4CA" w14:textId="56398228"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3</w:t>
      </w:r>
      <w:r w:rsidR="0021610B">
        <w:rPr>
          <w:rFonts w:asciiTheme="minorHAnsi" w:hAnsiTheme="minorHAnsi" w:cstheme="minorHAnsi"/>
          <w:sz w:val="24"/>
          <w:szCs w:val="24"/>
        </w:rPr>
        <w:t>9</w:t>
      </w:r>
      <w:r w:rsidRPr="003B7B3C">
        <w:rPr>
          <w:rFonts w:asciiTheme="minorHAnsi" w:hAnsiTheme="minorHAnsi" w:cstheme="minorHAnsi"/>
          <w:sz w:val="24"/>
          <w:szCs w:val="24"/>
        </w:rPr>
        <w:t>.</w:t>
      </w:r>
      <w:r w:rsidRPr="003B7B3C">
        <w:rPr>
          <w:rFonts w:asciiTheme="minorHAnsi" w:hAnsiTheme="minorHAnsi" w:cstheme="minorHAnsi"/>
          <w:sz w:val="24"/>
          <w:szCs w:val="24"/>
        </w:rPr>
        <w:tab/>
        <w:t xml:space="preserve">Wagner, S. </w:t>
      </w:r>
      <w:r w:rsidRPr="00A06298">
        <w:rPr>
          <w:rFonts w:asciiTheme="minorHAnsi" w:hAnsiTheme="minorHAnsi" w:cstheme="minorHAnsi"/>
          <w:sz w:val="24"/>
          <w:szCs w:val="24"/>
        </w:rPr>
        <w:t xml:space="preserve">et al. </w:t>
      </w:r>
      <w:r w:rsidRPr="003B7B3C">
        <w:rPr>
          <w:rFonts w:asciiTheme="minorHAnsi" w:hAnsiTheme="minorHAnsi" w:cstheme="minorHAnsi"/>
          <w:sz w:val="24"/>
          <w:szCs w:val="24"/>
        </w:rPr>
        <w:t>Selectiv</w:t>
      </w:r>
      <w:r w:rsidR="00A06298" w:rsidRPr="003B7B3C">
        <w:rPr>
          <w:rFonts w:asciiTheme="minorHAnsi" w:hAnsiTheme="minorHAnsi" w:cstheme="minorHAnsi"/>
          <w:sz w:val="24"/>
          <w:szCs w:val="24"/>
        </w:rPr>
        <w:t>e translation complex profiling reveals staged initiation and co-translational assembly of initiation factor com</w:t>
      </w:r>
      <w:r w:rsidRPr="003B7B3C">
        <w:rPr>
          <w:rFonts w:asciiTheme="minorHAnsi" w:hAnsiTheme="minorHAnsi" w:cstheme="minorHAnsi"/>
          <w:sz w:val="24"/>
          <w:szCs w:val="24"/>
        </w:rPr>
        <w:t xml:space="preserve">plexes. </w:t>
      </w:r>
      <w:r w:rsidRPr="003B7B3C">
        <w:rPr>
          <w:rFonts w:asciiTheme="minorHAnsi" w:hAnsiTheme="minorHAnsi" w:cstheme="minorHAnsi"/>
          <w:i/>
          <w:iCs/>
          <w:sz w:val="24"/>
          <w:szCs w:val="24"/>
        </w:rPr>
        <w:t>Molecular Cell</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79</w:t>
      </w:r>
      <w:r w:rsidRPr="003B7B3C">
        <w:rPr>
          <w:rFonts w:asciiTheme="minorHAnsi" w:hAnsiTheme="minorHAnsi" w:cstheme="minorHAnsi"/>
          <w:sz w:val="24"/>
          <w:szCs w:val="24"/>
        </w:rPr>
        <w:t xml:space="preserve"> (4), 546-560.e7</w:t>
      </w:r>
      <w:r w:rsidR="00A06298">
        <w:rPr>
          <w:rFonts w:asciiTheme="minorHAnsi" w:hAnsiTheme="minorHAnsi" w:cstheme="minorHAnsi"/>
          <w:sz w:val="24"/>
          <w:szCs w:val="24"/>
        </w:rPr>
        <w:t xml:space="preserve"> </w:t>
      </w:r>
      <w:r w:rsidRPr="003B7B3C">
        <w:rPr>
          <w:rFonts w:asciiTheme="minorHAnsi" w:hAnsiTheme="minorHAnsi" w:cstheme="minorHAnsi"/>
          <w:sz w:val="24"/>
          <w:szCs w:val="24"/>
        </w:rPr>
        <w:t>(2020).</w:t>
      </w:r>
    </w:p>
    <w:p w14:paraId="1087CB21" w14:textId="05F47441" w:rsidR="006B6616" w:rsidRPr="003B7B3C" w:rsidRDefault="0021610B" w:rsidP="003B7B3C">
      <w:pPr>
        <w:pStyle w:val="Bibliography"/>
        <w:jc w:val="both"/>
        <w:rPr>
          <w:rFonts w:asciiTheme="minorHAnsi" w:hAnsiTheme="minorHAnsi" w:cstheme="minorHAnsi"/>
          <w:sz w:val="24"/>
          <w:szCs w:val="24"/>
        </w:rPr>
      </w:pPr>
      <w:r>
        <w:rPr>
          <w:rFonts w:asciiTheme="minorHAnsi" w:hAnsiTheme="minorHAnsi" w:cstheme="minorHAnsi"/>
          <w:sz w:val="24"/>
          <w:szCs w:val="24"/>
        </w:rPr>
        <w:t>40</w:t>
      </w:r>
      <w:r w:rsidR="00E473AD" w:rsidRPr="003B7B3C">
        <w:rPr>
          <w:rFonts w:asciiTheme="minorHAnsi" w:hAnsiTheme="minorHAnsi" w:cstheme="minorHAnsi"/>
          <w:sz w:val="24"/>
          <w:szCs w:val="24"/>
        </w:rPr>
        <w:t>.</w:t>
      </w:r>
      <w:r w:rsidR="00E473AD" w:rsidRPr="003B7B3C">
        <w:rPr>
          <w:rFonts w:asciiTheme="minorHAnsi" w:hAnsiTheme="minorHAnsi" w:cstheme="minorHAnsi"/>
          <w:sz w:val="24"/>
          <w:szCs w:val="24"/>
        </w:rPr>
        <w:tab/>
        <w:t xml:space="preserve">Zlotorynski, E. Profiling ribosome dynamics. </w:t>
      </w:r>
      <w:r w:rsidR="00E473AD" w:rsidRPr="003B7B3C">
        <w:rPr>
          <w:rFonts w:asciiTheme="minorHAnsi" w:hAnsiTheme="minorHAnsi" w:cstheme="minorHAnsi"/>
          <w:i/>
          <w:iCs/>
          <w:sz w:val="24"/>
          <w:szCs w:val="24"/>
        </w:rPr>
        <w:t>Nature Reviews Molecular Cell Biology</w:t>
      </w:r>
      <w:r w:rsidR="00E473AD" w:rsidRPr="003B7B3C">
        <w:rPr>
          <w:rFonts w:asciiTheme="minorHAnsi" w:hAnsiTheme="minorHAnsi" w:cstheme="minorHAnsi"/>
          <w:sz w:val="24"/>
          <w:szCs w:val="24"/>
        </w:rPr>
        <w:t xml:space="preserve">. </w:t>
      </w:r>
      <w:r w:rsidR="00E473AD" w:rsidRPr="003B7B3C">
        <w:rPr>
          <w:rFonts w:asciiTheme="minorHAnsi" w:hAnsiTheme="minorHAnsi" w:cstheme="minorHAnsi"/>
          <w:b/>
          <w:bCs/>
          <w:sz w:val="24"/>
          <w:szCs w:val="24"/>
        </w:rPr>
        <w:t>17</w:t>
      </w:r>
      <w:r w:rsidR="00E473AD" w:rsidRPr="003B7B3C">
        <w:rPr>
          <w:rFonts w:asciiTheme="minorHAnsi" w:hAnsiTheme="minorHAnsi" w:cstheme="minorHAnsi"/>
          <w:sz w:val="24"/>
          <w:szCs w:val="24"/>
        </w:rPr>
        <w:t xml:space="preserve"> (9), 535–535 (2016).</w:t>
      </w:r>
    </w:p>
    <w:p w14:paraId="44885A20" w14:textId="11963085" w:rsidR="006B6616" w:rsidRPr="003B7B3C" w:rsidRDefault="0021610B" w:rsidP="003B7B3C">
      <w:pPr>
        <w:pStyle w:val="Bibliography"/>
        <w:jc w:val="both"/>
        <w:rPr>
          <w:rFonts w:asciiTheme="minorHAnsi" w:hAnsiTheme="minorHAnsi" w:cstheme="minorHAnsi"/>
          <w:sz w:val="24"/>
          <w:szCs w:val="24"/>
        </w:rPr>
      </w:pPr>
      <w:r>
        <w:rPr>
          <w:rFonts w:asciiTheme="minorHAnsi" w:hAnsiTheme="minorHAnsi" w:cstheme="minorHAnsi"/>
          <w:sz w:val="24"/>
          <w:szCs w:val="24"/>
        </w:rPr>
        <w:t>41</w:t>
      </w:r>
      <w:r w:rsidR="00E473AD" w:rsidRPr="003B7B3C">
        <w:rPr>
          <w:rFonts w:asciiTheme="minorHAnsi" w:hAnsiTheme="minorHAnsi" w:cstheme="minorHAnsi"/>
          <w:sz w:val="24"/>
          <w:szCs w:val="24"/>
        </w:rPr>
        <w:t>.</w:t>
      </w:r>
      <w:r w:rsidR="00E473AD" w:rsidRPr="003B7B3C">
        <w:rPr>
          <w:rFonts w:asciiTheme="minorHAnsi" w:hAnsiTheme="minorHAnsi" w:cstheme="minorHAnsi"/>
          <w:sz w:val="24"/>
          <w:szCs w:val="24"/>
        </w:rPr>
        <w:tab/>
        <w:t>Sen, N.</w:t>
      </w:r>
      <w:r w:rsidR="00A06298">
        <w:rPr>
          <w:rFonts w:asciiTheme="minorHAnsi" w:hAnsiTheme="minorHAnsi" w:cstheme="minorHAnsi"/>
          <w:sz w:val="24"/>
          <w:szCs w:val="24"/>
        </w:rPr>
        <w:t xml:space="preserve"> </w:t>
      </w:r>
      <w:r w:rsidR="00E473AD" w:rsidRPr="003B7B3C">
        <w:rPr>
          <w:rFonts w:asciiTheme="minorHAnsi" w:hAnsiTheme="minorHAnsi" w:cstheme="minorHAnsi"/>
          <w:sz w:val="24"/>
          <w:szCs w:val="24"/>
        </w:rPr>
        <w:t>D., Gupta, N., S, K.</w:t>
      </w:r>
      <w:r w:rsidR="00A06298">
        <w:rPr>
          <w:rFonts w:asciiTheme="minorHAnsi" w:hAnsiTheme="minorHAnsi" w:cstheme="minorHAnsi"/>
          <w:sz w:val="24"/>
          <w:szCs w:val="24"/>
        </w:rPr>
        <w:t xml:space="preserve"> </w:t>
      </w:r>
      <w:r w:rsidR="00E473AD" w:rsidRPr="003B7B3C">
        <w:rPr>
          <w:rFonts w:asciiTheme="minorHAnsi" w:hAnsiTheme="minorHAnsi" w:cstheme="minorHAnsi"/>
          <w:sz w:val="24"/>
          <w:szCs w:val="24"/>
        </w:rPr>
        <w:t>A., Preiss, T., Lorsch, J.</w:t>
      </w:r>
      <w:r w:rsidR="00A06298">
        <w:rPr>
          <w:rFonts w:asciiTheme="minorHAnsi" w:hAnsiTheme="minorHAnsi" w:cstheme="minorHAnsi"/>
          <w:sz w:val="24"/>
          <w:szCs w:val="24"/>
        </w:rPr>
        <w:t xml:space="preserve"> </w:t>
      </w:r>
      <w:r w:rsidR="00E473AD" w:rsidRPr="003B7B3C">
        <w:rPr>
          <w:rFonts w:asciiTheme="minorHAnsi" w:hAnsiTheme="minorHAnsi" w:cstheme="minorHAnsi"/>
          <w:sz w:val="24"/>
          <w:szCs w:val="24"/>
        </w:rPr>
        <w:t>R., Hinnebusch, A.</w:t>
      </w:r>
      <w:r w:rsidR="00A06298">
        <w:rPr>
          <w:rFonts w:asciiTheme="minorHAnsi" w:hAnsiTheme="minorHAnsi" w:cstheme="minorHAnsi"/>
          <w:sz w:val="24"/>
          <w:szCs w:val="24"/>
        </w:rPr>
        <w:t xml:space="preserve"> </w:t>
      </w:r>
      <w:r w:rsidR="00E473AD" w:rsidRPr="003B7B3C">
        <w:rPr>
          <w:rFonts w:asciiTheme="minorHAnsi" w:hAnsiTheme="minorHAnsi" w:cstheme="minorHAnsi"/>
          <w:sz w:val="24"/>
          <w:szCs w:val="24"/>
        </w:rPr>
        <w:t xml:space="preserve">G. Functional interplay between DEAD-box RNA helicases Ded1 and Dbp1 in preinitiation complex attachment and scanning on structured mRNAs in vivo. </w:t>
      </w:r>
      <w:r w:rsidR="00E473AD" w:rsidRPr="003B7B3C">
        <w:rPr>
          <w:rFonts w:asciiTheme="minorHAnsi" w:hAnsiTheme="minorHAnsi" w:cstheme="minorHAnsi"/>
          <w:i/>
          <w:iCs/>
          <w:sz w:val="24"/>
          <w:szCs w:val="24"/>
        </w:rPr>
        <w:t>Nucleic Acids Research</w:t>
      </w:r>
      <w:r w:rsidR="00E473AD" w:rsidRPr="003B7B3C">
        <w:rPr>
          <w:rFonts w:asciiTheme="minorHAnsi" w:hAnsiTheme="minorHAnsi" w:cstheme="minorHAnsi"/>
          <w:sz w:val="24"/>
          <w:szCs w:val="24"/>
        </w:rPr>
        <w:t xml:space="preserve">. </w:t>
      </w:r>
      <w:r w:rsidR="00E473AD" w:rsidRPr="003B7B3C">
        <w:rPr>
          <w:rFonts w:asciiTheme="minorHAnsi" w:hAnsiTheme="minorHAnsi" w:cstheme="minorHAnsi"/>
          <w:b/>
          <w:bCs/>
          <w:sz w:val="24"/>
          <w:szCs w:val="24"/>
        </w:rPr>
        <w:t>47</w:t>
      </w:r>
      <w:r w:rsidR="00E473AD" w:rsidRPr="003B7B3C">
        <w:rPr>
          <w:rFonts w:asciiTheme="minorHAnsi" w:hAnsiTheme="minorHAnsi" w:cstheme="minorHAnsi"/>
          <w:sz w:val="24"/>
          <w:szCs w:val="24"/>
        </w:rPr>
        <w:t xml:space="preserve"> (16), 8785–8806 (2019).</w:t>
      </w:r>
    </w:p>
    <w:p w14:paraId="3DF64CC0" w14:textId="4E58A9A4"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4</w:t>
      </w:r>
      <w:r w:rsidR="0021610B">
        <w:rPr>
          <w:rFonts w:asciiTheme="minorHAnsi" w:hAnsiTheme="minorHAnsi" w:cstheme="minorHAnsi"/>
          <w:sz w:val="24"/>
          <w:szCs w:val="24"/>
        </w:rPr>
        <w:t>2</w:t>
      </w:r>
      <w:r w:rsidRPr="003B7B3C">
        <w:rPr>
          <w:rFonts w:asciiTheme="minorHAnsi" w:hAnsiTheme="minorHAnsi" w:cstheme="minorHAnsi"/>
          <w:sz w:val="24"/>
          <w:szCs w:val="24"/>
        </w:rPr>
        <w:t>.</w:t>
      </w:r>
      <w:r w:rsidRPr="003B7B3C">
        <w:rPr>
          <w:rFonts w:asciiTheme="minorHAnsi" w:hAnsiTheme="minorHAnsi" w:cstheme="minorHAnsi"/>
          <w:sz w:val="24"/>
          <w:szCs w:val="24"/>
        </w:rPr>
        <w:tab/>
        <w:t>Zhao, J., Qin, B., Nikolay, R., Spahn, C.</w:t>
      </w:r>
      <w:r>
        <w:rPr>
          <w:rFonts w:asciiTheme="minorHAnsi" w:hAnsiTheme="minorHAnsi" w:cstheme="minorHAnsi"/>
          <w:sz w:val="24"/>
          <w:szCs w:val="24"/>
        </w:rPr>
        <w:t xml:space="preserve"> </w:t>
      </w:r>
      <w:r w:rsidRPr="003B7B3C">
        <w:rPr>
          <w:rFonts w:asciiTheme="minorHAnsi" w:hAnsiTheme="minorHAnsi" w:cstheme="minorHAnsi"/>
          <w:sz w:val="24"/>
          <w:szCs w:val="24"/>
        </w:rPr>
        <w:t>M.</w:t>
      </w:r>
      <w:r>
        <w:rPr>
          <w:rFonts w:asciiTheme="minorHAnsi" w:hAnsiTheme="minorHAnsi" w:cstheme="minorHAnsi"/>
          <w:sz w:val="24"/>
          <w:szCs w:val="24"/>
        </w:rPr>
        <w:t xml:space="preserve"> </w:t>
      </w:r>
      <w:r w:rsidRPr="003B7B3C">
        <w:rPr>
          <w:rFonts w:asciiTheme="minorHAnsi" w:hAnsiTheme="minorHAnsi" w:cstheme="minorHAnsi"/>
          <w:sz w:val="24"/>
          <w:szCs w:val="24"/>
        </w:rPr>
        <w:t xml:space="preserve">T., Zhang, G. Translatomics: The </w:t>
      </w:r>
      <w:r>
        <w:rPr>
          <w:rFonts w:asciiTheme="minorHAnsi" w:hAnsiTheme="minorHAnsi" w:cstheme="minorHAnsi"/>
          <w:sz w:val="24"/>
          <w:szCs w:val="24"/>
        </w:rPr>
        <w:t>g</w:t>
      </w:r>
      <w:r w:rsidRPr="003B7B3C">
        <w:rPr>
          <w:rFonts w:asciiTheme="minorHAnsi" w:hAnsiTheme="minorHAnsi" w:cstheme="minorHAnsi"/>
          <w:sz w:val="24"/>
          <w:szCs w:val="24"/>
        </w:rPr>
        <w:t xml:space="preserve">lobal </w:t>
      </w:r>
      <w:r>
        <w:rPr>
          <w:rFonts w:asciiTheme="minorHAnsi" w:hAnsiTheme="minorHAnsi" w:cstheme="minorHAnsi"/>
          <w:sz w:val="24"/>
          <w:szCs w:val="24"/>
        </w:rPr>
        <w:t>v</w:t>
      </w:r>
      <w:r w:rsidRPr="003B7B3C">
        <w:rPr>
          <w:rFonts w:asciiTheme="minorHAnsi" w:hAnsiTheme="minorHAnsi" w:cstheme="minorHAnsi"/>
          <w:sz w:val="24"/>
          <w:szCs w:val="24"/>
        </w:rPr>
        <w:t xml:space="preserve">iew of </w:t>
      </w:r>
      <w:r>
        <w:rPr>
          <w:rFonts w:asciiTheme="minorHAnsi" w:hAnsiTheme="minorHAnsi" w:cstheme="minorHAnsi"/>
          <w:sz w:val="24"/>
          <w:szCs w:val="24"/>
        </w:rPr>
        <w:t>t</w:t>
      </w:r>
      <w:r w:rsidRPr="003B7B3C">
        <w:rPr>
          <w:rFonts w:asciiTheme="minorHAnsi" w:hAnsiTheme="minorHAnsi" w:cstheme="minorHAnsi"/>
          <w:sz w:val="24"/>
          <w:szCs w:val="24"/>
        </w:rPr>
        <w:t xml:space="preserve">ranslation. </w:t>
      </w:r>
      <w:r w:rsidRPr="003B7B3C">
        <w:rPr>
          <w:rFonts w:asciiTheme="minorHAnsi" w:hAnsiTheme="minorHAnsi" w:cstheme="minorHAnsi"/>
          <w:i/>
          <w:iCs/>
          <w:sz w:val="24"/>
          <w:szCs w:val="24"/>
        </w:rPr>
        <w:t>International Journal of Molecular Sciences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20</w:t>
      </w:r>
      <w:r w:rsidRPr="003B7B3C">
        <w:rPr>
          <w:rFonts w:asciiTheme="minorHAnsi" w:hAnsiTheme="minorHAnsi" w:cstheme="minorHAnsi"/>
          <w:sz w:val="24"/>
          <w:szCs w:val="24"/>
        </w:rPr>
        <w:t xml:space="preserve"> (1), </w:t>
      </w:r>
      <w:r>
        <w:rPr>
          <w:rFonts w:asciiTheme="minorHAnsi" w:hAnsiTheme="minorHAnsi" w:cstheme="minorHAnsi"/>
          <w:sz w:val="24"/>
          <w:szCs w:val="24"/>
        </w:rPr>
        <w:t>e</w:t>
      </w:r>
      <w:r w:rsidRPr="003B7B3C">
        <w:rPr>
          <w:rFonts w:asciiTheme="minorHAnsi" w:hAnsiTheme="minorHAnsi" w:cstheme="minorHAnsi"/>
          <w:sz w:val="24"/>
          <w:szCs w:val="24"/>
        </w:rPr>
        <w:t xml:space="preserve">20010212 (2019). </w:t>
      </w:r>
    </w:p>
    <w:p w14:paraId="2CEB3466" w14:textId="173F0DC9"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4</w:t>
      </w:r>
      <w:r w:rsidR="0021610B">
        <w:rPr>
          <w:rFonts w:asciiTheme="minorHAnsi" w:hAnsiTheme="minorHAnsi" w:cstheme="minorHAnsi"/>
          <w:sz w:val="24"/>
          <w:szCs w:val="24"/>
        </w:rPr>
        <w:t>3</w:t>
      </w:r>
      <w:r w:rsidRPr="003B7B3C">
        <w:rPr>
          <w:rFonts w:asciiTheme="minorHAnsi" w:hAnsiTheme="minorHAnsi" w:cstheme="minorHAnsi"/>
          <w:sz w:val="24"/>
          <w:szCs w:val="24"/>
        </w:rPr>
        <w:t>. Luthe, D.</w:t>
      </w:r>
      <w:r>
        <w:rPr>
          <w:rFonts w:asciiTheme="minorHAnsi" w:hAnsiTheme="minorHAnsi" w:cstheme="minorHAnsi"/>
          <w:sz w:val="24"/>
          <w:szCs w:val="24"/>
        </w:rPr>
        <w:t xml:space="preserve"> </w:t>
      </w:r>
      <w:r w:rsidRPr="003B7B3C">
        <w:rPr>
          <w:rFonts w:asciiTheme="minorHAnsi" w:hAnsiTheme="minorHAnsi" w:cstheme="minorHAnsi"/>
          <w:sz w:val="24"/>
          <w:szCs w:val="24"/>
        </w:rPr>
        <w:t>S., A simple technique for the preparation and storage of sucrose gradients.</w:t>
      </w:r>
      <w:r w:rsidRPr="00E473AD">
        <w:rPr>
          <w:rFonts w:asciiTheme="minorHAnsi" w:hAnsiTheme="minorHAnsi" w:cstheme="minorHAnsi"/>
          <w:i/>
          <w:iCs/>
          <w:sz w:val="24"/>
          <w:szCs w:val="24"/>
        </w:rPr>
        <w:t xml:space="preserve"> Analytical Biochemistry.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135</w:t>
      </w:r>
      <w:r w:rsidRPr="003B7B3C">
        <w:rPr>
          <w:rFonts w:asciiTheme="minorHAnsi" w:hAnsiTheme="minorHAnsi" w:cstheme="minorHAnsi"/>
          <w:sz w:val="24"/>
          <w:szCs w:val="24"/>
        </w:rPr>
        <w:t xml:space="preserve"> (1), 230-232 (1983). </w:t>
      </w:r>
    </w:p>
    <w:p w14:paraId="5645EDF1" w14:textId="556D1360"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4</w:t>
      </w:r>
      <w:r w:rsidR="0021610B">
        <w:rPr>
          <w:rFonts w:asciiTheme="minorHAnsi" w:hAnsiTheme="minorHAnsi" w:cstheme="minorHAnsi"/>
          <w:sz w:val="24"/>
          <w:szCs w:val="24"/>
        </w:rPr>
        <w:t>4</w:t>
      </w:r>
      <w:r w:rsidRPr="003B7B3C">
        <w:rPr>
          <w:rFonts w:asciiTheme="minorHAnsi" w:hAnsiTheme="minorHAnsi" w:cstheme="minorHAnsi"/>
          <w:sz w:val="24"/>
          <w:szCs w:val="24"/>
        </w:rPr>
        <w:t>. Wang, Z., Gerstein,</w:t>
      </w:r>
      <w:r>
        <w:rPr>
          <w:rFonts w:asciiTheme="minorHAnsi" w:hAnsiTheme="minorHAnsi" w:cstheme="minorHAnsi"/>
          <w:sz w:val="24"/>
          <w:szCs w:val="24"/>
        </w:rPr>
        <w:t xml:space="preserve"> </w:t>
      </w:r>
      <w:r w:rsidRPr="003B7B3C">
        <w:rPr>
          <w:rFonts w:asciiTheme="minorHAnsi" w:hAnsiTheme="minorHAnsi" w:cstheme="minorHAnsi"/>
          <w:sz w:val="24"/>
          <w:szCs w:val="24"/>
        </w:rPr>
        <w:t>M.</w:t>
      </w:r>
      <w:proofErr w:type="gramStart"/>
      <w:r>
        <w:rPr>
          <w:rFonts w:asciiTheme="minorHAnsi" w:hAnsiTheme="minorHAnsi" w:cstheme="minorHAnsi"/>
          <w:sz w:val="24"/>
          <w:szCs w:val="24"/>
        </w:rPr>
        <w:t>,</w:t>
      </w:r>
      <w:r w:rsidRPr="003B7B3C">
        <w:rPr>
          <w:rFonts w:asciiTheme="minorHAnsi" w:hAnsiTheme="minorHAnsi" w:cstheme="minorHAnsi"/>
          <w:sz w:val="24"/>
          <w:szCs w:val="24"/>
        </w:rPr>
        <w:t xml:space="preserve">  Snyder</w:t>
      </w:r>
      <w:proofErr w:type="gramEnd"/>
      <w:r w:rsidRPr="003B7B3C">
        <w:rPr>
          <w:rFonts w:asciiTheme="minorHAnsi" w:hAnsiTheme="minorHAnsi" w:cstheme="minorHAnsi"/>
          <w:sz w:val="24"/>
          <w:szCs w:val="24"/>
        </w:rPr>
        <w:t>,</w:t>
      </w:r>
      <w:r>
        <w:rPr>
          <w:rFonts w:asciiTheme="minorHAnsi" w:hAnsiTheme="minorHAnsi" w:cstheme="minorHAnsi"/>
          <w:sz w:val="24"/>
          <w:szCs w:val="24"/>
        </w:rPr>
        <w:t xml:space="preserve"> </w:t>
      </w:r>
      <w:r w:rsidRPr="003B7B3C">
        <w:rPr>
          <w:rFonts w:asciiTheme="minorHAnsi" w:hAnsiTheme="minorHAnsi" w:cstheme="minorHAnsi"/>
          <w:sz w:val="24"/>
          <w:szCs w:val="24"/>
        </w:rPr>
        <w:t xml:space="preserve">M.  RNA-Seq: </w:t>
      </w:r>
      <w:r>
        <w:rPr>
          <w:rFonts w:asciiTheme="minorHAnsi" w:hAnsiTheme="minorHAnsi" w:cstheme="minorHAnsi"/>
          <w:sz w:val="24"/>
          <w:szCs w:val="24"/>
        </w:rPr>
        <w:t>A</w:t>
      </w:r>
      <w:r w:rsidRPr="003B7B3C">
        <w:rPr>
          <w:rFonts w:asciiTheme="minorHAnsi" w:hAnsiTheme="minorHAnsi" w:cstheme="minorHAnsi"/>
          <w:sz w:val="24"/>
          <w:szCs w:val="24"/>
        </w:rPr>
        <w:t xml:space="preserve"> revolutionary tool for transcriptomics. </w:t>
      </w:r>
      <w:r w:rsidRPr="003B7B3C">
        <w:rPr>
          <w:rFonts w:asciiTheme="minorHAnsi" w:hAnsiTheme="minorHAnsi" w:cstheme="minorHAnsi"/>
          <w:i/>
          <w:sz w:val="24"/>
          <w:szCs w:val="24"/>
        </w:rPr>
        <w:t>Nat</w:t>
      </w:r>
      <w:r>
        <w:rPr>
          <w:rFonts w:asciiTheme="minorHAnsi" w:hAnsiTheme="minorHAnsi" w:cstheme="minorHAnsi"/>
          <w:i/>
          <w:sz w:val="24"/>
          <w:szCs w:val="24"/>
        </w:rPr>
        <w:t>ure</w:t>
      </w:r>
      <w:r w:rsidRPr="003B7B3C">
        <w:rPr>
          <w:rFonts w:asciiTheme="minorHAnsi" w:hAnsiTheme="minorHAnsi" w:cstheme="minorHAnsi"/>
          <w:i/>
          <w:sz w:val="24"/>
          <w:szCs w:val="24"/>
        </w:rPr>
        <w:t xml:space="preserve"> Rev</w:t>
      </w:r>
      <w:r>
        <w:rPr>
          <w:rFonts w:asciiTheme="minorHAnsi" w:hAnsiTheme="minorHAnsi" w:cstheme="minorHAnsi"/>
          <w:i/>
          <w:sz w:val="24"/>
          <w:szCs w:val="24"/>
        </w:rPr>
        <w:t>iew</w:t>
      </w:r>
      <w:r w:rsidRPr="003B7B3C">
        <w:rPr>
          <w:rFonts w:asciiTheme="minorHAnsi" w:hAnsiTheme="minorHAnsi" w:cstheme="minorHAnsi"/>
          <w:i/>
          <w:sz w:val="24"/>
          <w:szCs w:val="24"/>
        </w:rPr>
        <w:t xml:space="preserve"> Genet</w:t>
      </w:r>
      <w:r>
        <w:rPr>
          <w:rFonts w:asciiTheme="minorHAnsi" w:hAnsiTheme="minorHAnsi" w:cstheme="minorHAnsi"/>
          <w:i/>
          <w:sz w:val="24"/>
          <w:szCs w:val="24"/>
        </w:rPr>
        <w:t>ics</w:t>
      </w:r>
      <w:r>
        <w:rPr>
          <w:rFonts w:asciiTheme="minorHAnsi" w:hAnsiTheme="minorHAnsi" w:cstheme="minorHAnsi"/>
          <w:sz w:val="24"/>
          <w:szCs w:val="24"/>
        </w:rPr>
        <w:t>.</w:t>
      </w:r>
      <w:r w:rsidRPr="003B7B3C">
        <w:rPr>
          <w:rFonts w:asciiTheme="minorHAnsi" w:hAnsiTheme="minorHAnsi" w:cstheme="minorHAnsi"/>
          <w:sz w:val="24"/>
          <w:szCs w:val="24"/>
        </w:rPr>
        <w:t xml:space="preserve"> </w:t>
      </w:r>
      <w:r w:rsidRPr="003B7B3C">
        <w:rPr>
          <w:rFonts w:asciiTheme="minorHAnsi" w:hAnsiTheme="minorHAnsi" w:cstheme="minorHAnsi"/>
          <w:b/>
          <w:sz w:val="24"/>
          <w:szCs w:val="24"/>
        </w:rPr>
        <w:t>10</w:t>
      </w:r>
      <w:r w:rsidRPr="003B7B3C">
        <w:rPr>
          <w:rFonts w:asciiTheme="minorHAnsi" w:hAnsiTheme="minorHAnsi" w:cstheme="minorHAnsi"/>
          <w:sz w:val="24"/>
          <w:szCs w:val="24"/>
        </w:rPr>
        <w:t>(1), 57-63 (2009)</w:t>
      </w:r>
    </w:p>
    <w:p w14:paraId="53C61BEE" w14:textId="485D5599"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4</w:t>
      </w:r>
      <w:r w:rsidR="0021610B">
        <w:rPr>
          <w:rFonts w:asciiTheme="minorHAnsi" w:hAnsiTheme="minorHAnsi" w:cstheme="minorHAnsi"/>
          <w:sz w:val="24"/>
          <w:szCs w:val="24"/>
        </w:rPr>
        <w:t>5</w:t>
      </w:r>
      <w:r w:rsidRPr="003B7B3C">
        <w:rPr>
          <w:rFonts w:asciiTheme="minorHAnsi" w:hAnsiTheme="minorHAnsi" w:cstheme="minorHAnsi"/>
          <w:sz w:val="24"/>
          <w:szCs w:val="24"/>
        </w:rPr>
        <w:t>.</w:t>
      </w:r>
      <w:r w:rsidRPr="003B7B3C">
        <w:rPr>
          <w:rFonts w:asciiTheme="minorHAnsi" w:hAnsiTheme="minorHAnsi" w:cstheme="minorHAnsi"/>
          <w:sz w:val="24"/>
          <w:szCs w:val="24"/>
        </w:rPr>
        <w:tab/>
        <w:t xml:space="preserve">Orlando, V. Mapping chromosomal proteins in vivo by formaldehyde-crosslinked-chromatin immunoprecipitation. </w:t>
      </w:r>
      <w:r w:rsidRPr="003B7B3C">
        <w:rPr>
          <w:rFonts w:asciiTheme="minorHAnsi" w:hAnsiTheme="minorHAnsi" w:cstheme="minorHAnsi"/>
          <w:i/>
          <w:iCs/>
          <w:sz w:val="24"/>
          <w:szCs w:val="24"/>
        </w:rPr>
        <w:t>Trends in Biochemical Sciences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25</w:t>
      </w:r>
      <w:r w:rsidRPr="003B7B3C">
        <w:rPr>
          <w:rFonts w:asciiTheme="minorHAnsi" w:hAnsiTheme="minorHAnsi" w:cstheme="minorHAnsi"/>
          <w:sz w:val="24"/>
          <w:szCs w:val="24"/>
        </w:rPr>
        <w:t xml:space="preserve"> (3), 99–104 (2000).</w:t>
      </w:r>
    </w:p>
    <w:p w14:paraId="722A4A15" w14:textId="696757A6"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4</w:t>
      </w:r>
      <w:r w:rsidR="0021610B">
        <w:rPr>
          <w:rFonts w:asciiTheme="minorHAnsi" w:hAnsiTheme="minorHAnsi" w:cstheme="minorHAnsi"/>
          <w:sz w:val="24"/>
          <w:szCs w:val="24"/>
        </w:rPr>
        <w:t>6</w:t>
      </w:r>
      <w:r w:rsidRPr="003B7B3C">
        <w:rPr>
          <w:rFonts w:asciiTheme="minorHAnsi" w:hAnsiTheme="minorHAnsi" w:cstheme="minorHAnsi"/>
          <w:sz w:val="24"/>
          <w:szCs w:val="24"/>
        </w:rPr>
        <w:t>.</w:t>
      </w:r>
      <w:r w:rsidRPr="003B7B3C">
        <w:rPr>
          <w:rFonts w:asciiTheme="minorHAnsi" w:hAnsiTheme="minorHAnsi" w:cstheme="minorHAnsi"/>
          <w:sz w:val="24"/>
          <w:szCs w:val="24"/>
        </w:rPr>
        <w:tab/>
        <w:t xml:space="preserve">Schmiedeberg, L., Skene, P., Deaton, A., Bird, A. A Temporal Threshold for Formaldehyde Crosslinking and Fixation. </w:t>
      </w:r>
      <w:r w:rsidRPr="003B7B3C">
        <w:rPr>
          <w:rFonts w:asciiTheme="minorHAnsi" w:hAnsiTheme="minorHAnsi" w:cstheme="minorHAnsi"/>
          <w:i/>
          <w:iCs/>
          <w:sz w:val="24"/>
          <w:szCs w:val="24"/>
        </w:rPr>
        <w:t>PLoS O</w:t>
      </w:r>
      <w:r>
        <w:rPr>
          <w:rFonts w:asciiTheme="minorHAnsi" w:hAnsiTheme="minorHAnsi" w:cstheme="minorHAnsi"/>
          <w:i/>
          <w:iCs/>
          <w:sz w:val="24"/>
          <w:szCs w:val="24"/>
        </w:rPr>
        <w:t>ne</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w:t>
      </w:r>
      <w:r w:rsidRPr="003B7B3C">
        <w:rPr>
          <w:rFonts w:asciiTheme="minorHAnsi" w:hAnsiTheme="minorHAnsi" w:cstheme="minorHAnsi"/>
          <w:sz w:val="24"/>
          <w:szCs w:val="24"/>
        </w:rPr>
        <w:t xml:space="preserve"> (2), e4636 (2009).</w:t>
      </w:r>
    </w:p>
    <w:p w14:paraId="5B68F28D" w14:textId="091A2E99"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4</w:t>
      </w:r>
      <w:r w:rsidR="0021610B">
        <w:rPr>
          <w:rFonts w:asciiTheme="minorHAnsi" w:hAnsiTheme="minorHAnsi" w:cstheme="minorHAnsi"/>
          <w:sz w:val="24"/>
          <w:szCs w:val="24"/>
        </w:rPr>
        <w:t>7</w:t>
      </w:r>
      <w:r w:rsidRPr="003B7B3C">
        <w:rPr>
          <w:rFonts w:asciiTheme="minorHAnsi" w:hAnsiTheme="minorHAnsi" w:cstheme="minorHAnsi"/>
          <w:sz w:val="24"/>
          <w:szCs w:val="24"/>
        </w:rPr>
        <w:t>.</w:t>
      </w:r>
      <w:r w:rsidRPr="003B7B3C">
        <w:rPr>
          <w:rFonts w:asciiTheme="minorHAnsi" w:hAnsiTheme="minorHAnsi" w:cstheme="minorHAnsi"/>
          <w:sz w:val="24"/>
          <w:szCs w:val="24"/>
        </w:rPr>
        <w:tab/>
        <w:t>Solomon, M.</w:t>
      </w:r>
      <w:r>
        <w:rPr>
          <w:rFonts w:asciiTheme="minorHAnsi" w:hAnsiTheme="minorHAnsi" w:cstheme="minorHAnsi"/>
          <w:sz w:val="24"/>
          <w:szCs w:val="24"/>
        </w:rPr>
        <w:t xml:space="preserve"> </w:t>
      </w:r>
      <w:r w:rsidRPr="003B7B3C">
        <w:rPr>
          <w:rFonts w:asciiTheme="minorHAnsi" w:hAnsiTheme="minorHAnsi" w:cstheme="minorHAnsi"/>
          <w:sz w:val="24"/>
          <w:szCs w:val="24"/>
        </w:rPr>
        <w:t xml:space="preserve">J., Varshavsky, A. Formaldehyde-mediated DNA-protein crosslinking: </w:t>
      </w:r>
      <w:r>
        <w:rPr>
          <w:rFonts w:asciiTheme="minorHAnsi" w:hAnsiTheme="minorHAnsi" w:cstheme="minorHAnsi"/>
          <w:sz w:val="24"/>
          <w:szCs w:val="24"/>
        </w:rPr>
        <w:t>A</w:t>
      </w:r>
      <w:r w:rsidRPr="003B7B3C">
        <w:rPr>
          <w:rFonts w:asciiTheme="minorHAnsi" w:hAnsiTheme="minorHAnsi" w:cstheme="minorHAnsi"/>
          <w:sz w:val="24"/>
          <w:szCs w:val="24"/>
        </w:rPr>
        <w:t xml:space="preserve"> probe for in vivo chromatin structures. </w:t>
      </w:r>
      <w:r w:rsidRPr="003B7B3C">
        <w:rPr>
          <w:rFonts w:asciiTheme="minorHAnsi" w:hAnsiTheme="minorHAnsi" w:cstheme="minorHAnsi"/>
          <w:i/>
          <w:iCs/>
          <w:sz w:val="24"/>
          <w:szCs w:val="24"/>
        </w:rPr>
        <w:t>Proceedings of the National Academy of Sciences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82</w:t>
      </w:r>
      <w:r w:rsidRPr="003B7B3C">
        <w:rPr>
          <w:rFonts w:asciiTheme="minorHAnsi" w:hAnsiTheme="minorHAnsi" w:cstheme="minorHAnsi"/>
          <w:sz w:val="24"/>
          <w:szCs w:val="24"/>
        </w:rPr>
        <w:t xml:space="preserve"> (19), 6470–6474 (1985).</w:t>
      </w:r>
    </w:p>
    <w:p w14:paraId="642DECDA" w14:textId="0CFA65A9"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4</w:t>
      </w:r>
      <w:r w:rsidR="0021610B">
        <w:rPr>
          <w:rFonts w:asciiTheme="minorHAnsi" w:hAnsiTheme="minorHAnsi" w:cstheme="minorHAnsi"/>
          <w:sz w:val="24"/>
          <w:szCs w:val="24"/>
        </w:rPr>
        <w:t>8</w:t>
      </w:r>
      <w:r w:rsidRPr="003B7B3C">
        <w:rPr>
          <w:rFonts w:asciiTheme="minorHAnsi" w:hAnsiTheme="minorHAnsi" w:cstheme="minorHAnsi"/>
          <w:sz w:val="24"/>
          <w:szCs w:val="24"/>
        </w:rPr>
        <w:t>.</w:t>
      </w:r>
      <w:r w:rsidRPr="003B7B3C">
        <w:rPr>
          <w:rFonts w:asciiTheme="minorHAnsi" w:hAnsiTheme="minorHAnsi" w:cstheme="minorHAnsi"/>
          <w:sz w:val="24"/>
          <w:szCs w:val="24"/>
        </w:rPr>
        <w:tab/>
        <w:t>Solomon, M.</w:t>
      </w:r>
      <w:r>
        <w:rPr>
          <w:rFonts w:asciiTheme="minorHAnsi" w:hAnsiTheme="minorHAnsi" w:cstheme="minorHAnsi"/>
          <w:sz w:val="24"/>
          <w:szCs w:val="24"/>
        </w:rPr>
        <w:t xml:space="preserve"> </w:t>
      </w:r>
      <w:r w:rsidRPr="003B7B3C">
        <w:rPr>
          <w:rFonts w:asciiTheme="minorHAnsi" w:hAnsiTheme="minorHAnsi" w:cstheme="minorHAnsi"/>
          <w:sz w:val="24"/>
          <w:szCs w:val="24"/>
        </w:rPr>
        <w:t>J., Larsen, P.</w:t>
      </w:r>
      <w:r>
        <w:rPr>
          <w:rFonts w:asciiTheme="minorHAnsi" w:hAnsiTheme="minorHAnsi" w:cstheme="minorHAnsi"/>
          <w:sz w:val="24"/>
          <w:szCs w:val="24"/>
        </w:rPr>
        <w:t xml:space="preserve"> </w:t>
      </w:r>
      <w:r w:rsidRPr="003B7B3C">
        <w:rPr>
          <w:rFonts w:asciiTheme="minorHAnsi" w:hAnsiTheme="minorHAnsi" w:cstheme="minorHAnsi"/>
          <w:sz w:val="24"/>
          <w:szCs w:val="24"/>
        </w:rPr>
        <w:t xml:space="preserve">L., Varshavsky, A. Mapping proteinDNA interactions in vivo with formaldehyde: Evidence that histone H4 is retained on a highly transcribed gene. </w:t>
      </w:r>
      <w:r w:rsidRPr="003B7B3C">
        <w:rPr>
          <w:rFonts w:asciiTheme="minorHAnsi" w:hAnsiTheme="minorHAnsi" w:cstheme="minorHAnsi"/>
          <w:i/>
          <w:iCs/>
          <w:sz w:val="24"/>
          <w:szCs w:val="24"/>
        </w:rPr>
        <w:t>Cell</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53</w:t>
      </w:r>
      <w:r w:rsidRPr="003B7B3C">
        <w:rPr>
          <w:rFonts w:asciiTheme="minorHAnsi" w:hAnsiTheme="minorHAnsi" w:cstheme="minorHAnsi"/>
          <w:sz w:val="24"/>
          <w:szCs w:val="24"/>
        </w:rPr>
        <w:t xml:space="preserve"> (6), 937–947 (1988).</w:t>
      </w:r>
    </w:p>
    <w:p w14:paraId="50E45B09" w14:textId="02D95109"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4</w:t>
      </w:r>
      <w:r w:rsidR="0021610B">
        <w:rPr>
          <w:rFonts w:asciiTheme="minorHAnsi" w:hAnsiTheme="minorHAnsi" w:cstheme="minorHAnsi"/>
          <w:sz w:val="24"/>
          <w:szCs w:val="24"/>
        </w:rPr>
        <w:t>9</w:t>
      </w:r>
      <w:r w:rsidRPr="003B7B3C">
        <w:rPr>
          <w:rFonts w:asciiTheme="minorHAnsi" w:hAnsiTheme="minorHAnsi" w:cstheme="minorHAnsi"/>
          <w:sz w:val="24"/>
          <w:szCs w:val="24"/>
        </w:rPr>
        <w:t>.</w:t>
      </w:r>
      <w:r w:rsidRPr="003B7B3C">
        <w:rPr>
          <w:rFonts w:asciiTheme="minorHAnsi" w:hAnsiTheme="minorHAnsi" w:cstheme="minorHAnsi"/>
          <w:sz w:val="24"/>
          <w:szCs w:val="24"/>
        </w:rPr>
        <w:tab/>
        <w:t>Bohlen, J., Fenzl, K., Kramer, G., Bukau, B., Teleman, A.</w:t>
      </w:r>
      <w:r>
        <w:rPr>
          <w:rFonts w:asciiTheme="minorHAnsi" w:hAnsiTheme="minorHAnsi" w:cstheme="minorHAnsi"/>
          <w:sz w:val="24"/>
          <w:szCs w:val="24"/>
        </w:rPr>
        <w:t xml:space="preserve"> </w:t>
      </w:r>
      <w:r w:rsidRPr="003B7B3C">
        <w:rPr>
          <w:rFonts w:asciiTheme="minorHAnsi" w:hAnsiTheme="minorHAnsi" w:cstheme="minorHAnsi"/>
          <w:sz w:val="24"/>
          <w:szCs w:val="24"/>
        </w:rPr>
        <w:t xml:space="preserve">A. Selective 40S </w:t>
      </w:r>
      <w:r>
        <w:rPr>
          <w:rFonts w:asciiTheme="minorHAnsi" w:hAnsiTheme="minorHAnsi" w:cstheme="minorHAnsi"/>
          <w:sz w:val="24"/>
          <w:szCs w:val="24"/>
        </w:rPr>
        <w:t>f</w:t>
      </w:r>
      <w:r w:rsidRPr="003B7B3C">
        <w:rPr>
          <w:rFonts w:asciiTheme="minorHAnsi" w:hAnsiTheme="minorHAnsi" w:cstheme="minorHAnsi"/>
          <w:sz w:val="24"/>
          <w:szCs w:val="24"/>
        </w:rPr>
        <w:t xml:space="preserve">ootprinting </w:t>
      </w:r>
      <w:r>
        <w:rPr>
          <w:rFonts w:asciiTheme="minorHAnsi" w:hAnsiTheme="minorHAnsi" w:cstheme="minorHAnsi"/>
          <w:sz w:val="24"/>
          <w:szCs w:val="24"/>
        </w:rPr>
        <w:t>r</w:t>
      </w:r>
      <w:r w:rsidRPr="003B7B3C">
        <w:rPr>
          <w:rFonts w:asciiTheme="minorHAnsi" w:hAnsiTheme="minorHAnsi" w:cstheme="minorHAnsi"/>
          <w:sz w:val="24"/>
          <w:szCs w:val="24"/>
        </w:rPr>
        <w:t xml:space="preserve">eveals </w:t>
      </w:r>
      <w:r>
        <w:rPr>
          <w:rFonts w:asciiTheme="minorHAnsi" w:hAnsiTheme="minorHAnsi" w:cstheme="minorHAnsi"/>
          <w:sz w:val="24"/>
          <w:szCs w:val="24"/>
        </w:rPr>
        <w:t>c</w:t>
      </w:r>
      <w:r w:rsidRPr="003B7B3C">
        <w:rPr>
          <w:rFonts w:asciiTheme="minorHAnsi" w:hAnsiTheme="minorHAnsi" w:cstheme="minorHAnsi"/>
          <w:sz w:val="24"/>
          <w:szCs w:val="24"/>
        </w:rPr>
        <w:t>ap-</w:t>
      </w:r>
      <w:r>
        <w:rPr>
          <w:rFonts w:asciiTheme="minorHAnsi" w:hAnsiTheme="minorHAnsi" w:cstheme="minorHAnsi"/>
          <w:sz w:val="24"/>
          <w:szCs w:val="24"/>
        </w:rPr>
        <w:t>t</w:t>
      </w:r>
      <w:r w:rsidRPr="003B7B3C">
        <w:rPr>
          <w:rFonts w:asciiTheme="minorHAnsi" w:hAnsiTheme="minorHAnsi" w:cstheme="minorHAnsi"/>
          <w:sz w:val="24"/>
          <w:szCs w:val="24"/>
        </w:rPr>
        <w:t xml:space="preserve">ethered </w:t>
      </w:r>
      <w:r>
        <w:rPr>
          <w:rFonts w:asciiTheme="minorHAnsi" w:hAnsiTheme="minorHAnsi" w:cstheme="minorHAnsi"/>
          <w:sz w:val="24"/>
          <w:szCs w:val="24"/>
        </w:rPr>
        <w:t>r</w:t>
      </w:r>
      <w:r w:rsidRPr="003B7B3C">
        <w:rPr>
          <w:rFonts w:asciiTheme="minorHAnsi" w:hAnsiTheme="minorHAnsi" w:cstheme="minorHAnsi"/>
          <w:sz w:val="24"/>
          <w:szCs w:val="24"/>
        </w:rPr>
        <w:t xml:space="preserve">ibosome </w:t>
      </w:r>
      <w:r>
        <w:rPr>
          <w:rFonts w:asciiTheme="minorHAnsi" w:hAnsiTheme="minorHAnsi" w:cstheme="minorHAnsi"/>
          <w:sz w:val="24"/>
          <w:szCs w:val="24"/>
        </w:rPr>
        <w:t>s</w:t>
      </w:r>
      <w:r w:rsidRPr="003B7B3C">
        <w:rPr>
          <w:rFonts w:asciiTheme="minorHAnsi" w:hAnsiTheme="minorHAnsi" w:cstheme="minorHAnsi"/>
          <w:sz w:val="24"/>
          <w:szCs w:val="24"/>
        </w:rPr>
        <w:t xml:space="preserve">canning in </w:t>
      </w:r>
      <w:r>
        <w:rPr>
          <w:rFonts w:asciiTheme="minorHAnsi" w:hAnsiTheme="minorHAnsi" w:cstheme="minorHAnsi"/>
          <w:sz w:val="24"/>
          <w:szCs w:val="24"/>
        </w:rPr>
        <w:t>h</w:t>
      </w:r>
      <w:r w:rsidRPr="003B7B3C">
        <w:rPr>
          <w:rFonts w:asciiTheme="minorHAnsi" w:hAnsiTheme="minorHAnsi" w:cstheme="minorHAnsi"/>
          <w:sz w:val="24"/>
          <w:szCs w:val="24"/>
        </w:rPr>
        <w:t xml:space="preserve">uman </w:t>
      </w:r>
      <w:r>
        <w:rPr>
          <w:rFonts w:asciiTheme="minorHAnsi" w:hAnsiTheme="minorHAnsi" w:cstheme="minorHAnsi"/>
          <w:sz w:val="24"/>
          <w:szCs w:val="24"/>
        </w:rPr>
        <w:t>c</w:t>
      </w:r>
      <w:r w:rsidRPr="003B7B3C">
        <w:rPr>
          <w:rFonts w:asciiTheme="minorHAnsi" w:hAnsiTheme="minorHAnsi" w:cstheme="minorHAnsi"/>
          <w:sz w:val="24"/>
          <w:szCs w:val="24"/>
        </w:rPr>
        <w:t xml:space="preserve">ells. </w:t>
      </w:r>
      <w:r w:rsidRPr="003B7B3C">
        <w:rPr>
          <w:rFonts w:asciiTheme="minorHAnsi" w:hAnsiTheme="minorHAnsi" w:cstheme="minorHAnsi"/>
          <w:i/>
          <w:iCs/>
          <w:sz w:val="24"/>
          <w:szCs w:val="24"/>
        </w:rPr>
        <w:t>Molecular Cell</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79</w:t>
      </w:r>
      <w:r w:rsidRPr="003B7B3C">
        <w:rPr>
          <w:rFonts w:asciiTheme="minorHAnsi" w:hAnsiTheme="minorHAnsi" w:cstheme="minorHAnsi"/>
          <w:sz w:val="24"/>
          <w:szCs w:val="24"/>
        </w:rPr>
        <w:t xml:space="preserve"> (4), 561-574.e5 (2020).</w:t>
      </w:r>
    </w:p>
    <w:p w14:paraId="21BE62F6" w14:textId="782A56B2" w:rsidR="0021610B" w:rsidRDefault="0021610B" w:rsidP="003B7B3C">
      <w:pPr>
        <w:pStyle w:val="Bibliography"/>
        <w:jc w:val="both"/>
        <w:rPr>
          <w:rFonts w:asciiTheme="minorHAnsi" w:hAnsiTheme="minorHAnsi" w:cstheme="minorHAnsi"/>
          <w:sz w:val="24"/>
          <w:szCs w:val="24"/>
        </w:rPr>
      </w:pPr>
      <w:r>
        <w:rPr>
          <w:rFonts w:asciiTheme="minorHAnsi" w:hAnsiTheme="minorHAnsi" w:cstheme="minorHAnsi"/>
          <w:sz w:val="24"/>
          <w:szCs w:val="24"/>
        </w:rPr>
        <w:t xml:space="preserve">50. </w:t>
      </w:r>
      <w:proofErr w:type="spellStart"/>
      <w:r>
        <w:rPr>
          <w:rFonts w:cs="Calibri"/>
          <w:color w:val="222222"/>
          <w:szCs w:val="22"/>
          <w:shd w:val="clear" w:color="auto" w:fill="FFFFFF"/>
        </w:rPr>
        <w:t>Shirokikh</w:t>
      </w:r>
      <w:proofErr w:type="spellEnd"/>
      <w:r>
        <w:rPr>
          <w:rFonts w:cs="Calibri"/>
          <w:color w:val="222222"/>
          <w:szCs w:val="22"/>
          <w:shd w:val="clear" w:color="auto" w:fill="FFFFFF"/>
        </w:rPr>
        <w:t>, N.E. Translation complex stabilization on messenger RNA and footprint profiling to study the RNA responses and dynamics of protein biosynthesis in the cells. </w:t>
      </w:r>
      <w:r>
        <w:rPr>
          <w:rFonts w:cs="Calibri"/>
          <w:i/>
          <w:iCs/>
          <w:color w:val="222222"/>
          <w:szCs w:val="22"/>
          <w:shd w:val="clear" w:color="auto" w:fill="FFFFFF"/>
        </w:rPr>
        <w:t>Critical Reviews in Biochemistry and Molecular Biology</w:t>
      </w:r>
      <w:r>
        <w:rPr>
          <w:rFonts w:cs="Calibri"/>
          <w:color w:val="222222"/>
          <w:szCs w:val="22"/>
          <w:shd w:val="clear" w:color="auto" w:fill="FFFFFF"/>
        </w:rPr>
        <w:t>. Doi: 10.1080/10409238.2021.2006599 (2021).</w:t>
      </w:r>
    </w:p>
    <w:p w14:paraId="63853B10" w14:textId="1AA3BACD" w:rsidR="006B6616" w:rsidRPr="003B7B3C" w:rsidRDefault="0021610B" w:rsidP="003B7B3C">
      <w:pPr>
        <w:pStyle w:val="Bibliography"/>
        <w:jc w:val="both"/>
        <w:rPr>
          <w:rFonts w:asciiTheme="minorHAnsi" w:hAnsiTheme="minorHAnsi" w:cstheme="minorHAnsi"/>
          <w:sz w:val="24"/>
          <w:szCs w:val="24"/>
        </w:rPr>
      </w:pPr>
      <w:r>
        <w:rPr>
          <w:rFonts w:asciiTheme="minorHAnsi" w:hAnsiTheme="minorHAnsi" w:cstheme="minorHAnsi"/>
          <w:sz w:val="24"/>
          <w:szCs w:val="24"/>
        </w:rPr>
        <w:t>51</w:t>
      </w:r>
      <w:r w:rsidR="00E473AD" w:rsidRPr="003B7B3C">
        <w:rPr>
          <w:rFonts w:asciiTheme="minorHAnsi" w:hAnsiTheme="minorHAnsi" w:cstheme="minorHAnsi"/>
          <w:sz w:val="24"/>
          <w:szCs w:val="24"/>
        </w:rPr>
        <w:t>.</w:t>
      </w:r>
      <w:r w:rsidR="00E473AD" w:rsidRPr="003B7B3C">
        <w:rPr>
          <w:rFonts w:asciiTheme="minorHAnsi" w:hAnsiTheme="minorHAnsi" w:cstheme="minorHAnsi"/>
          <w:sz w:val="24"/>
          <w:szCs w:val="24"/>
        </w:rPr>
        <w:tab/>
        <w:t>Giess, A.</w:t>
      </w:r>
      <w:r w:rsidR="00E473AD" w:rsidRPr="00E473AD">
        <w:rPr>
          <w:rFonts w:asciiTheme="minorHAnsi" w:hAnsiTheme="minorHAnsi" w:cstheme="minorHAnsi"/>
          <w:sz w:val="24"/>
          <w:szCs w:val="24"/>
        </w:rPr>
        <w:t xml:space="preserve"> et al. </w:t>
      </w:r>
      <w:r w:rsidR="00E473AD" w:rsidRPr="003B7B3C">
        <w:rPr>
          <w:rFonts w:asciiTheme="minorHAnsi" w:hAnsiTheme="minorHAnsi" w:cstheme="minorHAnsi"/>
          <w:sz w:val="24"/>
          <w:szCs w:val="24"/>
        </w:rPr>
        <w:t xml:space="preserve">Profiling of small ribosomal subunits reveals modes and regulation of translation initiation. </w:t>
      </w:r>
      <w:r w:rsidR="00E473AD" w:rsidRPr="003B7B3C">
        <w:rPr>
          <w:rFonts w:asciiTheme="minorHAnsi" w:hAnsiTheme="minorHAnsi" w:cstheme="minorHAnsi"/>
          <w:i/>
          <w:iCs/>
          <w:sz w:val="24"/>
          <w:szCs w:val="24"/>
        </w:rPr>
        <w:t>Cell Reports</w:t>
      </w:r>
      <w:r w:rsidR="00E473AD" w:rsidRPr="003B7B3C">
        <w:rPr>
          <w:rFonts w:asciiTheme="minorHAnsi" w:hAnsiTheme="minorHAnsi" w:cstheme="minorHAnsi"/>
          <w:sz w:val="24"/>
          <w:szCs w:val="24"/>
        </w:rPr>
        <w:t xml:space="preserve">. </w:t>
      </w:r>
      <w:r w:rsidR="00E473AD" w:rsidRPr="003B7B3C">
        <w:rPr>
          <w:rFonts w:asciiTheme="minorHAnsi" w:hAnsiTheme="minorHAnsi" w:cstheme="minorHAnsi"/>
          <w:b/>
          <w:bCs/>
          <w:sz w:val="24"/>
          <w:szCs w:val="24"/>
        </w:rPr>
        <w:t>31</w:t>
      </w:r>
      <w:r w:rsidR="00E473AD" w:rsidRPr="003B7B3C">
        <w:rPr>
          <w:rFonts w:asciiTheme="minorHAnsi" w:hAnsiTheme="minorHAnsi" w:cstheme="minorHAnsi"/>
          <w:sz w:val="24"/>
          <w:szCs w:val="24"/>
        </w:rPr>
        <w:t xml:space="preserve"> (3), 107534 (2020). </w:t>
      </w:r>
    </w:p>
    <w:p w14:paraId="0937CA01" w14:textId="74715F5B" w:rsidR="006B6616" w:rsidRPr="003B7B3C" w:rsidRDefault="0021610B" w:rsidP="003B7B3C">
      <w:pPr>
        <w:pStyle w:val="Bibliography"/>
        <w:jc w:val="both"/>
        <w:rPr>
          <w:rFonts w:asciiTheme="minorHAnsi" w:hAnsiTheme="minorHAnsi" w:cstheme="minorHAnsi"/>
          <w:sz w:val="24"/>
          <w:szCs w:val="24"/>
        </w:rPr>
      </w:pPr>
      <w:r>
        <w:rPr>
          <w:rFonts w:asciiTheme="minorHAnsi" w:hAnsiTheme="minorHAnsi" w:cstheme="minorHAnsi"/>
          <w:sz w:val="24"/>
          <w:szCs w:val="24"/>
        </w:rPr>
        <w:t>52</w:t>
      </w:r>
      <w:r w:rsidR="00E473AD" w:rsidRPr="003B7B3C">
        <w:rPr>
          <w:rFonts w:asciiTheme="minorHAnsi" w:hAnsiTheme="minorHAnsi" w:cstheme="minorHAnsi"/>
          <w:sz w:val="24"/>
          <w:szCs w:val="24"/>
        </w:rPr>
        <w:t>.  Firmino, A.</w:t>
      </w:r>
      <w:r w:rsidR="00E473AD">
        <w:rPr>
          <w:rFonts w:asciiTheme="minorHAnsi" w:hAnsiTheme="minorHAnsi" w:cstheme="minorHAnsi"/>
          <w:sz w:val="24"/>
          <w:szCs w:val="24"/>
        </w:rPr>
        <w:t xml:space="preserve"> </w:t>
      </w:r>
      <w:r w:rsidR="00E473AD" w:rsidRPr="003B7B3C">
        <w:rPr>
          <w:rFonts w:asciiTheme="minorHAnsi" w:hAnsiTheme="minorHAnsi" w:cstheme="minorHAnsi"/>
          <w:sz w:val="24"/>
          <w:szCs w:val="24"/>
        </w:rPr>
        <w:t>A.</w:t>
      </w:r>
      <w:r w:rsidR="00E473AD">
        <w:rPr>
          <w:rFonts w:asciiTheme="minorHAnsi" w:hAnsiTheme="minorHAnsi" w:cstheme="minorHAnsi"/>
          <w:sz w:val="24"/>
          <w:szCs w:val="24"/>
        </w:rPr>
        <w:t xml:space="preserve"> </w:t>
      </w:r>
      <w:r w:rsidR="00E473AD" w:rsidRPr="003B7B3C">
        <w:rPr>
          <w:rFonts w:asciiTheme="minorHAnsi" w:hAnsiTheme="minorHAnsi" w:cstheme="minorHAnsi"/>
          <w:sz w:val="24"/>
          <w:szCs w:val="24"/>
        </w:rPr>
        <w:t>P.</w:t>
      </w:r>
      <w:r w:rsidR="00E473AD">
        <w:rPr>
          <w:rFonts w:asciiTheme="minorHAnsi" w:hAnsiTheme="minorHAnsi" w:cstheme="minorHAnsi"/>
          <w:sz w:val="24"/>
          <w:szCs w:val="24"/>
        </w:rPr>
        <w:t xml:space="preserve"> et al</w:t>
      </w:r>
      <w:r w:rsidR="00E473AD" w:rsidRPr="003B7B3C">
        <w:rPr>
          <w:rFonts w:asciiTheme="minorHAnsi" w:hAnsiTheme="minorHAnsi" w:cstheme="minorHAnsi"/>
          <w:sz w:val="24"/>
          <w:szCs w:val="24"/>
        </w:rPr>
        <w:t xml:space="preserve">. Separation and </w:t>
      </w:r>
      <w:r w:rsidR="00E473AD">
        <w:rPr>
          <w:rFonts w:asciiTheme="minorHAnsi" w:hAnsiTheme="minorHAnsi" w:cstheme="minorHAnsi"/>
          <w:sz w:val="24"/>
          <w:szCs w:val="24"/>
        </w:rPr>
        <w:t>p</w:t>
      </w:r>
      <w:r w:rsidR="00E473AD" w:rsidRPr="003B7B3C">
        <w:rPr>
          <w:rFonts w:asciiTheme="minorHAnsi" w:hAnsiTheme="minorHAnsi" w:cstheme="minorHAnsi"/>
          <w:sz w:val="24"/>
          <w:szCs w:val="24"/>
        </w:rPr>
        <w:t xml:space="preserve">aired </w:t>
      </w:r>
      <w:r w:rsidR="00E473AD">
        <w:rPr>
          <w:rFonts w:asciiTheme="minorHAnsi" w:hAnsiTheme="minorHAnsi" w:cstheme="minorHAnsi"/>
          <w:sz w:val="24"/>
          <w:szCs w:val="24"/>
        </w:rPr>
        <w:t>p</w:t>
      </w:r>
      <w:r w:rsidR="00E473AD" w:rsidRPr="003B7B3C">
        <w:rPr>
          <w:rFonts w:asciiTheme="minorHAnsi" w:hAnsiTheme="minorHAnsi" w:cstheme="minorHAnsi"/>
          <w:sz w:val="24"/>
          <w:szCs w:val="24"/>
        </w:rPr>
        <w:t xml:space="preserve">roteome </w:t>
      </w:r>
      <w:r w:rsidR="00E473AD">
        <w:rPr>
          <w:rFonts w:asciiTheme="minorHAnsi" w:hAnsiTheme="minorHAnsi" w:cstheme="minorHAnsi"/>
          <w:sz w:val="24"/>
          <w:szCs w:val="24"/>
        </w:rPr>
        <w:t>p</w:t>
      </w:r>
      <w:r w:rsidR="00E473AD" w:rsidRPr="003B7B3C">
        <w:rPr>
          <w:rFonts w:asciiTheme="minorHAnsi" w:hAnsiTheme="minorHAnsi" w:cstheme="minorHAnsi"/>
          <w:sz w:val="24"/>
          <w:szCs w:val="24"/>
        </w:rPr>
        <w:t xml:space="preserve">rofiling of </w:t>
      </w:r>
      <w:r w:rsidR="00E473AD">
        <w:rPr>
          <w:rFonts w:asciiTheme="minorHAnsi" w:hAnsiTheme="minorHAnsi" w:cstheme="minorHAnsi"/>
          <w:sz w:val="24"/>
          <w:szCs w:val="24"/>
        </w:rPr>
        <w:t>p</w:t>
      </w:r>
      <w:r w:rsidR="00E473AD" w:rsidRPr="003B7B3C">
        <w:rPr>
          <w:rFonts w:asciiTheme="minorHAnsi" w:hAnsiTheme="minorHAnsi" w:cstheme="minorHAnsi"/>
          <w:sz w:val="24"/>
          <w:szCs w:val="24"/>
        </w:rPr>
        <w:t xml:space="preserve">lant </w:t>
      </w:r>
      <w:r w:rsidR="00E473AD">
        <w:rPr>
          <w:rFonts w:asciiTheme="minorHAnsi" w:hAnsiTheme="minorHAnsi" w:cstheme="minorHAnsi"/>
          <w:sz w:val="24"/>
          <w:szCs w:val="24"/>
        </w:rPr>
        <w:t>c</w:t>
      </w:r>
      <w:r w:rsidR="00E473AD" w:rsidRPr="003B7B3C">
        <w:rPr>
          <w:rFonts w:asciiTheme="minorHAnsi" w:hAnsiTheme="minorHAnsi" w:cstheme="minorHAnsi"/>
          <w:sz w:val="24"/>
          <w:szCs w:val="24"/>
        </w:rPr>
        <w:t xml:space="preserve">hloroplast and </w:t>
      </w:r>
      <w:r w:rsidR="00E473AD">
        <w:rPr>
          <w:rFonts w:asciiTheme="minorHAnsi" w:hAnsiTheme="minorHAnsi" w:cstheme="minorHAnsi"/>
          <w:sz w:val="24"/>
          <w:szCs w:val="24"/>
        </w:rPr>
        <w:t>c</w:t>
      </w:r>
      <w:r w:rsidR="00E473AD" w:rsidRPr="003B7B3C">
        <w:rPr>
          <w:rFonts w:asciiTheme="minorHAnsi" w:hAnsiTheme="minorHAnsi" w:cstheme="minorHAnsi"/>
          <w:sz w:val="24"/>
          <w:szCs w:val="24"/>
        </w:rPr>
        <w:t xml:space="preserve">ytoplasmic </w:t>
      </w:r>
      <w:r w:rsidR="00E473AD">
        <w:rPr>
          <w:rFonts w:asciiTheme="minorHAnsi" w:hAnsiTheme="minorHAnsi" w:cstheme="minorHAnsi"/>
          <w:sz w:val="24"/>
          <w:szCs w:val="24"/>
        </w:rPr>
        <w:t>r</w:t>
      </w:r>
      <w:r w:rsidR="00E473AD" w:rsidRPr="003B7B3C">
        <w:rPr>
          <w:rFonts w:asciiTheme="minorHAnsi" w:hAnsiTheme="minorHAnsi" w:cstheme="minorHAnsi"/>
          <w:sz w:val="24"/>
          <w:szCs w:val="24"/>
        </w:rPr>
        <w:t xml:space="preserve">ibosomes. </w:t>
      </w:r>
      <w:r w:rsidR="00E473AD" w:rsidRPr="00E473AD">
        <w:rPr>
          <w:rFonts w:asciiTheme="minorHAnsi" w:hAnsiTheme="minorHAnsi" w:cstheme="minorHAnsi"/>
          <w:i/>
          <w:iCs/>
          <w:sz w:val="24"/>
          <w:szCs w:val="24"/>
        </w:rPr>
        <w:t>Plants (Basel)</w:t>
      </w:r>
      <w:r w:rsidR="00E473AD">
        <w:rPr>
          <w:rFonts w:asciiTheme="minorHAnsi" w:hAnsiTheme="minorHAnsi" w:cstheme="minorHAnsi"/>
          <w:sz w:val="24"/>
          <w:szCs w:val="24"/>
        </w:rPr>
        <w:t>.</w:t>
      </w:r>
      <w:r w:rsidR="00E473AD" w:rsidRPr="003B7B3C">
        <w:rPr>
          <w:rFonts w:asciiTheme="minorHAnsi" w:hAnsiTheme="minorHAnsi" w:cstheme="minorHAnsi"/>
          <w:sz w:val="24"/>
          <w:szCs w:val="24"/>
        </w:rPr>
        <w:t xml:space="preserve"> </w:t>
      </w:r>
      <w:r w:rsidR="00E473AD" w:rsidRPr="003B7B3C">
        <w:rPr>
          <w:rFonts w:asciiTheme="minorHAnsi" w:hAnsiTheme="minorHAnsi" w:cstheme="minorHAnsi"/>
          <w:b/>
          <w:bCs/>
          <w:sz w:val="24"/>
          <w:szCs w:val="24"/>
        </w:rPr>
        <w:t xml:space="preserve">9 </w:t>
      </w:r>
      <w:r w:rsidR="00E473AD" w:rsidRPr="003B7B3C">
        <w:rPr>
          <w:rFonts w:asciiTheme="minorHAnsi" w:hAnsiTheme="minorHAnsi" w:cstheme="minorHAnsi"/>
          <w:sz w:val="24"/>
          <w:szCs w:val="24"/>
        </w:rPr>
        <w:t xml:space="preserve">(7), (2020) </w:t>
      </w:r>
    </w:p>
    <w:p w14:paraId="3C4D3F23" w14:textId="65A4721F"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5</w:t>
      </w:r>
      <w:r w:rsidR="0021610B">
        <w:rPr>
          <w:rFonts w:asciiTheme="minorHAnsi" w:hAnsiTheme="minorHAnsi" w:cstheme="minorHAnsi"/>
          <w:sz w:val="24"/>
          <w:szCs w:val="24"/>
        </w:rPr>
        <w:t>3</w:t>
      </w:r>
      <w:r w:rsidRPr="003B7B3C">
        <w:rPr>
          <w:rFonts w:asciiTheme="minorHAnsi" w:hAnsiTheme="minorHAnsi" w:cstheme="minorHAnsi"/>
          <w:sz w:val="24"/>
          <w:szCs w:val="24"/>
        </w:rPr>
        <w:t>.  Gerashchenko, M.V</w:t>
      </w:r>
      <w:r>
        <w:rPr>
          <w:rFonts w:asciiTheme="minorHAnsi" w:hAnsiTheme="minorHAnsi" w:cstheme="minorHAnsi"/>
          <w:sz w:val="24"/>
          <w:szCs w:val="24"/>
        </w:rPr>
        <w:t>.,</w:t>
      </w:r>
      <w:r w:rsidRPr="003B7B3C">
        <w:rPr>
          <w:rFonts w:asciiTheme="minorHAnsi" w:hAnsiTheme="minorHAnsi" w:cstheme="minorHAnsi"/>
          <w:sz w:val="24"/>
          <w:szCs w:val="24"/>
        </w:rPr>
        <w:t xml:space="preserve"> Gladyshev, V.</w:t>
      </w:r>
      <w:r>
        <w:rPr>
          <w:rFonts w:asciiTheme="minorHAnsi" w:hAnsiTheme="minorHAnsi" w:cstheme="minorHAnsi"/>
          <w:sz w:val="24"/>
          <w:szCs w:val="24"/>
        </w:rPr>
        <w:t xml:space="preserve"> </w:t>
      </w:r>
      <w:r w:rsidRPr="003B7B3C">
        <w:rPr>
          <w:rFonts w:asciiTheme="minorHAnsi" w:hAnsiTheme="minorHAnsi" w:cstheme="minorHAnsi"/>
          <w:sz w:val="24"/>
          <w:szCs w:val="24"/>
        </w:rPr>
        <w:t xml:space="preserve">N. Translation inhibitors cause abnormalities in ribosome profiling experiments. </w:t>
      </w:r>
      <w:r w:rsidRPr="00E473AD">
        <w:rPr>
          <w:rFonts w:asciiTheme="minorHAnsi" w:hAnsiTheme="minorHAnsi" w:cstheme="minorHAnsi"/>
          <w:i/>
          <w:iCs/>
          <w:sz w:val="24"/>
          <w:szCs w:val="24"/>
        </w:rPr>
        <w:t>Nucleic Acids Research.</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 xml:space="preserve">42 </w:t>
      </w:r>
      <w:r w:rsidRPr="003B7B3C">
        <w:rPr>
          <w:rFonts w:asciiTheme="minorHAnsi" w:hAnsiTheme="minorHAnsi" w:cstheme="minorHAnsi"/>
          <w:sz w:val="24"/>
          <w:szCs w:val="24"/>
        </w:rPr>
        <w:t xml:space="preserve">(17), e134 (2014) </w:t>
      </w:r>
    </w:p>
    <w:p w14:paraId="7A7BF315" w14:textId="50AF5809"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5</w:t>
      </w:r>
      <w:r w:rsidR="0021610B">
        <w:rPr>
          <w:rFonts w:asciiTheme="minorHAnsi" w:hAnsiTheme="minorHAnsi" w:cstheme="minorHAnsi"/>
          <w:sz w:val="24"/>
          <w:szCs w:val="24"/>
        </w:rPr>
        <w:t>4</w:t>
      </w:r>
      <w:r w:rsidRPr="003B7B3C">
        <w:rPr>
          <w:rFonts w:asciiTheme="minorHAnsi" w:hAnsiTheme="minorHAnsi" w:cstheme="minorHAnsi"/>
          <w:sz w:val="24"/>
          <w:szCs w:val="24"/>
        </w:rPr>
        <w:t>.  Santos, D.A., Shi,</w:t>
      </w:r>
      <w:r>
        <w:rPr>
          <w:rFonts w:asciiTheme="minorHAnsi" w:hAnsiTheme="minorHAnsi" w:cstheme="minorHAnsi"/>
          <w:sz w:val="24"/>
          <w:szCs w:val="24"/>
        </w:rPr>
        <w:t xml:space="preserve"> </w:t>
      </w:r>
      <w:r w:rsidRPr="003B7B3C">
        <w:rPr>
          <w:rFonts w:asciiTheme="minorHAnsi" w:hAnsiTheme="minorHAnsi" w:cstheme="minorHAnsi"/>
          <w:sz w:val="24"/>
          <w:szCs w:val="24"/>
        </w:rPr>
        <w:t>L.</w:t>
      </w:r>
      <w:r>
        <w:rPr>
          <w:rFonts w:asciiTheme="minorHAnsi" w:hAnsiTheme="minorHAnsi" w:cstheme="minorHAnsi"/>
          <w:sz w:val="24"/>
          <w:szCs w:val="24"/>
        </w:rPr>
        <w:t xml:space="preserve">, </w:t>
      </w:r>
      <w:r w:rsidRPr="003B7B3C">
        <w:rPr>
          <w:rFonts w:asciiTheme="minorHAnsi" w:hAnsiTheme="minorHAnsi" w:cstheme="minorHAnsi"/>
          <w:sz w:val="24"/>
          <w:szCs w:val="24"/>
        </w:rPr>
        <w:t>Tu,</w:t>
      </w:r>
      <w:r>
        <w:rPr>
          <w:rFonts w:asciiTheme="minorHAnsi" w:hAnsiTheme="minorHAnsi" w:cstheme="minorHAnsi"/>
          <w:sz w:val="24"/>
          <w:szCs w:val="24"/>
        </w:rPr>
        <w:t xml:space="preserve"> </w:t>
      </w:r>
      <w:r w:rsidRPr="003B7B3C">
        <w:rPr>
          <w:rFonts w:asciiTheme="minorHAnsi" w:hAnsiTheme="minorHAnsi" w:cstheme="minorHAnsi"/>
          <w:sz w:val="24"/>
          <w:szCs w:val="24"/>
        </w:rPr>
        <w:t>B.</w:t>
      </w:r>
      <w:r>
        <w:rPr>
          <w:rFonts w:asciiTheme="minorHAnsi" w:hAnsiTheme="minorHAnsi" w:cstheme="minorHAnsi"/>
          <w:sz w:val="24"/>
          <w:szCs w:val="24"/>
        </w:rPr>
        <w:t xml:space="preserve"> </w:t>
      </w:r>
      <w:r w:rsidRPr="003B7B3C">
        <w:rPr>
          <w:rFonts w:asciiTheme="minorHAnsi" w:hAnsiTheme="minorHAnsi" w:cstheme="minorHAnsi"/>
          <w:sz w:val="24"/>
          <w:szCs w:val="24"/>
        </w:rPr>
        <w:t>P.</w:t>
      </w:r>
      <w:r>
        <w:rPr>
          <w:rFonts w:asciiTheme="minorHAnsi" w:hAnsiTheme="minorHAnsi" w:cstheme="minorHAnsi"/>
          <w:sz w:val="24"/>
          <w:szCs w:val="24"/>
        </w:rPr>
        <w:t>,</w:t>
      </w:r>
      <w:r w:rsidRPr="003B7B3C">
        <w:rPr>
          <w:rFonts w:asciiTheme="minorHAnsi" w:hAnsiTheme="minorHAnsi" w:cstheme="minorHAnsi"/>
          <w:sz w:val="24"/>
          <w:szCs w:val="24"/>
        </w:rPr>
        <w:t xml:space="preserve"> Weissman,</w:t>
      </w:r>
      <w:r>
        <w:rPr>
          <w:rFonts w:asciiTheme="minorHAnsi" w:hAnsiTheme="minorHAnsi" w:cstheme="minorHAnsi"/>
          <w:sz w:val="24"/>
          <w:szCs w:val="24"/>
        </w:rPr>
        <w:t xml:space="preserve"> </w:t>
      </w:r>
      <w:r w:rsidRPr="003B7B3C">
        <w:rPr>
          <w:rFonts w:asciiTheme="minorHAnsi" w:hAnsiTheme="minorHAnsi" w:cstheme="minorHAnsi"/>
          <w:sz w:val="24"/>
          <w:szCs w:val="24"/>
        </w:rPr>
        <w:t xml:space="preserve">J.S. Cycloheximide can distort measurements of mRNA levels and translation efficiency. </w:t>
      </w:r>
      <w:r w:rsidRPr="00E473AD">
        <w:rPr>
          <w:rFonts w:asciiTheme="minorHAnsi" w:hAnsiTheme="minorHAnsi" w:cstheme="minorHAnsi"/>
          <w:i/>
          <w:iCs/>
          <w:sz w:val="24"/>
          <w:szCs w:val="24"/>
        </w:rPr>
        <w:t>Nucleic Acids Research.</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47</w:t>
      </w:r>
      <w:r w:rsidRPr="003B7B3C">
        <w:rPr>
          <w:rFonts w:asciiTheme="minorHAnsi" w:hAnsiTheme="minorHAnsi" w:cstheme="minorHAnsi"/>
          <w:sz w:val="24"/>
          <w:szCs w:val="24"/>
        </w:rPr>
        <w:t xml:space="preserve"> (10), 4974-4985 (2019) </w:t>
      </w:r>
    </w:p>
    <w:p w14:paraId="002976E0" w14:textId="008C618E"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5</w:t>
      </w:r>
      <w:r w:rsidR="0021610B">
        <w:rPr>
          <w:rFonts w:asciiTheme="minorHAnsi" w:hAnsiTheme="minorHAnsi" w:cstheme="minorHAnsi"/>
          <w:sz w:val="24"/>
          <w:szCs w:val="24"/>
        </w:rPr>
        <w:t>5</w:t>
      </w:r>
      <w:r w:rsidRPr="003B7B3C">
        <w:rPr>
          <w:rFonts w:asciiTheme="minorHAnsi" w:hAnsiTheme="minorHAnsi" w:cstheme="minorHAnsi"/>
          <w:sz w:val="24"/>
          <w:szCs w:val="24"/>
        </w:rPr>
        <w:t>.  Schneider-Poetsch, T.</w:t>
      </w:r>
      <w:r>
        <w:rPr>
          <w:rFonts w:asciiTheme="minorHAnsi" w:hAnsiTheme="minorHAnsi" w:cstheme="minorHAnsi"/>
          <w:sz w:val="24"/>
          <w:szCs w:val="24"/>
        </w:rPr>
        <w:t xml:space="preserve"> et al.</w:t>
      </w:r>
      <w:r w:rsidRPr="003B7B3C">
        <w:rPr>
          <w:rFonts w:asciiTheme="minorHAnsi" w:hAnsiTheme="minorHAnsi" w:cstheme="minorHAnsi"/>
          <w:sz w:val="24"/>
          <w:szCs w:val="24"/>
        </w:rPr>
        <w:t xml:space="preserve"> Inhibition of eukaryotic translation elongation by cycloheximide and lactimidomycin. </w:t>
      </w:r>
      <w:r w:rsidRPr="00E473AD">
        <w:rPr>
          <w:rFonts w:asciiTheme="minorHAnsi" w:hAnsiTheme="minorHAnsi" w:cstheme="minorHAnsi"/>
          <w:i/>
          <w:iCs/>
          <w:sz w:val="24"/>
          <w:szCs w:val="24"/>
        </w:rPr>
        <w:t>Nature Chemical Biology</w:t>
      </w:r>
      <w:r>
        <w:rPr>
          <w:rFonts w:asciiTheme="minorHAnsi" w:hAnsiTheme="minorHAnsi" w:cstheme="minorHAnsi"/>
          <w:sz w:val="24"/>
          <w:szCs w:val="24"/>
        </w:rPr>
        <w:t>.</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6</w:t>
      </w:r>
      <w:r w:rsidRPr="003B7B3C">
        <w:rPr>
          <w:rFonts w:asciiTheme="minorHAnsi" w:hAnsiTheme="minorHAnsi" w:cstheme="minorHAnsi"/>
          <w:sz w:val="24"/>
          <w:szCs w:val="24"/>
        </w:rPr>
        <w:t xml:space="preserve"> (3), 209-217 (2010)</w:t>
      </w:r>
    </w:p>
    <w:p w14:paraId="51C227CC" w14:textId="7200152C"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5</w:t>
      </w:r>
      <w:r w:rsidR="0021610B">
        <w:rPr>
          <w:rFonts w:asciiTheme="minorHAnsi" w:hAnsiTheme="minorHAnsi" w:cstheme="minorHAnsi"/>
          <w:sz w:val="24"/>
          <w:szCs w:val="24"/>
        </w:rPr>
        <w:t>6</w:t>
      </w:r>
      <w:r w:rsidRPr="003B7B3C">
        <w:rPr>
          <w:rFonts w:asciiTheme="minorHAnsi" w:hAnsiTheme="minorHAnsi" w:cstheme="minorHAnsi"/>
          <w:sz w:val="24"/>
          <w:szCs w:val="24"/>
        </w:rPr>
        <w:t>.</w:t>
      </w:r>
      <w:r w:rsidRPr="003B7B3C">
        <w:rPr>
          <w:rFonts w:asciiTheme="minorHAnsi" w:hAnsiTheme="minorHAnsi" w:cstheme="minorHAnsi"/>
          <w:sz w:val="24"/>
          <w:szCs w:val="24"/>
        </w:rPr>
        <w:tab/>
        <w:t>Plénat, F.</w:t>
      </w:r>
      <w:r w:rsidRPr="00E473AD">
        <w:rPr>
          <w:rFonts w:asciiTheme="minorHAnsi" w:hAnsiTheme="minorHAnsi" w:cstheme="minorHAnsi"/>
          <w:sz w:val="24"/>
          <w:szCs w:val="24"/>
        </w:rPr>
        <w:t xml:space="preserve"> et al.</w:t>
      </w:r>
      <w:r w:rsidRPr="003B7B3C">
        <w:rPr>
          <w:rFonts w:asciiTheme="minorHAnsi" w:hAnsiTheme="minorHAnsi" w:cstheme="minorHAnsi"/>
          <w:sz w:val="24"/>
          <w:szCs w:val="24"/>
        </w:rPr>
        <w:t xml:space="preserve"> Formaldehyde fixation in the third millennium. </w:t>
      </w:r>
      <w:r w:rsidRPr="003B7B3C">
        <w:rPr>
          <w:rFonts w:asciiTheme="minorHAnsi" w:hAnsiTheme="minorHAnsi" w:cstheme="minorHAnsi"/>
          <w:i/>
          <w:iCs/>
          <w:sz w:val="24"/>
          <w:szCs w:val="24"/>
        </w:rPr>
        <w:t>Annales De Pathologie</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21</w:t>
      </w:r>
      <w:r w:rsidRPr="003B7B3C">
        <w:rPr>
          <w:rFonts w:asciiTheme="minorHAnsi" w:hAnsiTheme="minorHAnsi" w:cstheme="minorHAnsi"/>
          <w:sz w:val="24"/>
          <w:szCs w:val="24"/>
        </w:rPr>
        <w:t xml:space="preserve"> (1), 29–47 (2001).</w:t>
      </w:r>
    </w:p>
    <w:p w14:paraId="207D8E56" w14:textId="16694741"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5</w:t>
      </w:r>
      <w:r w:rsidR="0021610B">
        <w:rPr>
          <w:rFonts w:asciiTheme="minorHAnsi" w:hAnsiTheme="minorHAnsi" w:cstheme="minorHAnsi"/>
          <w:sz w:val="24"/>
          <w:szCs w:val="24"/>
        </w:rPr>
        <w:t>7</w:t>
      </w:r>
      <w:r w:rsidRPr="003B7B3C">
        <w:rPr>
          <w:rFonts w:asciiTheme="minorHAnsi" w:hAnsiTheme="minorHAnsi" w:cstheme="minorHAnsi"/>
          <w:sz w:val="24"/>
          <w:szCs w:val="24"/>
        </w:rPr>
        <w:t>.</w:t>
      </w:r>
      <w:r w:rsidRPr="003B7B3C">
        <w:rPr>
          <w:rFonts w:asciiTheme="minorHAnsi" w:hAnsiTheme="minorHAnsi" w:cstheme="minorHAnsi"/>
          <w:sz w:val="24"/>
          <w:szCs w:val="24"/>
        </w:rPr>
        <w:tab/>
        <w:t>Salic, A., Mitchison, T.</w:t>
      </w:r>
      <w:r>
        <w:rPr>
          <w:rFonts w:asciiTheme="minorHAnsi" w:hAnsiTheme="minorHAnsi" w:cstheme="minorHAnsi"/>
          <w:sz w:val="24"/>
          <w:szCs w:val="24"/>
        </w:rPr>
        <w:t xml:space="preserve"> </w:t>
      </w:r>
      <w:r w:rsidRPr="003B7B3C">
        <w:rPr>
          <w:rFonts w:asciiTheme="minorHAnsi" w:hAnsiTheme="minorHAnsi" w:cstheme="minorHAnsi"/>
          <w:sz w:val="24"/>
          <w:szCs w:val="24"/>
        </w:rPr>
        <w:t xml:space="preserve">J. A chemical method for fast and sensitive detection of DNA synthesis in vivo. </w:t>
      </w:r>
      <w:r w:rsidRPr="003B7B3C">
        <w:rPr>
          <w:rFonts w:asciiTheme="minorHAnsi" w:hAnsiTheme="minorHAnsi" w:cstheme="minorHAnsi"/>
          <w:i/>
          <w:iCs/>
          <w:sz w:val="24"/>
          <w:szCs w:val="24"/>
        </w:rPr>
        <w:t>Proceedings of the National Academy of Sciences</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105</w:t>
      </w:r>
      <w:r w:rsidRPr="003B7B3C">
        <w:rPr>
          <w:rFonts w:asciiTheme="minorHAnsi" w:hAnsiTheme="minorHAnsi" w:cstheme="minorHAnsi"/>
          <w:sz w:val="24"/>
          <w:szCs w:val="24"/>
        </w:rPr>
        <w:t xml:space="preserve"> (7), 2415–2420 (2008).</w:t>
      </w:r>
    </w:p>
    <w:p w14:paraId="0BCA3736" w14:textId="14AED1E6"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5</w:t>
      </w:r>
      <w:r w:rsidR="0021610B">
        <w:rPr>
          <w:rFonts w:asciiTheme="minorHAnsi" w:hAnsiTheme="minorHAnsi" w:cstheme="minorHAnsi"/>
          <w:sz w:val="24"/>
          <w:szCs w:val="24"/>
        </w:rPr>
        <w:t>8</w:t>
      </w:r>
      <w:r w:rsidRPr="003B7B3C">
        <w:rPr>
          <w:rFonts w:asciiTheme="minorHAnsi" w:hAnsiTheme="minorHAnsi" w:cstheme="minorHAnsi"/>
          <w:sz w:val="24"/>
          <w:szCs w:val="24"/>
        </w:rPr>
        <w:t>.</w:t>
      </w:r>
      <w:r w:rsidRPr="003B7B3C">
        <w:rPr>
          <w:rFonts w:asciiTheme="minorHAnsi" w:hAnsiTheme="minorHAnsi" w:cstheme="minorHAnsi"/>
          <w:sz w:val="24"/>
          <w:szCs w:val="24"/>
        </w:rPr>
        <w:tab/>
        <w:t>Wang, N.</w:t>
      </w:r>
      <w:r>
        <w:rPr>
          <w:rFonts w:asciiTheme="minorHAnsi" w:hAnsiTheme="minorHAnsi" w:cstheme="minorHAnsi"/>
          <w:sz w:val="24"/>
          <w:szCs w:val="24"/>
        </w:rPr>
        <w:t xml:space="preserve"> </w:t>
      </w:r>
      <w:r w:rsidRPr="003B7B3C">
        <w:rPr>
          <w:rFonts w:asciiTheme="minorHAnsi" w:hAnsiTheme="minorHAnsi" w:cstheme="minorHAnsi"/>
          <w:sz w:val="24"/>
          <w:szCs w:val="24"/>
        </w:rPr>
        <w:t xml:space="preserve">S., Minassian, H. The formaldehyde-fixed and paraffin-embedded tissues for diagnostic transmission electron microscopy: </w:t>
      </w:r>
      <w:r>
        <w:rPr>
          <w:rFonts w:asciiTheme="minorHAnsi" w:hAnsiTheme="minorHAnsi" w:cstheme="minorHAnsi"/>
          <w:sz w:val="24"/>
          <w:szCs w:val="24"/>
        </w:rPr>
        <w:t>A</w:t>
      </w:r>
      <w:r w:rsidRPr="003B7B3C">
        <w:rPr>
          <w:rFonts w:asciiTheme="minorHAnsi" w:hAnsiTheme="minorHAnsi" w:cstheme="minorHAnsi"/>
          <w:sz w:val="24"/>
          <w:szCs w:val="24"/>
        </w:rPr>
        <w:t xml:space="preserve"> retrospective and prospective study. </w:t>
      </w:r>
      <w:r w:rsidRPr="003B7B3C">
        <w:rPr>
          <w:rFonts w:asciiTheme="minorHAnsi" w:hAnsiTheme="minorHAnsi" w:cstheme="minorHAnsi"/>
          <w:i/>
          <w:iCs/>
          <w:sz w:val="24"/>
          <w:szCs w:val="24"/>
        </w:rPr>
        <w:t>Human Pathology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18</w:t>
      </w:r>
      <w:r w:rsidRPr="003B7B3C">
        <w:rPr>
          <w:rFonts w:asciiTheme="minorHAnsi" w:hAnsiTheme="minorHAnsi" w:cstheme="minorHAnsi"/>
          <w:sz w:val="24"/>
          <w:szCs w:val="24"/>
        </w:rPr>
        <w:t xml:space="preserve"> (7), 715–727 (1987).</w:t>
      </w:r>
    </w:p>
    <w:p w14:paraId="67B4CE68" w14:textId="37E55F4B"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5</w:t>
      </w:r>
      <w:r w:rsidR="0021610B">
        <w:rPr>
          <w:rFonts w:asciiTheme="minorHAnsi" w:hAnsiTheme="minorHAnsi" w:cstheme="minorHAnsi"/>
          <w:sz w:val="24"/>
          <w:szCs w:val="24"/>
        </w:rPr>
        <w:t>9</w:t>
      </w:r>
      <w:r w:rsidRPr="003B7B3C">
        <w:rPr>
          <w:rFonts w:asciiTheme="minorHAnsi" w:hAnsiTheme="minorHAnsi" w:cstheme="minorHAnsi"/>
          <w:sz w:val="24"/>
          <w:szCs w:val="24"/>
        </w:rPr>
        <w:t>.</w:t>
      </w:r>
      <w:r w:rsidRPr="003B7B3C">
        <w:rPr>
          <w:rFonts w:asciiTheme="minorHAnsi" w:hAnsiTheme="minorHAnsi" w:cstheme="minorHAnsi"/>
          <w:sz w:val="24"/>
          <w:szCs w:val="24"/>
        </w:rPr>
        <w:tab/>
        <w:t>Grifo, J.</w:t>
      </w:r>
      <w:r>
        <w:rPr>
          <w:rFonts w:asciiTheme="minorHAnsi" w:hAnsiTheme="minorHAnsi" w:cstheme="minorHAnsi"/>
          <w:sz w:val="24"/>
          <w:szCs w:val="24"/>
        </w:rPr>
        <w:t xml:space="preserve"> </w:t>
      </w:r>
      <w:r w:rsidRPr="003B7B3C">
        <w:rPr>
          <w:rFonts w:asciiTheme="minorHAnsi" w:hAnsiTheme="minorHAnsi" w:cstheme="minorHAnsi"/>
          <w:sz w:val="24"/>
          <w:szCs w:val="24"/>
        </w:rPr>
        <w:t>A.</w:t>
      </w:r>
      <w:r>
        <w:rPr>
          <w:rFonts w:asciiTheme="minorHAnsi" w:hAnsiTheme="minorHAnsi" w:cstheme="minorHAnsi"/>
          <w:sz w:val="24"/>
          <w:szCs w:val="24"/>
        </w:rPr>
        <w:t xml:space="preserve"> et al.</w:t>
      </w:r>
      <w:r w:rsidRPr="003B7B3C">
        <w:rPr>
          <w:rFonts w:asciiTheme="minorHAnsi" w:hAnsiTheme="minorHAnsi" w:cstheme="minorHAnsi"/>
          <w:sz w:val="24"/>
          <w:szCs w:val="24"/>
        </w:rPr>
        <w:t xml:space="preserve"> Characterization of eukaryotic initiation factor 4A, a protein involved in ATP-dependent binding of globin mRNA. </w:t>
      </w:r>
      <w:r w:rsidRPr="003B7B3C">
        <w:rPr>
          <w:rFonts w:asciiTheme="minorHAnsi" w:hAnsiTheme="minorHAnsi" w:cstheme="minorHAnsi"/>
          <w:i/>
          <w:iCs/>
          <w:sz w:val="24"/>
          <w:szCs w:val="24"/>
        </w:rPr>
        <w:t>Journal of Biological Chemistry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257</w:t>
      </w:r>
      <w:r w:rsidRPr="003B7B3C">
        <w:rPr>
          <w:rFonts w:asciiTheme="minorHAnsi" w:hAnsiTheme="minorHAnsi" w:cstheme="minorHAnsi"/>
          <w:sz w:val="24"/>
          <w:szCs w:val="24"/>
        </w:rPr>
        <w:t xml:space="preserve"> (9), 5246–5252 (1982).</w:t>
      </w:r>
    </w:p>
    <w:p w14:paraId="1E5F6A0A" w14:textId="26927740" w:rsidR="006B6616" w:rsidRPr="003B7B3C" w:rsidRDefault="0021610B" w:rsidP="003B7B3C">
      <w:pPr>
        <w:pStyle w:val="Bibliography"/>
        <w:jc w:val="both"/>
        <w:rPr>
          <w:rFonts w:asciiTheme="minorHAnsi" w:hAnsiTheme="minorHAnsi" w:cstheme="minorHAnsi"/>
          <w:sz w:val="24"/>
          <w:szCs w:val="24"/>
        </w:rPr>
      </w:pPr>
      <w:r>
        <w:rPr>
          <w:rFonts w:asciiTheme="minorHAnsi" w:hAnsiTheme="minorHAnsi" w:cstheme="minorHAnsi"/>
          <w:sz w:val="24"/>
          <w:szCs w:val="24"/>
        </w:rPr>
        <w:t>60</w:t>
      </w:r>
      <w:r w:rsidR="00E473AD" w:rsidRPr="003B7B3C">
        <w:rPr>
          <w:rFonts w:asciiTheme="minorHAnsi" w:hAnsiTheme="minorHAnsi" w:cstheme="minorHAnsi"/>
          <w:sz w:val="24"/>
          <w:szCs w:val="24"/>
        </w:rPr>
        <w:t>.</w:t>
      </w:r>
      <w:r w:rsidR="00E473AD" w:rsidRPr="003B7B3C">
        <w:rPr>
          <w:rFonts w:asciiTheme="minorHAnsi" w:hAnsiTheme="minorHAnsi" w:cstheme="minorHAnsi"/>
          <w:sz w:val="24"/>
          <w:szCs w:val="24"/>
        </w:rPr>
        <w:tab/>
        <w:t xml:space="preserve">Li, Y. Commonly used tag combinations for tandem affinity purification. </w:t>
      </w:r>
      <w:r w:rsidR="00E473AD" w:rsidRPr="003B7B3C">
        <w:rPr>
          <w:rFonts w:asciiTheme="minorHAnsi" w:hAnsiTheme="minorHAnsi" w:cstheme="minorHAnsi"/>
          <w:i/>
          <w:iCs/>
          <w:sz w:val="24"/>
          <w:szCs w:val="24"/>
        </w:rPr>
        <w:t>Biotechnology and Applied Biochemistry</w:t>
      </w:r>
      <w:r w:rsidR="00E473AD" w:rsidRPr="003B7B3C">
        <w:rPr>
          <w:rFonts w:asciiTheme="minorHAnsi" w:hAnsiTheme="minorHAnsi" w:cstheme="minorHAnsi"/>
          <w:sz w:val="24"/>
          <w:szCs w:val="24"/>
        </w:rPr>
        <w:t xml:space="preserve">. </w:t>
      </w:r>
      <w:r w:rsidR="00E473AD" w:rsidRPr="003B7B3C">
        <w:rPr>
          <w:rFonts w:asciiTheme="minorHAnsi" w:hAnsiTheme="minorHAnsi" w:cstheme="minorHAnsi"/>
          <w:b/>
          <w:bCs/>
          <w:sz w:val="24"/>
          <w:szCs w:val="24"/>
        </w:rPr>
        <w:t>55</w:t>
      </w:r>
      <w:r w:rsidR="00E473AD" w:rsidRPr="003B7B3C">
        <w:rPr>
          <w:rFonts w:asciiTheme="minorHAnsi" w:hAnsiTheme="minorHAnsi" w:cstheme="minorHAnsi"/>
          <w:sz w:val="24"/>
          <w:szCs w:val="24"/>
        </w:rPr>
        <w:t xml:space="preserve"> (2), 73–83 (2010).</w:t>
      </w:r>
    </w:p>
    <w:p w14:paraId="4D73B795" w14:textId="3F18EDFC" w:rsidR="006B6616" w:rsidRPr="003B7B3C" w:rsidRDefault="0021610B" w:rsidP="003B7B3C">
      <w:pPr>
        <w:pStyle w:val="Bibliography"/>
        <w:jc w:val="both"/>
        <w:rPr>
          <w:rFonts w:asciiTheme="minorHAnsi" w:hAnsiTheme="minorHAnsi" w:cstheme="minorHAnsi"/>
          <w:sz w:val="24"/>
          <w:szCs w:val="24"/>
        </w:rPr>
      </w:pPr>
      <w:r>
        <w:rPr>
          <w:rFonts w:asciiTheme="minorHAnsi" w:hAnsiTheme="minorHAnsi" w:cstheme="minorHAnsi"/>
          <w:sz w:val="24"/>
          <w:szCs w:val="24"/>
        </w:rPr>
        <w:t>61</w:t>
      </w:r>
      <w:r w:rsidR="00E473AD" w:rsidRPr="003B7B3C">
        <w:rPr>
          <w:rFonts w:asciiTheme="minorHAnsi" w:hAnsiTheme="minorHAnsi" w:cstheme="minorHAnsi"/>
          <w:sz w:val="24"/>
          <w:szCs w:val="24"/>
        </w:rPr>
        <w:t>.</w:t>
      </w:r>
      <w:r w:rsidR="00E473AD" w:rsidRPr="003B7B3C">
        <w:rPr>
          <w:rFonts w:asciiTheme="minorHAnsi" w:hAnsiTheme="minorHAnsi" w:cstheme="minorHAnsi"/>
          <w:sz w:val="24"/>
          <w:szCs w:val="24"/>
        </w:rPr>
        <w:tab/>
        <w:t xml:space="preserve">Blum, S. </w:t>
      </w:r>
      <w:r w:rsidR="00E473AD" w:rsidRPr="00E473AD">
        <w:rPr>
          <w:rFonts w:asciiTheme="minorHAnsi" w:hAnsiTheme="minorHAnsi" w:cstheme="minorHAnsi"/>
          <w:sz w:val="24"/>
          <w:szCs w:val="24"/>
        </w:rPr>
        <w:t>et al.</w:t>
      </w:r>
      <w:r w:rsidR="00E473AD" w:rsidRPr="003B7B3C">
        <w:rPr>
          <w:rFonts w:asciiTheme="minorHAnsi" w:hAnsiTheme="minorHAnsi" w:cstheme="minorHAnsi"/>
          <w:sz w:val="24"/>
          <w:szCs w:val="24"/>
        </w:rPr>
        <w:t xml:space="preserve"> ATP hydrolysis by initiation factor 4A is required for translation initiation in Saccharomyces cerevisiae. </w:t>
      </w:r>
      <w:r w:rsidR="00E473AD" w:rsidRPr="003B7B3C">
        <w:rPr>
          <w:rFonts w:asciiTheme="minorHAnsi" w:hAnsiTheme="minorHAnsi" w:cstheme="minorHAnsi"/>
          <w:i/>
          <w:iCs/>
          <w:sz w:val="24"/>
          <w:szCs w:val="24"/>
        </w:rPr>
        <w:t>Proceedings of the National Academy of Sciences</w:t>
      </w:r>
      <w:r w:rsidR="00E473AD" w:rsidRPr="003B7B3C">
        <w:rPr>
          <w:rFonts w:asciiTheme="minorHAnsi" w:hAnsiTheme="minorHAnsi" w:cstheme="minorHAnsi"/>
          <w:sz w:val="24"/>
          <w:szCs w:val="24"/>
        </w:rPr>
        <w:t xml:space="preserve">. </w:t>
      </w:r>
      <w:r w:rsidR="00E473AD" w:rsidRPr="003B7B3C">
        <w:rPr>
          <w:rFonts w:asciiTheme="minorHAnsi" w:hAnsiTheme="minorHAnsi" w:cstheme="minorHAnsi"/>
          <w:b/>
          <w:bCs/>
          <w:sz w:val="24"/>
          <w:szCs w:val="24"/>
        </w:rPr>
        <w:t>89</w:t>
      </w:r>
      <w:r w:rsidR="00E473AD" w:rsidRPr="003B7B3C">
        <w:rPr>
          <w:rFonts w:asciiTheme="minorHAnsi" w:hAnsiTheme="minorHAnsi" w:cstheme="minorHAnsi"/>
          <w:sz w:val="24"/>
          <w:szCs w:val="24"/>
        </w:rPr>
        <w:t xml:space="preserve"> (16), 7664–7668 (1992).</w:t>
      </w:r>
    </w:p>
    <w:p w14:paraId="6B56A093" w14:textId="0CB04CE2" w:rsidR="006B6616" w:rsidRPr="003B7B3C" w:rsidRDefault="0021610B" w:rsidP="003B7B3C">
      <w:pPr>
        <w:pStyle w:val="Bibliography"/>
        <w:jc w:val="both"/>
        <w:rPr>
          <w:rFonts w:asciiTheme="minorHAnsi" w:hAnsiTheme="minorHAnsi" w:cstheme="minorHAnsi"/>
          <w:sz w:val="24"/>
          <w:szCs w:val="24"/>
        </w:rPr>
      </w:pPr>
      <w:r>
        <w:rPr>
          <w:rFonts w:asciiTheme="minorHAnsi" w:hAnsiTheme="minorHAnsi" w:cstheme="minorHAnsi"/>
          <w:sz w:val="24"/>
          <w:szCs w:val="24"/>
        </w:rPr>
        <w:t>62</w:t>
      </w:r>
      <w:r w:rsidR="00E473AD" w:rsidRPr="003B7B3C">
        <w:rPr>
          <w:rFonts w:asciiTheme="minorHAnsi" w:hAnsiTheme="minorHAnsi" w:cstheme="minorHAnsi"/>
          <w:sz w:val="24"/>
          <w:szCs w:val="24"/>
        </w:rPr>
        <w:t>.</w:t>
      </w:r>
      <w:r w:rsidR="00E473AD" w:rsidRPr="003B7B3C">
        <w:rPr>
          <w:rFonts w:asciiTheme="minorHAnsi" w:hAnsiTheme="minorHAnsi" w:cstheme="minorHAnsi"/>
          <w:sz w:val="24"/>
          <w:szCs w:val="24"/>
        </w:rPr>
        <w:tab/>
        <w:t>Merrick, W.</w:t>
      </w:r>
      <w:r w:rsidR="00E473AD">
        <w:rPr>
          <w:rFonts w:asciiTheme="minorHAnsi" w:hAnsiTheme="minorHAnsi" w:cstheme="minorHAnsi"/>
          <w:sz w:val="24"/>
          <w:szCs w:val="24"/>
        </w:rPr>
        <w:t xml:space="preserve"> </w:t>
      </w:r>
      <w:r w:rsidR="00E473AD" w:rsidRPr="003B7B3C">
        <w:rPr>
          <w:rFonts w:asciiTheme="minorHAnsi" w:hAnsiTheme="minorHAnsi" w:cstheme="minorHAnsi"/>
          <w:sz w:val="24"/>
          <w:szCs w:val="24"/>
        </w:rPr>
        <w:t xml:space="preserve">C. eIF4F: A Retrospective. </w:t>
      </w:r>
      <w:r w:rsidR="00E473AD" w:rsidRPr="003B7B3C">
        <w:rPr>
          <w:rFonts w:asciiTheme="minorHAnsi" w:hAnsiTheme="minorHAnsi" w:cstheme="minorHAnsi"/>
          <w:i/>
          <w:iCs/>
          <w:sz w:val="24"/>
          <w:szCs w:val="24"/>
        </w:rPr>
        <w:t>Journal of Biological Chemistry</w:t>
      </w:r>
      <w:r w:rsidR="00E473AD" w:rsidRPr="003B7B3C">
        <w:rPr>
          <w:rFonts w:asciiTheme="minorHAnsi" w:hAnsiTheme="minorHAnsi" w:cstheme="minorHAnsi"/>
          <w:sz w:val="24"/>
          <w:szCs w:val="24"/>
        </w:rPr>
        <w:t xml:space="preserve">. </w:t>
      </w:r>
      <w:r w:rsidR="00E473AD" w:rsidRPr="003B7B3C">
        <w:rPr>
          <w:rFonts w:asciiTheme="minorHAnsi" w:hAnsiTheme="minorHAnsi" w:cstheme="minorHAnsi"/>
          <w:b/>
          <w:bCs/>
          <w:sz w:val="24"/>
          <w:szCs w:val="24"/>
        </w:rPr>
        <w:t>290</w:t>
      </w:r>
      <w:r w:rsidR="00E473AD" w:rsidRPr="003B7B3C">
        <w:rPr>
          <w:rFonts w:asciiTheme="minorHAnsi" w:hAnsiTheme="minorHAnsi" w:cstheme="minorHAnsi"/>
          <w:sz w:val="24"/>
          <w:szCs w:val="24"/>
        </w:rPr>
        <w:t xml:space="preserve"> (40), 24091–24099 (2015).</w:t>
      </w:r>
    </w:p>
    <w:p w14:paraId="755B123F" w14:textId="38042DF6" w:rsidR="006B6616" w:rsidRPr="003B7B3C" w:rsidRDefault="00E473AD" w:rsidP="003B7B3C">
      <w:pPr>
        <w:pStyle w:val="Bibliography"/>
        <w:jc w:val="both"/>
        <w:rPr>
          <w:rFonts w:asciiTheme="minorHAnsi" w:hAnsiTheme="minorHAnsi" w:cstheme="minorHAnsi"/>
          <w:sz w:val="24"/>
          <w:szCs w:val="24"/>
        </w:rPr>
      </w:pPr>
      <w:r w:rsidRPr="003B7B3C">
        <w:rPr>
          <w:rFonts w:asciiTheme="minorHAnsi" w:hAnsiTheme="minorHAnsi" w:cstheme="minorHAnsi"/>
          <w:sz w:val="24"/>
          <w:szCs w:val="24"/>
        </w:rPr>
        <w:t>6</w:t>
      </w:r>
      <w:r w:rsidR="0021610B">
        <w:rPr>
          <w:rFonts w:asciiTheme="minorHAnsi" w:hAnsiTheme="minorHAnsi" w:cstheme="minorHAnsi"/>
          <w:sz w:val="24"/>
          <w:szCs w:val="24"/>
        </w:rPr>
        <w:t>3</w:t>
      </w:r>
      <w:r w:rsidRPr="003B7B3C">
        <w:rPr>
          <w:rFonts w:asciiTheme="minorHAnsi" w:hAnsiTheme="minorHAnsi" w:cstheme="minorHAnsi"/>
          <w:sz w:val="24"/>
          <w:szCs w:val="24"/>
        </w:rPr>
        <w:t>.</w:t>
      </w:r>
      <w:r w:rsidRPr="003B7B3C">
        <w:rPr>
          <w:rFonts w:asciiTheme="minorHAnsi" w:hAnsiTheme="minorHAnsi" w:cstheme="minorHAnsi"/>
          <w:sz w:val="24"/>
          <w:szCs w:val="24"/>
        </w:rPr>
        <w:tab/>
        <w:t>Rogers, G.</w:t>
      </w:r>
      <w:r>
        <w:rPr>
          <w:rFonts w:asciiTheme="minorHAnsi" w:hAnsiTheme="minorHAnsi" w:cstheme="minorHAnsi"/>
          <w:sz w:val="24"/>
          <w:szCs w:val="24"/>
        </w:rPr>
        <w:t xml:space="preserve"> </w:t>
      </w:r>
      <w:r w:rsidRPr="003B7B3C">
        <w:rPr>
          <w:rFonts w:asciiTheme="minorHAnsi" w:hAnsiTheme="minorHAnsi" w:cstheme="minorHAnsi"/>
          <w:sz w:val="24"/>
          <w:szCs w:val="24"/>
        </w:rPr>
        <w:t>W., Komar, A.</w:t>
      </w:r>
      <w:r>
        <w:rPr>
          <w:rFonts w:asciiTheme="minorHAnsi" w:hAnsiTheme="minorHAnsi" w:cstheme="minorHAnsi"/>
          <w:sz w:val="24"/>
          <w:szCs w:val="24"/>
        </w:rPr>
        <w:t xml:space="preserve"> </w:t>
      </w:r>
      <w:r w:rsidRPr="003B7B3C">
        <w:rPr>
          <w:rFonts w:asciiTheme="minorHAnsi" w:hAnsiTheme="minorHAnsi" w:cstheme="minorHAnsi"/>
          <w:sz w:val="24"/>
          <w:szCs w:val="24"/>
        </w:rPr>
        <w:t>A., Merrick, W.</w:t>
      </w:r>
      <w:r>
        <w:rPr>
          <w:rFonts w:asciiTheme="minorHAnsi" w:hAnsiTheme="minorHAnsi" w:cstheme="minorHAnsi"/>
          <w:sz w:val="24"/>
          <w:szCs w:val="24"/>
        </w:rPr>
        <w:t xml:space="preserve"> </w:t>
      </w:r>
      <w:r w:rsidRPr="003B7B3C">
        <w:rPr>
          <w:rFonts w:asciiTheme="minorHAnsi" w:hAnsiTheme="minorHAnsi" w:cstheme="minorHAnsi"/>
          <w:sz w:val="24"/>
          <w:szCs w:val="24"/>
        </w:rPr>
        <w:t xml:space="preserve">C. eIF4A: </w:t>
      </w:r>
      <w:r>
        <w:rPr>
          <w:rFonts w:asciiTheme="minorHAnsi" w:hAnsiTheme="minorHAnsi" w:cstheme="minorHAnsi"/>
          <w:sz w:val="24"/>
          <w:szCs w:val="24"/>
        </w:rPr>
        <w:t>T</w:t>
      </w:r>
      <w:r w:rsidRPr="003B7B3C">
        <w:rPr>
          <w:rFonts w:asciiTheme="minorHAnsi" w:hAnsiTheme="minorHAnsi" w:cstheme="minorHAnsi"/>
          <w:sz w:val="24"/>
          <w:szCs w:val="24"/>
        </w:rPr>
        <w:t xml:space="preserve">he godfather of the DEAD box helicases. </w:t>
      </w:r>
      <w:r w:rsidRPr="003B7B3C">
        <w:rPr>
          <w:rFonts w:asciiTheme="minorHAnsi" w:hAnsiTheme="minorHAnsi" w:cstheme="minorHAnsi"/>
          <w:i/>
          <w:iCs/>
          <w:sz w:val="24"/>
          <w:szCs w:val="24"/>
        </w:rPr>
        <w:t>Progress in Nucleic Acid Research and Molecular Biology</w:t>
      </w:r>
      <w:r w:rsidRPr="003B7B3C">
        <w:rPr>
          <w:rFonts w:asciiTheme="minorHAnsi" w:hAnsiTheme="minorHAnsi" w:cstheme="minorHAnsi"/>
          <w:sz w:val="24"/>
          <w:szCs w:val="24"/>
        </w:rPr>
        <w:t xml:space="preserve">. </w:t>
      </w:r>
      <w:r w:rsidRPr="003B7B3C">
        <w:rPr>
          <w:rFonts w:asciiTheme="minorHAnsi" w:hAnsiTheme="minorHAnsi" w:cstheme="minorHAnsi"/>
          <w:b/>
          <w:bCs/>
          <w:sz w:val="24"/>
          <w:szCs w:val="24"/>
        </w:rPr>
        <w:t>72</w:t>
      </w:r>
      <w:r w:rsidRPr="003B7B3C">
        <w:rPr>
          <w:rFonts w:asciiTheme="minorHAnsi" w:hAnsiTheme="minorHAnsi" w:cstheme="minorHAnsi"/>
          <w:sz w:val="24"/>
          <w:szCs w:val="24"/>
        </w:rPr>
        <w:t>, 307–331 (2002).</w:t>
      </w:r>
      <w:r w:rsidRPr="003B7B3C">
        <w:rPr>
          <w:rFonts w:asciiTheme="minorHAnsi" w:hAnsiTheme="minorHAnsi" w:cstheme="minorHAnsi"/>
          <w:sz w:val="24"/>
          <w:szCs w:val="24"/>
        </w:rPr>
        <w:fldChar w:fldCharType="end"/>
      </w:r>
    </w:p>
    <w:sectPr w:rsidR="006B6616" w:rsidRPr="003B7B3C">
      <w:pgSz w:w="11906" w:h="16838"/>
      <w:pgMar w:top="1440" w:right="1440" w:bottom="1440" w:left="1440" w:header="0" w:footer="0" w:gutter="0"/>
      <w:lnNumType w:countBy="1" w:distance="283" w:restart="continuous"/>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iberation Sans">
    <w:altName w:val="Arial"/>
    <w:charset w:val="01"/>
    <w:family w:val="roman"/>
    <w:pitch w:val="variable"/>
  </w:font>
  <w:font w:name="FreeSans">
    <w:panose1 w:val="00000000000000000000"/>
    <w:charset w:val="00"/>
    <w:family w:val="roman"/>
    <w:notTrueType/>
    <w:pitch w:val="default"/>
  </w:font>
  <w:font w:name="Liberation Serif">
    <w:altName w:val="Times New Roman"/>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C6A84"/>
    <w:multiLevelType w:val="multilevel"/>
    <w:tmpl w:val="2CBA41F6"/>
    <w:lvl w:ilvl="0">
      <w:start w:val="1"/>
      <w:numFmt w:val="decimal"/>
      <w:lvlText w:val="%1"/>
      <w:lvlJc w:val="left"/>
      <w:pPr>
        <w:tabs>
          <w:tab w:val="num" w:pos="0"/>
        </w:tabs>
        <w:ind w:left="480" w:hanging="480"/>
      </w:pPr>
      <w:rPr>
        <w:rFonts w:ascii="Calibri" w:eastAsia="Arial" w:hAnsi="Calibri" w:cs="Calibri"/>
        <w:b/>
        <w:bCs/>
        <w:color w:val="000000"/>
      </w:rPr>
    </w:lvl>
    <w:lvl w:ilvl="1">
      <w:start w:val="1"/>
      <w:numFmt w:val="decimal"/>
      <w:lvlText w:val="%1.%2"/>
      <w:lvlJc w:val="left"/>
      <w:pPr>
        <w:tabs>
          <w:tab w:val="num" w:pos="0"/>
        </w:tabs>
        <w:ind w:left="480" w:hanging="480"/>
      </w:pPr>
      <w:rPr>
        <w:rFonts w:ascii="Calibri" w:eastAsia="Arial" w:hAnsi="Calibri" w:cs="Calibri"/>
        <w:b w:val="0"/>
        <w:bCs w:val="0"/>
        <w:color w:val="000000"/>
        <w:sz w:val="24"/>
        <w:szCs w:val="24"/>
      </w:rPr>
    </w:lvl>
    <w:lvl w:ilvl="2">
      <w:start w:val="1"/>
      <w:numFmt w:val="decimal"/>
      <w:lvlText w:val="%1.%2.%3"/>
      <w:lvlJc w:val="left"/>
      <w:pPr>
        <w:tabs>
          <w:tab w:val="num" w:pos="0"/>
        </w:tabs>
        <w:ind w:left="720" w:hanging="720"/>
      </w:pPr>
      <w:rPr>
        <w:rFonts w:ascii="Calibri" w:eastAsia="Arial" w:hAnsi="Calibri" w:cs="Calibri"/>
        <w:color w:val="000000"/>
        <w:sz w:val="24"/>
        <w:szCs w:val="24"/>
      </w:rPr>
    </w:lvl>
    <w:lvl w:ilvl="3">
      <w:start w:val="1"/>
      <w:numFmt w:val="decimal"/>
      <w:lvlText w:val="%1.%2.%3.%4"/>
      <w:lvlJc w:val="left"/>
      <w:pPr>
        <w:tabs>
          <w:tab w:val="num" w:pos="0"/>
        </w:tabs>
        <w:ind w:left="720" w:hanging="720"/>
      </w:pPr>
      <w:rPr>
        <w:rFonts w:ascii="Calibri" w:eastAsia="Arial" w:hAnsi="Calibri" w:cs="Calibri"/>
        <w:color w:val="000000"/>
      </w:rPr>
    </w:lvl>
    <w:lvl w:ilvl="4">
      <w:start w:val="1"/>
      <w:numFmt w:val="decimal"/>
      <w:lvlText w:val="%1.%2.%3.%4.%5"/>
      <w:lvlJc w:val="left"/>
      <w:pPr>
        <w:tabs>
          <w:tab w:val="num" w:pos="0"/>
        </w:tabs>
        <w:ind w:left="1080" w:hanging="1080"/>
      </w:pPr>
      <w:rPr>
        <w:rFonts w:ascii="Calibri" w:eastAsia="Arial" w:hAnsi="Calibri" w:cs="Calibri"/>
        <w:color w:val="000000"/>
      </w:rPr>
    </w:lvl>
    <w:lvl w:ilvl="5">
      <w:start w:val="1"/>
      <w:numFmt w:val="decimal"/>
      <w:lvlText w:val="%1.%2.%3.%4.%5.%6"/>
      <w:lvlJc w:val="left"/>
      <w:pPr>
        <w:tabs>
          <w:tab w:val="num" w:pos="0"/>
        </w:tabs>
        <w:ind w:left="1080" w:hanging="1080"/>
      </w:pPr>
      <w:rPr>
        <w:rFonts w:ascii="Calibri" w:eastAsia="Arial" w:hAnsi="Calibri" w:cs="Calibri"/>
        <w:color w:val="000000"/>
      </w:rPr>
    </w:lvl>
    <w:lvl w:ilvl="6">
      <w:start w:val="1"/>
      <w:numFmt w:val="decimal"/>
      <w:lvlText w:val="%1.%2.%3.%4.%5.%6.%7"/>
      <w:lvlJc w:val="left"/>
      <w:pPr>
        <w:tabs>
          <w:tab w:val="num" w:pos="0"/>
        </w:tabs>
        <w:ind w:left="1440" w:hanging="1440"/>
      </w:pPr>
      <w:rPr>
        <w:rFonts w:ascii="Calibri" w:eastAsia="Arial" w:hAnsi="Calibri" w:cs="Calibri"/>
        <w:color w:val="000000"/>
      </w:rPr>
    </w:lvl>
    <w:lvl w:ilvl="7">
      <w:start w:val="1"/>
      <w:numFmt w:val="decimal"/>
      <w:lvlText w:val="%1.%2.%3.%4.%5.%6.%7.%8"/>
      <w:lvlJc w:val="left"/>
      <w:pPr>
        <w:tabs>
          <w:tab w:val="num" w:pos="0"/>
        </w:tabs>
        <w:ind w:left="1440" w:hanging="1440"/>
      </w:pPr>
      <w:rPr>
        <w:rFonts w:ascii="Calibri" w:eastAsia="Arial" w:hAnsi="Calibri" w:cs="Calibri"/>
        <w:color w:val="000000"/>
      </w:rPr>
    </w:lvl>
    <w:lvl w:ilvl="8">
      <w:start w:val="1"/>
      <w:numFmt w:val="decimal"/>
      <w:lvlText w:val="%1.%2.%3.%4.%5.%6.%7.%8.%9"/>
      <w:lvlJc w:val="left"/>
      <w:pPr>
        <w:tabs>
          <w:tab w:val="num" w:pos="0"/>
        </w:tabs>
        <w:ind w:left="1800" w:hanging="1800"/>
      </w:pPr>
      <w:rPr>
        <w:rFonts w:ascii="Calibri" w:eastAsia="Arial" w:hAnsi="Calibri" w:cs="Calibri"/>
        <w:color w:val="000000"/>
      </w:rPr>
    </w:lvl>
  </w:abstractNum>
  <w:abstractNum w:abstractNumId="1" w15:restartNumberingAfterBreak="0">
    <w:nsid w:val="518226A3"/>
    <w:multiLevelType w:val="multilevel"/>
    <w:tmpl w:val="0D305874"/>
    <w:lvl w:ilvl="0">
      <w:start w:val="1"/>
      <w:numFmt w:val="decimal"/>
      <w:lvlText w:val="%1."/>
      <w:lvlJc w:val="left"/>
      <w:pPr>
        <w:tabs>
          <w:tab w:val="num" w:pos="720"/>
        </w:tabs>
        <w:ind w:left="720" w:hanging="360"/>
      </w:pPr>
      <w:rPr>
        <w:rFonts w:ascii="Calibri" w:hAnsi="Calibri"/>
        <w:b w:val="0"/>
        <w:bCs w:val="0"/>
        <w:sz w:val="24"/>
        <w:szCs w:val="24"/>
      </w:rPr>
    </w:lvl>
    <w:lvl w:ilvl="1">
      <w:start w:val="1"/>
      <w:numFmt w:val="decimal"/>
      <w:suff w:val="space"/>
      <w:lvlText w:val="%1.%2."/>
      <w:lvlJc w:val="left"/>
      <w:pPr>
        <w:tabs>
          <w:tab w:val="num" w:pos="0"/>
        </w:tabs>
        <w:ind w:left="0" w:firstLine="0"/>
      </w:pPr>
      <w:rPr>
        <w:rFonts w:ascii="Calibri" w:hAnsi="Calibri"/>
        <w:b w:val="0"/>
        <w:bCs w:val="0"/>
        <w:sz w:val="24"/>
        <w:szCs w:val="24"/>
      </w:rPr>
    </w:lvl>
    <w:lvl w:ilvl="2">
      <w:start w:val="1"/>
      <w:numFmt w:val="decimal"/>
      <w:suff w:val="space"/>
      <w:lvlText w:val="%1.%2.%3."/>
      <w:lvlJc w:val="left"/>
      <w:pPr>
        <w:tabs>
          <w:tab w:val="num" w:pos="0"/>
        </w:tabs>
        <w:ind w:left="0" w:firstLine="0"/>
      </w:pPr>
      <w:rPr>
        <w:rFonts w:ascii="Calibri" w:hAnsi="Calibri"/>
        <w:b w:val="0"/>
        <w:bCs w:val="0"/>
        <w:sz w:val="24"/>
        <w:szCs w:val="24"/>
      </w:rPr>
    </w:lvl>
    <w:lvl w:ilvl="3">
      <w:start w:val="1"/>
      <w:numFmt w:val="decimal"/>
      <w:lvlText w:val="%3.%4."/>
      <w:lvlJc w:val="left"/>
      <w:pPr>
        <w:tabs>
          <w:tab w:val="num" w:pos="1800"/>
        </w:tabs>
        <w:ind w:left="1800" w:hanging="360"/>
      </w:pPr>
      <w:rPr>
        <w:rFonts w:ascii="Calibri" w:hAnsi="Calibri"/>
        <w:b w:val="0"/>
        <w:bCs w:val="0"/>
        <w:sz w:val="24"/>
        <w:szCs w:val="24"/>
      </w:rPr>
    </w:lvl>
    <w:lvl w:ilvl="4">
      <w:start w:val="1"/>
      <w:numFmt w:val="decimal"/>
      <w:lvlText w:val="%2.%3.%4.%5."/>
      <w:lvlJc w:val="left"/>
      <w:pPr>
        <w:tabs>
          <w:tab w:val="num" w:pos="2160"/>
        </w:tabs>
        <w:ind w:left="2160" w:hanging="360"/>
      </w:pPr>
      <w:rPr>
        <w:rFonts w:ascii="Calibri" w:hAnsi="Calibri"/>
        <w:b w:val="0"/>
        <w:bCs w:val="0"/>
        <w:sz w:val="24"/>
        <w:szCs w:val="24"/>
      </w:rPr>
    </w:lvl>
    <w:lvl w:ilvl="5">
      <w:start w:val="1"/>
      <w:numFmt w:val="decimal"/>
      <w:lvlText w:val="%5.%6."/>
      <w:lvlJc w:val="left"/>
      <w:pPr>
        <w:tabs>
          <w:tab w:val="num" w:pos="2520"/>
        </w:tabs>
        <w:ind w:left="2520" w:hanging="360"/>
      </w:pPr>
      <w:rPr>
        <w:rFonts w:ascii="Calibri" w:hAnsi="Calibri"/>
        <w:b w:val="0"/>
        <w:bCs w:val="0"/>
        <w:sz w:val="24"/>
        <w:szCs w:val="24"/>
      </w:rPr>
    </w:lvl>
    <w:lvl w:ilvl="6">
      <w:start w:val="1"/>
      <w:numFmt w:val="decimal"/>
      <w:lvlText w:val="%6.%7."/>
      <w:lvlJc w:val="left"/>
      <w:pPr>
        <w:tabs>
          <w:tab w:val="num" w:pos="2880"/>
        </w:tabs>
        <w:ind w:left="2880" w:hanging="360"/>
      </w:pPr>
      <w:rPr>
        <w:rFonts w:ascii="Calibri" w:hAnsi="Calibri"/>
        <w:b w:val="0"/>
        <w:bCs w:val="0"/>
        <w:sz w:val="24"/>
        <w:szCs w:val="24"/>
      </w:rPr>
    </w:lvl>
    <w:lvl w:ilvl="7">
      <w:start w:val="1"/>
      <w:numFmt w:val="decimal"/>
      <w:lvlText w:val="%7.%8."/>
      <w:lvlJc w:val="left"/>
      <w:pPr>
        <w:tabs>
          <w:tab w:val="num" w:pos="3240"/>
        </w:tabs>
        <w:ind w:left="3240" w:hanging="360"/>
      </w:pPr>
      <w:rPr>
        <w:rFonts w:ascii="Calibri" w:hAnsi="Calibri"/>
        <w:b w:val="0"/>
        <w:bCs w:val="0"/>
        <w:sz w:val="24"/>
        <w:szCs w:val="24"/>
      </w:rPr>
    </w:lvl>
    <w:lvl w:ilvl="8">
      <w:start w:val="1"/>
      <w:numFmt w:val="decimal"/>
      <w:lvlText w:val="%8.%9."/>
      <w:lvlJc w:val="left"/>
      <w:pPr>
        <w:tabs>
          <w:tab w:val="num" w:pos="3600"/>
        </w:tabs>
        <w:ind w:left="3600" w:hanging="360"/>
      </w:pPr>
      <w:rPr>
        <w:rFonts w:ascii="Calibri" w:hAnsi="Calibri"/>
        <w:b w:val="0"/>
        <w:bCs w:val="0"/>
        <w:sz w:val="24"/>
        <w:szCs w:val="24"/>
      </w:rPr>
    </w:lvl>
  </w:abstractNum>
  <w:abstractNum w:abstractNumId="2" w15:restartNumberingAfterBreak="0">
    <w:nsid w:val="69424913"/>
    <w:multiLevelType w:val="multilevel"/>
    <w:tmpl w:val="246810C4"/>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D2B68B3"/>
    <w:multiLevelType w:val="multilevel"/>
    <w:tmpl w:val="E9666C6E"/>
    <w:lvl w:ilvl="0">
      <w:start w:val="1"/>
      <w:numFmt w:val="decimal"/>
      <w:suff w:val="space"/>
      <w:lvlText w:val="%1."/>
      <w:lvlJc w:val="left"/>
      <w:pPr>
        <w:tabs>
          <w:tab w:val="num" w:pos="0"/>
        </w:tabs>
        <w:ind w:left="0" w:firstLine="0"/>
      </w:pPr>
      <w:rPr>
        <w:rFonts w:ascii="Calibri" w:hAnsi="Calibri"/>
        <w:b/>
        <w:bCs/>
        <w:sz w:val="24"/>
        <w:szCs w:val="24"/>
      </w:rPr>
    </w:lvl>
    <w:lvl w:ilvl="1">
      <w:start w:val="1"/>
      <w:numFmt w:val="decimal"/>
      <w:lvlText w:val="%1.%2."/>
      <w:lvlJc w:val="left"/>
      <w:pPr>
        <w:tabs>
          <w:tab w:val="num" w:pos="1440"/>
        </w:tabs>
        <w:ind w:left="1440" w:hanging="360"/>
      </w:pPr>
      <w:rPr>
        <w:rFonts w:ascii="Calibri" w:hAnsi="Calibri"/>
        <w:b w:val="0"/>
        <w:bCs w:val="0"/>
        <w:sz w:val="24"/>
        <w:szCs w:val="24"/>
      </w:rPr>
    </w:lvl>
    <w:lvl w:ilvl="2">
      <w:start w:val="1"/>
      <w:numFmt w:val="decimal"/>
      <w:lvlText w:val="%2.%3."/>
      <w:lvlJc w:val="left"/>
      <w:pPr>
        <w:tabs>
          <w:tab w:val="num" w:pos="1800"/>
        </w:tabs>
        <w:ind w:left="1800" w:hanging="360"/>
      </w:pPr>
      <w:rPr>
        <w:rFonts w:ascii="Calibri" w:hAnsi="Calibri"/>
        <w:b w:val="0"/>
        <w:bCs w:val="0"/>
        <w:sz w:val="24"/>
        <w:szCs w:val="24"/>
      </w:rPr>
    </w:lvl>
    <w:lvl w:ilvl="3">
      <w:start w:val="1"/>
      <w:numFmt w:val="decimal"/>
      <w:lvlText w:val="%3.%4."/>
      <w:lvlJc w:val="left"/>
      <w:pPr>
        <w:tabs>
          <w:tab w:val="num" w:pos="2160"/>
        </w:tabs>
        <w:ind w:left="2160" w:hanging="360"/>
      </w:pPr>
      <w:rPr>
        <w:rFonts w:ascii="Calibri" w:hAnsi="Calibri"/>
        <w:b w:val="0"/>
        <w:bCs w:val="0"/>
        <w:sz w:val="24"/>
        <w:szCs w:val="24"/>
      </w:rPr>
    </w:lvl>
    <w:lvl w:ilvl="4">
      <w:start w:val="1"/>
      <w:numFmt w:val="decimal"/>
      <w:lvlText w:val="%4.%5."/>
      <w:lvlJc w:val="left"/>
      <w:pPr>
        <w:tabs>
          <w:tab w:val="num" w:pos="2520"/>
        </w:tabs>
        <w:ind w:left="2520" w:hanging="360"/>
      </w:pPr>
      <w:rPr>
        <w:rFonts w:ascii="Calibri" w:hAnsi="Calibri"/>
        <w:b w:val="0"/>
        <w:bCs w:val="0"/>
        <w:sz w:val="24"/>
        <w:szCs w:val="24"/>
      </w:rPr>
    </w:lvl>
    <w:lvl w:ilvl="5">
      <w:start w:val="1"/>
      <w:numFmt w:val="decimal"/>
      <w:lvlText w:val="%5.%6."/>
      <w:lvlJc w:val="left"/>
      <w:pPr>
        <w:tabs>
          <w:tab w:val="num" w:pos="2880"/>
        </w:tabs>
        <w:ind w:left="2880" w:hanging="360"/>
      </w:pPr>
      <w:rPr>
        <w:rFonts w:ascii="Calibri" w:hAnsi="Calibri"/>
        <w:b w:val="0"/>
        <w:bCs w:val="0"/>
        <w:sz w:val="24"/>
        <w:szCs w:val="24"/>
      </w:rPr>
    </w:lvl>
    <w:lvl w:ilvl="6">
      <w:start w:val="1"/>
      <w:numFmt w:val="decimal"/>
      <w:lvlText w:val="%6.%7."/>
      <w:lvlJc w:val="left"/>
      <w:pPr>
        <w:tabs>
          <w:tab w:val="num" w:pos="3240"/>
        </w:tabs>
        <w:ind w:left="3240" w:hanging="360"/>
      </w:pPr>
      <w:rPr>
        <w:rFonts w:ascii="Calibri" w:hAnsi="Calibri"/>
        <w:b w:val="0"/>
        <w:bCs w:val="0"/>
        <w:sz w:val="24"/>
        <w:szCs w:val="24"/>
      </w:rPr>
    </w:lvl>
    <w:lvl w:ilvl="7">
      <w:start w:val="1"/>
      <w:numFmt w:val="decimal"/>
      <w:lvlText w:val="%7.%8."/>
      <w:lvlJc w:val="left"/>
      <w:pPr>
        <w:tabs>
          <w:tab w:val="num" w:pos="3600"/>
        </w:tabs>
        <w:ind w:left="3600" w:hanging="360"/>
      </w:pPr>
      <w:rPr>
        <w:rFonts w:ascii="Calibri" w:hAnsi="Calibri"/>
        <w:b w:val="0"/>
        <w:bCs w:val="0"/>
        <w:sz w:val="24"/>
        <w:szCs w:val="24"/>
      </w:rPr>
    </w:lvl>
    <w:lvl w:ilvl="8">
      <w:start w:val="1"/>
      <w:numFmt w:val="decimal"/>
      <w:lvlText w:val="%8.%9."/>
      <w:lvlJc w:val="left"/>
      <w:pPr>
        <w:tabs>
          <w:tab w:val="num" w:pos="3960"/>
        </w:tabs>
        <w:ind w:left="3960" w:hanging="360"/>
      </w:pPr>
      <w:rPr>
        <w:rFonts w:ascii="Calibri" w:hAnsi="Calibri"/>
        <w:b w:val="0"/>
        <w:bCs w:val="0"/>
        <w:sz w:val="24"/>
        <w:szCs w:val="24"/>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embedSystemFont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616"/>
    <w:rsid w:val="0021610B"/>
    <w:rsid w:val="003B7B3C"/>
    <w:rsid w:val="00470E87"/>
    <w:rsid w:val="006B6616"/>
    <w:rsid w:val="007E2E3F"/>
    <w:rsid w:val="00A06298"/>
    <w:rsid w:val="00B81E9C"/>
    <w:rsid w:val="00E473A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9786"/>
  <w15:docId w15:val="{707440B2-B1C1-497F-8BBB-58C9A94B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rPr>
  </w:style>
  <w:style w:type="paragraph" w:styleId="Heading1">
    <w:name w:val="heading 1"/>
    <w:basedOn w:val="Normal"/>
    <w:next w:val="Normal"/>
    <w:uiPriority w:val="9"/>
    <w:qFormat/>
    <w:pPr>
      <w:keepNext/>
      <w:keepLines/>
      <w:numPr>
        <w:numId w:val="1"/>
      </w:numPr>
      <w:spacing w:before="240"/>
      <w:outlineLvl w:val="0"/>
    </w:pPr>
    <w:rPr>
      <w:rFonts w:ascii="Calibri Light" w:hAnsi="Calibri Light"/>
      <w:color w:val="2F5496"/>
      <w:sz w:val="32"/>
      <w:szCs w:val="32"/>
    </w:rPr>
  </w:style>
  <w:style w:type="paragraph" w:styleId="Heading3">
    <w:name w:val="heading 3"/>
    <w:basedOn w:val="Normal"/>
    <w:next w:val="BodyText"/>
    <w:uiPriority w:val="9"/>
    <w:semiHidden/>
    <w:unhideWhenUsed/>
    <w:qFormat/>
    <w:pPr>
      <w:numPr>
        <w:ilvl w:val="2"/>
        <w:numId w:val="1"/>
      </w:numPr>
      <w:spacing w:before="100" w:after="10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eastAsia="Times New Roman"/>
      <w:color w:val="000000"/>
      <w:lang w:val="en-US" w:eastAsia="en-AU"/>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eastAsia="Arial"/>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10z0">
    <w:name w:val="WW8Num10z0"/>
    <w:qFormat/>
    <w:rPr>
      <w:rFonts w:eastAsia="Arial"/>
      <w:color w:val="000000"/>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hAnsi="Times New Roman" w:cs="Symbol"/>
      <w:sz w:val="16"/>
    </w:rPr>
  </w:style>
  <w:style w:type="character" w:customStyle="1" w:styleId="WW8Num13z1">
    <w:name w:val="WW8Num13z1"/>
    <w:qFormat/>
    <w:rPr>
      <w:rFonts w:ascii="Times New Roman" w:hAnsi="Times New Roman" w:cs="Courier New"/>
    </w:rPr>
  </w:style>
  <w:style w:type="character" w:customStyle="1" w:styleId="WW8Num13z2">
    <w:name w:val="WW8Num13z2"/>
    <w:qFormat/>
  </w:style>
  <w:style w:type="character" w:customStyle="1" w:styleId="WW8Num13z3">
    <w:name w:val="WW8Num13z3"/>
    <w:qFormat/>
  </w:style>
  <w:style w:type="character" w:customStyle="1" w:styleId="WW8Num13z5">
    <w:name w:val="WW8Num13z5"/>
    <w:qFormat/>
  </w:style>
  <w:style w:type="character" w:customStyle="1" w:styleId="WW8Num13z6">
    <w:name w:val="WW8Num13z6"/>
    <w:qFormat/>
  </w:style>
  <w:style w:type="character" w:customStyle="1" w:styleId="WW8Num13z8">
    <w:name w:val="WW8Num13z8"/>
    <w:qFormat/>
  </w:style>
  <w:style w:type="character" w:customStyle="1" w:styleId="WW8Num14z0">
    <w:name w:val="WW8Num14z0"/>
    <w:qFormat/>
    <w:rPr>
      <w:rFonts w:ascii="Times New Roman" w:eastAsia="SimSun" w:hAnsi="Times New Roman" w:cs="Arial"/>
    </w:rPr>
  </w:style>
  <w:style w:type="character" w:customStyle="1" w:styleId="WW8Num14z1">
    <w:name w:val="WW8Num14z1"/>
    <w:qFormat/>
    <w:rPr>
      <w:rFonts w:ascii="Times New Roman" w:hAnsi="Times New Roman" w:cs="Courier New"/>
    </w:rPr>
  </w:style>
  <w:style w:type="character" w:customStyle="1" w:styleId="WW8Num14z2">
    <w:name w:val="WW8Num14z2"/>
    <w:qFormat/>
  </w:style>
  <w:style w:type="character" w:customStyle="1" w:styleId="WW8Num14z3">
    <w:name w:val="WW8Num14z3"/>
    <w:qFormat/>
  </w:style>
  <w:style w:type="character" w:customStyle="1" w:styleId="WW8Num14z5">
    <w:name w:val="WW8Num14z5"/>
    <w:qFormat/>
  </w:style>
  <w:style w:type="character" w:customStyle="1" w:styleId="WW8Num14z6">
    <w:name w:val="WW8Num14z6"/>
    <w:qFormat/>
  </w:style>
  <w:style w:type="character" w:customStyle="1" w:styleId="WW8Num14z8">
    <w:name w:val="WW8Num14z8"/>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hAnsi="Times New Roman" w:cs="Symbol"/>
      <w:sz w:val="16"/>
    </w:rPr>
  </w:style>
  <w:style w:type="character" w:customStyle="1" w:styleId="WW8Num18z1">
    <w:name w:val="WW8Num18z1"/>
    <w:qFormat/>
    <w:rPr>
      <w:rFonts w:ascii="Times New Roman" w:hAnsi="Times New Roman" w:cs="Courier New"/>
    </w:rPr>
  </w:style>
  <w:style w:type="character" w:customStyle="1" w:styleId="WW8Num18z2">
    <w:name w:val="WW8Num18z2"/>
    <w:qFormat/>
  </w:style>
  <w:style w:type="character" w:customStyle="1" w:styleId="WW8Num18z3">
    <w:name w:val="WW8Num18z3"/>
    <w:qFormat/>
  </w:style>
  <w:style w:type="character" w:customStyle="1" w:styleId="WW8Num18z5">
    <w:name w:val="WW8Num18z5"/>
    <w:qFormat/>
  </w:style>
  <w:style w:type="character" w:customStyle="1" w:styleId="WW8Num18z6">
    <w:name w:val="WW8Num18z6"/>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i/>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hAnsi="Times New Roman" w:cs="Symbol"/>
      <w:sz w:val="16"/>
    </w:rPr>
  </w:style>
  <w:style w:type="character" w:customStyle="1" w:styleId="WW8Num21z1">
    <w:name w:val="WW8Num21z1"/>
    <w:qFormat/>
    <w:rPr>
      <w:rFonts w:ascii="Times New Roman" w:hAnsi="Times New Roman" w:cs="Courier New"/>
    </w:rPr>
  </w:style>
  <w:style w:type="character" w:customStyle="1" w:styleId="WW8Num21z2">
    <w:name w:val="WW8Num21z2"/>
    <w:qFormat/>
  </w:style>
  <w:style w:type="character" w:customStyle="1" w:styleId="WW8Num21z3">
    <w:name w:val="WW8Num21z3"/>
    <w:qFormat/>
  </w:style>
  <w:style w:type="character" w:customStyle="1" w:styleId="WW8Num21z5">
    <w:name w:val="WW8Num21z5"/>
    <w:qFormat/>
  </w:style>
  <w:style w:type="character" w:customStyle="1" w:styleId="WW8Num21z6">
    <w:name w:val="WW8Num21z6"/>
    <w:qFormat/>
  </w:style>
  <w:style w:type="character" w:customStyle="1" w:styleId="WW8Num21z8">
    <w:name w:val="WW8Num21z8"/>
    <w:qFormat/>
  </w:style>
  <w:style w:type="character" w:customStyle="1" w:styleId="WW8Num22z0">
    <w:name w:val="WW8Num22z0"/>
    <w:qFormat/>
    <w:rPr>
      <w:rFonts w:ascii="Times New Roman" w:eastAsia="SimSun" w:hAnsi="Times New Roman" w:cs="Arial"/>
    </w:rPr>
  </w:style>
  <w:style w:type="character" w:customStyle="1" w:styleId="WW8Num22z1">
    <w:name w:val="WW8Num22z1"/>
    <w:qFormat/>
    <w:rPr>
      <w:rFonts w:ascii="Times New Roman" w:hAnsi="Times New Roman" w:cs="Courier New"/>
    </w:rPr>
  </w:style>
  <w:style w:type="character" w:customStyle="1" w:styleId="WW8Num22z2">
    <w:name w:val="WW8Num22z2"/>
    <w:qFormat/>
  </w:style>
  <w:style w:type="character" w:customStyle="1" w:styleId="WW8Num22z3">
    <w:name w:val="WW8Num22z3"/>
    <w:qFormat/>
  </w:style>
  <w:style w:type="character" w:customStyle="1" w:styleId="WW8Num22z5">
    <w:name w:val="WW8Num22z5"/>
    <w:qFormat/>
  </w:style>
  <w:style w:type="character" w:customStyle="1" w:styleId="WW8Num22z6">
    <w:name w:val="WW8Num22z6"/>
    <w:qFormat/>
  </w:style>
  <w:style w:type="character" w:customStyle="1" w:styleId="WW8Num22z8">
    <w:name w:val="WW8Num22z8"/>
    <w:qFormat/>
  </w:style>
  <w:style w:type="character" w:customStyle="1" w:styleId="WW8Num23z0">
    <w:name w:val="WW8Num23z0"/>
    <w:qFormat/>
    <w:rPr>
      <w:rFonts w:ascii="Arial" w:eastAsia="Arial" w:hAnsi="Arial" w:cs="Arial"/>
      <w:color w:val="000000"/>
      <w:sz w:val="20"/>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cs="Calibri"/>
      <w:sz w:val="24"/>
      <w:szCs w:val="24"/>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Calibri" w:eastAsia="Arial" w:hAnsi="Calibri" w:cs="Calibri"/>
      <w:color w:val="000000"/>
      <w:sz w:val="24"/>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DefaultParagraphFont1">
    <w:name w:val="Default Paragraph Font1"/>
    <w:qFormat/>
  </w:style>
  <w:style w:type="character" w:customStyle="1" w:styleId="TitleChar">
    <w:name w:val="Title Char"/>
    <w:qFormat/>
    <w:rPr>
      <w:rFonts w:ascii="Cambria" w:eastAsia="SimSun" w:hAnsi="Cambria" w:cs="Times New Roman"/>
      <w:color w:val="17365D"/>
      <w:spacing w:val="5"/>
      <w:kern w:val="2"/>
      <w:sz w:val="52"/>
      <w:szCs w:val="52"/>
    </w:rPr>
  </w:style>
  <w:style w:type="character" w:styleId="Strong">
    <w:name w:val="Strong"/>
    <w:qFormat/>
    <w:rPr>
      <w:b/>
      <w:bCs/>
    </w:rPr>
  </w:style>
  <w:style w:type="character" w:customStyle="1" w:styleId="BalloonTextChar">
    <w:name w:val="Balloon Text Char"/>
    <w:qFormat/>
    <w:rPr>
      <w:rFonts w:ascii="Tahoma" w:eastAsia="Tahoma" w:hAnsi="Tahoma" w:cs="Tahoma"/>
      <w:sz w:val="16"/>
      <w:szCs w:val="16"/>
      <w:lang w:eastAsia="zh-CN"/>
    </w:rPr>
  </w:style>
  <w:style w:type="character" w:customStyle="1" w:styleId="Hyperlink1">
    <w:name w:val="Hyperlink1"/>
    <w:qFormat/>
    <w:rPr>
      <w:color w:val="0000FF"/>
      <w:u w:val="single"/>
    </w:rPr>
  </w:style>
  <w:style w:type="character" w:customStyle="1" w:styleId="CommentTextChar">
    <w:name w:val="Comment Text Char"/>
    <w:qFormat/>
    <w:rPr>
      <w:sz w:val="20"/>
    </w:rPr>
  </w:style>
  <w:style w:type="character" w:styleId="CommentReference">
    <w:name w:val="annotation reference"/>
    <w:qFormat/>
    <w:rPr>
      <w:sz w:val="16"/>
      <w:szCs w:val="16"/>
    </w:rPr>
  </w:style>
  <w:style w:type="character" w:customStyle="1" w:styleId="FootnoteTextChar">
    <w:name w:val="Footnote Text Char"/>
    <w:qFormat/>
    <w:rPr>
      <w:sz w:val="20"/>
    </w:rPr>
  </w:style>
  <w:style w:type="character" w:customStyle="1" w:styleId="FootnoteCharacters">
    <w:name w:val="Footnote Characters"/>
    <w:qFormat/>
    <w:rPr>
      <w:vertAlign w:val="superscript"/>
    </w:rPr>
  </w:style>
  <w:style w:type="character" w:customStyle="1" w:styleId="apple-converted-space">
    <w:name w:val="apple-converted-space"/>
    <w:basedOn w:val="DefaultParagraphFont1"/>
    <w:qFormat/>
  </w:style>
  <w:style w:type="character" w:customStyle="1" w:styleId="Heading3Char">
    <w:name w:val="Heading 3 Char"/>
    <w:qFormat/>
    <w:rPr>
      <w:rFonts w:ascii="Times New Roman" w:eastAsia="Times New Roman" w:hAnsi="Times New Roman" w:cs="Times New Roman"/>
      <w:b/>
      <w:bCs/>
      <w:sz w:val="27"/>
      <w:szCs w:val="27"/>
    </w:rPr>
  </w:style>
  <w:style w:type="character" w:styleId="Hyperlink">
    <w:name w:val="Hyperlink"/>
    <w:rPr>
      <w:color w:val="0000FF"/>
      <w:u w:val="single"/>
    </w:rPr>
  </w:style>
  <w:style w:type="character" w:customStyle="1" w:styleId="wapple-converted-space">
    <w:name w:val="wapple-converted-space"/>
    <w:qFormat/>
  </w:style>
  <w:style w:type="character" w:styleId="Emphasis">
    <w:name w:val="Emphasis"/>
    <w:qFormat/>
    <w:rPr>
      <w:i/>
      <w:iCs/>
    </w:rPr>
  </w:style>
  <w:style w:type="character" w:customStyle="1" w:styleId="wNormalChar">
    <w:name w:val="wNormal Char"/>
    <w:qFormat/>
    <w:rPr>
      <w:rFonts w:ascii="Times New Roman" w:eastAsia="Times New Roman" w:hAnsi="Times New Roman" w:cs="Times New Roman"/>
      <w:kern w:val="2"/>
      <w:sz w:val="24"/>
      <w:szCs w:val="24"/>
    </w:rPr>
  </w:style>
  <w:style w:type="character" w:customStyle="1" w:styleId="EndNoteBibliographyTitleChar">
    <w:name w:val="EndNote Bibliography Title Char"/>
    <w:qFormat/>
    <w:rPr>
      <w:rFonts w:eastAsia="Times New Roman" w:cs="Calibri"/>
      <w:sz w:val="22"/>
      <w:szCs w:val="24"/>
      <w:lang w:val="en-US"/>
    </w:rPr>
  </w:style>
  <w:style w:type="character" w:customStyle="1" w:styleId="EndNoteBibliographyChar">
    <w:name w:val="EndNote Bibliography Char"/>
    <w:qFormat/>
    <w:rPr>
      <w:rFonts w:eastAsia="Times New Roman" w:cs="Calibri"/>
      <w:sz w:val="22"/>
      <w:szCs w:val="24"/>
      <w:lang w:val="en-US"/>
    </w:rPr>
  </w:style>
  <w:style w:type="character" w:styleId="UnresolvedMention">
    <w:name w:val="Unresolved Mention"/>
    <w:qFormat/>
    <w:rPr>
      <w:color w:val="605E5C"/>
    </w:rPr>
  </w:style>
  <w:style w:type="character" w:customStyle="1" w:styleId="NormalWebChar">
    <w:name w:val="Normal (Web) Char"/>
    <w:qFormat/>
    <w:rPr>
      <w:rFonts w:ascii="Times New Roman" w:eastAsia="Times New Roman" w:hAnsi="Times New Roman" w:cs="Times New Roman"/>
      <w:sz w:val="24"/>
      <w:szCs w:val="24"/>
    </w:rPr>
  </w:style>
  <w:style w:type="character" w:customStyle="1" w:styleId="Heading1Char">
    <w:name w:val="Heading 1 Char"/>
    <w:qFormat/>
    <w:rPr>
      <w:rFonts w:ascii="Calibri Light" w:eastAsia="Times New Roman" w:hAnsi="Calibri Light" w:cs="Times New Roman"/>
      <w:color w:val="2F5496"/>
      <w:sz w:val="32"/>
      <w:szCs w:val="32"/>
    </w:rPr>
  </w:style>
  <w:style w:type="character" w:customStyle="1" w:styleId="CommentTextChar1">
    <w:name w:val="Comment Text Char1"/>
    <w:qFormat/>
  </w:style>
  <w:style w:type="character" w:customStyle="1" w:styleId="CommentSubjectChar">
    <w:name w:val="Comment Subject Char"/>
    <w:qFormat/>
    <w:rPr>
      <w:rFonts w:ascii="Times New Roman" w:eastAsia="Times New Roman" w:hAnsi="Times New Roman" w:cs="Times New Roman"/>
      <w:b/>
      <w:bCs/>
    </w:rPr>
  </w:style>
  <w:style w:type="character" w:customStyle="1" w:styleId="html-italic">
    <w:name w:val="html-italic"/>
    <w:qFormat/>
  </w:style>
  <w:style w:type="character" w:styleId="LineNumber">
    <w:name w:val="line number"/>
    <w:qFormat/>
  </w:style>
  <w:style w:type="character" w:customStyle="1" w:styleId="NumberingSymbols">
    <w:name w:val="Numbering Symbols"/>
    <w:qFormat/>
    <w:rPr>
      <w:rFonts w:ascii="Calibri" w:hAnsi="Calibri"/>
      <w:b w:val="0"/>
      <w:bCs w:val="0"/>
      <w:sz w:val="24"/>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id-label">
    <w:name w:val="id-label"/>
    <w:basedOn w:val="DefaultParagraphFont"/>
    <w:qFormat/>
  </w:style>
  <w:style w:type="character" w:customStyle="1" w:styleId="docsum-pmid">
    <w:name w:val="docsum-pmid"/>
    <w:basedOn w:val="DefaultParagraphFont"/>
    <w:qFormat/>
  </w:style>
  <w:style w:type="character" w:customStyle="1" w:styleId="citation-part">
    <w:name w:val="citation-part"/>
    <w:basedOn w:val="DefaultParagraphFont"/>
    <w:qFormat/>
  </w:style>
  <w:style w:type="character" w:customStyle="1" w:styleId="LineNumbering">
    <w:name w:val="Line Numbering"/>
  </w:style>
  <w:style w:type="character" w:customStyle="1" w:styleId="Bullets">
    <w:name w:val="Bullets"/>
    <w:qFormat/>
    <w:rPr>
      <w:rFonts w:ascii="OpenSymbol" w:eastAsia="OpenSymbol" w:hAnsi="OpenSymbol" w:cs="OpenSymbol"/>
    </w:rPr>
  </w:style>
  <w:style w:type="character" w:customStyle="1" w:styleId="HeaderChar">
    <w:name w:val="Header Char"/>
    <w:basedOn w:val="DefaultParagraphFont"/>
    <w:link w:val="Header"/>
    <w:uiPriority w:val="99"/>
    <w:qFormat/>
    <w:rsid w:val="00B57AF2"/>
    <w:rPr>
      <w:sz w:val="24"/>
      <w:szCs w:val="24"/>
    </w:rPr>
  </w:style>
  <w:style w:type="character" w:customStyle="1" w:styleId="FooterChar">
    <w:name w:val="Footer Char"/>
    <w:basedOn w:val="DefaultParagraphFont"/>
    <w:link w:val="Footer"/>
    <w:uiPriority w:val="99"/>
    <w:qFormat/>
    <w:rsid w:val="00B57AF2"/>
    <w:rPr>
      <w:sz w:val="24"/>
      <w:szCs w:val="24"/>
    </w:rPr>
  </w:style>
  <w:style w:type="paragraph" w:customStyle="1" w:styleId="Heading">
    <w:name w:val="Heading"/>
    <w:basedOn w:val="Standard"/>
    <w:next w:val="Textbody"/>
    <w:qFormat/>
    <w:pPr>
      <w:keepNext/>
      <w:spacing w:before="240" w:after="120"/>
    </w:pPr>
    <w:rPr>
      <w:rFonts w:ascii="Liberation Sans" w:eastAsia="Tahoma" w:hAnsi="Liberation Sans" w:cs="FreeSans"/>
      <w:sz w:val="28"/>
      <w:szCs w:val="28"/>
    </w:rPr>
  </w:style>
  <w:style w:type="paragraph" w:styleId="BodyText">
    <w:name w:val="Body Text"/>
    <w:basedOn w:val="Normal"/>
    <w:pPr>
      <w:spacing w:after="140" w:line="276" w:lineRule="auto"/>
    </w:pPr>
  </w:style>
  <w:style w:type="paragraph" w:styleId="List">
    <w:name w:val="List"/>
    <w:basedOn w:val="Textbody"/>
    <w:rPr>
      <w:rFonts w:cs="FreeSans"/>
      <w:sz w:val="24"/>
    </w:rPr>
  </w:style>
  <w:style w:type="paragraph" w:styleId="Caption">
    <w:name w:val="caption"/>
    <w:basedOn w:val="Standard"/>
    <w:qFormat/>
    <w:pPr>
      <w:suppressLineNumbers/>
      <w:spacing w:before="120" w:after="120"/>
    </w:pPr>
    <w:rPr>
      <w:rFonts w:cs="FreeSans"/>
      <w:i/>
      <w:iCs/>
      <w:sz w:val="24"/>
      <w:szCs w:val="24"/>
    </w:rPr>
  </w:style>
  <w:style w:type="paragraph" w:customStyle="1" w:styleId="Index">
    <w:name w:val="Index"/>
    <w:basedOn w:val="Standard"/>
    <w:qFormat/>
    <w:pPr>
      <w:suppressLineNumbers/>
    </w:pPr>
    <w:rPr>
      <w:rFonts w:cs="FreeSans"/>
      <w:sz w:val="24"/>
    </w:rPr>
  </w:style>
  <w:style w:type="paragraph" w:customStyle="1" w:styleId="Standard">
    <w:name w:val="Standard"/>
    <w:qFormat/>
    <w:pPr>
      <w:spacing w:after="200" w:line="276" w:lineRule="auto"/>
      <w:textAlignment w:val="baseline"/>
    </w:pPr>
    <w:rPr>
      <w:rFonts w:ascii="Calibri" w:eastAsia="SimSun" w:hAnsi="Calibri" w:cs="Arial"/>
      <w:sz w:val="22"/>
      <w:szCs w:val="22"/>
      <w:lang w:val="en-GB" w:eastAsia="zh-CN"/>
    </w:rPr>
  </w:style>
  <w:style w:type="paragraph" w:customStyle="1" w:styleId="Textbody">
    <w:name w:val="Text body"/>
    <w:basedOn w:val="Standard"/>
    <w:qFormat/>
    <w:pPr>
      <w:spacing w:after="140"/>
    </w:pPr>
  </w:style>
  <w:style w:type="paragraph" w:styleId="Title">
    <w:name w:val="Title"/>
    <w:basedOn w:val="Standard"/>
    <w:next w:val="Standard"/>
    <w:uiPriority w:val="10"/>
    <w:qFormat/>
    <w:pPr>
      <w:pBdr>
        <w:bottom w:val="single" w:sz="8" w:space="4" w:color="4F81BD"/>
      </w:pBdr>
      <w:spacing w:after="300" w:line="240" w:lineRule="auto"/>
    </w:pPr>
    <w:rPr>
      <w:rFonts w:ascii="Cambria" w:eastAsia="Cambria" w:hAnsi="Cambria" w:cs="Times New Roman"/>
      <w:color w:val="17365D"/>
      <w:spacing w:val="5"/>
      <w:kern w:val="2"/>
      <w:sz w:val="52"/>
      <w:szCs w:val="52"/>
    </w:rPr>
  </w:style>
  <w:style w:type="paragraph" w:styleId="ListParagraph">
    <w:name w:val="List Paragraph"/>
    <w:basedOn w:val="Standard"/>
    <w:qFormat/>
    <w:pPr>
      <w:ind w:left="720"/>
    </w:pPr>
  </w:style>
  <w:style w:type="paragraph" w:styleId="BalloonText">
    <w:name w:val="Balloon Text"/>
    <w:basedOn w:val="Standard"/>
    <w:qFormat/>
    <w:pPr>
      <w:spacing w:after="0" w:line="240" w:lineRule="auto"/>
    </w:pPr>
    <w:rPr>
      <w:rFonts w:ascii="Tahoma" w:eastAsia="Tahoma" w:hAnsi="Tahoma" w:cs="Tahoma"/>
      <w:sz w:val="16"/>
      <w:szCs w:val="16"/>
    </w:rPr>
  </w:style>
  <w:style w:type="paragraph" w:styleId="CommentText">
    <w:name w:val="annotation text"/>
    <w:basedOn w:val="Normal"/>
    <w:qFormat/>
    <w:pPr>
      <w:widowControl w:val="0"/>
      <w:suppressAutoHyphens/>
      <w:textAlignment w:val="baseline"/>
    </w:pPr>
    <w:rPr>
      <w:rFonts w:ascii="Calibri" w:eastAsia="SimSun" w:hAnsi="Calibri" w:cs="Arial"/>
      <w:sz w:val="20"/>
      <w:szCs w:val="20"/>
    </w:rPr>
  </w:style>
  <w:style w:type="paragraph" w:styleId="FootnoteText">
    <w:name w:val="footnote text"/>
    <w:basedOn w:val="Normal"/>
    <w:pPr>
      <w:widowControl w:val="0"/>
      <w:suppressAutoHyphens/>
      <w:textAlignment w:val="baseline"/>
    </w:pPr>
    <w:rPr>
      <w:rFonts w:ascii="Calibri" w:eastAsia="SimSun" w:hAnsi="Calibri" w:cs="Arial"/>
      <w:sz w:val="20"/>
      <w:szCs w:val="20"/>
    </w:rPr>
  </w:style>
  <w:style w:type="paragraph" w:styleId="Bibliography">
    <w:name w:val="Bibliography"/>
    <w:basedOn w:val="Normal"/>
    <w:next w:val="Normal"/>
    <w:qFormat/>
    <w:pPr>
      <w:widowControl w:val="0"/>
      <w:tabs>
        <w:tab w:val="left" w:pos="384"/>
      </w:tabs>
      <w:suppressAutoHyphens/>
      <w:ind w:left="384" w:hanging="384"/>
      <w:textAlignment w:val="baseline"/>
    </w:pPr>
    <w:rPr>
      <w:rFonts w:ascii="Calibri" w:eastAsia="SimSun" w:hAnsi="Calibri" w:cs="Arial"/>
      <w:sz w:val="22"/>
      <w:szCs w:val="20"/>
    </w:rPr>
  </w:style>
  <w:style w:type="paragraph" w:styleId="NormalWeb">
    <w:name w:val="Normal (Web)"/>
    <w:basedOn w:val="Normal"/>
    <w:qFormat/>
    <w:pPr>
      <w:spacing w:before="100" w:after="100"/>
    </w:pPr>
  </w:style>
  <w:style w:type="paragraph" w:customStyle="1" w:styleId="wNormal">
    <w:name w:val="wNormal"/>
    <w:qFormat/>
    <w:pPr>
      <w:widowControl w:val="0"/>
      <w:tabs>
        <w:tab w:val="left" w:pos="733"/>
      </w:tabs>
      <w:spacing w:before="113" w:after="113" w:line="360" w:lineRule="auto"/>
      <w:jc w:val="both"/>
      <w:textAlignment w:val="baseline"/>
    </w:pPr>
    <w:rPr>
      <w:kern w:val="2"/>
      <w:sz w:val="24"/>
      <w:szCs w:val="24"/>
      <w:lang w:eastAsia="zh-CN"/>
    </w:rPr>
  </w:style>
  <w:style w:type="paragraph" w:customStyle="1" w:styleId="wStandard">
    <w:name w:val="wStandard"/>
    <w:qFormat/>
    <w:pPr>
      <w:widowControl w:val="0"/>
      <w:spacing w:line="276" w:lineRule="auto"/>
      <w:textAlignment w:val="bottom"/>
    </w:pPr>
    <w:rPr>
      <w:rFonts w:ascii="Calibri" w:eastAsia="SimSun" w:hAnsi="Calibri" w:cs="Arial"/>
      <w:kern w:val="2"/>
      <w:sz w:val="22"/>
      <w:szCs w:val="22"/>
      <w:lang w:eastAsia="zh-CN"/>
    </w:rPr>
  </w:style>
  <w:style w:type="paragraph" w:customStyle="1" w:styleId="EndNoteBibliographyTitle">
    <w:name w:val="EndNote Bibliography Title"/>
    <w:basedOn w:val="Normal"/>
    <w:qFormat/>
    <w:pPr>
      <w:jc w:val="center"/>
    </w:pPr>
    <w:rPr>
      <w:lang w:val="en-US"/>
    </w:rPr>
  </w:style>
  <w:style w:type="paragraph" w:customStyle="1" w:styleId="EndNoteBibliography">
    <w:name w:val="EndNote Bibliography"/>
    <w:basedOn w:val="Normal"/>
    <w:qFormat/>
    <w:pPr>
      <w:jc w:val="both"/>
    </w:pPr>
    <w:rPr>
      <w:lang w:val="en-US"/>
    </w:rPr>
  </w:style>
  <w:style w:type="paragraph" w:styleId="CommentSubject">
    <w:name w:val="annotation subject"/>
    <w:basedOn w:val="CommentText"/>
    <w:next w:val="CommentText"/>
    <w:qFormat/>
    <w:pPr>
      <w:widowControl/>
      <w:suppressAutoHyphens w:val="0"/>
      <w:textAlignment w:val="auto"/>
    </w:pPr>
    <w:rPr>
      <w:rFonts w:ascii="Times New Roman" w:eastAsia="Times New Roman" w:hAnsi="Times New Roman" w:cs="Times New Roman"/>
      <w:b/>
      <w:bCs/>
    </w:rPr>
  </w:style>
  <w:style w:type="paragraph" w:styleId="Revision">
    <w:name w:val="Revision"/>
    <w:qFormat/>
    <w:rPr>
      <w:sz w:val="24"/>
      <w:szCs w:val="24"/>
      <w:lang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paragraph">
    <w:name w:val="paragraph"/>
    <w:basedOn w:val="Normal"/>
    <w:qFormat/>
    <w:pPr>
      <w:spacing w:before="280" w:after="280"/>
    </w:pPr>
  </w:style>
  <w:style w:type="paragraph" w:customStyle="1" w:styleId="HeaderandFooter">
    <w:name w:val="Header and Footer"/>
    <w:basedOn w:val="Normal"/>
    <w:qFormat/>
  </w:style>
  <w:style w:type="paragraph" w:styleId="Header">
    <w:name w:val="header"/>
    <w:basedOn w:val="Normal"/>
    <w:link w:val="HeaderChar"/>
    <w:uiPriority w:val="99"/>
    <w:unhideWhenUsed/>
    <w:rsid w:val="00B57AF2"/>
    <w:pPr>
      <w:suppressLineNumbers/>
      <w:tabs>
        <w:tab w:val="center" w:pos="4680"/>
        <w:tab w:val="right" w:pos="9360"/>
      </w:tabs>
    </w:pPr>
  </w:style>
  <w:style w:type="paragraph" w:styleId="Footer">
    <w:name w:val="footer"/>
    <w:basedOn w:val="Normal"/>
    <w:link w:val="FooterChar"/>
    <w:uiPriority w:val="99"/>
    <w:unhideWhenUsed/>
    <w:rsid w:val="00B57AF2"/>
    <w:pPr>
      <w:suppressLineNumbers/>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anne.lee@anu.edu.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rina.woodward@anu.edu.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ikolay.shirokikh@anu.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oshika.janapala@anu.edu.au" TargetMode="External"/><Relationship Id="rId5" Type="http://schemas.openxmlformats.org/officeDocument/2006/relationships/numbering" Target="numbering.xml"/><Relationship Id="rId15" Type="http://schemas.openxmlformats.org/officeDocument/2006/relationships/hyperlink" Target="mailto:thomas.preiss@anu.edu.au" TargetMode="External"/><Relationship Id="rId10" Type="http://schemas.openxmlformats.org/officeDocument/2006/relationships/hyperlink" Target="mailto:thomas.preiss@anu.edu.au" TargetMode="External"/><Relationship Id="rId4" Type="http://schemas.openxmlformats.org/officeDocument/2006/relationships/customXml" Target="../customXml/item4.xml"/><Relationship Id="rId9" Type="http://schemas.openxmlformats.org/officeDocument/2006/relationships/hyperlink" Target="mailto:nikolay.shirokikh@anu.edu.au" TargetMode="External"/><Relationship Id="rId14" Type="http://schemas.openxmlformats.org/officeDocument/2006/relationships/hyperlink" Target="mailto:melanie.rug@an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8E8D024C385844974DA1436E82408B" ma:contentTypeVersion="11" ma:contentTypeDescription="Create a new document." ma:contentTypeScope="" ma:versionID="b30b9c1503df1390f5db53e3f19322c5">
  <xsd:schema xmlns:xsd="http://www.w3.org/2001/XMLSchema" xmlns:xs="http://www.w3.org/2001/XMLSchema" xmlns:p="http://schemas.microsoft.com/office/2006/metadata/properties" xmlns:ns2="7759b7a5-2fef-493c-a493-bc0e4cdf7459" targetNamespace="http://schemas.microsoft.com/office/2006/metadata/properties" ma:root="true" ma:fieldsID="e1e48fbffaced228d843ff5bd8bb45e0" ns2:_="">
    <xsd:import namespace="7759b7a5-2fef-493c-a493-bc0e4cdf74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9b7a5-2fef-493c-a493-bc0e4cdf7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4F1D7-9B4A-485D-B2F8-7BD333E3D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9b7a5-2fef-493c-a493-bc0e4cdf7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63D15-5CDA-4E90-A92F-A8EC233912E4}">
  <ds:schemaRefs>
    <ds:schemaRef ds:uri="http://schemas.microsoft.com/sharepoint/v3/contenttype/forms"/>
  </ds:schemaRefs>
</ds:datastoreItem>
</file>

<file path=customXml/itemProps3.xml><?xml version="1.0" encoding="utf-8"?>
<ds:datastoreItem xmlns:ds="http://schemas.openxmlformats.org/officeDocument/2006/customXml" ds:itemID="{FD774353-ED14-48ED-8DA7-A03108A3FB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AC012B-7262-AA47-8D04-5DD370D80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51795</Words>
  <Characters>295236</Characters>
  <Application>Microsoft Office Word</Application>
  <DocSecurity>0</DocSecurity>
  <Lines>2460</Lines>
  <Paragraphs>692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Vineeta Bajaj</dc:creator>
  <dc:description/>
  <cp:lastModifiedBy>Timothy Raymond</cp:lastModifiedBy>
  <cp:revision>2</cp:revision>
  <dcterms:created xsi:type="dcterms:W3CDTF">2021-12-10T19:48:00Z</dcterms:created>
  <dcterms:modified xsi:type="dcterms:W3CDTF">2021-12-10T19:48:00Z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0x0101001E8E8D024C385844974DA1436E82408B</vt:lpwstr>
  </property>
  <property fmtid="{D5CDD505-2E9C-101B-9397-08002B2CF9AE}" pid="3" name="EN.InstantFormat">
    <vt:lpwstr>EN.InstantFormat</vt:lpwstr>
  </property>
  <property fmtid="{D5CDD505-2E9C-101B-9397-08002B2CF9AE}" pid="4" name="EN.Layout">
    <vt:lpwstr>EN.Layout</vt:lpwstr>
  </property>
  <property fmtid="{D5CDD505-2E9C-101B-9397-08002B2CF9AE}" pid="5" name="EN.Libraries">
    <vt:lpwstr>EN.Libraries</vt:lpwstr>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ZOTERO_PREF_1">
    <vt:lpwstr>&lt;data data-version="3" zotero-version="5.0.96.3"&gt;&lt;session id="YtRfvMds"/&gt;&lt;style id="http://www.zotero.org/styles/journal-of-visualized-experiments_new" hasBibliography="1" bibliographyStyleHasBeenSet="1"/&gt;&lt;prefs&gt;&lt;pref name="fieldType" value="Field"/&gt;&lt;pref</vt:lpwstr>
  </property>
  <property fmtid="{D5CDD505-2E9C-101B-9397-08002B2CF9AE}" pid="11" name="ZOTERO_PREF_2">
    <vt:lpwstr> name="automaticJournalAbbreviations" value="true"/&gt;&lt;pref name="dontAskDelayCitationUpdates" value="true"/&gt;&lt;/prefs&gt;&lt;/data&gt;</vt:lpwstr>
  </property>
  <property fmtid="{D5CDD505-2E9C-101B-9397-08002B2CF9AE}" pid="12" name="_NewReviewCycle">
    <vt:lpwstr/>
  </property>
</Properties>
</file>