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0BCC" w14:textId="083AC6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noProof/>
          <w:color w:val="000000" w:themeColor="text1"/>
          <w:shd w:val="clear" w:color="auto" w:fill="E6E6E6"/>
          <w:lang w:val="en-US"/>
        </w:rPr>
        <w:drawing>
          <wp:anchor distT="0" distB="0" distL="114300" distR="114300" simplePos="0" relativeHeight="251658240" behindDoc="1" locked="0" layoutInCell="1" allowOverlap="1" wp14:anchorId="51DC8B16" wp14:editId="48D999D7">
            <wp:simplePos x="0" y="0"/>
            <wp:positionH relativeFrom="page">
              <wp:posOffset>4007795</wp:posOffset>
            </wp:positionH>
            <wp:positionV relativeFrom="paragraph">
              <wp:posOffset>27</wp:posOffset>
            </wp:positionV>
            <wp:extent cx="2643505" cy="717550"/>
            <wp:effectExtent l="0" t="0" r="0" b="6350"/>
            <wp:wrapSquare wrapText="bothSides"/>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a:picLocks noChangeAspect="1" noChangeArrowheads="1"/>
                    </pic:cNvPicPr>
                  </pic:nvPicPr>
                  <pic:blipFill rotWithShape="1">
                    <a:blip r:embed="rId6">
                      <a:extLst>
                        <a:ext uri="{28A0092B-C50C-407E-A947-70E740481C1C}">
                          <a14:useLocalDpi xmlns:a14="http://schemas.microsoft.com/office/drawing/2010/main" val="0"/>
                        </a:ext>
                      </a:extLst>
                    </a:blip>
                    <a:srcRect l="63281" t="4699" r="6353" b="89459"/>
                    <a:stretch/>
                  </pic:blipFill>
                  <pic:spPr bwMode="auto">
                    <a:xfrm>
                      <a:off x="0" y="0"/>
                      <a:ext cx="264350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516C25" w14:textId="77777777" w:rsidR="00DA6CD9" w:rsidRPr="006838F7" w:rsidRDefault="00DA6CD9" w:rsidP="00DA6CD9">
      <w:pPr>
        <w:spacing w:line="360" w:lineRule="auto"/>
        <w:jc w:val="right"/>
        <w:rPr>
          <w:rFonts w:ascii="Cambria" w:hAnsi="Cambria"/>
          <w:color w:val="000000" w:themeColor="text1"/>
          <w:lang w:val="en-US"/>
        </w:rPr>
      </w:pPr>
    </w:p>
    <w:p w14:paraId="2A20EC62" w14:textId="77777777" w:rsidR="00DA6CD9" w:rsidRPr="006838F7" w:rsidRDefault="00DA6CD9" w:rsidP="00DA6CD9">
      <w:pPr>
        <w:spacing w:line="360" w:lineRule="auto"/>
        <w:jc w:val="right"/>
        <w:rPr>
          <w:rFonts w:ascii="Cambria" w:hAnsi="Cambria"/>
          <w:color w:val="000000" w:themeColor="text1"/>
          <w:lang w:val="en-US"/>
        </w:rPr>
      </w:pPr>
    </w:p>
    <w:p w14:paraId="50AEBBE1" w14:textId="5EEFA1D9"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Dr Thomas Di Virgilio</w:t>
      </w:r>
    </w:p>
    <w:p w14:paraId="5A6A8AEB" w14:textId="777777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Physiology, Exercise and Nutrition Research Group,</w:t>
      </w:r>
    </w:p>
    <w:p w14:paraId="44602D97" w14:textId="777777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Faculty of Health Sciences and Sport,</w:t>
      </w:r>
    </w:p>
    <w:p w14:paraId="38C1D9FD" w14:textId="777777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University of Stirling,</w:t>
      </w:r>
    </w:p>
    <w:p w14:paraId="7FD49A78" w14:textId="777777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Stirling, FK9 4LA,</w:t>
      </w:r>
    </w:p>
    <w:p w14:paraId="1A36EC73" w14:textId="77777777" w:rsidR="00DA6CD9" w:rsidRPr="006838F7" w:rsidRDefault="00DA6CD9" w:rsidP="00DA6CD9">
      <w:pPr>
        <w:spacing w:line="360" w:lineRule="auto"/>
        <w:jc w:val="right"/>
        <w:rPr>
          <w:rFonts w:ascii="Cambria" w:hAnsi="Cambria"/>
          <w:color w:val="000000" w:themeColor="text1"/>
          <w:lang w:val="en-US"/>
        </w:rPr>
      </w:pPr>
      <w:r w:rsidRPr="006838F7">
        <w:rPr>
          <w:rFonts w:ascii="Cambria" w:hAnsi="Cambria"/>
          <w:color w:val="000000" w:themeColor="text1"/>
          <w:lang w:val="en-US"/>
        </w:rPr>
        <w:t>Scotland, UK.</w:t>
      </w:r>
    </w:p>
    <w:p w14:paraId="4819BF2F" w14:textId="2C161C2E" w:rsidR="00DA6CD9" w:rsidRPr="006838F7" w:rsidRDefault="00C10014" w:rsidP="00DA6CD9">
      <w:pPr>
        <w:spacing w:line="360" w:lineRule="auto"/>
        <w:jc w:val="right"/>
        <w:rPr>
          <w:rFonts w:ascii="Cambria" w:hAnsi="Cambria"/>
          <w:color w:val="000000" w:themeColor="text1"/>
          <w:lang w:val="en-US"/>
        </w:rPr>
      </w:pPr>
      <w:r>
        <w:rPr>
          <w:rFonts w:ascii="Cambria" w:hAnsi="Cambria"/>
          <w:color w:val="000000" w:themeColor="text1"/>
          <w:lang w:val="en-US"/>
        </w:rPr>
        <w:t>20</w:t>
      </w:r>
      <w:r w:rsidR="00C96027" w:rsidRPr="006838F7">
        <w:rPr>
          <w:rFonts w:ascii="Cambria" w:hAnsi="Cambria"/>
          <w:color w:val="000000" w:themeColor="text1"/>
          <w:lang w:val="en-US"/>
        </w:rPr>
        <w:t>/</w:t>
      </w:r>
      <w:r w:rsidR="00DA6CD9" w:rsidRPr="006838F7">
        <w:rPr>
          <w:rFonts w:ascii="Cambria" w:hAnsi="Cambria"/>
          <w:color w:val="000000" w:themeColor="text1"/>
          <w:lang w:val="en-US"/>
        </w:rPr>
        <w:t>08/2021</w:t>
      </w:r>
    </w:p>
    <w:p w14:paraId="1EC84BE3" w14:textId="308D8275" w:rsidR="00DA6CD9" w:rsidRPr="006838F7" w:rsidRDefault="00DA6CD9" w:rsidP="00DA6CD9">
      <w:pPr>
        <w:spacing w:line="360" w:lineRule="auto"/>
        <w:jc w:val="both"/>
        <w:rPr>
          <w:rFonts w:ascii="Cambria" w:hAnsi="Cambria"/>
          <w:color w:val="000000" w:themeColor="text1"/>
          <w:lang w:val="en-US"/>
        </w:rPr>
      </w:pPr>
      <w:r w:rsidRPr="006838F7">
        <w:rPr>
          <w:rFonts w:ascii="Cambria" w:hAnsi="Cambria"/>
          <w:color w:val="000000" w:themeColor="text1"/>
          <w:lang w:val="en-US"/>
        </w:rPr>
        <w:t>Re: Rebuttal document for manuscript # JoVE62635R1</w:t>
      </w:r>
    </w:p>
    <w:p w14:paraId="051406D4" w14:textId="77777777" w:rsidR="00DA6CD9" w:rsidRPr="006838F7" w:rsidRDefault="00DA6CD9" w:rsidP="00DA6CD9">
      <w:pPr>
        <w:spacing w:line="360" w:lineRule="auto"/>
        <w:jc w:val="both"/>
        <w:rPr>
          <w:rFonts w:ascii="Cambria" w:hAnsi="Cambria"/>
          <w:color w:val="000000" w:themeColor="text1"/>
          <w:u w:val="single"/>
          <w:lang w:val="en-US"/>
        </w:rPr>
      </w:pPr>
    </w:p>
    <w:p w14:paraId="6C56B1CE" w14:textId="1133963C" w:rsidR="00DA6CD9" w:rsidRPr="006838F7" w:rsidRDefault="00DA6CD9" w:rsidP="00DA6CD9">
      <w:pPr>
        <w:jc w:val="both"/>
        <w:rPr>
          <w:rFonts w:ascii="Cambria" w:hAnsi="Cambria"/>
          <w:color w:val="000000" w:themeColor="text1"/>
          <w:lang w:val="en-US"/>
        </w:rPr>
      </w:pPr>
      <w:r w:rsidRPr="006838F7">
        <w:rPr>
          <w:rFonts w:ascii="Cambria" w:hAnsi="Cambria"/>
          <w:color w:val="000000" w:themeColor="text1"/>
          <w:lang w:val="en-US"/>
        </w:rPr>
        <w:t xml:space="preserve">Dear </w:t>
      </w:r>
      <w:proofErr w:type="gramStart"/>
      <w:r w:rsidRPr="006838F7">
        <w:rPr>
          <w:rFonts w:ascii="Cambria" w:hAnsi="Cambria"/>
          <w:color w:val="000000" w:themeColor="text1"/>
          <w:lang w:val="en-US"/>
        </w:rPr>
        <w:t>Dr.</w:t>
      </w:r>
      <w:proofErr w:type="gramEnd"/>
      <w:r w:rsidRPr="006838F7">
        <w:rPr>
          <w:rFonts w:ascii="Cambria" w:hAnsi="Cambria"/>
          <w:color w:val="000000" w:themeColor="text1"/>
          <w:lang w:val="en-US"/>
        </w:rPr>
        <w:t xml:space="preserve"> Vidhya </w:t>
      </w:r>
      <w:proofErr w:type="spellStart"/>
      <w:r w:rsidRPr="006838F7">
        <w:rPr>
          <w:rFonts w:ascii="Cambria" w:hAnsi="Cambria"/>
          <w:color w:val="000000" w:themeColor="text1"/>
          <w:lang w:val="en-US"/>
        </w:rPr>
        <w:t>Iyer</w:t>
      </w:r>
      <w:proofErr w:type="spellEnd"/>
      <w:r w:rsidRPr="006838F7">
        <w:rPr>
          <w:rFonts w:ascii="Cambria" w:hAnsi="Cambria"/>
          <w:color w:val="000000" w:themeColor="text1"/>
          <w:lang w:val="en-US"/>
        </w:rPr>
        <w:t>,</w:t>
      </w:r>
    </w:p>
    <w:p w14:paraId="54F00DEB" w14:textId="77777777" w:rsidR="00DA6CD9" w:rsidRPr="006838F7" w:rsidRDefault="00DA6CD9" w:rsidP="00DA6CD9">
      <w:pPr>
        <w:spacing w:line="360" w:lineRule="auto"/>
        <w:jc w:val="both"/>
        <w:rPr>
          <w:rFonts w:ascii="Cambria" w:hAnsi="Cambria"/>
          <w:color w:val="000000" w:themeColor="text1"/>
          <w:u w:val="single"/>
          <w:lang w:val="en-US"/>
        </w:rPr>
      </w:pPr>
    </w:p>
    <w:p w14:paraId="1852C15F" w14:textId="371490F2" w:rsidR="00DA6CD9" w:rsidRPr="006838F7" w:rsidRDefault="00DA6CD9" w:rsidP="00DA6CD9">
      <w:pPr>
        <w:spacing w:line="360" w:lineRule="auto"/>
        <w:jc w:val="both"/>
        <w:rPr>
          <w:rFonts w:ascii="Cambria" w:hAnsi="Cambria"/>
          <w:color w:val="000000" w:themeColor="text1"/>
          <w:lang w:val="en-US"/>
        </w:rPr>
      </w:pPr>
      <w:r w:rsidRPr="006838F7">
        <w:rPr>
          <w:rFonts w:ascii="Cambria" w:hAnsi="Cambria"/>
          <w:color w:val="000000" w:themeColor="text1"/>
          <w:lang w:val="en-US"/>
        </w:rPr>
        <w:t xml:space="preserve">We would like </w:t>
      </w:r>
      <w:proofErr w:type="gramStart"/>
      <w:r w:rsidR="005532AC" w:rsidRPr="006838F7">
        <w:rPr>
          <w:rFonts w:ascii="Cambria" w:hAnsi="Cambria"/>
          <w:color w:val="000000" w:themeColor="text1"/>
          <w:lang w:val="en-US"/>
        </w:rPr>
        <w:t>thank</w:t>
      </w:r>
      <w:proofErr w:type="gramEnd"/>
      <w:r w:rsidR="282D3B89" w:rsidRPr="006838F7">
        <w:rPr>
          <w:rFonts w:ascii="Cambria" w:hAnsi="Cambria"/>
          <w:color w:val="000000" w:themeColor="text1"/>
          <w:lang w:val="en-US"/>
        </w:rPr>
        <w:t xml:space="preserve"> you and </w:t>
      </w:r>
      <w:r w:rsidRPr="006838F7">
        <w:rPr>
          <w:rFonts w:ascii="Cambria" w:hAnsi="Cambria"/>
          <w:color w:val="000000" w:themeColor="text1"/>
          <w:lang w:val="en-US"/>
        </w:rPr>
        <w:t>the reviewers</w:t>
      </w:r>
      <w:r w:rsidR="005532AC" w:rsidRPr="006838F7">
        <w:rPr>
          <w:rFonts w:ascii="Cambria" w:hAnsi="Cambria"/>
          <w:color w:val="000000" w:themeColor="text1"/>
          <w:lang w:val="en-US"/>
        </w:rPr>
        <w:t xml:space="preserve"> </w:t>
      </w:r>
      <w:r w:rsidRPr="006838F7">
        <w:rPr>
          <w:rFonts w:ascii="Cambria" w:hAnsi="Cambria"/>
          <w:color w:val="000000" w:themeColor="text1"/>
          <w:lang w:val="en-US"/>
        </w:rPr>
        <w:t xml:space="preserve">for </w:t>
      </w:r>
      <w:r w:rsidR="48FE695D" w:rsidRPr="006838F7">
        <w:rPr>
          <w:rFonts w:ascii="Cambria" w:hAnsi="Cambria"/>
          <w:color w:val="000000" w:themeColor="text1"/>
          <w:lang w:val="en-US"/>
        </w:rPr>
        <w:t xml:space="preserve">the </w:t>
      </w:r>
      <w:r w:rsidRPr="006838F7">
        <w:rPr>
          <w:rFonts w:ascii="Cambria" w:hAnsi="Cambria"/>
          <w:color w:val="000000" w:themeColor="text1"/>
          <w:lang w:val="en-US"/>
        </w:rPr>
        <w:t xml:space="preserve">time taken to read our manuscript and for the constructive comments, which we feel are helpful. We have endeavored to address all the concerns raised. We have responded to each comment in turn and indicated, where relevant, how we have amended the </w:t>
      </w:r>
      <w:r w:rsidR="00B30634" w:rsidRPr="006838F7">
        <w:rPr>
          <w:rFonts w:ascii="Cambria" w:hAnsi="Cambria"/>
          <w:color w:val="000000" w:themeColor="text1"/>
          <w:lang w:val="en-US"/>
        </w:rPr>
        <w:t xml:space="preserve">manuscript </w:t>
      </w:r>
      <w:r w:rsidRPr="006838F7">
        <w:rPr>
          <w:rFonts w:ascii="Cambria" w:hAnsi="Cambria"/>
          <w:color w:val="000000" w:themeColor="text1"/>
          <w:lang w:val="en-US"/>
        </w:rPr>
        <w:t>using track changes</w:t>
      </w:r>
      <w:r w:rsidR="00B30634" w:rsidRPr="006838F7">
        <w:rPr>
          <w:rFonts w:ascii="Cambria" w:hAnsi="Cambria"/>
          <w:color w:val="000000" w:themeColor="text1"/>
          <w:lang w:val="en-US"/>
        </w:rPr>
        <w:t xml:space="preserve"> accordingly</w:t>
      </w:r>
      <w:r w:rsidRPr="006838F7">
        <w:rPr>
          <w:rFonts w:ascii="Cambria" w:hAnsi="Cambria"/>
          <w:color w:val="000000" w:themeColor="text1"/>
          <w:lang w:val="en-US"/>
        </w:rPr>
        <w:t xml:space="preserve">. </w:t>
      </w:r>
    </w:p>
    <w:p w14:paraId="39D11A8D" w14:textId="77777777" w:rsidR="00DA6CD9" w:rsidRPr="006838F7" w:rsidRDefault="00DA6CD9" w:rsidP="00DA6CD9">
      <w:pPr>
        <w:spacing w:line="360" w:lineRule="auto"/>
        <w:jc w:val="both"/>
        <w:rPr>
          <w:rFonts w:ascii="Cambria" w:hAnsi="Cambria"/>
          <w:color w:val="000000" w:themeColor="text1"/>
          <w:u w:val="single"/>
          <w:lang w:val="en-US"/>
        </w:rPr>
      </w:pPr>
    </w:p>
    <w:p w14:paraId="25F4602D" w14:textId="77777777" w:rsidR="00DA6CD9" w:rsidRPr="006838F7" w:rsidRDefault="00DA6CD9" w:rsidP="00DA6CD9">
      <w:pPr>
        <w:spacing w:line="360" w:lineRule="auto"/>
        <w:jc w:val="both"/>
        <w:rPr>
          <w:rFonts w:ascii="Cambria" w:hAnsi="Cambria"/>
          <w:color w:val="000000" w:themeColor="text1"/>
          <w:lang w:val="en-US"/>
        </w:rPr>
      </w:pPr>
      <w:r w:rsidRPr="006838F7">
        <w:rPr>
          <w:rFonts w:ascii="Cambria" w:hAnsi="Cambria"/>
          <w:color w:val="000000" w:themeColor="text1"/>
          <w:lang w:val="en-US"/>
        </w:rPr>
        <w:t>Yours sincerely,</w:t>
      </w:r>
    </w:p>
    <w:p w14:paraId="2B1A66BB" w14:textId="77777777" w:rsidR="00DA6CD9" w:rsidRPr="006838F7" w:rsidRDefault="00DA6CD9" w:rsidP="00DA6CD9">
      <w:pPr>
        <w:spacing w:line="360" w:lineRule="auto"/>
        <w:jc w:val="both"/>
        <w:rPr>
          <w:rFonts w:ascii="Cambria" w:hAnsi="Cambria"/>
          <w:color w:val="000000" w:themeColor="text1"/>
          <w:lang w:val="en-US"/>
        </w:rPr>
      </w:pPr>
    </w:p>
    <w:p w14:paraId="2EE3D93E" w14:textId="77777777" w:rsidR="00DA6CD9" w:rsidRPr="006838F7" w:rsidRDefault="00DA6CD9" w:rsidP="00DA6CD9">
      <w:pPr>
        <w:spacing w:line="360" w:lineRule="auto"/>
        <w:jc w:val="both"/>
        <w:rPr>
          <w:rFonts w:ascii="Cambria" w:hAnsi="Cambria"/>
          <w:color w:val="000000" w:themeColor="text1"/>
          <w:lang w:val="en-US"/>
        </w:rPr>
      </w:pPr>
      <w:r w:rsidRPr="006838F7">
        <w:rPr>
          <w:rFonts w:ascii="Cambria" w:hAnsi="Cambria"/>
          <w:color w:val="000000" w:themeColor="text1"/>
          <w:lang w:val="en-US"/>
        </w:rPr>
        <w:t>Dr Thomas Di Virgilio</w:t>
      </w:r>
    </w:p>
    <w:p w14:paraId="7611FA09" w14:textId="77777777" w:rsidR="00DA6CD9" w:rsidRPr="006838F7" w:rsidRDefault="00DA6CD9" w:rsidP="00DA6CD9">
      <w:pPr>
        <w:spacing w:line="360" w:lineRule="auto"/>
        <w:jc w:val="both"/>
        <w:rPr>
          <w:rFonts w:ascii="Cambria" w:hAnsi="Cambria"/>
          <w:color w:val="000000" w:themeColor="text1"/>
          <w:lang w:val="en-US"/>
        </w:rPr>
      </w:pPr>
    </w:p>
    <w:p w14:paraId="2AB2154B" w14:textId="77777777" w:rsidR="00DA6CD9" w:rsidRPr="006838F7" w:rsidRDefault="00DA6CD9" w:rsidP="00DA6CD9">
      <w:pPr>
        <w:spacing w:line="360" w:lineRule="auto"/>
        <w:jc w:val="both"/>
        <w:rPr>
          <w:rFonts w:ascii="Cambria" w:hAnsi="Cambria"/>
          <w:color w:val="000000" w:themeColor="text1"/>
          <w:lang w:val="en-US"/>
        </w:rPr>
      </w:pPr>
      <w:r w:rsidRPr="006838F7">
        <w:rPr>
          <w:rFonts w:ascii="Cambria" w:hAnsi="Cambria"/>
          <w:color w:val="000000" w:themeColor="text1"/>
          <w:lang w:val="en-US"/>
        </w:rPr>
        <w:t>On behalf of all authors.</w:t>
      </w:r>
    </w:p>
    <w:p w14:paraId="6CDB134B" w14:textId="77777777" w:rsidR="00DA6CD9" w:rsidRPr="006838F7" w:rsidRDefault="00DA6CD9">
      <w:pPr>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br w:type="page"/>
      </w:r>
    </w:p>
    <w:p w14:paraId="0253EB31" w14:textId="77777777" w:rsidR="00DA6CD9" w:rsidRPr="006838F7" w:rsidRDefault="00DA6CD9" w:rsidP="00DA6CD9">
      <w:pPr>
        <w:spacing w:line="360" w:lineRule="auto"/>
        <w:jc w:val="both"/>
        <w:rPr>
          <w:rFonts w:ascii="Cambria" w:hAnsi="Cambria"/>
          <w:color w:val="000000" w:themeColor="text1"/>
          <w:u w:val="single"/>
          <w:lang w:val="en-US"/>
        </w:rPr>
      </w:pPr>
      <w:r w:rsidRPr="006838F7">
        <w:rPr>
          <w:rFonts w:ascii="Cambria" w:hAnsi="Cambria"/>
          <w:color w:val="000000" w:themeColor="text1"/>
          <w:u w:val="single"/>
          <w:lang w:val="en-US"/>
        </w:rPr>
        <w:lastRenderedPageBreak/>
        <w:t>AUTHOR RESPONSE TO REVIEWER COMMENTS:</w:t>
      </w:r>
    </w:p>
    <w:p w14:paraId="0A21836D" w14:textId="77777777" w:rsidR="00DA6CD9" w:rsidRPr="006838F7" w:rsidRDefault="00DA6CD9" w:rsidP="00DA6CD9">
      <w:pPr>
        <w:spacing w:line="480" w:lineRule="auto"/>
        <w:jc w:val="both"/>
        <w:rPr>
          <w:rFonts w:ascii="Cambria" w:eastAsia="Times New Roman" w:hAnsi="Cambria" w:cs="Calibri"/>
          <w:color w:val="000000" w:themeColor="text1"/>
          <w:lang w:val="en-US" w:eastAsia="en-GB"/>
        </w:rPr>
      </w:pPr>
    </w:p>
    <w:p w14:paraId="2575332B" w14:textId="58699C75" w:rsidR="00DA6CD9" w:rsidRPr="006838F7" w:rsidRDefault="00DA6CD9"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REVIEWER #4 comments:</w:t>
      </w:r>
    </w:p>
    <w:p w14:paraId="66A41349" w14:textId="77777777" w:rsidR="00DA6CD9" w:rsidRPr="006838F7" w:rsidRDefault="00DA6CD9" w:rsidP="00DA6CD9">
      <w:pPr>
        <w:spacing w:line="480" w:lineRule="auto"/>
        <w:jc w:val="both"/>
        <w:rPr>
          <w:rFonts w:ascii="Cambria" w:eastAsia="Times New Roman" w:hAnsi="Cambria" w:cs="Calibri"/>
          <w:color w:val="000000" w:themeColor="text1"/>
          <w:lang w:val="en-US" w:eastAsia="en-GB"/>
        </w:rPr>
      </w:pPr>
    </w:p>
    <w:p w14:paraId="18477D1D" w14:textId="77777777"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Manuscript Summary:</w:t>
      </w:r>
    </w:p>
    <w:p w14:paraId="4ECAF0B3" w14:textId="77777777" w:rsidR="00DA6CD9" w:rsidRPr="006838F7" w:rsidRDefault="00DA6CD9"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i/>
          <w:iCs/>
          <w:color w:val="000000" w:themeColor="text1"/>
          <w:lang w:val="en-US" w:eastAsia="en-GB"/>
        </w:rPr>
        <w:t>The manuscript outlines procedures for collecting a small (200mg) amount of subcutaneous adipose tissue.  The procedures are described well and in sufficient detail to follow, including a list of supplies with catalog numbers.  The authors also describe the condition of the tissue collected (fragments) and potential uses to give the reader an idea of when the procedure might be used.  The authors responded to the comments of the previous reviewers well and have improved the manuscript immensely.</w:t>
      </w:r>
    </w:p>
    <w:p w14:paraId="68883303" w14:textId="4CC4479F"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color w:val="000000" w:themeColor="text1"/>
          <w:lang w:val="en-US" w:eastAsia="en-GB"/>
        </w:rPr>
        <w:br/>
      </w:r>
      <w:r w:rsidRPr="006838F7">
        <w:rPr>
          <w:rFonts w:ascii="Cambria" w:eastAsia="Times New Roman" w:hAnsi="Cambria" w:cs="Calibri"/>
          <w:i/>
          <w:iCs/>
          <w:color w:val="000000" w:themeColor="text1"/>
          <w:lang w:val="en-US" w:eastAsia="en-GB"/>
        </w:rPr>
        <w:t>Minor Concerns:</w:t>
      </w:r>
    </w:p>
    <w:p w14:paraId="7136B32A" w14:textId="77777777"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It should be noted that the 14g needle is an economical way of collecting SAT but reference the method that employs the Coleman cannula if investigators can obtain them - the samples are in better condition:</w:t>
      </w:r>
    </w:p>
    <w:p w14:paraId="1C38CBB8" w14:textId="28C03825"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 </w:t>
      </w:r>
      <w:hyperlink r:id="rId7" w:tooltip="Original URL:&#10;https://www.ncbi.nlm.nih.gov/pmc/articles/PMC5491488/&#10;&#10;Click to follow link." w:history="1">
        <w:r w:rsidRPr="006838F7">
          <w:rPr>
            <w:rFonts w:ascii="Cambria" w:eastAsia="Times New Roman" w:hAnsi="Cambria" w:cs="Calibri"/>
            <w:i/>
            <w:iCs/>
            <w:color w:val="000000" w:themeColor="text1"/>
            <w:u w:val="single"/>
            <w:lang w:val="en-US" w:eastAsia="en-GB"/>
          </w:rPr>
          <w:t>https://www.ncbi.nlm.nih.gov/pmc/articles/PMC5491488/</w:t>
        </w:r>
      </w:hyperlink>
    </w:p>
    <w:p w14:paraId="5274B6C6" w14:textId="77777777" w:rsidR="00390BAC" w:rsidRPr="006838F7" w:rsidRDefault="00390BAC" w:rsidP="00DA6CD9">
      <w:pPr>
        <w:spacing w:line="480" w:lineRule="auto"/>
        <w:jc w:val="both"/>
        <w:rPr>
          <w:rFonts w:ascii="Cambria" w:eastAsia="Times New Roman" w:hAnsi="Cambria" w:cs="Calibri"/>
          <w:color w:val="000000" w:themeColor="text1"/>
          <w:lang w:val="en-US" w:eastAsia="en-GB"/>
        </w:rPr>
      </w:pPr>
    </w:p>
    <w:p w14:paraId="347C27EC" w14:textId="311D10D5" w:rsidR="00831ECD" w:rsidRPr="006838F7" w:rsidRDefault="00390BAC" w:rsidP="00831ECD">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Author response</w:t>
      </w:r>
      <w:r w:rsidR="006838F7" w:rsidRPr="006838F7">
        <w:rPr>
          <w:rFonts w:ascii="Cambria" w:eastAsia="Times New Roman" w:hAnsi="Cambria" w:cs="Calibri"/>
          <w:color w:val="000000" w:themeColor="text1"/>
          <w:lang w:val="en-US" w:eastAsia="en-GB"/>
        </w:rPr>
        <w:t>:</w:t>
      </w:r>
      <w:r w:rsidR="006838F7">
        <w:rPr>
          <w:rFonts w:ascii="Cambria" w:eastAsia="Times New Roman" w:hAnsi="Cambria" w:cs="Calibri"/>
          <w:color w:val="000000" w:themeColor="text1"/>
          <w:lang w:val="en-US" w:eastAsia="en-GB"/>
        </w:rPr>
        <w:t xml:space="preserve"> </w:t>
      </w:r>
      <w:r w:rsidRPr="006838F7">
        <w:rPr>
          <w:rFonts w:ascii="Cambria" w:eastAsia="Times New Roman" w:hAnsi="Cambria" w:cs="Calibri"/>
          <w:color w:val="000000" w:themeColor="text1"/>
          <w:lang w:val="en-US" w:eastAsia="en-GB"/>
        </w:rPr>
        <w:t xml:space="preserve">We thank the reviewer for this comment. </w:t>
      </w:r>
      <w:r w:rsidR="00EB35E7" w:rsidRPr="006838F7">
        <w:rPr>
          <w:rFonts w:ascii="Cambria" w:eastAsia="Times New Roman" w:hAnsi="Cambria" w:cs="Calibri"/>
          <w:color w:val="000000" w:themeColor="text1"/>
          <w:lang w:val="en-US" w:eastAsia="en-GB"/>
        </w:rPr>
        <w:t>We discussed the limitations in po</w:t>
      </w:r>
      <w:r w:rsidR="0097126F" w:rsidRPr="006838F7">
        <w:rPr>
          <w:rFonts w:ascii="Cambria" w:eastAsia="Times New Roman" w:hAnsi="Cambria" w:cs="Calibri"/>
          <w:color w:val="000000" w:themeColor="text1"/>
          <w:lang w:val="en-US" w:eastAsia="en-GB"/>
        </w:rPr>
        <w:t xml:space="preserve">ssible </w:t>
      </w:r>
      <w:r w:rsidR="00EB35E7" w:rsidRPr="006838F7">
        <w:rPr>
          <w:rFonts w:ascii="Cambria" w:eastAsia="Times New Roman" w:hAnsi="Cambria" w:cs="Calibri"/>
          <w:color w:val="000000" w:themeColor="text1"/>
          <w:lang w:val="en-US" w:eastAsia="en-GB"/>
        </w:rPr>
        <w:t xml:space="preserve">sample analyses due to tissue </w:t>
      </w:r>
      <w:r w:rsidR="00E1477E" w:rsidRPr="006838F7">
        <w:rPr>
          <w:rFonts w:ascii="Cambria" w:eastAsia="Times New Roman" w:hAnsi="Cambria" w:cs="Calibri"/>
          <w:color w:val="000000" w:themeColor="text1"/>
          <w:lang w:val="en-US" w:eastAsia="en-GB"/>
        </w:rPr>
        <w:t>fragmentation</w:t>
      </w:r>
      <w:r w:rsidR="00EB35E7" w:rsidRPr="006838F7">
        <w:rPr>
          <w:rFonts w:ascii="Cambria" w:eastAsia="Times New Roman" w:hAnsi="Cambria" w:cs="Calibri"/>
          <w:color w:val="000000" w:themeColor="text1"/>
          <w:lang w:val="en-US" w:eastAsia="en-GB"/>
        </w:rPr>
        <w:t xml:space="preserve"> in the 6</w:t>
      </w:r>
      <w:r w:rsidR="00EB35E7" w:rsidRPr="006838F7">
        <w:rPr>
          <w:rFonts w:ascii="Cambria" w:eastAsia="Times New Roman" w:hAnsi="Cambria" w:cs="Calibri"/>
          <w:color w:val="000000" w:themeColor="text1"/>
          <w:vertAlign w:val="superscript"/>
          <w:lang w:val="en-US" w:eastAsia="en-GB"/>
        </w:rPr>
        <w:t>th</w:t>
      </w:r>
      <w:r w:rsidR="00EB35E7" w:rsidRPr="006838F7">
        <w:rPr>
          <w:rFonts w:ascii="Cambria" w:eastAsia="Times New Roman" w:hAnsi="Cambria" w:cs="Calibri"/>
          <w:color w:val="000000" w:themeColor="text1"/>
          <w:lang w:val="en-US" w:eastAsia="en-GB"/>
        </w:rPr>
        <w:t xml:space="preserve"> paragraph of the discussion. However, we agree that it would be useful to then signpost the reader to a biopsy sampling technique which permit such analysis. We have now included a sentence to reflect this</w:t>
      </w:r>
      <w:r w:rsidR="00C10014">
        <w:rPr>
          <w:rFonts w:ascii="Cambria" w:eastAsia="Times New Roman" w:hAnsi="Cambria" w:cs="Calibri"/>
          <w:color w:val="000000" w:themeColor="text1"/>
          <w:lang w:val="en-US" w:eastAsia="en-GB"/>
        </w:rPr>
        <w:t>:</w:t>
      </w:r>
    </w:p>
    <w:p w14:paraId="0562782B" w14:textId="77777777" w:rsidR="00831ECD" w:rsidRPr="006838F7" w:rsidRDefault="00831ECD" w:rsidP="00831ECD">
      <w:pPr>
        <w:spacing w:line="480" w:lineRule="auto"/>
        <w:jc w:val="both"/>
        <w:rPr>
          <w:rFonts w:ascii="Cambria" w:eastAsia="Times New Roman" w:hAnsi="Cambria" w:cs="Calibri"/>
          <w:color w:val="000000" w:themeColor="text1"/>
          <w:lang w:val="en-US" w:eastAsia="en-GB"/>
        </w:rPr>
      </w:pPr>
    </w:p>
    <w:p w14:paraId="366D416E" w14:textId="7E4BCE1E" w:rsidR="00831ECD" w:rsidRPr="006838F7" w:rsidRDefault="00EB35E7" w:rsidP="00831ECD">
      <w:pPr>
        <w:pStyle w:val="ListParagraph"/>
        <w:numPr>
          <w:ilvl w:val="0"/>
          <w:numId w:val="5"/>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lastRenderedPageBreak/>
        <w:t>“</w:t>
      </w:r>
      <w:r w:rsidR="000E5D04" w:rsidRPr="006838F7">
        <w:rPr>
          <w:rFonts w:ascii="Cambria" w:eastAsia="Times New Roman" w:hAnsi="Cambria" w:cs="Calibri"/>
          <w:color w:val="000000" w:themeColor="text1"/>
          <w:lang w:val="en-US" w:eastAsia="en-GB"/>
        </w:rPr>
        <w:t>Should researchers intend to obtain adipose tissue samples for analysis of architectural and morphological parameters,</w:t>
      </w:r>
      <w:r w:rsidR="00472482" w:rsidRPr="00472482">
        <w:rPr>
          <w:rFonts w:ascii="Cambria" w:eastAsia="Times New Roman" w:hAnsi="Cambria" w:cs="Calibri"/>
          <w:color w:val="000000" w:themeColor="text1"/>
          <w:lang w:val="en-US" w:eastAsia="en-GB"/>
        </w:rPr>
        <w:t xml:space="preserve"> alternative methods </w:t>
      </w:r>
      <w:r w:rsidR="00472482" w:rsidRPr="00472482">
        <w:rPr>
          <w:rFonts w:ascii="Cambria" w:eastAsia="Times New Roman" w:hAnsi="Cambria" w:cs="Calibri"/>
          <w:color w:val="000000" w:themeColor="text1"/>
          <w:lang w:val="en-US" w:eastAsia="en-GB"/>
        </w:rPr>
        <w:t>are associated with reduced tissue fragmentation</w:t>
      </w:r>
      <w:r w:rsidR="00472482" w:rsidRPr="00472482">
        <w:rPr>
          <w:rFonts w:ascii="Cambria" w:eastAsia="Times New Roman" w:hAnsi="Cambria" w:cs="Calibri"/>
          <w:color w:val="000000" w:themeColor="text1"/>
          <w:vertAlign w:val="superscript"/>
          <w:lang w:val="en-US" w:eastAsia="en-GB"/>
        </w:rPr>
        <w:t>18</w:t>
      </w:r>
    </w:p>
    <w:p w14:paraId="7A0931BF" w14:textId="77777777" w:rsidR="00C10014" w:rsidRDefault="00C10014" w:rsidP="00C10014">
      <w:pPr>
        <w:rPr>
          <w:rFonts w:ascii="Cambria" w:eastAsia="Times New Roman" w:hAnsi="Cambria" w:cs="Calibri"/>
          <w:color w:val="000000" w:themeColor="text1"/>
          <w:lang w:val="en-US" w:eastAsia="en-GB"/>
        </w:rPr>
      </w:pPr>
    </w:p>
    <w:p w14:paraId="4E2FC666" w14:textId="77777777" w:rsidR="00C10014" w:rsidRDefault="00C10014" w:rsidP="00C10014">
      <w:pPr>
        <w:rPr>
          <w:rFonts w:ascii="Cambria" w:eastAsia="Times New Roman" w:hAnsi="Cambria" w:cs="Calibri"/>
          <w:color w:val="000000" w:themeColor="text1"/>
          <w:lang w:val="en-US" w:eastAsia="en-GB"/>
        </w:rPr>
      </w:pPr>
    </w:p>
    <w:p w14:paraId="03C51723" w14:textId="77777777" w:rsidR="00C10014" w:rsidRDefault="00C10014" w:rsidP="00C10014">
      <w:pPr>
        <w:rPr>
          <w:rFonts w:ascii="Cambria" w:eastAsia="Times New Roman" w:hAnsi="Cambria" w:cs="Calibri"/>
          <w:color w:val="000000" w:themeColor="text1"/>
          <w:lang w:val="en-US" w:eastAsia="en-GB"/>
        </w:rPr>
      </w:pPr>
    </w:p>
    <w:p w14:paraId="1375073E" w14:textId="19DB0E6C" w:rsidR="00DA6CD9" w:rsidRPr="006838F7" w:rsidRDefault="00DA6CD9" w:rsidP="00C10014">
      <w:pPr>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REVIEWER #5</w:t>
      </w:r>
      <w:r w:rsidR="00390BAC" w:rsidRPr="006838F7">
        <w:rPr>
          <w:rFonts w:ascii="Cambria" w:eastAsia="Times New Roman" w:hAnsi="Cambria" w:cs="Calibri"/>
          <w:color w:val="000000" w:themeColor="text1"/>
          <w:lang w:val="en-US" w:eastAsia="en-GB"/>
        </w:rPr>
        <w:t xml:space="preserve"> </w:t>
      </w:r>
      <w:r w:rsidRPr="006838F7">
        <w:rPr>
          <w:rFonts w:ascii="Cambria" w:eastAsia="Times New Roman" w:hAnsi="Cambria" w:cs="Calibri"/>
          <w:color w:val="000000" w:themeColor="text1"/>
          <w:lang w:val="en-US" w:eastAsia="en-GB"/>
        </w:rPr>
        <w:t>comments:</w:t>
      </w:r>
    </w:p>
    <w:p w14:paraId="0D7F3E08" w14:textId="77777777"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p>
    <w:p w14:paraId="1D237B3E" w14:textId="35436F6B"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MacGregor et al describe a protocol for harvesting small volumes of human adipose tissue using a needle biopsy. The manuscript is nicely written, but some points need to be considered:</w:t>
      </w:r>
    </w:p>
    <w:p w14:paraId="46C5FA2B" w14:textId="753BC280"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color w:val="000000" w:themeColor="text1"/>
          <w:lang w:val="en-US" w:eastAsia="en-GB"/>
        </w:rPr>
        <w:br/>
      </w:r>
      <w:r w:rsidRPr="006838F7">
        <w:rPr>
          <w:rFonts w:ascii="Cambria" w:eastAsia="Times New Roman" w:hAnsi="Cambria" w:cs="Calibri"/>
          <w:i/>
          <w:iCs/>
          <w:color w:val="000000" w:themeColor="text1"/>
          <w:lang w:val="en-US" w:eastAsia="en-GB"/>
        </w:rPr>
        <w:t>2. Participant preparation: In this section, it should also be included that the participant understands the potential secondary effects from performing a biopsy, for example, bruising, swelling, scar tissue, etc.</w:t>
      </w:r>
    </w:p>
    <w:p w14:paraId="33DF275E" w14:textId="77777777" w:rsidR="00DC52ED" w:rsidRPr="006838F7" w:rsidRDefault="00DC52ED" w:rsidP="00DA6CD9">
      <w:pPr>
        <w:spacing w:line="480" w:lineRule="auto"/>
        <w:jc w:val="both"/>
        <w:rPr>
          <w:rFonts w:ascii="Cambria" w:eastAsia="Times New Roman" w:hAnsi="Cambria" w:cs="Calibri"/>
          <w:color w:val="000000" w:themeColor="text1"/>
          <w:lang w:val="en-US" w:eastAsia="en-GB"/>
        </w:rPr>
      </w:pPr>
    </w:p>
    <w:p w14:paraId="15B5E6BE" w14:textId="38902162" w:rsidR="00831ECD" w:rsidRPr="006838F7" w:rsidRDefault="00DC52ED"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Author response:</w:t>
      </w:r>
      <w:r w:rsidR="00DA6CD9" w:rsidRPr="006838F7">
        <w:rPr>
          <w:rFonts w:ascii="Cambria" w:eastAsia="Times New Roman" w:hAnsi="Cambria" w:cs="Calibri"/>
          <w:color w:val="000000" w:themeColor="text1"/>
          <w:lang w:val="en-US" w:eastAsia="en-GB"/>
        </w:rPr>
        <w:t> </w:t>
      </w:r>
      <w:r w:rsidRPr="006838F7">
        <w:rPr>
          <w:rFonts w:ascii="Cambria" w:eastAsia="Times New Roman" w:hAnsi="Cambria" w:cs="Calibri"/>
          <w:color w:val="000000" w:themeColor="text1"/>
          <w:lang w:val="en-US" w:eastAsia="en-GB"/>
        </w:rPr>
        <w:t>We thank the reviewer for this comment.</w:t>
      </w:r>
      <w:r w:rsidR="00EB35E7" w:rsidRPr="006838F7">
        <w:rPr>
          <w:rFonts w:ascii="Cambria" w:eastAsia="Times New Roman" w:hAnsi="Cambria" w:cs="Calibri"/>
          <w:color w:val="000000" w:themeColor="text1"/>
          <w:lang w:val="en-US" w:eastAsia="en-GB"/>
        </w:rPr>
        <w:t xml:space="preserve"> We have </w:t>
      </w:r>
      <w:r w:rsidR="00B64F28" w:rsidRPr="006838F7">
        <w:rPr>
          <w:rFonts w:ascii="Cambria" w:eastAsia="Times New Roman" w:hAnsi="Cambria" w:cs="Calibri"/>
          <w:color w:val="000000" w:themeColor="text1"/>
          <w:lang w:val="en-US" w:eastAsia="en-GB"/>
        </w:rPr>
        <w:t>now included this in section 2.2</w:t>
      </w:r>
      <w:r w:rsidR="00C10014">
        <w:rPr>
          <w:rFonts w:ascii="Cambria" w:eastAsia="Times New Roman" w:hAnsi="Cambria" w:cs="Calibri"/>
          <w:color w:val="000000" w:themeColor="text1"/>
          <w:lang w:val="en-US" w:eastAsia="en-GB"/>
        </w:rPr>
        <w:t>:</w:t>
      </w:r>
    </w:p>
    <w:p w14:paraId="4D558ED8" w14:textId="77777777" w:rsidR="00831ECD" w:rsidRPr="006838F7" w:rsidRDefault="00831ECD" w:rsidP="00DA6CD9">
      <w:pPr>
        <w:spacing w:line="480" w:lineRule="auto"/>
        <w:jc w:val="both"/>
        <w:rPr>
          <w:rFonts w:ascii="Cambria" w:eastAsia="Times New Roman" w:hAnsi="Cambria" w:cs="Calibri"/>
          <w:color w:val="000000" w:themeColor="text1"/>
          <w:lang w:val="en-US" w:eastAsia="en-GB"/>
        </w:rPr>
      </w:pPr>
    </w:p>
    <w:p w14:paraId="7B90FE56" w14:textId="792CC5AD" w:rsidR="00B64F28" w:rsidRPr="006838F7" w:rsidRDefault="0092525E" w:rsidP="00831ECD">
      <w:pPr>
        <w:pStyle w:val="ListParagraph"/>
        <w:numPr>
          <w:ilvl w:val="0"/>
          <w:numId w:val="3"/>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w:t>
      </w:r>
      <w:r w:rsidR="004C0859" w:rsidRPr="006838F7">
        <w:rPr>
          <w:rFonts w:ascii="Cambria" w:eastAsia="Times New Roman" w:hAnsi="Cambria" w:cs="Calibri"/>
          <w:color w:val="000000" w:themeColor="text1"/>
          <w:lang w:val="en-US" w:eastAsia="en-GB"/>
        </w:rPr>
        <w:t xml:space="preserve">Ensure the participant understands the procedure to be carried out and potential secondary effects, including bruising, pain and </w:t>
      </w:r>
      <w:r w:rsidR="00472482">
        <w:rPr>
          <w:rFonts w:ascii="Cambria" w:eastAsia="Times New Roman" w:hAnsi="Cambria" w:cs="Calibri"/>
          <w:color w:val="000000" w:themeColor="text1"/>
          <w:lang w:val="en-US" w:eastAsia="en-GB"/>
        </w:rPr>
        <w:t>infection</w:t>
      </w:r>
      <w:r w:rsidR="004C0859" w:rsidRPr="006838F7">
        <w:rPr>
          <w:rFonts w:ascii="Cambria" w:eastAsia="Times New Roman" w:hAnsi="Cambria" w:cs="Calibri"/>
          <w:color w:val="000000" w:themeColor="text1"/>
          <w:lang w:val="en-US" w:eastAsia="en-GB"/>
        </w:rPr>
        <w:t xml:space="preserve"> (Table 1).</w:t>
      </w:r>
      <w:r w:rsidRPr="006838F7">
        <w:rPr>
          <w:rFonts w:ascii="Cambria" w:eastAsia="Times New Roman" w:hAnsi="Cambria" w:cs="Calibri"/>
          <w:color w:val="000000" w:themeColor="text1"/>
          <w:lang w:val="en-US" w:eastAsia="en-GB"/>
        </w:rPr>
        <w:t>”</w:t>
      </w:r>
    </w:p>
    <w:p w14:paraId="5AE45D95" w14:textId="77777777" w:rsidR="00831ECD" w:rsidRPr="006838F7" w:rsidRDefault="00831ECD" w:rsidP="00831ECD">
      <w:pPr>
        <w:spacing w:line="480" w:lineRule="auto"/>
        <w:jc w:val="both"/>
        <w:rPr>
          <w:rFonts w:ascii="Cambria" w:eastAsia="Times New Roman" w:hAnsi="Cambria" w:cs="Calibri"/>
          <w:color w:val="000000" w:themeColor="text1"/>
          <w:lang w:val="en-US" w:eastAsia="en-GB"/>
        </w:rPr>
      </w:pPr>
    </w:p>
    <w:p w14:paraId="10401E4A" w14:textId="258F62C8"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3.10 Is there an advantage for using a 5-10 mL syringe instead of for example</w:t>
      </w:r>
      <w:r w:rsidR="00DC52ED" w:rsidRPr="006838F7">
        <w:rPr>
          <w:rFonts w:ascii="Cambria" w:eastAsia="Times New Roman" w:hAnsi="Cambria" w:cs="Calibri"/>
          <w:i/>
          <w:iCs/>
          <w:color w:val="000000" w:themeColor="text1"/>
          <w:lang w:val="en-US" w:eastAsia="en-GB"/>
        </w:rPr>
        <w:t xml:space="preserve"> </w:t>
      </w:r>
      <w:r w:rsidRPr="006838F7">
        <w:rPr>
          <w:rFonts w:ascii="Cambria" w:eastAsia="Times New Roman" w:hAnsi="Cambria" w:cs="Calibri"/>
          <w:i/>
          <w:iCs/>
          <w:color w:val="000000" w:themeColor="text1"/>
          <w:lang w:val="en-US" w:eastAsia="en-GB"/>
        </w:rPr>
        <w:t>20 mL? I would think that the adipose tissue yield would be bigger.</w:t>
      </w:r>
    </w:p>
    <w:p w14:paraId="774712D2" w14:textId="77777777" w:rsidR="00A5667A" w:rsidRPr="006838F7" w:rsidRDefault="00A5667A" w:rsidP="00DA6CD9">
      <w:pPr>
        <w:spacing w:line="480" w:lineRule="auto"/>
        <w:jc w:val="both"/>
        <w:rPr>
          <w:rFonts w:ascii="Cambria" w:eastAsia="Times New Roman" w:hAnsi="Cambria" w:cs="Calibri"/>
          <w:color w:val="000000" w:themeColor="text1"/>
          <w:lang w:val="en-US" w:eastAsia="en-GB"/>
        </w:rPr>
      </w:pPr>
    </w:p>
    <w:p w14:paraId="6FEA2C18" w14:textId="590C352D" w:rsidR="00506F33" w:rsidRPr="006838F7" w:rsidRDefault="00DC52ED"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xml:space="preserve">Author response:  </w:t>
      </w:r>
      <w:r w:rsidR="00512989" w:rsidRPr="006838F7">
        <w:rPr>
          <w:rFonts w:ascii="Cambria" w:eastAsia="Times New Roman" w:hAnsi="Cambria" w:cs="Calibri"/>
          <w:color w:val="000000" w:themeColor="text1"/>
          <w:lang w:val="en-US" w:eastAsia="en-GB"/>
        </w:rPr>
        <w:t xml:space="preserve">Whilst a larger syringe increases </w:t>
      </w:r>
      <w:r w:rsidR="00D1533D" w:rsidRPr="006838F7">
        <w:rPr>
          <w:rFonts w:ascii="Cambria" w:eastAsia="Times New Roman" w:hAnsi="Cambria" w:cs="Calibri"/>
          <w:color w:val="000000" w:themeColor="text1"/>
          <w:lang w:val="en-US" w:eastAsia="en-GB"/>
        </w:rPr>
        <w:t xml:space="preserve">the </w:t>
      </w:r>
      <w:r w:rsidR="00512989" w:rsidRPr="006838F7">
        <w:rPr>
          <w:rFonts w:ascii="Cambria" w:eastAsia="Times New Roman" w:hAnsi="Cambria" w:cs="Calibri"/>
          <w:color w:val="000000" w:themeColor="text1"/>
          <w:lang w:val="en-US" w:eastAsia="en-GB"/>
        </w:rPr>
        <w:t>vacuum</w:t>
      </w:r>
      <w:r w:rsidR="00D1533D" w:rsidRPr="006838F7">
        <w:rPr>
          <w:rFonts w:ascii="Cambria" w:eastAsia="Times New Roman" w:hAnsi="Cambria" w:cs="Calibri"/>
          <w:color w:val="000000" w:themeColor="text1"/>
          <w:lang w:val="en-US" w:eastAsia="en-GB"/>
        </w:rPr>
        <w:t xml:space="preserve">, anecdotally we have not observed divergences in sample </w:t>
      </w:r>
      <w:r w:rsidR="007F1ED5" w:rsidRPr="006838F7">
        <w:rPr>
          <w:rFonts w:ascii="Cambria" w:eastAsia="Times New Roman" w:hAnsi="Cambria" w:cs="Calibri"/>
          <w:color w:val="000000" w:themeColor="text1"/>
          <w:lang w:val="en-US" w:eastAsia="en-GB"/>
        </w:rPr>
        <w:t>yield</w:t>
      </w:r>
      <w:r w:rsidR="00D1533D" w:rsidRPr="006838F7">
        <w:rPr>
          <w:rFonts w:ascii="Cambria" w:eastAsia="Times New Roman" w:hAnsi="Cambria" w:cs="Calibri"/>
          <w:color w:val="000000" w:themeColor="text1"/>
          <w:lang w:val="en-US" w:eastAsia="en-GB"/>
        </w:rPr>
        <w:t xml:space="preserve"> </w:t>
      </w:r>
      <w:r w:rsidR="00AE79D7" w:rsidRPr="006838F7">
        <w:rPr>
          <w:rFonts w:ascii="Cambria" w:eastAsia="Times New Roman" w:hAnsi="Cambria" w:cs="Calibri"/>
          <w:color w:val="000000" w:themeColor="text1"/>
          <w:lang w:val="en-US" w:eastAsia="en-GB"/>
        </w:rPr>
        <w:t>between</w:t>
      </w:r>
      <w:r w:rsidR="00D1533D" w:rsidRPr="006838F7">
        <w:rPr>
          <w:rFonts w:ascii="Cambria" w:eastAsia="Times New Roman" w:hAnsi="Cambria" w:cs="Calibri"/>
          <w:color w:val="000000" w:themeColor="text1"/>
          <w:lang w:val="en-US" w:eastAsia="en-GB"/>
        </w:rPr>
        <w:t xml:space="preserve"> </w:t>
      </w:r>
      <w:r w:rsidR="00AE79D7" w:rsidRPr="006838F7">
        <w:rPr>
          <w:rFonts w:ascii="Cambria" w:eastAsia="Times New Roman" w:hAnsi="Cambria" w:cs="Calibri"/>
          <w:color w:val="000000" w:themeColor="text1"/>
          <w:lang w:val="en-US" w:eastAsia="en-GB"/>
        </w:rPr>
        <w:t xml:space="preserve">5 to 20 mL syringes. </w:t>
      </w:r>
      <w:r w:rsidR="00040927" w:rsidRPr="006838F7">
        <w:rPr>
          <w:rFonts w:ascii="Cambria" w:eastAsia="Times New Roman" w:hAnsi="Cambria" w:cs="Calibri"/>
          <w:color w:val="000000" w:themeColor="text1"/>
          <w:lang w:val="en-US" w:eastAsia="en-GB"/>
        </w:rPr>
        <w:t xml:space="preserve">Additionally, larger </w:t>
      </w:r>
      <w:r w:rsidR="00040927" w:rsidRPr="006838F7">
        <w:rPr>
          <w:rFonts w:ascii="Cambria" w:eastAsia="Times New Roman" w:hAnsi="Cambria" w:cs="Calibri"/>
          <w:color w:val="000000" w:themeColor="text1"/>
          <w:lang w:val="en-US" w:eastAsia="en-GB"/>
        </w:rPr>
        <w:lastRenderedPageBreak/>
        <w:t xml:space="preserve">syringe volumes may decrease needle control and increase perceived difficulty </w:t>
      </w:r>
      <w:r w:rsidR="00A535CB" w:rsidRPr="006838F7">
        <w:rPr>
          <w:rFonts w:ascii="Cambria" w:eastAsia="Times New Roman" w:hAnsi="Cambria" w:cs="Calibri"/>
          <w:color w:val="000000" w:themeColor="text1"/>
          <w:lang w:val="en-US" w:eastAsia="en-GB"/>
        </w:rPr>
        <w:t xml:space="preserve">of the technique </w:t>
      </w:r>
      <w:r w:rsidR="00040927" w:rsidRPr="006838F7">
        <w:rPr>
          <w:rFonts w:ascii="Cambria" w:eastAsia="Times New Roman" w:hAnsi="Cambria" w:cs="Calibri"/>
          <w:color w:val="000000" w:themeColor="text1"/>
          <w:lang w:val="en-US" w:eastAsia="en-GB"/>
        </w:rPr>
        <w:t>for the biopsy taker (</w:t>
      </w:r>
      <w:proofErr w:type="spellStart"/>
      <w:r w:rsidR="00040927" w:rsidRPr="006838F7">
        <w:rPr>
          <w:rFonts w:ascii="Cambria" w:eastAsia="Times New Roman" w:hAnsi="Cambria" w:cs="Calibri"/>
          <w:color w:val="000000" w:themeColor="text1"/>
          <w:lang w:val="en-US" w:eastAsia="en-GB"/>
        </w:rPr>
        <w:t>Kettwich</w:t>
      </w:r>
      <w:proofErr w:type="spellEnd"/>
      <w:r w:rsidR="00040927" w:rsidRPr="006838F7">
        <w:rPr>
          <w:rFonts w:ascii="Cambria" w:eastAsia="Times New Roman" w:hAnsi="Cambria" w:cs="Calibri"/>
          <w:color w:val="000000" w:themeColor="text1"/>
          <w:lang w:val="en-US" w:eastAsia="en-GB"/>
        </w:rPr>
        <w:t xml:space="preserve"> </w:t>
      </w:r>
      <w:r w:rsidR="00040927" w:rsidRPr="006838F7">
        <w:rPr>
          <w:rFonts w:ascii="Cambria" w:eastAsia="Times New Roman" w:hAnsi="Cambria" w:cs="Calibri"/>
          <w:i/>
          <w:iCs/>
          <w:color w:val="000000" w:themeColor="text1"/>
          <w:lang w:val="en-US" w:eastAsia="en-GB"/>
        </w:rPr>
        <w:t xml:space="preserve">et al. </w:t>
      </w:r>
      <w:r w:rsidR="00040927" w:rsidRPr="006838F7">
        <w:rPr>
          <w:rFonts w:ascii="Cambria" w:eastAsia="Times New Roman" w:hAnsi="Cambria" w:cs="Calibri"/>
          <w:color w:val="000000" w:themeColor="text1"/>
          <w:lang w:val="en-US" w:eastAsia="en-GB"/>
        </w:rPr>
        <w:t xml:space="preserve">2013). </w:t>
      </w:r>
      <w:r w:rsidR="00AE79D7" w:rsidRPr="006838F7">
        <w:rPr>
          <w:rFonts w:ascii="Cambria" w:eastAsia="Times New Roman" w:hAnsi="Cambria" w:cs="Calibri"/>
          <w:color w:val="000000" w:themeColor="text1"/>
          <w:lang w:val="en-US" w:eastAsia="en-GB"/>
        </w:rPr>
        <w:t>Therefore, of primary importance is th</w:t>
      </w:r>
      <w:r w:rsidR="00CF3E6F" w:rsidRPr="006838F7">
        <w:rPr>
          <w:rFonts w:ascii="Cambria" w:eastAsia="Times New Roman" w:hAnsi="Cambria" w:cs="Calibri"/>
          <w:color w:val="000000" w:themeColor="text1"/>
          <w:lang w:val="en-US" w:eastAsia="en-GB"/>
        </w:rPr>
        <w:t>at the</w:t>
      </w:r>
      <w:r w:rsidR="00AE79D7" w:rsidRPr="006838F7">
        <w:rPr>
          <w:rFonts w:ascii="Cambria" w:eastAsia="Times New Roman" w:hAnsi="Cambria" w:cs="Calibri"/>
          <w:color w:val="000000" w:themeColor="text1"/>
          <w:lang w:val="en-US" w:eastAsia="en-GB"/>
        </w:rPr>
        <w:t xml:space="preserve"> biopsy taker </w:t>
      </w:r>
      <w:proofErr w:type="spellStart"/>
      <w:r w:rsidR="00AE79D7" w:rsidRPr="006838F7">
        <w:rPr>
          <w:rFonts w:ascii="Cambria" w:eastAsia="Times New Roman" w:hAnsi="Cambria" w:cs="Calibri"/>
          <w:color w:val="000000" w:themeColor="text1"/>
          <w:lang w:val="en-US" w:eastAsia="en-GB"/>
        </w:rPr>
        <w:t>usi</w:t>
      </w:r>
      <w:r w:rsidR="0071781A" w:rsidRPr="006838F7">
        <w:rPr>
          <w:rFonts w:ascii="Cambria" w:eastAsia="Times New Roman" w:hAnsi="Cambria" w:cs="Calibri"/>
          <w:color w:val="000000" w:themeColor="text1"/>
          <w:lang w:val="en-US" w:eastAsia="en-GB"/>
        </w:rPr>
        <w:t>es</w:t>
      </w:r>
      <w:proofErr w:type="spellEnd"/>
      <w:r w:rsidR="00AE79D7" w:rsidRPr="006838F7">
        <w:rPr>
          <w:rFonts w:ascii="Cambria" w:eastAsia="Times New Roman" w:hAnsi="Cambria" w:cs="Calibri"/>
          <w:color w:val="000000" w:themeColor="text1"/>
          <w:lang w:val="en-US" w:eastAsia="en-GB"/>
        </w:rPr>
        <w:t xml:space="preserve"> a syringe size that allows adequate</w:t>
      </w:r>
      <w:r w:rsidR="00AA02B5" w:rsidRPr="006838F7">
        <w:rPr>
          <w:rFonts w:ascii="Cambria" w:eastAsia="Times New Roman" w:hAnsi="Cambria" w:cs="Calibri"/>
          <w:color w:val="000000" w:themeColor="text1"/>
          <w:lang w:val="en-US" w:eastAsia="en-GB"/>
        </w:rPr>
        <w:t xml:space="preserve"> grip and </w:t>
      </w:r>
      <w:r w:rsidR="009C09AF" w:rsidRPr="006838F7">
        <w:rPr>
          <w:rFonts w:ascii="Cambria" w:eastAsia="Times New Roman" w:hAnsi="Cambria" w:cs="Calibri"/>
          <w:color w:val="000000" w:themeColor="text1"/>
          <w:lang w:val="en-US" w:eastAsia="en-GB"/>
        </w:rPr>
        <w:t>to comfortably maintain plunger retraction for maintenance of the vacuum</w:t>
      </w:r>
      <w:r w:rsidR="003427DA" w:rsidRPr="006838F7">
        <w:rPr>
          <w:rFonts w:ascii="Cambria" w:eastAsia="Times New Roman" w:hAnsi="Cambria" w:cs="Calibri"/>
          <w:color w:val="000000" w:themeColor="text1"/>
          <w:lang w:val="en-US" w:eastAsia="en-GB"/>
        </w:rPr>
        <w:t>; w</w:t>
      </w:r>
      <w:r w:rsidR="001E4398" w:rsidRPr="006838F7">
        <w:rPr>
          <w:rFonts w:ascii="Cambria" w:eastAsia="Times New Roman" w:hAnsi="Cambria" w:cs="Calibri"/>
          <w:color w:val="000000" w:themeColor="text1"/>
          <w:lang w:val="en-US" w:eastAsia="en-GB"/>
        </w:rPr>
        <w:t>e have observed</w:t>
      </w:r>
      <w:r w:rsidR="003427DA" w:rsidRPr="006838F7">
        <w:rPr>
          <w:rFonts w:ascii="Cambria" w:eastAsia="Times New Roman" w:hAnsi="Cambria" w:cs="Calibri"/>
          <w:color w:val="000000" w:themeColor="text1"/>
          <w:lang w:val="en-US" w:eastAsia="en-GB"/>
        </w:rPr>
        <w:t xml:space="preserve"> this</w:t>
      </w:r>
      <w:r w:rsidR="001E4398" w:rsidRPr="006838F7">
        <w:rPr>
          <w:rFonts w:ascii="Cambria" w:eastAsia="Times New Roman" w:hAnsi="Cambria" w:cs="Calibri"/>
          <w:color w:val="000000" w:themeColor="text1"/>
          <w:lang w:val="en-US" w:eastAsia="en-GB"/>
        </w:rPr>
        <w:t xml:space="preserve"> </w:t>
      </w:r>
      <w:r w:rsidR="00334D16" w:rsidRPr="006838F7">
        <w:rPr>
          <w:rFonts w:ascii="Cambria" w:eastAsia="Times New Roman" w:hAnsi="Cambria" w:cs="Calibri"/>
          <w:color w:val="000000" w:themeColor="text1"/>
          <w:lang w:val="en-US" w:eastAsia="en-GB"/>
        </w:rPr>
        <w:t xml:space="preserve">is </w:t>
      </w:r>
      <w:r w:rsidR="001E4398" w:rsidRPr="006838F7">
        <w:rPr>
          <w:rFonts w:ascii="Cambria" w:eastAsia="Times New Roman" w:hAnsi="Cambria" w:cs="Calibri"/>
          <w:color w:val="000000" w:themeColor="text1"/>
          <w:lang w:val="en-US" w:eastAsia="en-GB"/>
        </w:rPr>
        <w:t>subject to inter-individual variation.</w:t>
      </w:r>
      <w:r w:rsidR="003427DA" w:rsidRPr="006838F7">
        <w:rPr>
          <w:rFonts w:ascii="Cambria" w:eastAsia="Times New Roman" w:hAnsi="Cambria" w:cs="Calibri"/>
          <w:color w:val="000000" w:themeColor="text1"/>
          <w:lang w:val="en-US" w:eastAsia="en-GB"/>
        </w:rPr>
        <w:t xml:space="preserve"> </w:t>
      </w:r>
      <w:r w:rsidR="00334D16" w:rsidRPr="006838F7">
        <w:rPr>
          <w:rFonts w:ascii="Cambria" w:eastAsia="Times New Roman" w:hAnsi="Cambria" w:cs="Calibri"/>
          <w:color w:val="000000" w:themeColor="text1"/>
          <w:lang w:val="en-US" w:eastAsia="en-GB"/>
        </w:rPr>
        <w:t>In the original manuscript this was</w:t>
      </w:r>
      <w:r w:rsidR="009C09AF" w:rsidRPr="006838F7">
        <w:rPr>
          <w:rFonts w:ascii="Cambria" w:eastAsia="Times New Roman" w:hAnsi="Cambria" w:cs="Calibri"/>
          <w:color w:val="000000" w:themeColor="text1"/>
          <w:lang w:val="en-US" w:eastAsia="en-GB"/>
        </w:rPr>
        <w:t xml:space="preserve"> discussed in the note following section </w:t>
      </w:r>
      <w:r w:rsidR="02E6C603" w:rsidRPr="006838F7">
        <w:rPr>
          <w:rFonts w:ascii="Cambria" w:eastAsia="Times New Roman" w:hAnsi="Cambria" w:cs="Calibri"/>
          <w:color w:val="000000" w:themeColor="text1"/>
          <w:lang w:val="en-US" w:eastAsia="en-GB"/>
        </w:rPr>
        <w:t>3.</w:t>
      </w:r>
      <w:r w:rsidR="009C09AF" w:rsidRPr="006838F7">
        <w:rPr>
          <w:rFonts w:ascii="Cambria" w:eastAsia="Times New Roman" w:hAnsi="Cambria" w:cs="Calibri"/>
          <w:color w:val="000000" w:themeColor="text1"/>
          <w:lang w:val="en-US" w:eastAsia="en-GB"/>
        </w:rPr>
        <w:t>11.1</w:t>
      </w:r>
      <w:r w:rsidR="00334D16" w:rsidRPr="006838F7">
        <w:rPr>
          <w:rFonts w:ascii="Cambria" w:eastAsia="Times New Roman" w:hAnsi="Cambria" w:cs="Calibri"/>
          <w:color w:val="000000" w:themeColor="text1"/>
          <w:lang w:val="en-US" w:eastAsia="en-GB"/>
        </w:rPr>
        <w:t xml:space="preserve">. </w:t>
      </w:r>
      <w:r w:rsidR="67047551" w:rsidRPr="006838F7">
        <w:rPr>
          <w:rFonts w:ascii="Cambria" w:eastAsia="Times New Roman" w:hAnsi="Cambria" w:cs="Calibri"/>
          <w:color w:val="000000" w:themeColor="text1"/>
          <w:lang w:val="en-US" w:eastAsia="en-GB"/>
        </w:rPr>
        <w:t>W</w:t>
      </w:r>
      <w:r w:rsidR="003427DA" w:rsidRPr="006838F7">
        <w:rPr>
          <w:rFonts w:ascii="Cambria" w:eastAsia="Times New Roman" w:hAnsi="Cambria" w:cs="Calibri"/>
          <w:color w:val="000000" w:themeColor="text1"/>
          <w:lang w:val="en-US" w:eastAsia="en-GB"/>
        </w:rPr>
        <w:t>e have expanded this point to provide further clarity</w:t>
      </w:r>
      <w:r w:rsidR="00506F33" w:rsidRPr="006838F7">
        <w:rPr>
          <w:rFonts w:ascii="Cambria" w:eastAsia="Times New Roman" w:hAnsi="Cambria" w:cs="Calibri"/>
          <w:color w:val="000000" w:themeColor="text1"/>
          <w:lang w:val="en-US" w:eastAsia="en-GB"/>
        </w:rPr>
        <w:t>:</w:t>
      </w:r>
    </w:p>
    <w:p w14:paraId="3C7404E0" w14:textId="77777777" w:rsidR="00831ECD" w:rsidRPr="006838F7" w:rsidRDefault="00831ECD" w:rsidP="00DA6CD9">
      <w:pPr>
        <w:spacing w:line="480" w:lineRule="auto"/>
        <w:jc w:val="both"/>
        <w:rPr>
          <w:rFonts w:ascii="Cambria" w:eastAsia="Times New Roman" w:hAnsi="Cambria" w:cs="Calibri"/>
          <w:color w:val="000000" w:themeColor="text1"/>
          <w:lang w:val="en-US" w:eastAsia="en-GB"/>
        </w:rPr>
      </w:pPr>
    </w:p>
    <w:p w14:paraId="7BDAF695" w14:textId="418F406B" w:rsidR="00506F33" w:rsidRPr="006838F7" w:rsidRDefault="00506F33" w:rsidP="00831ECD">
      <w:pPr>
        <w:pStyle w:val="ListParagraph"/>
        <w:numPr>
          <w:ilvl w:val="0"/>
          <w:numId w:val="2"/>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“NOTE: Other syringe sizes can be used. It is essential that the researcher selects a syringe size which permits both a good grip on the syringe and to comfortably maintain plunger retraction for maintenance of the vacuum.”</w:t>
      </w:r>
    </w:p>
    <w:p w14:paraId="78EA408B" w14:textId="799DF7F5"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color w:val="000000" w:themeColor="text1"/>
          <w:lang w:val="en-US" w:eastAsia="en-GB"/>
        </w:rPr>
        <w:br/>
      </w:r>
      <w:r w:rsidRPr="006838F7">
        <w:rPr>
          <w:rFonts w:ascii="Cambria" w:eastAsia="Times New Roman" w:hAnsi="Cambria" w:cs="Calibri"/>
          <w:i/>
          <w:iCs/>
          <w:color w:val="000000" w:themeColor="text1"/>
          <w:lang w:val="en-US" w:eastAsia="en-GB"/>
        </w:rPr>
        <w:t>3.11.1 The plunger will be under strong pressure during the biopsy. Can you recommend something to keep the plunger locked to relieve the pressure in hand?</w:t>
      </w:r>
    </w:p>
    <w:p w14:paraId="5409FCED" w14:textId="2866A885" w:rsidR="00D86DE3" w:rsidRPr="006838F7" w:rsidRDefault="00DA6CD9"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w:t>
      </w:r>
    </w:p>
    <w:p w14:paraId="7A86710E" w14:textId="790A2518" w:rsidR="00672D90" w:rsidRPr="006838F7" w:rsidRDefault="00A31D7E"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xml:space="preserve">Author response:  </w:t>
      </w:r>
      <w:r w:rsidR="00313B84" w:rsidRPr="006838F7">
        <w:rPr>
          <w:rFonts w:ascii="Cambria" w:eastAsia="Times New Roman" w:hAnsi="Cambria" w:cs="Calibri"/>
          <w:color w:val="000000" w:themeColor="text1"/>
          <w:lang w:val="en-US" w:eastAsia="en-GB"/>
        </w:rPr>
        <w:t xml:space="preserve">We thank the reviewer for highlighting this point. </w:t>
      </w:r>
      <w:r w:rsidRPr="006838F7">
        <w:rPr>
          <w:rFonts w:ascii="Cambria" w:eastAsia="Times New Roman" w:hAnsi="Cambria" w:cs="Calibri"/>
          <w:color w:val="000000" w:themeColor="text1"/>
          <w:lang w:val="en-US" w:eastAsia="en-GB"/>
        </w:rPr>
        <w:t xml:space="preserve">Whilst the </w:t>
      </w:r>
      <w:r w:rsidR="00672D90" w:rsidRPr="006838F7">
        <w:rPr>
          <w:rFonts w:ascii="Cambria" w:eastAsia="Times New Roman" w:hAnsi="Cambria" w:cs="Calibri"/>
          <w:color w:val="000000" w:themeColor="text1"/>
          <w:lang w:val="en-US" w:eastAsia="en-GB"/>
        </w:rPr>
        <w:t>syringe plunger</w:t>
      </w:r>
      <w:r w:rsidRPr="006838F7">
        <w:rPr>
          <w:rFonts w:ascii="Cambria" w:eastAsia="Times New Roman" w:hAnsi="Cambria" w:cs="Calibri"/>
          <w:color w:val="000000" w:themeColor="text1"/>
          <w:lang w:val="en-US" w:eastAsia="en-GB"/>
        </w:rPr>
        <w:t xml:space="preserve"> is under pressure during the biopsy, </w:t>
      </w:r>
      <w:r w:rsidR="004C4549" w:rsidRPr="006838F7">
        <w:rPr>
          <w:rFonts w:ascii="Cambria" w:eastAsia="Times New Roman" w:hAnsi="Cambria" w:cs="Calibri"/>
          <w:color w:val="000000" w:themeColor="text1"/>
          <w:lang w:val="en-US" w:eastAsia="en-GB"/>
        </w:rPr>
        <w:t xml:space="preserve">selecting an appropriate size syringe mitigates any issues </w:t>
      </w:r>
      <w:r w:rsidR="00672D90" w:rsidRPr="006838F7">
        <w:rPr>
          <w:rFonts w:ascii="Cambria" w:eastAsia="Times New Roman" w:hAnsi="Cambria" w:cs="Calibri"/>
          <w:color w:val="000000" w:themeColor="text1"/>
          <w:lang w:val="en-US" w:eastAsia="en-GB"/>
        </w:rPr>
        <w:t xml:space="preserve">regarding maintaining plunger retraction during the biopsy. Anecdotally, we have not encountered any issues with </w:t>
      </w:r>
      <w:r w:rsidR="003F15B7" w:rsidRPr="006838F7">
        <w:rPr>
          <w:rFonts w:ascii="Cambria" w:eastAsia="Times New Roman" w:hAnsi="Cambria" w:cs="Calibri"/>
          <w:color w:val="000000" w:themeColor="text1"/>
          <w:lang w:val="en-US" w:eastAsia="en-GB"/>
        </w:rPr>
        <w:t>maintaining</w:t>
      </w:r>
      <w:r w:rsidR="00672D90" w:rsidRPr="006838F7">
        <w:rPr>
          <w:rFonts w:ascii="Cambria" w:eastAsia="Times New Roman" w:hAnsi="Cambria" w:cs="Calibri"/>
          <w:color w:val="000000" w:themeColor="text1"/>
          <w:lang w:val="en-US" w:eastAsia="en-GB"/>
        </w:rPr>
        <w:t xml:space="preserve"> plunger</w:t>
      </w:r>
      <w:r w:rsidR="003F15B7" w:rsidRPr="006838F7">
        <w:rPr>
          <w:rFonts w:ascii="Cambria" w:eastAsia="Times New Roman" w:hAnsi="Cambria" w:cs="Calibri"/>
          <w:color w:val="000000" w:themeColor="text1"/>
          <w:lang w:val="en-US" w:eastAsia="en-GB"/>
        </w:rPr>
        <w:t xml:space="preserve"> retraction</w:t>
      </w:r>
      <w:r w:rsidR="00183DD1" w:rsidRPr="006838F7">
        <w:rPr>
          <w:rFonts w:ascii="Cambria" w:eastAsia="Times New Roman" w:hAnsi="Cambria" w:cs="Calibri"/>
          <w:color w:val="000000" w:themeColor="text1"/>
          <w:lang w:val="en-US" w:eastAsia="en-GB"/>
        </w:rPr>
        <w:t xml:space="preserve">. </w:t>
      </w:r>
      <w:r w:rsidR="00B9137F" w:rsidRPr="006838F7">
        <w:rPr>
          <w:rFonts w:ascii="Cambria" w:eastAsia="Times New Roman" w:hAnsi="Cambria" w:cs="Calibri"/>
          <w:color w:val="000000" w:themeColor="text1"/>
          <w:lang w:val="en-US" w:eastAsia="en-GB"/>
        </w:rPr>
        <w:t>Although</w:t>
      </w:r>
      <w:r w:rsidR="00183DD1" w:rsidRPr="006838F7">
        <w:rPr>
          <w:rFonts w:ascii="Cambria" w:eastAsia="Times New Roman" w:hAnsi="Cambria" w:cs="Calibri"/>
          <w:color w:val="000000" w:themeColor="text1"/>
          <w:lang w:val="en-US" w:eastAsia="en-GB"/>
        </w:rPr>
        <w:t xml:space="preserve"> not required to adequately perform the technique, locking syringes </w:t>
      </w:r>
      <w:r w:rsidR="003F15B7" w:rsidRPr="006838F7">
        <w:rPr>
          <w:rFonts w:ascii="Cambria" w:eastAsia="Times New Roman" w:hAnsi="Cambria" w:cs="Calibri"/>
          <w:color w:val="000000" w:themeColor="text1"/>
          <w:lang w:val="en-US" w:eastAsia="en-GB"/>
        </w:rPr>
        <w:t>can be used</w:t>
      </w:r>
      <w:r w:rsidR="00183DD1" w:rsidRPr="006838F7">
        <w:rPr>
          <w:rFonts w:ascii="Cambria" w:eastAsia="Times New Roman" w:hAnsi="Cambria" w:cs="Calibri"/>
          <w:color w:val="000000" w:themeColor="text1"/>
          <w:lang w:val="en-US" w:eastAsia="en-GB"/>
        </w:rPr>
        <w:t xml:space="preserve">. </w:t>
      </w:r>
      <w:r w:rsidR="005B05A9" w:rsidRPr="006838F7">
        <w:rPr>
          <w:rFonts w:ascii="Cambria" w:eastAsia="Times New Roman" w:hAnsi="Cambria" w:cs="Calibri"/>
          <w:color w:val="000000" w:themeColor="text1"/>
          <w:lang w:val="en-US" w:eastAsia="en-GB"/>
        </w:rPr>
        <w:t xml:space="preserve">Locking syringes may also improve needle control and reduce perceived difficulty. </w:t>
      </w:r>
      <w:r w:rsidR="00183DD1" w:rsidRPr="006838F7">
        <w:rPr>
          <w:rFonts w:ascii="Cambria" w:eastAsia="Times New Roman" w:hAnsi="Cambria" w:cs="Calibri"/>
          <w:color w:val="000000" w:themeColor="text1"/>
          <w:lang w:val="en-US" w:eastAsia="en-GB"/>
        </w:rPr>
        <w:t xml:space="preserve">We have mentioned this in the </w:t>
      </w:r>
      <w:r w:rsidR="005B05A9" w:rsidRPr="006838F7">
        <w:rPr>
          <w:rFonts w:ascii="Cambria" w:eastAsia="Times New Roman" w:hAnsi="Cambria" w:cs="Calibri"/>
          <w:color w:val="000000" w:themeColor="text1"/>
          <w:lang w:val="en-US" w:eastAsia="en-GB"/>
        </w:rPr>
        <w:t>note following section 11.1</w:t>
      </w:r>
      <w:r w:rsidR="00C10014">
        <w:rPr>
          <w:rFonts w:ascii="Cambria" w:eastAsia="Times New Roman" w:hAnsi="Cambria" w:cs="Calibri"/>
          <w:color w:val="000000" w:themeColor="text1"/>
          <w:lang w:val="en-US" w:eastAsia="en-GB"/>
        </w:rPr>
        <w:t>:</w:t>
      </w:r>
    </w:p>
    <w:p w14:paraId="18F50BA7" w14:textId="0BCCBFF7" w:rsidR="003F15B7" w:rsidRPr="006838F7" w:rsidRDefault="003F15B7" w:rsidP="00DA6CD9">
      <w:pPr>
        <w:spacing w:line="480" w:lineRule="auto"/>
        <w:jc w:val="both"/>
        <w:rPr>
          <w:rFonts w:ascii="Cambria" w:eastAsia="Times New Roman" w:hAnsi="Cambria" w:cs="Calibri"/>
          <w:color w:val="000000" w:themeColor="text1"/>
          <w:lang w:val="en-US" w:eastAsia="en-GB"/>
        </w:rPr>
      </w:pPr>
    </w:p>
    <w:p w14:paraId="0C83FF0C" w14:textId="75188745" w:rsidR="00D86DE3" w:rsidRPr="006838F7" w:rsidRDefault="003F15B7" w:rsidP="00DA6CD9">
      <w:pPr>
        <w:pStyle w:val="ListParagraph"/>
        <w:numPr>
          <w:ilvl w:val="0"/>
          <w:numId w:val="2"/>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w:t>
      </w:r>
      <w:r w:rsidR="00C25CCE" w:rsidRPr="006838F7">
        <w:rPr>
          <w:rFonts w:ascii="Cambria" w:eastAsia="Times New Roman" w:hAnsi="Cambria" w:cs="Calibri"/>
          <w:color w:val="000000" w:themeColor="text1"/>
          <w:lang w:val="en-US" w:eastAsia="en-GB"/>
        </w:rPr>
        <w:t xml:space="preserve">Locking syringes are available that maintain the vacuum, which can improve needle control and reduce perceived difficulty for the biopsy taker </w:t>
      </w:r>
      <w:r w:rsidR="00C25CCE" w:rsidRPr="006838F7">
        <w:rPr>
          <w:rFonts w:ascii="Cambria" w:eastAsia="Times New Roman" w:hAnsi="Cambria" w:cs="Calibri"/>
          <w:color w:val="000000" w:themeColor="text1"/>
          <w:vertAlign w:val="superscript"/>
          <w:lang w:val="en-US" w:eastAsia="en-GB"/>
        </w:rPr>
        <w:t>5</w:t>
      </w:r>
      <w:r w:rsidR="00C25CCE" w:rsidRPr="006838F7">
        <w:rPr>
          <w:rFonts w:ascii="Cambria" w:eastAsia="Times New Roman" w:hAnsi="Cambria" w:cs="Calibri"/>
          <w:color w:val="000000" w:themeColor="text1"/>
          <w:lang w:val="en-US" w:eastAsia="en-GB"/>
        </w:rPr>
        <w:t>.</w:t>
      </w:r>
      <w:r w:rsidRPr="006838F7">
        <w:rPr>
          <w:rFonts w:ascii="Cambria" w:eastAsia="Times New Roman" w:hAnsi="Cambria" w:cs="Calibri"/>
          <w:color w:val="000000" w:themeColor="text1"/>
          <w:lang w:val="en-US" w:eastAsia="en-GB"/>
        </w:rPr>
        <w:t>”</w:t>
      </w:r>
    </w:p>
    <w:p w14:paraId="1B0DA042" w14:textId="3EDC26BB"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color w:val="000000" w:themeColor="text1"/>
          <w:lang w:val="en-US" w:eastAsia="en-GB"/>
        </w:rPr>
        <w:lastRenderedPageBreak/>
        <w:br/>
      </w:r>
      <w:r w:rsidRPr="006838F7">
        <w:rPr>
          <w:rFonts w:ascii="Cambria" w:eastAsia="Times New Roman" w:hAnsi="Cambria" w:cs="Calibri"/>
          <w:i/>
          <w:iCs/>
          <w:color w:val="000000" w:themeColor="text1"/>
          <w:lang w:val="en-US" w:eastAsia="en-GB"/>
        </w:rPr>
        <w:t>5. Sample processing. To minimize variation in gene expression, metabolism, etc, what would be the recommended time frame for sample processing?</w:t>
      </w:r>
    </w:p>
    <w:p w14:paraId="6023942C" w14:textId="77777777" w:rsidR="00024CE7" w:rsidRPr="006838F7" w:rsidRDefault="00024CE7" w:rsidP="00DA6CD9">
      <w:pPr>
        <w:spacing w:line="480" w:lineRule="auto"/>
        <w:jc w:val="both"/>
        <w:rPr>
          <w:rFonts w:ascii="Cambria" w:eastAsia="Times New Roman" w:hAnsi="Cambria" w:cs="Calibri"/>
          <w:color w:val="000000" w:themeColor="text1"/>
          <w:lang w:val="en-US" w:eastAsia="en-GB"/>
        </w:rPr>
      </w:pPr>
    </w:p>
    <w:p w14:paraId="75936452" w14:textId="0599F0BC" w:rsidR="00D86DE3" w:rsidRPr="006838F7" w:rsidRDefault="006838F7"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Author response</w:t>
      </w:r>
      <w:r w:rsidR="00D86DE3" w:rsidRPr="006838F7">
        <w:rPr>
          <w:rFonts w:ascii="Cambria" w:eastAsia="Times New Roman" w:hAnsi="Cambria" w:cs="Calibri"/>
          <w:color w:val="000000" w:themeColor="text1"/>
          <w:lang w:val="en-US" w:eastAsia="en-GB"/>
        </w:rPr>
        <w:t>:</w:t>
      </w:r>
      <w:r>
        <w:rPr>
          <w:rFonts w:ascii="Cambria" w:eastAsia="Times New Roman" w:hAnsi="Cambria" w:cs="Calibri"/>
          <w:color w:val="000000" w:themeColor="text1"/>
          <w:lang w:val="en-US" w:eastAsia="en-GB"/>
        </w:rPr>
        <w:t xml:space="preserve"> </w:t>
      </w:r>
      <w:r w:rsidR="00827F48" w:rsidRPr="006838F7">
        <w:rPr>
          <w:rFonts w:ascii="Cambria" w:eastAsia="Times New Roman" w:hAnsi="Cambria" w:cs="Calibri"/>
          <w:color w:val="000000" w:themeColor="text1"/>
          <w:lang w:val="en-US" w:eastAsia="en-GB"/>
        </w:rPr>
        <w:t xml:space="preserve">We thank the reviewer for this comment. </w:t>
      </w:r>
      <w:r w:rsidR="0027689D" w:rsidRPr="006838F7">
        <w:rPr>
          <w:rFonts w:ascii="Cambria" w:eastAsia="Times New Roman" w:hAnsi="Cambria" w:cs="Calibri"/>
          <w:color w:val="000000" w:themeColor="text1"/>
          <w:lang w:val="en-US" w:eastAsia="en-GB"/>
        </w:rPr>
        <w:t>Samples should be processed immediately; co</w:t>
      </w:r>
      <w:r w:rsidR="00D86DE3" w:rsidRPr="006838F7">
        <w:rPr>
          <w:rFonts w:ascii="Cambria" w:eastAsia="Times New Roman" w:hAnsi="Cambria" w:cs="Calibri"/>
          <w:color w:val="000000" w:themeColor="text1"/>
          <w:lang w:val="en-US" w:eastAsia="en-GB"/>
        </w:rPr>
        <w:t xml:space="preserve">mmon practice is to complete sample processing </w:t>
      </w:r>
      <w:r w:rsidR="00827F48" w:rsidRPr="006838F7">
        <w:rPr>
          <w:rFonts w:ascii="Cambria" w:eastAsia="Times New Roman" w:hAnsi="Cambria" w:cs="Calibri"/>
          <w:color w:val="000000" w:themeColor="text1"/>
          <w:lang w:val="en-US" w:eastAsia="en-GB"/>
        </w:rPr>
        <w:t>with</w:t>
      </w:r>
      <w:r w:rsidR="00D86DE3" w:rsidRPr="006838F7">
        <w:rPr>
          <w:rFonts w:ascii="Cambria" w:eastAsia="Times New Roman" w:hAnsi="Cambria" w:cs="Calibri"/>
          <w:color w:val="000000" w:themeColor="text1"/>
          <w:lang w:val="en-US" w:eastAsia="en-GB"/>
        </w:rPr>
        <w:t>in</w:t>
      </w:r>
      <w:r w:rsidR="00827F48" w:rsidRPr="006838F7">
        <w:rPr>
          <w:rFonts w:ascii="Cambria" w:eastAsia="Times New Roman" w:hAnsi="Cambria" w:cs="Calibri"/>
          <w:color w:val="000000" w:themeColor="text1"/>
          <w:lang w:val="en-US" w:eastAsia="en-GB"/>
        </w:rPr>
        <w:t xml:space="preserve"> </w:t>
      </w:r>
      <w:r w:rsidR="00D86DE3" w:rsidRPr="006838F7">
        <w:rPr>
          <w:rFonts w:ascii="Cambria" w:eastAsia="Times New Roman" w:hAnsi="Cambria" w:cs="Calibri"/>
          <w:color w:val="000000" w:themeColor="text1"/>
          <w:lang w:val="en-US" w:eastAsia="en-GB"/>
        </w:rPr>
        <w:t xml:space="preserve">3 min following aspiration. </w:t>
      </w:r>
      <w:r w:rsidR="00893B1E" w:rsidRPr="006838F7">
        <w:rPr>
          <w:rFonts w:ascii="Cambria" w:eastAsia="Times New Roman" w:hAnsi="Cambria" w:cs="Calibri"/>
          <w:color w:val="000000" w:themeColor="text1"/>
          <w:lang w:val="en-US" w:eastAsia="en-GB"/>
        </w:rPr>
        <w:t xml:space="preserve">If the researcher </w:t>
      </w:r>
      <w:r w:rsidR="00ED5FE8" w:rsidRPr="006838F7">
        <w:rPr>
          <w:rFonts w:ascii="Cambria" w:eastAsia="Times New Roman" w:hAnsi="Cambria" w:cs="Calibri"/>
          <w:color w:val="000000" w:themeColor="text1"/>
          <w:lang w:val="en-US" w:eastAsia="en-GB"/>
        </w:rPr>
        <w:t xml:space="preserve">intends to </w:t>
      </w:r>
      <w:r w:rsidR="0027689D" w:rsidRPr="006838F7">
        <w:rPr>
          <w:rFonts w:ascii="Cambria" w:eastAsia="Times New Roman" w:hAnsi="Cambria" w:cs="Calibri"/>
          <w:color w:val="000000" w:themeColor="text1"/>
          <w:lang w:val="en-US" w:eastAsia="en-GB"/>
        </w:rPr>
        <w:t>analyze</w:t>
      </w:r>
      <w:r w:rsidR="00E77BBF" w:rsidRPr="006838F7">
        <w:rPr>
          <w:rFonts w:ascii="Cambria" w:eastAsia="Times New Roman" w:hAnsi="Cambria" w:cs="Calibri"/>
          <w:color w:val="000000" w:themeColor="text1"/>
          <w:lang w:val="en-US" w:eastAsia="en-GB"/>
        </w:rPr>
        <w:t xml:space="preserve"> RNA or protein content, RNA later can be used </w:t>
      </w:r>
      <w:r w:rsidR="0027689D" w:rsidRPr="006838F7">
        <w:rPr>
          <w:rFonts w:ascii="Cambria" w:eastAsia="Times New Roman" w:hAnsi="Cambria" w:cs="Calibri"/>
          <w:color w:val="000000" w:themeColor="text1"/>
          <w:lang w:val="en-US" w:eastAsia="en-GB"/>
        </w:rPr>
        <w:t xml:space="preserve">to stabilize </w:t>
      </w:r>
      <w:r w:rsidR="00587DB6" w:rsidRPr="006838F7">
        <w:rPr>
          <w:rFonts w:ascii="Cambria" w:eastAsia="Times New Roman" w:hAnsi="Cambria" w:cs="Calibri"/>
          <w:color w:val="000000" w:themeColor="text1"/>
          <w:lang w:val="en-US" w:eastAsia="en-GB"/>
        </w:rPr>
        <w:t>adipose tissue during storage.</w:t>
      </w:r>
      <w:r w:rsidR="005440A7" w:rsidRPr="006838F7">
        <w:rPr>
          <w:rFonts w:ascii="Cambria" w:eastAsia="Times New Roman" w:hAnsi="Cambria" w:cs="Calibri"/>
          <w:color w:val="000000" w:themeColor="text1"/>
          <w:lang w:val="en-US" w:eastAsia="en-GB"/>
        </w:rPr>
        <w:t xml:space="preserve"> We have </w:t>
      </w:r>
      <w:r w:rsidR="004B02D4" w:rsidRPr="006838F7">
        <w:rPr>
          <w:rFonts w:ascii="Cambria" w:eastAsia="Times New Roman" w:hAnsi="Cambria" w:cs="Calibri"/>
          <w:color w:val="000000" w:themeColor="text1"/>
          <w:lang w:val="en-US" w:eastAsia="en-GB"/>
        </w:rPr>
        <w:t xml:space="preserve">provided </w:t>
      </w:r>
      <w:r w:rsidR="00F07A89" w:rsidRPr="006838F7">
        <w:rPr>
          <w:rFonts w:ascii="Cambria" w:eastAsia="Times New Roman" w:hAnsi="Cambria" w:cs="Calibri"/>
          <w:color w:val="000000" w:themeColor="text1"/>
          <w:lang w:val="en-US" w:eastAsia="en-GB"/>
        </w:rPr>
        <w:t xml:space="preserve">this </w:t>
      </w:r>
      <w:r w:rsidR="004B02D4" w:rsidRPr="006838F7">
        <w:rPr>
          <w:rFonts w:ascii="Cambria" w:eastAsia="Times New Roman" w:hAnsi="Cambria" w:cs="Calibri"/>
          <w:color w:val="000000" w:themeColor="text1"/>
          <w:lang w:val="en-US" w:eastAsia="en-GB"/>
        </w:rPr>
        <w:t>additional</w:t>
      </w:r>
      <w:r w:rsidR="005440A7" w:rsidRPr="006838F7">
        <w:rPr>
          <w:rFonts w:ascii="Cambria" w:eastAsia="Times New Roman" w:hAnsi="Cambria" w:cs="Calibri"/>
          <w:color w:val="000000" w:themeColor="text1"/>
          <w:lang w:val="en-US" w:eastAsia="en-GB"/>
        </w:rPr>
        <w:t xml:space="preserve"> information </w:t>
      </w:r>
      <w:r w:rsidR="004B02D4" w:rsidRPr="006838F7">
        <w:rPr>
          <w:rFonts w:ascii="Cambria" w:eastAsia="Times New Roman" w:hAnsi="Cambria" w:cs="Calibri"/>
          <w:color w:val="000000" w:themeColor="text1"/>
          <w:lang w:val="en-US" w:eastAsia="en-GB"/>
        </w:rPr>
        <w:t xml:space="preserve">in </w:t>
      </w:r>
      <w:r w:rsidR="00F07A89" w:rsidRPr="006838F7">
        <w:rPr>
          <w:rFonts w:ascii="Cambria" w:eastAsia="Times New Roman" w:hAnsi="Cambria" w:cs="Calibri"/>
          <w:color w:val="000000" w:themeColor="text1"/>
          <w:lang w:val="en-US" w:eastAsia="en-GB"/>
        </w:rPr>
        <w:t xml:space="preserve">section 5.4 </w:t>
      </w:r>
      <w:r w:rsidR="00F47ADE" w:rsidRPr="006838F7">
        <w:rPr>
          <w:rFonts w:ascii="Cambria" w:eastAsia="Times New Roman" w:hAnsi="Cambria" w:cs="Calibri"/>
          <w:color w:val="000000" w:themeColor="text1"/>
          <w:lang w:val="en-US" w:eastAsia="en-GB"/>
        </w:rPr>
        <w:t xml:space="preserve">of the methods </w:t>
      </w:r>
      <w:r w:rsidR="00F07A89" w:rsidRPr="006838F7">
        <w:rPr>
          <w:rFonts w:ascii="Cambria" w:eastAsia="Times New Roman" w:hAnsi="Cambria" w:cs="Calibri"/>
          <w:color w:val="000000" w:themeColor="text1"/>
          <w:lang w:val="en-US" w:eastAsia="en-GB"/>
        </w:rPr>
        <w:t>and</w:t>
      </w:r>
      <w:r w:rsidR="005440A7" w:rsidRPr="006838F7">
        <w:rPr>
          <w:rFonts w:ascii="Cambria" w:eastAsia="Times New Roman" w:hAnsi="Cambria" w:cs="Calibri"/>
          <w:color w:val="000000" w:themeColor="text1"/>
          <w:lang w:val="en-US" w:eastAsia="en-GB"/>
        </w:rPr>
        <w:t xml:space="preserve"> 6</w:t>
      </w:r>
      <w:r w:rsidR="005440A7" w:rsidRPr="006838F7">
        <w:rPr>
          <w:rFonts w:ascii="Cambria" w:eastAsia="Times New Roman" w:hAnsi="Cambria" w:cs="Calibri"/>
          <w:color w:val="000000" w:themeColor="text1"/>
          <w:vertAlign w:val="superscript"/>
          <w:lang w:val="en-US" w:eastAsia="en-GB"/>
        </w:rPr>
        <w:t>th</w:t>
      </w:r>
      <w:r w:rsidR="005440A7" w:rsidRPr="006838F7">
        <w:rPr>
          <w:rFonts w:ascii="Cambria" w:eastAsia="Times New Roman" w:hAnsi="Cambria" w:cs="Calibri"/>
          <w:color w:val="000000" w:themeColor="text1"/>
          <w:lang w:val="en-US" w:eastAsia="en-GB"/>
        </w:rPr>
        <w:t xml:space="preserve"> paragraph of the discussion</w:t>
      </w:r>
      <w:r w:rsidR="00C10014">
        <w:rPr>
          <w:rFonts w:ascii="Cambria" w:eastAsia="Times New Roman" w:hAnsi="Cambria" w:cs="Calibri"/>
          <w:color w:val="000000" w:themeColor="text1"/>
          <w:lang w:val="en-US" w:eastAsia="en-GB"/>
        </w:rPr>
        <w:t>:</w:t>
      </w:r>
    </w:p>
    <w:p w14:paraId="41418990" w14:textId="511904DB" w:rsidR="00B4207D" w:rsidRPr="006838F7" w:rsidRDefault="00B4207D" w:rsidP="00DA6CD9">
      <w:pPr>
        <w:spacing w:line="480" w:lineRule="auto"/>
        <w:jc w:val="both"/>
        <w:rPr>
          <w:rFonts w:ascii="Cambria" w:eastAsia="Times New Roman" w:hAnsi="Cambria" w:cs="Calibri"/>
          <w:color w:val="000000" w:themeColor="text1"/>
          <w:lang w:val="en-US" w:eastAsia="en-GB"/>
        </w:rPr>
      </w:pPr>
    </w:p>
    <w:p w14:paraId="56C1226F" w14:textId="77777777" w:rsidR="00F47ADE" w:rsidRPr="006838F7" w:rsidRDefault="00F07A89" w:rsidP="002D5D84">
      <w:pPr>
        <w:pStyle w:val="ListParagraph"/>
        <w:numPr>
          <w:ilvl w:val="0"/>
          <w:numId w:val="2"/>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w:t>
      </w:r>
      <w:r w:rsidR="00F47ADE" w:rsidRPr="006838F7">
        <w:rPr>
          <w:rFonts w:ascii="Cambria" w:eastAsia="Times New Roman" w:hAnsi="Cambria" w:cs="Calibri"/>
          <w:color w:val="000000" w:themeColor="text1"/>
          <w:lang w:val="en-US" w:eastAsia="en-GB"/>
        </w:rPr>
        <w:t>NOTE: The assistant must complete sample processing as quickly as possible, typically within 3 min of sample aspiration, to minimize potential sample degradation.”</w:t>
      </w:r>
    </w:p>
    <w:p w14:paraId="37CCD3AB" w14:textId="7915DCB6" w:rsidR="00B4207D" w:rsidRPr="006838F7" w:rsidRDefault="00B4207D" w:rsidP="00FF7595">
      <w:pPr>
        <w:pStyle w:val="ListParagraph"/>
        <w:numPr>
          <w:ilvl w:val="0"/>
          <w:numId w:val="2"/>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w:t>
      </w:r>
      <w:r w:rsidR="00D22F11" w:rsidRPr="006838F7">
        <w:rPr>
          <w:rFonts w:ascii="Cambria" w:eastAsia="Times New Roman" w:hAnsi="Cambria" w:cs="Calibri"/>
          <w:color w:val="000000" w:themeColor="text1"/>
          <w:lang w:val="en-US" w:eastAsia="en-GB"/>
        </w:rPr>
        <w:t xml:space="preserve">To minimize RNA degradation, a stabilization solution can be utilized at the sample processing step, such as </w:t>
      </w:r>
      <w:proofErr w:type="spellStart"/>
      <w:r w:rsidR="00D22F11" w:rsidRPr="006838F7">
        <w:rPr>
          <w:rFonts w:ascii="Cambria" w:eastAsia="Times New Roman" w:hAnsi="Cambria" w:cs="Calibri"/>
          <w:color w:val="000000" w:themeColor="text1"/>
          <w:lang w:val="en-US" w:eastAsia="en-GB"/>
        </w:rPr>
        <w:t>RNA</w:t>
      </w:r>
      <w:r w:rsidR="00D22F11" w:rsidRPr="006838F7">
        <w:rPr>
          <w:rFonts w:ascii="Cambria" w:eastAsia="Times New Roman" w:hAnsi="Cambria" w:cs="Calibri"/>
          <w:i/>
          <w:iCs/>
          <w:color w:val="000000" w:themeColor="text1"/>
          <w:lang w:val="en-US" w:eastAsia="en-GB"/>
        </w:rPr>
        <w:t>later</w:t>
      </w:r>
      <w:proofErr w:type="spellEnd"/>
      <w:r w:rsidR="00D22F11" w:rsidRPr="006838F7">
        <w:rPr>
          <w:rFonts w:ascii="Cambria" w:eastAsia="Times New Roman" w:hAnsi="Cambria" w:cs="Calibri"/>
          <w:color w:val="000000" w:themeColor="text1"/>
          <w:lang w:val="en-US" w:eastAsia="en-GB"/>
        </w:rPr>
        <w:t xml:space="preserve"> (</w:t>
      </w:r>
      <w:proofErr w:type="spellStart"/>
      <w:r w:rsidR="00D22F11" w:rsidRPr="006838F7">
        <w:rPr>
          <w:rFonts w:ascii="Cambria" w:eastAsia="Times New Roman" w:hAnsi="Cambria" w:cs="Calibri"/>
          <w:color w:val="000000" w:themeColor="text1"/>
          <w:lang w:val="en-US" w:eastAsia="en-GB"/>
        </w:rPr>
        <w:t>Thermofisher</w:t>
      </w:r>
      <w:proofErr w:type="spellEnd"/>
      <w:r w:rsidR="00D22F11" w:rsidRPr="006838F7">
        <w:rPr>
          <w:rFonts w:ascii="Cambria" w:eastAsia="Times New Roman" w:hAnsi="Cambria" w:cs="Calibri"/>
          <w:color w:val="000000" w:themeColor="text1"/>
          <w:lang w:val="en-US" w:eastAsia="en-GB"/>
        </w:rPr>
        <w:t xml:space="preserve"> Scientific, UK) </w:t>
      </w:r>
      <w:r w:rsidR="00D22F11" w:rsidRPr="006838F7">
        <w:rPr>
          <w:rFonts w:ascii="Cambria" w:eastAsia="Times New Roman" w:hAnsi="Cambria" w:cs="Calibri"/>
          <w:color w:val="000000" w:themeColor="text1"/>
          <w:vertAlign w:val="superscript"/>
          <w:lang w:val="en-US" w:eastAsia="en-GB"/>
        </w:rPr>
        <w:t>17</w:t>
      </w:r>
      <w:r w:rsidR="00D22F11" w:rsidRPr="006838F7">
        <w:rPr>
          <w:rFonts w:ascii="Cambria" w:eastAsia="Times New Roman" w:hAnsi="Cambria" w:cs="Calibri"/>
          <w:color w:val="000000" w:themeColor="text1"/>
          <w:lang w:val="en-US" w:eastAsia="en-GB"/>
        </w:rPr>
        <w:t>.</w:t>
      </w:r>
      <w:r w:rsidRPr="006838F7">
        <w:rPr>
          <w:rFonts w:ascii="Cambria" w:eastAsia="Times New Roman" w:hAnsi="Cambria" w:cs="Calibri"/>
          <w:color w:val="000000" w:themeColor="text1"/>
          <w:lang w:val="en-US" w:eastAsia="en-GB"/>
        </w:rPr>
        <w:t>”</w:t>
      </w:r>
    </w:p>
    <w:p w14:paraId="3850B288" w14:textId="275858D2" w:rsidR="00DA6CD9" w:rsidRPr="006838F7" w:rsidRDefault="00DA6CD9" w:rsidP="00FF7595">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br/>
      </w:r>
      <w:r w:rsidRPr="006838F7">
        <w:rPr>
          <w:rFonts w:ascii="Cambria" w:eastAsia="Times New Roman" w:hAnsi="Cambria" w:cs="Calibri"/>
          <w:i/>
          <w:iCs/>
          <w:color w:val="000000" w:themeColor="text1"/>
          <w:lang w:val="en-US" w:eastAsia="en-GB"/>
        </w:rPr>
        <w:t>Major concern:</w:t>
      </w:r>
    </w:p>
    <w:p w14:paraId="7E219A2C" w14:textId="0ADDCD32" w:rsidR="00DA6CD9" w:rsidRPr="006838F7" w:rsidRDefault="00DA6CD9" w:rsidP="00FF7595">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One major point that needs to be discussed is the relatively small amount of adipose tissue (about 200 mg), compared to the amount obtained by other trained research groups with a similar needle biopsy (about 5-10 gr). What are the possible reasons for this? 200 mg sounds very little, and it will not allow performing most of the analyses usually performed in adipose tissue, especially metabolic assays.</w:t>
      </w:r>
    </w:p>
    <w:p w14:paraId="627456A3" w14:textId="3FC66BC6" w:rsidR="007C2070" w:rsidRPr="006838F7" w:rsidRDefault="00DA6CD9"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w:t>
      </w:r>
    </w:p>
    <w:p w14:paraId="59EAB63D" w14:textId="5031BC85" w:rsidR="00DE5744" w:rsidRPr="006838F7" w:rsidRDefault="00250CD9" w:rsidP="00250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Author response:</w:t>
      </w:r>
      <w:r w:rsidR="006838F7">
        <w:rPr>
          <w:rFonts w:ascii="Cambria" w:eastAsia="Times New Roman" w:hAnsi="Cambria" w:cs="Calibri"/>
          <w:color w:val="000000" w:themeColor="text1"/>
          <w:lang w:val="en-US" w:eastAsia="en-GB"/>
        </w:rPr>
        <w:t xml:space="preserve"> </w:t>
      </w:r>
      <w:r w:rsidR="7FCCFD59" w:rsidRPr="006838F7">
        <w:rPr>
          <w:rFonts w:ascii="Cambria" w:eastAsia="Times New Roman" w:hAnsi="Cambria" w:cs="Calibri"/>
          <w:color w:val="000000" w:themeColor="text1"/>
          <w:lang w:val="en-US" w:eastAsia="en-GB"/>
        </w:rPr>
        <w:t>We do not agree that the reported yield is small compared to previous publications using this technique in healthy indiv</w:t>
      </w:r>
      <w:r w:rsidR="1C6515CB" w:rsidRPr="006838F7">
        <w:rPr>
          <w:rFonts w:ascii="Cambria" w:eastAsia="Times New Roman" w:hAnsi="Cambria" w:cs="Calibri"/>
          <w:color w:val="000000" w:themeColor="text1"/>
          <w:lang w:val="en-US" w:eastAsia="en-GB"/>
        </w:rPr>
        <w:t>iduals</w:t>
      </w:r>
      <w:r w:rsidR="7FCCFD59" w:rsidRPr="006838F7">
        <w:rPr>
          <w:rFonts w:ascii="Cambria" w:eastAsia="Times New Roman" w:hAnsi="Cambria" w:cs="Calibri"/>
          <w:color w:val="000000" w:themeColor="text1"/>
          <w:lang w:val="en-US" w:eastAsia="en-GB"/>
        </w:rPr>
        <w:t xml:space="preserve">. </w:t>
      </w:r>
      <w:r w:rsidR="00861782" w:rsidRPr="006838F7">
        <w:rPr>
          <w:rFonts w:ascii="Cambria" w:eastAsia="Times New Roman" w:hAnsi="Cambria" w:cs="Calibri"/>
          <w:color w:val="000000" w:themeColor="text1"/>
          <w:lang w:val="en-US" w:eastAsia="en-GB"/>
        </w:rPr>
        <w:t xml:space="preserve">Other reports using the same </w:t>
      </w:r>
      <w:r w:rsidR="00861782" w:rsidRPr="006838F7">
        <w:rPr>
          <w:rFonts w:ascii="Cambria" w:eastAsia="Times New Roman" w:hAnsi="Cambria" w:cs="Calibri"/>
          <w:color w:val="000000" w:themeColor="text1"/>
          <w:lang w:val="en-US" w:eastAsia="en-GB"/>
        </w:rPr>
        <w:lastRenderedPageBreak/>
        <w:t xml:space="preserve">technique report 0.2-0.5 g sample yield in healthy individuals (Campbell et al., 2009; </w:t>
      </w:r>
      <w:proofErr w:type="spellStart"/>
      <w:r w:rsidR="00861782" w:rsidRPr="006838F7">
        <w:rPr>
          <w:rFonts w:ascii="Cambria" w:eastAsia="Times New Roman" w:hAnsi="Cambria" w:cs="Calibri"/>
          <w:color w:val="000000" w:themeColor="text1"/>
          <w:lang w:val="en-US" w:eastAsia="en-GB"/>
        </w:rPr>
        <w:t>Daum</w:t>
      </w:r>
      <w:proofErr w:type="spellEnd"/>
      <w:r w:rsidR="00861782" w:rsidRPr="006838F7">
        <w:rPr>
          <w:rFonts w:ascii="Cambria" w:eastAsia="Times New Roman" w:hAnsi="Cambria" w:cs="Calibri"/>
          <w:color w:val="000000" w:themeColor="text1"/>
          <w:lang w:val="en-US" w:eastAsia="en-GB"/>
        </w:rPr>
        <w:t xml:space="preserve"> et al., 1978). </w:t>
      </w:r>
      <w:r w:rsidR="532E14F2" w:rsidRPr="006838F7">
        <w:rPr>
          <w:rFonts w:ascii="Cambria" w:eastAsia="Times New Roman" w:hAnsi="Cambria" w:cs="Calibri"/>
          <w:color w:val="000000" w:themeColor="text1"/>
          <w:lang w:val="en-US" w:eastAsia="en-GB"/>
        </w:rPr>
        <w:t xml:space="preserve">We are only aware of one report demonstrating a markedly greater sample yield than that of the mini-liposuction technique we describe in this manuscript. Bastard et al. reported 3-15 g when using the mini-liposuction technique, however obese individuals (BMI &gt; 27 kg/m2) were recruited. </w:t>
      </w:r>
      <w:r w:rsidR="2836E3FB" w:rsidRPr="006838F7">
        <w:rPr>
          <w:rFonts w:ascii="Cambria" w:eastAsia="Times New Roman" w:hAnsi="Cambria" w:cs="Calibri"/>
          <w:color w:val="000000" w:themeColor="text1"/>
          <w:lang w:val="en-US" w:eastAsia="en-GB"/>
        </w:rPr>
        <w:t>S</w:t>
      </w:r>
      <w:r w:rsidR="5ED3BA22" w:rsidRPr="006838F7">
        <w:rPr>
          <w:rFonts w:ascii="Cambria" w:eastAsia="Times New Roman" w:hAnsi="Cambria" w:cs="Calibri"/>
          <w:color w:val="000000" w:themeColor="text1"/>
          <w:lang w:val="en-US" w:eastAsia="en-GB"/>
        </w:rPr>
        <w:t>ample</w:t>
      </w:r>
      <w:r w:rsidR="00861782" w:rsidRPr="006838F7">
        <w:rPr>
          <w:rFonts w:ascii="Cambria" w:eastAsia="Times New Roman" w:hAnsi="Cambria" w:cs="Calibri"/>
          <w:color w:val="000000" w:themeColor="text1"/>
          <w:lang w:val="en-US" w:eastAsia="en-GB"/>
        </w:rPr>
        <w:t xml:space="preserve"> yield resultant from more invasive techniques, such as the biopsy punch and the non-diathermy technique, are reported to yield between 1 to 1.5 g (</w:t>
      </w:r>
      <w:proofErr w:type="spellStart"/>
      <w:r w:rsidR="00861782" w:rsidRPr="006838F7">
        <w:rPr>
          <w:rFonts w:ascii="Cambria" w:eastAsia="Times New Roman" w:hAnsi="Cambria" w:cs="Calibri"/>
          <w:color w:val="000000" w:themeColor="text1"/>
          <w:lang w:val="en-US" w:eastAsia="en-GB"/>
        </w:rPr>
        <w:t>Alderete</w:t>
      </w:r>
      <w:proofErr w:type="spellEnd"/>
      <w:r w:rsidR="00861782" w:rsidRPr="006838F7">
        <w:rPr>
          <w:rFonts w:ascii="Cambria" w:eastAsia="Times New Roman" w:hAnsi="Cambria" w:cs="Calibri"/>
          <w:color w:val="000000" w:themeColor="text1"/>
          <w:lang w:val="en-US" w:eastAsia="en-GB"/>
        </w:rPr>
        <w:t xml:space="preserve"> et al., 2015; </w:t>
      </w:r>
      <w:proofErr w:type="spellStart"/>
      <w:r w:rsidR="00861782" w:rsidRPr="006838F7">
        <w:rPr>
          <w:rFonts w:ascii="Cambria" w:eastAsia="Times New Roman" w:hAnsi="Cambria" w:cs="Calibri"/>
          <w:color w:val="000000" w:themeColor="text1"/>
          <w:lang w:val="en-US" w:eastAsia="en-GB"/>
        </w:rPr>
        <w:t>Chachopoulos</w:t>
      </w:r>
      <w:proofErr w:type="spellEnd"/>
      <w:r w:rsidR="00861782" w:rsidRPr="006838F7">
        <w:rPr>
          <w:rFonts w:ascii="Cambria" w:eastAsia="Times New Roman" w:hAnsi="Cambria" w:cs="Calibri"/>
          <w:color w:val="000000" w:themeColor="text1"/>
          <w:lang w:val="en-US" w:eastAsia="en-GB"/>
        </w:rPr>
        <w:t xml:space="preserve"> et al., 2017).</w:t>
      </w:r>
      <w:r w:rsidR="526A30BF" w:rsidRPr="006838F7">
        <w:rPr>
          <w:rFonts w:ascii="Cambria" w:eastAsia="Times New Roman" w:hAnsi="Cambria" w:cs="Calibri"/>
          <w:color w:val="000000" w:themeColor="text1"/>
          <w:lang w:val="en-US" w:eastAsia="en-GB"/>
        </w:rPr>
        <w:t xml:space="preserve"> However, these are not directly comparable.</w:t>
      </w:r>
    </w:p>
    <w:p w14:paraId="277075CF" w14:textId="77777777" w:rsidR="00861782" w:rsidRPr="006838F7" w:rsidRDefault="00861782" w:rsidP="00250CD9">
      <w:pPr>
        <w:spacing w:line="480" w:lineRule="auto"/>
        <w:jc w:val="both"/>
        <w:rPr>
          <w:rFonts w:ascii="Cambria" w:eastAsia="Times New Roman" w:hAnsi="Cambria" w:cs="Calibri"/>
          <w:color w:val="000000" w:themeColor="text1"/>
          <w:lang w:val="en-US" w:eastAsia="en-GB"/>
        </w:rPr>
      </w:pPr>
    </w:p>
    <w:p w14:paraId="7C6BA5BB" w14:textId="1C5E278A" w:rsidR="00250CD9" w:rsidRPr="006838F7" w:rsidRDefault="00503A55" w:rsidP="00250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However, f</w:t>
      </w:r>
      <w:r w:rsidR="00250CD9" w:rsidRPr="006838F7">
        <w:rPr>
          <w:rFonts w:ascii="Cambria" w:eastAsia="Times New Roman" w:hAnsi="Cambria" w:cs="Calibri"/>
          <w:color w:val="000000" w:themeColor="text1"/>
          <w:lang w:val="en-US" w:eastAsia="en-GB"/>
        </w:rPr>
        <w:t xml:space="preserve">or most metabolic assays, 200mg is </w:t>
      </w:r>
      <w:r w:rsidR="00F706FC" w:rsidRPr="006838F7">
        <w:rPr>
          <w:rFonts w:ascii="Cambria" w:eastAsia="Times New Roman" w:hAnsi="Cambria" w:cs="Calibri"/>
          <w:color w:val="000000" w:themeColor="text1"/>
          <w:lang w:val="en-US" w:eastAsia="en-GB"/>
        </w:rPr>
        <w:t xml:space="preserve">typically a </w:t>
      </w:r>
      <w:r w:rsidR="00250CD9" w:rsidRPr="006838F7">
        <w:rPr>
          <w:rFonts w:ascii="Cambria" w:eastAsia="Times New Roman" w:hAnsi="Cambria" w:cs="Calibri"/>
          <w:color w:val="000000" w:themeColor="text1"/>
          <w:lang w:val="en-US" w:eastAsia="en-GB"/>
        </w:rPr>
        <w:t>sufficient</w:t>
      </w:r>
      <w:r w:rsidR="00F706FC" w:rsidRPr="006838F7">
        <w:rPr>
          <w:rFonts w:ascii="Cambria" w:eastAsia="Times New Roman" w:hAnsi="Cambria" w:cs="Calibri"/>
          <w:color w:val="000000" w:themeColor="text1"/>
          <w:lang w:val="en-US" w:eastAsia="en-GB"/>
        </w:rPr>
        <w:t xml:space="preserve"> tissue volume</w:t>
      </w:r>
      <w:r w:rsidR="009E4041" w:rsidRPr="006838F7">
        <w:rPr>
          <w:rFonts w:ascii="Cambria" w:eastAsia="Times New Roman" w:hAnsi="Cambria" w:cs="Calibri"/>
          <w:color w:val="000000" w:themeColor="text1"/>
          <w:lang w:val="en-US" w:eastAsia="en-GB"/>
        </w:rPr>
        <w:t xml:space="preserve">.  For example, extraction of RNA from 100 mg adipose tissue typically yields </w:t>
      </w:r>
      <w:r w:rsidR="004C7F35" w:rsidRPr="006838F7">
        <w:rPr>
          <w:rFonts w:ascii="Cambria" w:eastAsia="Times New Roman" w:hAnsi="Cambria" w:cs="Calibri"/>
          <w:color w:val="000000" w:themeColor="text1"/>
          <w:lang w:val="en-US" w:eastAsia="en-GB"/>
        </w:rPr>
        <w:t xml:space="preserve">3600 ug </w:t>
      </w:r>
      <w:r w:rsidRPr="006838F7">
        <w:rPr>
          <w:rFonts w:ascii="Cambria" w:eastAsia="Times New Roman" w:hAnsi="Cambria" w:cs="Calibri"/>
          <w:color w:val="000000" w:themeColor="text1"/>
          <w:lang w:val="en-US" w:eastAsia="en-GB"/>
        </w:rPr>
        <w:t>total RNA</w:t>
      </w:r>
      <w:r w:rsidR="004D115B" w:rsidRPr="006838F7">
        <w:rPr>
          <w:rFonts w:ascii="Cambria" w:eastAsia="Times New Roman" w:hAnsi="Cambria" w:cs="Calibri"/>
          <w:color w:val="000000" w:themeColor="text1"/>
          <w:lang w:val="en-US" w:eastAsia="en-GB"/>
        </w:rPr>
        <w:t xml:space="preserve">, </w:t>
      </w:r>
      <w:r w:rsidR="006552B0" w:rsidRPr="006838F7">
        <w:rPr>
          <w:rFonts w:ascii="Cambria" w:eastAsia="Times New Roman" w:hAnsi="Cambria" w:cs="Calibri"/>
          <w:color w:val="000000" w:themeColor="text1"/>
          <w:lang w:val="en-US" w:eastAsia="en-GB"/>
        </w:rPr>
        <w:t xml:space="preserve">a </w:t>
      </w:r>
      <w:r w:rsidR="004D115B" w:rsidRPr="006838F7">
        <w:rPr>
          <w:rFonts w:ascii="Cambria" w:eastAsia="Times New Roman" w:hAnsi="Cambria" w:cs="Calibri"/>
          <w:color w:val="000000" w:themeColor="text1"/>
          <w:lang w:val="en-US" w:eastAsia="en-GB"/>
        </w:rPr>
        <w:t xml:space="preserve">sufficient </w:t>
      </w:r>
      <w:r w:rsidR="006552B0" w:rsidRPr="006838F7">
        <w:rPr>
          <w:rFonts w:ascii="Cambria" w:eastAsia="Times New Roman" w:hAnsi="Cambria" w:cs="Calibri"/>
          <w:color w:val="000000" w:themeColor="text1"/>
          <w:lang w:val="en-US" w:eastAsia="en-GB"/>
        </w:rPr>
        <w:t xml:space="preserve">concentration </w:t>
      </w:r>
      <w:r w:rsidR="004D115B" w:rsidRPr="006838F7">
        <w:rPr>
          <w:rFonts w:ascii="Cambria" w:eastAsia="Times New Roman" w:hAnsi="Cambria" w:cs="Calibri"/>
          <w:color w:val="000000" w:themeColor="text1"/>
          <w:lang w:val="en-US" w:eastAsia="en-GB"/>
        </w:rPr>
        <w:t xml:space="preserve">for </w:t>
      </w:r>
      <w:r w:rsidR="006552B0" w:rsidRPr="006838F7">
        <w:rPr>
          <w:rFonts w:ascii="Cambria" w:eastAsia="Times New Roman" w:hAnsi="Cambria" w:cs="Calibri"/>
          <w:color w:val="000000" w:themeColor="text1"/>
          <w:lang w:val="en-US" w:eastAsia="en-GB"/>
        </w:rPr>
        <w:t>numerous</w:t>
      </w:r>
      <w:r w:rsidR="004C7F35" w:rsidRPr="006838F7">
        <w:rPr>
          <w:rFonts w:ascii="Cambria" w:eastAsia="Times New Roman" w:hAnsi="Cambria" w:cs="Calibri"/>
          <w:color w:val="000000" w:themeColor="text1"/>
          <w:lang w:val="en-US" w:eastAsia="en-GB"/>
        </w:rPr>
        <w:t xml:space="preserve"> downstream assays (Ciera </w:t>
      </w:r>
      <w:r w:rsidR="004C7F35" w:rsidRPr="006838F7">
        <w:rPr>
          <w:rFonts w:ascii="Cambria" w:eastAsia="Times New Roman" w:hAnsi="Cambria" w:cs="Calibri"/>
          <w:i/>
          <w:iCs/>
          <w:color w:val="000000" w:themeColor="text1"/>
          <w:lang w:val="en-US" w:eastAsia="en-GB"/>
        </w:rPr>
        <w:t xml:space="preserve">et al. </w:t>
      </w:r>
      <w:r w:rsidR="004C7F35" w:rsidRPr="006838F7">
        <w:rPr>
          <w:rFonts w:ascii="Cambria" w:eastAsia="Times New Roman" w:hAnsi="Cambria" w:cs="Calibri"/>
          <w:color w:val="000000" w:themeColor="text1"/>
          <w:lang w:val="en-US" w:eastAsia="en-GB"/>
        </w:rPr>
        <w:t xml:space="preserve">2013). </w:t>
      </w:r>
      <w:r w:rsidR="00390BAC" w:rsidRPr="006838F7">
        <w:rPr>
          <w:rFonts w:ascii="Cambria" w:eastAsia="Times New Roman" w:hAnsi="Cambria" w:cs="Calibri"/>
          <w:color w:val="000000" w:themeColor="text1"/>
          <w:lang w:val="en-US" w:eastAsia="en-GB"/>
        </w:rPr>
        <w:t>However</w:t>
      </w:r>
      <w:r w:rsidR="00AE7A39" w:rsidRPr="006838F7">
        <w:rPr>
          <w:rFonts w:ascii="Cambria" w:eastAsia="Times New Roman" w:hAnsi="Cambria" w:cs="Calibri"/>
          <w:color w:val="000000" w:themeColor="text1"/>
          <w:lang w:val="en-US" w:eastAsia="en-GB"/>
        </w:rPr>
        <w:t>, we acknowledge this</w:t>
      </w:r>
      <w:r w:rsidR="00250CD9" w:rsidRPr="006838F7">
        <w:rPr>
          <w:rFonts w:ascii="Cambria" w:eastAsia="Times New Roman" w:hAnsi="Cambria" w:cs="Calibri"/>
          <w:color w:val="000000" w:themeColor="text1"/>
          <w:lang w:val="en-US" w:eastAsia="en-GB"/>
        </w:rPr>
        <w:t xml:space="preserve"> </w:t>
      </w:r>
      <w:r w:rsidR="00390BAC" w:rsidRPr="006838F7">
        <w:rPr>
          <w:rFonts w:ascii="Cambria" w:eastAsia="Times New Roman" w:hAnsi="Cambria" w:cs="Calibri"/>
          <w:color w:val="000000" w:themeColor="text1"/>
          <w:lang w:val="en-US" w:eastAsia="en-GB"/>
        </w:rPr>
        <w:t xml:space="preserve">will </w:t>
      </w:r>
      <w:r w:rsidR="006552B0" w:rsidRPr="006838F7">
        <w:rPr>
          <w:rFonts w:ascii="Cambria" w:eastAsia="Times New Roman" w:hAnsi="Cambria" w:cs="Calibri"/>
          <w:color w:val="000000" w:themeColor="text1"/>
          <w:lang w:val="en-US" w:eastAsia="en-GB"/>
        </w:rPr>
        <w:t xml:space="preserve">inherently </w:t>
      </w:r>
      <w:r w:rsidR="00390BAC" w:rsidRPr="006838F7">
        <w:rPr>
          <w:rFonts w:ascii="Cambria" w:eastAsia="Times New Roman" w:hAnsi="Cambria" w:cs="Calibri"/>
          <w:color w:val="000000" w:themeColor="text1"/>
          <w:lang w:val="en-US" w:eastAsia="en-GB"/>
        </w:rPr>
        <w:t>depend on the intended sample analysis</w:t>
      </w:r>
      <w:r w:rsidR="006B3488" w:rsidRPr="006838F7">
        <w:rPr>
          <w:rFonts w:ascii="Cambria" w:eastAsia="Times New Roman" w:hAnsi="Cambria" w:cs="Calibri"/>
          <w:color w:val="000000" w:themeColor="text1"/>
          <w:lang w:val="en-US" w:eastAsia="en-GB"/>
        </w:rPr>
        <w:t>. I</w:t>
      </w:r>
      <w:r w:rsidR="006552B0" w:rsidRPr="006838F7">
        <w:rPr>
          <w:rFonts w:ascii="Cambria" w:eastAsia="Times New Roman" w:hAnsi="Cambria" w:cs="Calibri"/>
          <w:color w:val="000000" w:themeColor="text1"/>
          <w:lang w:val="en-US" w:eastAsia="en-GB"/>
        </w:rPr>
        <w:t xml:space="preserve">t is </w:t>
      </w:r>
      <w:r w:rsidR="006B3488" w:rsidRPr="006838F7">
        <w:rPr>
          <w:rFonts w:ascii="Cambria" w:eastAsia="Times New Roman" w:hAnsi="Cambria" w:cs="Calibri"/>
          <w:color w:val="000000" w:themeColor="text1"/>
          <w:lang w:val="en-US" w:eastAsia="en-GB"/>
        </w:rPr>
        <w:t xml:space="preserve">therefore </w:t>
      </w:r>
      <w:r w:rsidR="00F706FC" w:rsidRPr="006838F7">
        <w:rPr>
          <w:rFonts w:ascii="Cambria" w:eastAsia="Times New Roman" w:hAnsi="Cambria" w:cs="Calibri"/>
          <w:color w:val="000000" w:themeColor="text1"/>
          <w:lang w:val="en-US" w:eastAsia="en-GB"/>
        </w:rPr>
        <w:t>recommended</w:t>
      </w:r>
      <w:r w:rsidR="006552B0" w:rsidRPr="006838F7">
        <w:rPr>
          <w:rFonts w:ascii="Cambria" w:eastAsia="Times New Roman" w:hAnsi="Cambria" w:cs="Calibri"/>
          <w:color w:val="000000" w:themeColor="text1"/>
          <w:lang w:val="en-US" w:eastAsia="en-GB"/>
        </w:rPr>
        <w:t xml:space="preserve"> that</w:t>
      </w:r>
      <w:r w:rsidR="00390BAC" w:rsidRPr="006838F7">
        <w:rPr>
          <w:rFonts w:ascii="Cambria" w:eastAsia="Times New Roman" w:hAnsi="Cambria" w:cs="Calibri"/>
          <w:color w:val="000000" w:themeColor="text1"/>
          <w:lang w:val="en-US" w:eastAsia="en-GB"/>
        </w:rPr>
        <w:t xml:space="preserve"> the researcher ensure</w:t>
      </w:r>
      <w:r w:rsidR="006552B0" w:rsidRPr="006838F7">
        <w:rPr>
          <w:rFonts w:ascii="Cambria" w:eastAsia="Times New Roman" w:hAnsi="Cambria" w:cs="Calibri"/>
          <w:color w:val="000000" w:themeColor="text1"/>
          <w:lang w:val="en-US" w:eastAsia="en-GB"/>
        </w:rPr>
        <w:t>s</w:t>
      </w:r>
      <w:r w:rsidR="00390BAC" w:rsidRPr="006838F7">
        <w:rPr>
          <w:rFonts w:ascii="Cambria" w:eastAsia="Times New Roman" w:hAnsi="Cambria" w:cs="Calibri"/>
          <w:color w:val="000000" w:themeColor="text1"/>
          <w:lang w:val="en-US" w:eastAsia="en-GB"/>
        </w:rPr>
        <w:t xml:space="preserve"> the expected adipose tissue yield is sufficient for the specific analysis intended. </w:t>
      </w:r>
      <w:r w:rsidR="00250CD9" w:rsidRPr="006838F7">
        <w:rPr>
          <w:rFonts w:ascii="Cambria" w:eastAsia="Times New Roman" w:hAnsi="Cambria" w:cs="Calibri"/>
          <w:color w:val="000000" w:themeColor="text1"/>
          <w:lang w:val="en-US" w:eastAsia="en-GB"/>
        </w:rPr>
        <w:t xml:space="preserve">We have updated the text </w:t>
      </w:r>
      <w:r w:rsidR="00CA1E1D" w:rsidRPr="006838F7">
        <w:rPr>
          <w:rFonts w:ascii="Cambria" w:eastAsia="Times New Roman" w:hAnsi="Cambria" w:cs="Calibri"/>
          <w:color w:val="000000" w:themeColor="text1"/>
          <w:lang w:val="en-US" w:eastAsia="en-GB"/>
        </w:rPr>
        <w:t xml:space="preserve">in paragraph 4 of the discussion </w:t>
      </w:r>
      <w:r w:rsidR="00250CD9" w:rsidRPr="006838F7">
        <w:rPr>
          <w:rFonts w:ascii="Cambria" w:eastAsia="Times New Roman" w:hAnsi="Cambria" w:cs="Calibri"/>
          <w:color w:val="000000" w:themeColor="text1"/>
          <w:lang w:val="en-US" w:eastAsia="en-GB"/>
        </w:rPr>
        <w:t>to reflect this:</w:t>
      </w:r>
    </w:p>
    <w:p w14:paraId="48C1ED8B" w14:textId="4294EC92" w:rsidR="00250CD9" w:rsidRPr="006838F7" w:rsidRDefault="00250CD9" w:rsidP="00B80DA0">
      <w:pPr>
        <w:pStyle w:val="ListParagraph"/>
        <w:numPr>
          <w:ilvl w:val="0"/>
          <w:numId w:val="2"/>
        </w:num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w:t>
      </w:r>
      <w:r w:rsidR="00B80DA0" w:rsidRPr="006838F7">
        <w:rPr>
          <w:rFonts w:ascii="Cambria" w:eastAsia="Times New Roman" w:hAnsi="Cambria" w:cs="Calibri"/>
          <w:color w:val="000000" w:themeColor="text1"/>
          <w:lang w:val="en-US" w:eastAsia="en-GB"/>
        </w:rPr>
        <w:t>Whilst this sample size is typically adequate for various metabolic assays, it is recommended that the researcher ensures the expected sample yield is sufficient for the intended sample analysis.</w:t>
      </w:r>
      <w:r w:rsidRPr="006838F7">
        <w:rPr>
          <w:rFonts w:ascii="Cambria" w:eastAsia="Times New Roman" w:hAnsi="Cambria" w:cs="Calibri"/>
          <w:color w:val="000000" w:themeColor="text1"/>
          <w:lang w:val="en-US" w:eastAsia="en-GB"/>
        </w:rPr>
        <w:t>”</w:t>
      </w:r>
    </w:p>
    <w:p w14:paraId="46D6DA52" w14:textId="2C3CA48B" w:rsidR="007C2070" w:rsidRPr="006838F7" w:rsidRDefault="007C2070">
      <w:pPr>
        <w:rPr>
          <w:rFonts w:ascii="Cambria" w:eastAsia="Times New Roman" w:hAnsi="Cambria" w:cs="Calibri"/>
          <w:i/>
          <w:iCs/>
          <w:color w:val="000000" w:themeColor="text1"/>
          <w:lang w:val="en-US" w:eastAsia="en-GB"/>
        </w:rPr>
      </w:pPr>
    </w:p>
    <w:p w14:paraId="2F034770" w14:textId="77777777"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i/>
          <w:iCs/>
          <w:color w:val="000000" w:themeColor="text1"/>
          <w:lang w:val="en-US" w:eastAsia="en-GB"/>
        </w:rPr>
        <w:t>The author mentions the range of BMI from their volunteers. Is there a recommended BMI to be used as inclusion criteria? Moreover, would it be possible to perform this method in very fit volunteers? It would be helpful to have some criteria for inclusion regarding the adipose tissue in the abdominal area.</w:t>
      </w:r>
    </w:p>
    <w:p w14:paraId="1862D357" w14:textId="1BC4F54A" w:rsidR="00DA6CD9" w:rsidRPr="006838F7" w:rsidRDefault="00DA6CD9" w:rsidP="00DA6CD9">
      <w:pPr>
        <w:spacing w:line="480" w:lineRule="auto"/>
        <w:jc w:val="both"/>
        <w:rPr>
          <w:rFonts w:ascii="Cambria" w:eastAsia="Times New Roman" w:hAnsi="Cambria" w:cs="Calibri"/>
          <w:color w:val="000000" w:themeColor="text1"/>
          <w:lang w:val="en-US" w:eastAsia="en-GB"/>
        </w:rPr>
      </w:pPr>
    </w:p>
    <w:p w14:paraId="48992CE1" w14:textId="5047881B" w:rsidR="0036761F" w:rsidRPr="006838F7" w:rsidRDefault="00D86DE3"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lastRenderedPageBreak/>
        <w:t xml:space="preserve">Author </w:t>
      </w:r>
      <w:r w:rsidR="000C7169" w:rsidRPr="006838F7">
        <w:rPr>
          <w:rFonts w:ascii="Cambria" w:eastAsia="Times New Roman" w:hAnsi="Cambria" w:cs="Calibri"/>
          <w:color w:val="000000" w:themeColor="text1"/>
          <w:lang w:val="en-US" w:eastAsia="en-GB"/>
        </w:rPr>
        <w:t>response</w:t>
      </w:r>
      <w:r w:rsidRPr="006838F7">
        <w:rPr>
          <w:rFonts w:ascii="Cambria" w:eastAsia="Times New Roman" w:hAnsi="Cambria" w:cs="Calibri"/>
          <w:color w:val="000000" w:themeColor="text1"/>
          <w:lang w:val="en-US" w:eastAsia="en-GB"/>
        </w:rPr>
        <w:t>:</w:t>
      </w:r>
      <w:r w:rsidR="006838F7">
        <w:rPr>
          <w:rFonts w:ascii="Cambria" w:eastAsia="Times New Roman" w:hAnsi="Cambria" w:cs="Calibri"/>
          <w:color w:val="000000" w:themeColor="text1"/>
          <w:lang w:val="en-US" w:eastAsia="en-GB"/>
        </w:rPr>
        <w:t xml:space="preserve"> </w:t>
      </w:r>
      <w:r w:rsidR="00AE59B2" w:rsidRPr="006838F7">
        <w:rPr>
          <w:rFonts w:ascii="Cambria" w:eastAsia="Times New Roman" w:hAnsi="Cambria" w:cs="Calibri"/>
          <w:color w:val="000000" w:themeColor="text1"/>
          <w:lang w:val="en-US" w:eastAsia="en-GB"/>
        </w:rPr>
        <w:t>A</w:t>
      </w:r>
      <w:r w:rsidR="00250CD9" w:rsidRPr="006838F7">
        <w:rPr>
          <w:rFonts w:ascii="Cambria" w:eastAsia="Times New Roman" w:hAnsi="Cambria" w:cs="Calibri"/>
          <w:color w:val="000000" w:themeColor="text1"/>
          <w:lang w:val="en-US" w:eastAsia="en-GB"/>
        </w:rPr>
        <w:t xml:space="preserve">necdotal experience from our laboratory </w:t>
      </w:r>
      <w:r w:rsidR="00AE59B2" w:rsidRPr="006838F7">
        <w:rPr>
          <w:rFonts w:ascii="Cambria" w:eastAsia="Times New Roman" w:hAnsi="Cambria" w:cs="Calibri"/>
          <w:color w:val="000000" w:themeColor="text1"/>
          <w:lang w:val="en-US" w:eastAsia="en-GB"/>
        </w:rPr>
        <w:t xml:space="preserve">does not </w:t>
      </w:r>
      <w:r w:rsidR="0082093E" w:rsidRPr="006838F7">
        <w:rPr>
          <w:rFonts w:ascii="Cambria" w:eastAsia="Times New Roman" w:hAnsi="Cambria" w:cs="Calibri"/>
          <w:color w:val="000000" w:themeColor="text1"/>
          <w:lang w:val="en-US" w:eastAsia="en-GB"/>
        </w:rPr>
        <w:t>demonstrate</w:t>
      </w:r>
      <w:r w:rsidR="00250CD9" w:rsidRPr="006838F7">
        <w:rPr>
          <w:rFonts w:ascii="Cambria" w:eastAsia="Times New Roman" w:hAnsi="Cambria" w:cs="Calibri"/>
          <w:color w:val="000000" w:themeColor="text1"/>
          <w:lang w:val="en-US" w:eastAsia="en-GB"/>
        </w:rPr>
        <w:t xml:space="preserve"> any issues with adipose tissue yield in relation to participants’ BMI. </w:t>
      </w:r>
      <w:r w:rsidR="009B135F" w:rsidRPr="006838F7">
        <w:rPr>
          <w:rFonts w:ascii="Cambria" w:eastAsia="Times New Roman" w:hAnsi="Cambria" w:cs="Calibri"/>
          <w:color w:val="000000" w:themeColor="text1"/>
          <w:lang w:val="en-US" w:eastAsia="en-GB"/>
        </w:rPr>
        <w:t xml:space="preserve">Moreover, other similar techniques have not </w:t>
      </w:r>
      <w:r w:rsidR="00F870D9" w:rsidRPr="006838F7">
        <w:rPr>
          <w:rFonts w:ascii="Cambria" w:eastAsia="Times New Roman" w:hAnsi="Cambria" w:cs="Calibri"/>
          <w:color w:val="000000" w:themeColor="text1"/>
          <w:lang w:val="en-US" w:eastAsia="en-GB"/>
        </w:rPr>
        <w:t>included BMI in any inclusion or exclusion criteria (</w:t>
      </w:r>
      <w:proofErr w:type="spellStart"/>
      <w:r w:rsidR="005C29A1" w:rsidRPr="006838F7">
        <w:rPr>
          <w:rFonts w:ascii="Cambria" w:eastAsia="Times New Roman" w:hAnsi="Cambria" w:cs="Calibri"/>
          <w:color w:val="000000" w:themeColor="text1"/>
          <w:lang w:val="en-US" w:eastAsia="en-GB"/>
        </w:rPr>
        <w:t>Kettwich</w:t>
      </w:r>
      <w:proofErr w:type="spellEnd"/>
      <w:r w:rsidR="005C29A1" w:rsidRPr="006838F7">
        <w:rPr>
          <w:rFonts w:ascii="Cambria" w:eastAsia="Times New Roman" w:hAnsi="Cambria" w:cs="Calibri"/>
          <w:color w:val="000000" w:themeColor="text1"/>
          <w:lang w:val="en-US" w:eastAsia="en-GB"/>
        </w:rPr>
        <w:t xml:space="preserve"> </w:t>
      </w:r>
      <w:r w:rsidR="005C29A1" w:rsidRPr="006838F7">
        <w:rPr>
          <w:rFonts w:ascii="Cambria" w:eastAsia="Times New Roman" w:hAnsi="Cambria" w:cs="Calibri"/>
          <w:i/>
          <w:iCs/>
          <w:color w:val="000000" w:themeColor="text1"/>
          <w:lang w:val="en-US" w:eastAsia="en-GB"/>
        </w:rPr>
        <w:t xml:space="preserve">et al. </w:t>
      </w:r>
      <w:r w:rsidR="005C29A1" w:rsidRPr="006838F7">
        <w:rPr>
          <w:rFonts w:ascii="Cambria" w:eastAsia="Times New Roman" w:hAnsi="Cambria" w:cs="Calibri"/>
          <w:color w:val="000000" w:themeColor="text1"/>
          <w:lang w:val="en-US" w:eastAsia="en-GB"/>
        </w:rPr>
        <w:t>2003)</w:t>
      </w:r>
      <w:r w:rsidR="00F870D9" w:rsidRPr="006838F7">
        <w:rPr>
          <w:rFonts w:ascii="Cambria" w:eastAsia="Times New Roman" w:hAnsi="Cambria" w:cs="Calibri"/>
          <w:color w:val="000000" w:themeColor="text1"/>
          <w:lang w:val="en-US" w:eastAsia="en-GB"/>
        </w:rPr>
        <w:t xml:space="preserve">. </w:t>
      </w:r>
      <w:r w:rsidRPr="006838F7">
        <w:rPr>
          <w:rFonts w:ascii="Cambria" w:eastAsia="Times New Roman" w:hAnsi="Cambria" w:cs="Calibri"/>
          <w:color w:val="000000" w:themeColor="text1"/>
          <w:lang w:val="en-US" w:eastAsia="en-GB"/>
        </w:rPr>
        <w:t xml:space="preserve">Anecdotally, </w:t>
      </w:r>
      <w:r w:rsidR="00250CD9" w:rsidRPr="006838F7">
        <w:rPr>
          <w:rFonts w:ascii="Cambria" w:eastAsia="Times New Roman" w:hAnsi="Cambria" w:cs="Calibri"/>
          <w:color w:val="000000" w:themeColor="text1"/>
          <w:lang w:val="en-US" w:eastAsia="en-GB"/>
        </w:rPr>
        <w:t>when comparing biopsy yield to normal weight participants (BMI 18-25 kg/m</w:t>
      </w:r>
      <w:r w:rsidR="00250CD9" w:rsidRPr="006838F7">
        <w:rPr>
          <w:rFonts w:ascii="Cambria" w:eastAsia="Times New Roman" w:hAnsi="Cambria" w:cs="Calibri"/>
          <w:color w:val="000000" w:themeColor="text1"/>
          <w:vertAlign w:val="superscript"/>
          <w:lang w:val="en-US" w:eastAsia="en-GB"/>
        </w:rPr>
        <w:t>2</w:t>
      </w:r>
      <w:r w:rsidR="00250CD9" w:rsidRPr="006838F7">
        <w:rPr>
          <w:rFonts w:ascii="Cambria" w:eastAsia="Times New Roman" w:hAnsi="Cambria" w:cs="Calibri"/>
          <w:color w:val="000000" w:themeColor="text1"/>
          <w:lang w:val="en-US" w:eastAsia="en-GB"/>
        </w:rPr>
        <w:t xml:space="preserve">) </w:t>
      </w:r>
      <w:r w:rsidRPr="006838F7">
        <w:rPr>
          <w:rFonts w:ascii="Cambria" w:eastAsia="Times New Roman" w:hAnsi="Cambria" w:cs="Calibri"/>
          <w:color w:val="000000" w:themeColor="text1"/>
          <w:lang w:val="en-US" w:eastAsia="en-GB"/>
        </w:rPr>
        <w:t xml:space="preserve">we </w:t>
      </w:r>
      <w:r w:rsidR="00250CD9" w:rsidRPr="006838F7">
        <w:rPr>
          <w:rFonts w:ascii="Cambria" w:eastAsia="Times New Roman" w:hAnsi="Cambria" w:cs="Calibri"/>
          <w:color w:val="000000" w:themeColor="text1"/>
          <w:lang w:val="en-US" w:eastAsia="en-GB"/>
        </w:rPr>
        <w:t xml:space="preserve">have </w:t>
      </w:r>
      <w:r w:rsidRPr="006838F7">
        <w:rPr>
          <w:rFonts w:ascii="Cambria" w:eastAsia="Times New Roman" w:hAnsi="Cambria" w:cs="Calibri"/>
          <w:color w:val="000000" w:themeColor="text1"/>
          <w:lang w:val="en-US" w:eastAsia="en-GB"/>
        </w:rPr>
        <w:t>observed greater adipose tissue yield in overweight (BMI &gt;25 kg/m</w:t>
      </w:r>
      <w:r w:rsidRPr="006838F7">
        <w:rPr>
          <w:rFonts w:ascii="Cambria" w:eastAsia="Times New Roman" w:hAnsi="Cambria" w:cs="Calibri"/>
          <w:color w:val="000000" w:themeColor="text1"/>
          <w:vertAlign w:val="superscript"/>
          <w:lang w:val="en-US" w:eastAsia="en-GB"/>
        </w:rPr>
        <w:t>2</w:t>
      </w:r>
      <w:r w:rsidRPr="006838F7">
        <w:rPr>
          <w:rFonts w:ascii="Cambria" w:eastAsia="Times New Roman" w:hAnsi="Cambria" w:cs="Calibri"/>
          <w:color w:val="000000" w:themeColor="text1"/>
          <w:lang w:val="en-US" w:eastAsia="en-GB"/>
        </w:rPr>
        <w:t xml:space="preserve">) women with a family history of diabetes (Moran et al, 2013). </w:t>
      </w:r>
      <w:r w:rsidR="005C29A1" w:rsidRPr="006838F7">
        <w:rPr>
          <w:rFonts w:ascii="Cambria" w:eastAsia="Times New Roman" w:hAnsi="Cambria" w:cs="Calibri"/>
          <w:color w:val="000000" w:themeColor="text1"/>
          <w:lang w:val="en-US" w:eastAsia="en-GB"/>
        </w:rPr>
        <w:t>However</w:t>
      </w:r>
      <w:r w:rsidRPr="006838F7">
        <w:rPr>
          <w:rFonts w:ascii="Cambria" w:eastAsia="Times New Roman" w:hAnsi="Cambria" w:cs="Calibri"/>
          <w:color w:val="000000" w:themeColor="text1"/>
          <w:lang w:val="en-US" w:eastAsia="en-GB"/>
        </w:rPr>
        <w:t xml:space="preserve">, </w:t>
      </w:r>
      <w:r w:rsidR="0036761F" w:rsidRPr="006838F7">
        <w:rPr>
          <w:rFonts w:ascii="Cambria" w:eastAsia="Times New Roman" w:hAnsi="Cambria" w:cs="Calibri"/>
          <w:color w:val="000000" w:themeColor="text1"/>
          <w:lang w:val="en-US" w:eastAsia="en-GB"/>
        </w:rPr>
        <w:t xml:space="preserve">we have successfully used this technique </w:t>
      </w:r>
      <w:r w:rsidR="00B04BEF" w:rsidRPr="006838F7">
        <w:rPr>
          <w:rFonts w:ascii="Cambria" w:eastAsia="Times New Roman" w:hAnsi="Cambria" w:cs="Calibri"/>
          <w:color w:val="000000" w:themeColor="text1"/>
          <w:lang w:val="en-US" w:eastAsia="en-GB"/>
        </w:rPr>
        <w:t>in lean</w:t>
      </w:r>
      <w:r w:rsidR="00B53509" w:rsidRPr="006838F7">
        <w:rPr>
          <w:rFonts w:ascii="Cambria" w:eastAsia="Times New Roman" w:hAnsi="Cambria" w:cs="Calibri"/>
          <w:color w:val="000000" w:themeColor="text1"/>
          <w:lang w:val="en-US" w:eastAsia="en-GB"/>
        </w:rPr>
        <w:t xml:space="preserve"> </w:t>
      </w:r>
      <w:r w:rsidR="00B04BEF" w:rsidRPr="006838F7">
        <w:rPr>
          <w:rFonts w:ascii="Cambria" w:eastAsia="Times New Roman" w:hAnsi="Cambria" w:cs="Calibri"/>
          <w:color w:val="000000" w:themeColor="text1"/>
          <w:lang w:val="en-US" w:eastAsia="en-GB"/>
        </w:rPr>
        <w:t xml:space="preserve">individuals, </w:t>
      </w:r>
      <w:r w:rsidR="0036761F" w:rsidRPr="006838F7">
        <w:rPr>
          <w:rFonts w:ascii="Cambria" w:eastAsia="Times New Roman" w:hAnsi="Cambria" w:cs="Calibri"/>
          <w:color w:val="000000" w:themeColor="text1"/>
          <w:lang w:val="en-US" w:eastAsia="en-GB"/>
        </w:rPr>
        <w:t xml:space="preserve">with </w:t>
      </w:r>
      <w:r w:rsidR="009B135F" w:rsidRPr="006838F7">
        <w:rPr>
          <w:rFonts w:ascii="Cambria" w:eastAsia="Times New Roman" w:hAnsi="Cambria" w:cs="Calibri"/>
          <w:color w:val="000000" w:themeColor="text1"/>
          <w:lang w:val="en-US" w:eastAsia="en-GB"/>
        </w:rPr>
        <w:t xml:space="preserve">adequate sample yield obtained. </w:t>
      </w:r>
      <w:r w:rsidR="0082093E" w:rsidRPr="006838F7">
        <w:rPr>
          <w:rFonts w:ascii="Cambria" w:eastAsia="Times New Roman" w:hAnsi="Cambria" w:cs="Calibri"/>
          <w:color w:val="000000" w:themeColor="text1"/>
          <w:lang w:val="en-US" w:eastAsia="en-GB"/>
        </w:rPr>
        <w:t>For these reasons, we do not feel it is appropriate to include BMI in any inclusion or exclusion criteria in the manuscript.</w:t>
      </w:r>
    </w:p>
    <w:p w14:paraId="22527158" w14:textId="16369FB2" w:rsidR="00DA6CD9" w:rsidRPr="006838F7" w:rsidRDefault="00DA6CD9" w:rsidP="00DA6CD9">
      <w:pPr>
        <w:spacing w:line="480" w:lineRule="auto"/>
        <w:jc w:val="both"/>
        <w:rPr>
          <w:rFonts w:ascii="Cambria" w:eastAsia="Times New Roman" w:hAnsi="Cambria" w:cs="Calibri"/>
          <w:i/>
          <w:iCs/>
          <w:color w:val="000000" w:themeColor="text1"/>
          <w:lang w:val="en-US" w:eastAsia="en-GB"/>
        </w:rPr>
      </w:pPr>
      <w:r w:rsidRPr="006838F7">
        <w:rPr>
          <w:rFonts w:ascii="Cambria" w:eastAsia="Times New Roman" w:hAnsi="Cambria" w:cs="Calibri"/>
          <w:color w:val="000000" w:themeColor="text1"/>
          <w:lang w:val="en-US" w:eastAsia="en-GB"/>
        </w:rPr>
        <w:br/>
      </w:r>
      <w:r w:rsidRPr="006838F7">
        <w:rPr>
          <w:rFonts w:ascii="Cambria" w:eastAsia="Times New Roman" w:hAnsi="Cambria" w:cs="Calibri"/>
          <w:i/>
          <w:iCs/>
          <w:color w:val="000000" w:themeColor="text1"/>
          <w:lang w:val="en-US" w:eastAsia="en-GB"/>
        </w:rPr>
        <w:t>Table of materials. The formatting is strange, as the table seems to be split into two pages </w:t>
      </w:r>
    </w:p>
    <w:p w14:paraId="4FD31469" w14:textId="25EFB319" w:rsidR="00DA6CD9" w:rsidRPr="006838F7" w:rsidRDefault="00DA6CD9"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w:t>
      </w:r>
    </w:p>
    <w:p w14:paraId="77B69C8C" w14:textId="3D2050B5" w:rsidR="00D86DE3" w:rsidRPr="006838F7" w:rsidRDefault="00D86DE3" w:rsidP="00DA6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Author response:</w:t>
      </w:r>
    </w:p>
    <w:p w14:paraId="210C0BE7" w14:textId="684E2B8D" w:rsidR="00DA6CD9" w:rsidRPr="006838F7" w:rsidRDefault="00250CD9">
      <w:pPr>
        <w:spacing w:line="480" w:lineRule="auto"/>
        <w:jc w:val="both"/>
        <w:rPr>
          <w:rFonts w:ascii="Cambria" w:eastAsia="Times New Roman" w:hAnsi="Cambria" w:cs="Calibri"/>
          <w:color w:val="000000" w:themeColor="text1"/>
          <w:lang w:val="en-US" w:eastAsia="en-GB"/>
        </w:rPr>
      </w:pPr>
      <w:r w:rsidRPr="006838F7">
        <w:rPr>
          <w:rFonts w:ascii="Cambria" w:eastAsia="Times New Roman" w:hAnsi="Cambria" w:cs="Calibri"/>
          <w:color w:val="000000" w:themeColor="text1"/>
          <w:lang w:val="en-US" w:eastAsia="en-GB"/>
        </w:rPr>
        <w:t xml:space="preserve">We thank the reviewer for bringing this to our attention. The table of materials was </w:t>
      </w:r>
      <w:r w:rsidR="18D75D76" w:rsidRPr="006838F7">
        <w:rPr>
          <w:rFonts w:ascii="Cambria" w:eastAsia="Times New Roman" w:hAnsi="Cambria" w:cs="Calibri"/>
          <w:color w:val="000000" w:themeColor="text1"/>
          <w:lang w:val="en-US" w:eastAsia="en-GB"/>
        </w:rPr>
        <w:t xml:space="preserve">uploaded </w:t>
      </w:r>
      <w:r w:rsidRPr="006838F7">
        <w:rPr>
          <w:rFonts w:ascii="Cambria" w:eastAsia="Times New Roman" w:hAnsi="Cambria" w:cs="Calibri"/>
          <w:color w:val="000000" w:themeColor="text1"/>
          <w:lang w:val="en-US" w:eastAsia="en-GB"/>
        </w:rPr>
        <w:t>as</w:t>
      </w:r>
      <w:r w:rsidR="00D86DE3" w:rsidRPr="006838F7">
        <w:rPr>
          <w:rFonts w:ascii="Cambria" w:eastAsia="Times New Roman" w:hAnsi="Cambria" w:cs="Calibri"/>
          <w:color w:val="000000" w:themeColor="text1"/>
          <w:lang w:val="en-US" w:eastAsia="en-GB"/>
        </w:rPr>
        <w:t xml:space="preserve"> an excel fil</w:t>
      </w:r>
      <w:r w:rsidRPr="006838F7">
        <w:rPr>
          <w:rFonts w:ascii="Cambria" w:eastAsia="Times New Roman" w:hAnsi="Cambria" w:cs="Calibri"/>
          <w:color w:val="000000" w:themeColor="text1"/>
          <w:lang w:val="en-US" w:eastAsia="en-GB"/>
        </w:rPr>
        <w:t xml:space="preserve">e, </w:t>
      </w:r>
      <w:r w:rsidR="10BBC55B" w:rsidRPr="006838F7">
        <w:rPr>
          <w:rFonts w:ascii="Cambria" w:eastAsia="Times New Roman" w:hAnsi="Cambria" w:cs="Calibri"/>
          <w:color w:val="000000" w:themeColor="text1"/>
          <w:lang w:val="en-US" w:eastAsia="en-GB"/>
        </w:rPr>
        <w:t xml:space="preserve">and we believe the formatting issue is due to how the editorial manager handles the </w:t>
      </w:r>
      <w:r w:rsidR="39703ABB" w:rsidRPr="006838F7">
        <w:rPr>
          <w:rFonts w:ascii="Cambria" w:eastAsia="Times New Roman" w:hAnsi="Cambria" w:cs="Calibri"/>
          <w:color w:val="000000" w:themeColor="text1"/>
          <w:lang w:val="en-US" w:eastAsia="en-GB"/>
        </w:rPr>
        <w:t xml:space="preserve">various </w:t>
      </w:r>
      <w:r w:rsidR="10BBC55B" w:rsidRPr="006838F7">
        <w:rPr>
          <w:rFonts w:ascii="Cambria" w:eastAsia="Times New Roman" w:hAnsi="Cambria" w:cs="Calibri"/>
          <w:color w:val="000000" w:themeColor="text1"/>
          <w:lang w:val="en-US" w:eastAsia="en-GB"/>
        </w:rPr>
        <w:t>files post-submission.</w:t>
      </w:r>
    </w:p>
    <w:p w14:paraId="03165997" w14:textId="77777777" w:rsidR="002D5D84" w:rsidRPr="006838F7" w:rsidRDefault="002D5D84" w:rsidP="00DA6CD9">
      <w:pPr>
        <w:spacing w:line="480" w:lineRule="auto"/>
        <w:jc w:val="both"/>
        <w:rPr>
          <w:rFonts w:ascii="Cambria" w:hAnsi="Cambria"/>
          <w:color w:val="000000" w:themeColor="text1"/>
          <w:lang w:val="en-US"/>
        </w:rPr>
      </w:pPr>
    </w:p>
    <w:sectPr w:rsidR="002D5D84" w:rsidRPr="006838F7" w:rsidSect="000D52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52CB"/>
    <w:multiLevelType w:val="hybridMultilevel"/>
    <w:tmpl w:val="02862DA6"/>
    <w:lvl w:ilvl="0" w:tplc="FF9CA226">
      <w:start w:val="1"/>
      <w:numFmt w:val="bullet"/>
      <w:lvlText w:val="-"/>
      <w:lvlJc w:val="left"/>
      <w:pPr>
        <w:ind w:left="360" w:hanging="360"/>
      </w:pPr>
      <w:rPr>
        <w:rFonts w:ascii="-" w: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6315CF"/>
    <w:multiLevelType w:val="hybridMultilevel"/>
    <w:tmpl w:val="BDB69DFA"/>
    <w:lvl w:ilvl="0" w:tplc="FF9CA226">
      <w:start w:val="1"/>
      <w:numFmt w:val="bullet"/>
      <w:lvlText w:val="-"/>
      <w:lvlJc w:val="left"/>
      <w:pPr>
        <w:ind w:left="360" w:hanging="360"/>
      </w:pPr>
      <w:rPr>
        <w:rFonts w:ascii="-" w: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9A57AB"/>
    <w:multiLevelType w:val="hybridMultilevel"/>
    <w:tmpl w:val="E41E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4663A"/>
    <w:multiLevelType w:val="hybridMultilevel"/>
    <w:tmpl w:val="B712C304"/>
    <w:lvl w:ilvl="0" w:tplc="D42648FE">
      <w:start w:val="2"/>
      <w:numFmt w:val="bullet"/>
      <w:lvlText w:val="-"/>
      <w:lvlJc w:val="left"/>
      <w:pPr>
        <w:ind w:left="360" w:hanging="360"/>
      </w:pPr>
      <w:rPr>
        <w:rFonts w:ascii="Cambria" w:eastAsia="Times New Roman" w:hAnsi="Cambria"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CF0196"/>
    <w:multiLevelType w:val="hybridMultilevel"/>
    <w:tmpl w:val="0F36D2A4"/>
    <w:lvl w:ilvl="0" w:tplc="FF9CA226">
      <w:start w:val="1"/>
      <w:numFmt w:val="bullet"/>
      <w:lvlText w:val="-"/>
      <w:lvlJc w:val="left"/>
      <w:pPr>
        <w:ind w:left="360" w:hanging="360"/>
      </w:pPr>
      <w:rPr>
        <w:rFonts w:ascii="-" w: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D9"/>
    <w:rsid w:val="00000CE4"/>
    <w:rsid w:val="00011278"/>
    <w:rsid w:val="00023699"/>
    <w:rsid w:val="00024CE7"/>
    <w:rsid w:val="00040927"/>
    <w:rsid w:val="00047AFB"/>
    <w:rsid w:val="0005413A"/>
    <w:rsid w:val="00084B83"/>
    <w:rsid w:val="000B4CAC"/>
    <w:rsid w:val="000C7169"/>
    <w:rsid w:val="000D529C"/>
    <w:rsid w:val="000E5D04"/>
    <w:rsid w:val="00153EAF"/>
    <w:rsid w:val="0017233D"/>
    <w:rsid w:val="00183DD1"/>
    <w:rsid w:val="001D7A8F"/>
    <w:rsid w:val="001E4398"/>
    <w:rsid w:val="001F5883"/>
    <w:rsid w:val="00250CD9"/>
    <w:rsid w:val="0027689D"/>
    <w:rsid w:val="002A6E66"/>
    <w:rsid w:val="002D5D84"/>
    <w:rsid w:val="002F49CF"/>
    <w:rsid w:val="00313B84"/>
    <w:rsid w:val="00320E9D"/>
    <w:rsid w:val="00330388"/>
    <w:rsid w:val="00334D16"/>
    <w:rsid w:val="003427DA"/>
    <w:rsid w:val="0036761F"/>
    <w:rsid w:val="00390BAC"/>
    <w:rsid w:val="003A4888"/>
    <w:rsid w:val="003E03C4"/>
    <w:rsid w:val="003F15B7"/>
    <w:rsid w:val="00413E99"/>
    <w:rsid w:val="00423A08"/>
    <w:rsid w:val="00436A4B"/>
    <w:rsid w:val="0043730A"/>
    <w:rsid w:val="004637C9"/>
    <w:rsid w:val="00472482"/>
    <w:rsid w:val="004A29E5"/>
    <w:rsid w:val="004B02D4"/>
    <w:rsid w:val="004C0859"/>
    <w:rsid w:val="004C4549"/>
    <w:rsid w:val="004C7F35"/>
    <w:rsid w:val="004D115B"/>
    <w:rsid w:val="004D7A4B"/>
    <w:rsid w:val="00503A55"/>
    <w:rsid w:val="00503EAE"/>
    <w:rsid w:val="00506F33"/>
    <w:rsid w:val="00512989"/>
    <w:rsid w:val="005440A7"/>
    <w:rsid w:val="005532AC"/>
    <w:rsid w:val="00587DB6"/>
    <w:rsid w:val="005B05A9"/>
    <w:rsid w:val="005B644A"/>
    <w:rsid w:val="005C29A1"/>
    <w:rsid w:val="005C429D"/>
    <w:rsid w:val="005F6708"/>
    <w:rsid w:val="006419A0"/>
    <w:rsid w:val="006552B0"/>
    <w:rsid w:val="00672D90"/>
    <w:rsid w:val="006838F7"/>
    <w:rsid w:val="006B3488"/>
    <w:rsid w:val="006B4E31"/>
    <w:rsid w:val="006C1745"/>
    <w:rsid w:val="006D2178"/>
    <w:rsid w:val="00715BC0"/>
    <w:rsid w:val="0071781A"/>
    <w:rsid w:val="007506D9"/>
    <w:rsid w:val="007506F4"/>
    <w:rsid w:val="00780403"/>
    <w:rsid w:val="007A5A21"/>
    <w:rsid w:val="007C2070"/>
    <w:rsid w:val="007D605F"/>
    <w:rsid w:val="007E3FBE"/>
    <w:rsid w:val="007F1ED5"/>
    <w:rsid w:val="007F37BF"/>
    <w:rsid w:val="0082093E"/>
    <w:rsid w:val="00827F48"/>
    <w:rsid w:val="00831ECD"/>
    <w:rsid w:val="00861782"/>
    <w:rsid w:val="0087182C"/>
    <w:rsid w:val="008867A5"/>
    <w:rsid w:val="00893B1E"/>
    <w:rsid w:val="008A5E8F"/>
    <w:rsid w:val="008D451B"/>
    <w:rsid w:val="008E29D9"/>
    <w:rsid w:val="009060CC"/>
    <w:rsid w:val="00921E9F"/>
    <w:rsid w:val="00923633"/>
    <w:rsid w:val="0092525E"/>
    <w:rsid w:val="0097126F"/>
    <w:rsid w:val="009769FF"/>
    <w:rsid w:val="009B135F"/>
    <w:rsid w:val="009C09AF"/>
    <w:rsid w:val="009E4041"/>
    <w:rsid w:val="00A07BB2"/>
    <w:rsid w:val="00A31D7E"/>
    <w:rsid w:val="00A535CB"/>
    <w:rsid w:val="00A5667A"/>
    <w:rsid w:val="00A741DE"/>
    <w:rsid w:val="00A96BCB"/>
    <w:rsid w:val="00AA02B5"/>
    <w:rsid w:val="00AA5EFA"/>
    <w:rsid w:val="00AA7EE6"/>
    <w:rsid w:val="00AB0E7C"/>
    <w:rsid w:val="00AD4F68"/>
    <w:rsid w:val="00AE59B2"/>
    <w:rsid w:val="00AE79D7"/>
    <w:rsid w:val="00AE7A39"/>
    <w:rsid w:val="00B04BEF"/>
    <w:rsid w:val="00B25DE8"/>
    <w:rsid w:val="00B30634"/>
    <w:rsid w:val="00B4207D"/>
    <w:rsid w:val="00B44EC0"/>
    <w:rsid w:val="00B53509"/>
    <w:rsid w:val="00B64F28"/>
    <w:rsid w:val="00B80DA0"/>
    <w:rsid w:val="00B82800"/>
    <w:rsid w:val="00B9137F"/>
    <w:rsid w:val="00BE6186"/>
    <w:rsid w:val="00C10014"/>
    <w:rsid w:val="00C22627"/>
    <w:rsid w:val="00C25CCE"/>
    <w:rsid w:val="00C37B10"/>
    <w:rsid w:val="00C82215"/>
    <w:rsid w:val="00C96027"/>
    <w:rsid w:val="00CA1E1D"/>
    <w:rsid w:val="00CB099A"/>
    <w:rsid w:val="00CD5DB0"/>
    <w:rsid w:val="00CF3E6F"/>
    <w:rsid w:val="00D1533D"/>
    <w:rsid w:val="00D22F11"/>
    <w:rsid w:val="00D2592B"/>
    <w:rsid w:val="00D25C27"/>
    <w:rsid w:val="00D81C32"/>
    <w:rsid w:val="00D86DE3"/>
    <w:rsid w:val="00DA6CD9"/>
    <w:rsid w:val="00DC52ED"/>
    <w:rsid w:val="00DE5744"/>
    <w:rsid w:val="00E1477E"/>
    <w:rsid w:val="00E77BBF"/>
    <w:rsid w:val="00EB35E7"/>
    <w:rsid w:val="00ED5FE8"/>
    <w:rsid w:val="00EE3CE7"/>
    <w:rsid w:val="00F07A89"/>
    <w:rsid w:val="00F4370C"/>
    <w:rsid w:val="00F47ADE"/>
    <w:rsid w:val="00F51C3B"/>
    <w:rsid w:val="00F706FC"/>
    <w:rsid w:val="00F870D9"/>
    <w:rsid w:val="00FD54DA"/>
    <w:rsid w:val="00FF2337"/>
    <w:rsid w:val="00FF7595"/>
    <w:rsid w:val="02E6C603"/>
    <w:rsid w:val="0CEFEC80"/>
    <w:rsid w:val="10BBC55B"/>
    <w:rsid w:val="18D75D76"/>
    <w:rsid w:val="1B1498F4"/>
    <w:rsid w:val="1BE0E3A9"/>
    <w:rsid w:val="1C2E029F"/>
    <w:rsid w:val="1C6515CB"/>
    <w:rsid w:val="2054AB39"/>
    <w:rsid w:val="27AC047F"/>
    <w:rsid w:val="282D3B89"/>
    <w:rsid w:val="2836E3FB"/>
    <w:rsid w:val="28D6DC8E"/>
    <w:rsid w:val="29459F39"/>
    <w:rsid w:val="29564D30"/>
    <w:rsid w:val="3249069D"/>
    <w:rsid w:val="39703ABB"/>
    <w:rsid w:val="3BE10BEC"/>
    <w:rsid w:val="3D4E31A9"/>
    <w:rsid w:val="413DDB61"/>
    <w:rsid w:val="48FE695D"/>
    <w:rsid w:val="4A335906"/>
    <w:rsid w:val="4F820747"/>
    <w:rsid w:val="51256A34"/>
    <w:rsid w:val="5154CB25"/>
    <w:rsid w:val="526A30BF"/>
    <w:rsid w:val="532E14F2"/>
    <w:rsid w:val="5498E3D3"/>
    <w:rsid w:val="591351E0"/>
    <w:rsid w:val="5925D699"/>
    <w:rsid w:val="59A16F62"/>
    <w:rsid w:val="5CD91024"/>
    <w:rsid w:val="5ED3BA22"/>
    <w:rsid w:val="67047551"/>
    <w:rsid w:val="6CC082CA"/>
    <w:rsid w:val="6E561A42"/>
    <w:rsid w:val="706ACF80"/>
    <w:rsid w:val="716BD24D"/>
    <w:rsid w:val="7684DB5D"/>
    <w:rsid w:val="7CB58279"/>
    <w:rsid w:val="7FCCFD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FE2FAD"/>
  <w14:defaultImageDpi w14:val="32767"/>
  <w15:chartTrackingRefBased/>
  <w15:docId w15:val="{645E7638-DE12-4408-9E17-72AA0640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CE7"/>
    <w:rPr>
      <w:rFonts w:ascii="Cambria" w:hAnsi="Cambria" w:cs="Times New Roman (Body CS)"/>
    </w:rPr>
    <w:tblPr>
      <w:tblBorders>
        <w:top w:val="single" w:sz="4" w:space="0" w:color="auto"/>
        <w:bottom w:val="single" w:sz="4" w:space="0" w:color="auto"/>
      </w:tblBorders>
    </w:tblPr>
  </w:style>
  <w:style w:type="character" w:customStyle="1" w:styleId="apple-converted-space">
    <w:name w:val="apple-converted-space"/>
    <w:basedOn w:val="DefaultParagraphFont"/>
    <w:rsid w:val="00DA6CD9"/>
  </w:style>
  <w:style w:type="character" w:styleId="Hyperlink">
    <w:name w:val="Hyperlink"/>
    <w:basedOn w:val="DefaultParagraphFont"/>
    <w:uiPriority w:val="99"/>
    <w:semiHidden/>
    <w:unhideWhenUsed/>
    <w:rsid w:val="00DA6CD9"/>
    <w:rPr>
      <w:color w:val="0000FF"/>
      <w:u w:val="single"/>
    </w:rPr>
  </w:style>
  <w:style w:type="paragraph" w:styleId="ListParagraph">
    <w:name w:val="List Paragraph"/>
    <w:basedOn w:val="Normal"/>
    <w:uiPriority w:val="34"/>
    <w:qFormat/>
    <w:rsid w:val="00831ECD"/>
    <w:pPr>
      <w:ind w:left="720"/>
      <w:contextualSpacing/>
    </w:pPr>
  </w:style>
  <w:style w:type="character" w:styleId="CommentReference">
    <w:name w:val="annotation reference"/>
    <w:basedOn w:val="DefaultParagraphFont"/>
    <w:uiPriority w:val="99"/>
    <w:semiHidden/>
    <w:unhideWhenUsed/>
    <w:rsid w:val="005532AC"/>
    <w:rPr>
      <w:sz w:val="16"/>
      <w:szCs w:val="16"/>
    </w:rPr>
  </w:style>
  <w:style w:type="paragraph" w:styleId="CommentText">
    <w:name w:val="annotation text"/>
    <w:basedOn w:val="Normal"/>
    <w:link w:val="CommentTextChar"/>
    <w:uiPriority w:val="99"/>
    <w:semiHidden/>
    <w:unhideWhenUsed/>
    <w:rsid w:val="005532AC"/>
    <w:rPr>
      <w:sz w:val="20"/>
      <w:szCs w:val="20"/>
    </w:rPr>
  </w:style>
  <w:style w:type="character" w:customStyle="1" w:styleId="CommentTextChar">
    <w:name w:val="Comment Text Char"/>
    <w:basedOn w:val="DefaultParagraphFont"/>
    <w:link w:val="CommentText"/>
    <w:uiPriority w:val="99"/>
    <w:semiHidden/>
    <w:rsid w:val="005532AC"/>
    <w:rPr>
      <w:sz w:val="20"/>
      <w:szCs w:val="20"/>
    </w:rPr>
  </w:style>
  <w:style w:type="paragraph" w:styleId="CommentSubject">
    <w:name w:val="annotation subject"/>
    <w:basedOn w:val="CommentText"/>
    <w:next w:val="CommentText"/>
    <w:link w:val="CommentSubjectChar"/>
    <w:uiPriority w:val="99"/>
    <w:semiHidden/>
    <w:unhideWhenUsed/>
    <w:rsid w:val="005532AC"/>
    <w:rPr>
      <w:b/>
      <w:bCs/>
    </w:rPr>
  </w:style>
  <w:style w:type="character" w:customStyle="1" w:styleId="CommentSubjectChar">
    <w:name w:val="Comment Subject Char"/>
    <w:basedOn w:val="CommentTextChar"/>
    <w:link w:val="CommentSubject"/>
    <w:uiPriority w:val="99"/>
    <w:semiHidden/>
    <w:rsid w:val="00553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03.safelinks.protection.outlook.com/?url=https%3A%2F%2Fwww.ncbi.nlm.nih.gov%2Fpmc%2Farticles%2FPMC5491488%2F&amp;data=04%7C01%7Ckirstin.macgregor1%40stir.ac.uk%7C6a3527e5e0c543bb39cc08d95d721571%7C4e8d09f7cc794ccb9149a4238dd17422%7C0%7C0%7C637643566857754499%7CUnknown%7CTWFpbGZsb3d8eyJWIjoiMC4wLjAwMDAiLCJQIjoiV2luMzIiLCJBTiI6Ik1haWwiLCJXVCI6Mn0%3D%7C1000&amp;sdata=oo3GqCx1VsohqbOLuJsTwTuQpTQhMg37rgDRATb69i0%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0BA3-827D-8041-9E29-E5560C00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Links>
    <vt:vector size="6" baseType="variant">
      <vt:variant>
        <vt:i4>8126567</vt:i4>
      </vt:variant>
      <vt:variant>
        <vt:i4>0</vt:i4>
      </vt:variant>
      <vt:variant>
        <vt:i4>0</vt:i4>
      </vt:variant>
      <vt:variant>
        <vt:i4>5</vt:i4>
      </vt:variant>
      <vt:variant>
        <vt:lpwstr>https://eur03.safelinks.protection.outlook.com/?url=https%3A%2F%2Fwww.ncbi.nlm.nih.gov%2Fpmc%2Farticles%2FPMC5491488%2F&amp;data=04%7C01%7Ckirstin.macgregor1%40stir.ac.uk%7C6a3527e5e0c543bb39cc08d95d721571%7C4e8d09f7cc794ccb9149a4238dd17422%7C0%7C0%7C637643566857754499%7CUnknown%7CTWFpbGZsb3d8eyJWIjoiMC4wLjAwMDAiLCJQIjoiV2luMzIiLCJBTiI6Ik1haWwiLCJXVCI6Mn0%3D%7C1000&amp;sdata=oo3GqCx1VsohqbOLuJsTwTuQpTQhMg37rgDRATb69i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Macgregor</dc:creator>
  <cp:keywords/>
  <dc:description/>
  <cp:lastModifiedBy>Thomas Di Virgilio</cp:lastModifiedBy>
  <cp:revision>130</cp:revision>
  <dcterms:created xsi:type="dcterms:W3CDTF">2021-08-12T16:06:00Z</dcterms:created>
  <dcterms:modified xsi:type="dcterms:W3CDTF">2021-08-23T09:35:00Z</dcterms:modified>
</cp:coreProperties>
</file>