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Implantation of a Cranial Window for Repeated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in Awake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Ragunathan Padmashri, Kevin Tyner, Anna Dunaevsky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Neurological Sciences, University of Nebraska Medical Center, Omaha, NE 68198,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Ragunathan Padmashri</w:t>
        <w:tab/>
        <w:tab/>
        <w:tab/>
        <w:t xml:space="preserve">(p.ragunathan@unmc.edu)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Kevin Tyner</w:t>
        <w:tab/>
        <w:tab/>
        <w:tab/>
        <w:tab/>
        <w:tab/>
        <w:t xml:space="preserve">(kevin.tyner@unmc.edu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Anna Dunaevsky</w:t>
        <w:tab/>
        <w:tab/>
        <w:tab/>
        <w:tab/>
        <w:t xml:space="preserve">adunaevsky@unmc.edu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Presented here is a protocol for the implantation of a chronic cranial window for the longitudinal imaging of brain cells in awake, head-restrained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fully understand the cellular physiology of neurons and glia in behaving animals, it is necessary to visualize their morphology and record their activity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in behaving mice. This paper describes a method for the implantation of a chronic cranial window to allow for the longitudinal imaging of brain cells in awake, head-restrained mice. In combination with genetic strategies and viral injections, it is possible to label specific cells and regions of interest with structural or physiological markers. This protocol demonstrates how to combine viral injections to label neurons in the vicinity of GCaMP6-expressing astrocytes in the cortex for simultaneous imaging of both cells through a cranial window. Multiphoton imaging of the same cells can be performed for days, weeks, or months in awake, behaving animals. This approach provides researchers with a method for viewing cellular dynamics in real time and can be applied to answer a number of questions in neuroscience.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to perform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multiphoton fluorescence microscopy in the cortex of mice is paramount to the study of cellular signaling and structure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disease pathology</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and cellular development</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With the implantation of chronic cranial windows, longitudinal imaging is possible, allowing for repeated imaging of cortical areas for days, weeks, or months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in live animals. Multiphoton microscopy is ideal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repeated imaging because of improved depth probing and reduced photodamage associated with the infrared laser used. This allows for the study of molecular and cellular dynamics of specific cells in various cortical regions.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Multiphoton microscopy has been used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of neuronal and glial cells in mice</w:t>
      </w:r>
      <w:r>
        <w:rPr>
          <w:rFonts w:ascii="Calibri" w:hAnsi="Calibri" w:cs="Calibri" w:eastAsia="Calibri"/>
          <w:color w:val="auto"/>
          <w:spacing w:val="0"/>
          <w:position w:val="0"/>
          <w:sz w:val="24"/>
          <w:shd w:fill="auto" w:val="clear"/>
          <w:vertAlign w:val="superscript"/>
        </w:rPr>
        <w:t xml:space="preserve">15-20</w:t>
      </w:r>
      <w:r>
        <w:rPr>
          <w:rFonts w:ascii="Calibri" w:hAnsi="Calibri" w:cs="Calibri" w:eastAsia="Calibri"/>
          <w:color w:val="auto"/>
          <w:spacing w:val="0"/>
          <w:position w:val="0"/>
          <w:sz w:val="24"/>
          <w:shd w:fill="auto" w:val="clear"/>
        </w:rPr>
        <w:t xml:space="preserve">. Various strategies can be implemented to label particular cell types and areas of interest. One common approach is to drive the expression of genetically encoded fluorescent proteins in a cell-specific manner using the Cre-Lox recombination system. This can be performed with genetically modified mice, e.g., crossing tdTomato “floxed” mouse (Ai14) with a mouse expressing Cre-recombinase under a promoter of interest</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Alternatively, cell- and site-specific labeling can be achieved with viral injections. Here, a virus encoding Cre recombinase under a cell-specific promotor and a virus encoding a floxed gene of interest are injected into a defined region. Appropriate cell types receiving both viral vectors will then express the desired gene(s). These genes can be structural markers, such as tdTomato, to view changes in cellular morphology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or genetically encoded calcium indicators (GECIs), such as GCaMP and/or RCaMP, to examine calcium dynamics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Methods of genetic recombination can be applied individually or in combination to label one or more cell types. A third approach, not requiring transgenic mice or viral constructs (which have limited packaging capacity), is </w:t>
      </w:r>
      <w:r>
        <w:rPr>
          <w:rFonts w:ascii="Calibri" w:hAnsi="Calibri" w:cs="Calibri" w:eastAsia="Calibri"/>
          <w:i/>
          <w:color w:val="auto"/>
          <w:spacing w:val="0"/>
          <w:position w:val="0"/>
          <w:sz w:val="24"/>
          <w:shd w:fill="auto" w:val="clear"/>
        </w:rPr>
        <w:t xml:space="preserve">in utero </w:t>
      </w:r>
      <w:r>
        <w:rPr>
          <w:rFonts w:ascii="Calibri" w:hAnsi="Calibri" w:cs="Calibri" w:eastAsia="Calibri"/>
          <w:color w:val="auto"/>
          <w:spacing w:val="0"/>
          <w:position w:val="0"/>
          <w:sz w:val="24"/>
          <w:shd w:fill="auto" w:val="clear"/>
        </w:rPr>
        <w:t xml:space="preserve">electroporation of DNA constructs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Depending on the timing of the electroporation, different cell types can be targeted</w:t>
      </w:r>
      <w:r>
        <w:rPr>
          <w:rFonts w:ascii="Calibri" w:hAnsi="Calibri" w:cs="Calibri" w:eastAsia="Calibri"/>
          <w:color w:val="auto"/>
          <w:spacing w:val="0"/>
          <w:position w:val="0"/>
          <w:sz w:val="24"/>
          <w:shd w:fill="auto" w:val="clear"/>
          <w:vertAlign w:val="superscript"/>
        </w:rPr>
        <w:t xml:space="preserve">25-27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performing multiphoton imaging, mice can be imaged while awake or anesthetized. Imaging of awake mice can be performed by securing the mouse via an attached head plate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This approach is made less stressful by allowing relatively free movement of the animal using methods, such as free-floating, air-supported Styrofoam balls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free-floating treadmills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or an air-lifted home cage system where mice are fastened by an attached head plate and allowed to move in an open chamber</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For each of these imaging conditions, it will first be necessary to habituate the mice to the imaging setup. This paper describes the habituation and imaging procedure using an air-lifted home cage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implantation of a chronic cranial window for longitudinal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imaging in the cortex. Here, we will use mice that conditionally express GCaMP6f in astrocytes to monitor calcium signaling dynamics. Further, this paper describes the procedure for viral injections using tdTomato as a label for neurons. This allows the determination of changes in neuronal synaptic structure and/or the availability as a structural marker that enables repeated imaging of the same astrocyte. Throughout the protocol, crucial steps will be highlighted to ensure the best possible quality of images obtained from multiphoton microscopy.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experiments were performed in accordance with guidelines approved by the IACUC at the University of Nebraska Medical Center.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r>
      <w:r>
        <w:rPr>
          <w:rFonts w:ascii="Times New Roman" w:hAnsi="Times New Roman" w:cs="Times New Roman" w:eastAsia="Times New Roman"/>
          <w:b/>
          <w:color w:val="auto"/>
          <w:spacing w:val="0"/>
          <w:position w:val="0"/>
          <w:sz w:val="24"/>
          <w:shd w:fill="auto" w:val="clear"/>
        </w:rPr>
        <w:t xml:space="preserve">Before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Prepare pipettes for viral injections. Pull borosilicate glass capillaries using a pipette puller and bevel the pipette at a 20&amp;#176; angle. Sterilize the pipettes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Prepare fresh pieces of gel foam by cutting them into small squares. Submerge the gel foam in a sterile microfuge tube containing 0.5 mL of saline. Soak the gel foam in saline for at least 30 min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Prepare fresh pieces of sponge strips by cutting them into thin strips.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Twenty minutes before surgery, inject 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6-week-old GLAST-CreER/GCaMP6f mice intraperitoneally with 0.2 mg/kg dexamethasone to prevent brain swelling and 5 mg/kg carprofen to reduce inflammation.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induce the recombination and expression of GCaMP6f in approximately 40% of the astrocytes, GLAST-CreER/GCaMP6f mice were injected with 100 mg/kg tamoxifen at 3 weeks for 5 consecutive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r>
      <w:r>
        <w:rPr>
          <w:rFonts w:ascii="Times New Roman" w:hAnsi="Times New Roman" w:cs="Times New Roman" w:eastAsia="Times New Roman"/>
          <w:b/>
          <w:color w:val="auto"/>
          <w:spacing w:val="0"/>
          <w:position w:val="0"/>
          <w:sz w:val="24"/>
          <w:shd w:fill="FFFF00" w:val="clear"/>
        </w:rPr>
        <w:t xml:space="preserve">Start of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After 20 min, anesthetize the mice with 3% isoflurane with oxygen at a flow rate of 1 L/min for approximately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Times New Roman" w:hAnsi="Times New Roman" w:cs="Times New Roman" w:eastAsia="Times New Roman"/>
          <w:color w:val="auto"/>
          <w:spacing w:val="0"/>
          <w:position w:val="0"/>
          <w:sz w:val="24"/>
          <w:shd w:fill="auto" w:val="clear"/>
        </w:rPr>
        <w:t xml:space="preserve">Once anesthetized, </w:t>
      </w:r>
      <w:r>
        <w:rPr>
          <w:rFonts w:ascii="Times New Roman" w:hAnsi="Times New Roman" w:cs="Times New Roman" w:eastAsia="Times New Roman"/>
          <w:color w:val="auto"/>
          <w:spacing w:val="0"/>
          <w:position w:val="0"/>
          <w:sz w:val="24"/>
          <w:shd w:fill="FFFF00" w:val="clear"/>
        </w:rPr>
        <w:t xml:space="preserve">place the mouse on a stereotaxic frame</w:t>
      </w:r>
      <w:r>
        <w:rPr>
          <w:rFonts w:ascii="Times New Roman" w:hAnsi="Times New Roman" w:cs="Times New Roman" w:eastAsia="Times New Roman"/>
          <w:color w:val="auto"/>
          <w:spacing w:val="0"/>
          <w:position w:val="0"/>
          <w:sz w:val="24"/>
          <w:shd w:fill="auto" w:val="clear"/>
        </w:rPr>
        <w:t xml:space="preserve"> that sits on a water re-circulating blanket to maintain a body temperature of 37 &amp;#176;C throughout the surgery. </w:t>
      </w:r>
      <w:r>
        <w:rPr>
          <w:rFonts w:ascii="Times New Roman" w:hAnsi="Times New Roman" w:cs="Times New Roman" w:eastAsia="Times New Roman"/>
          <w:color w:val="auto"/>
          <w:spacing w:val="0"/>
          <w:position w:val="0"/>
          <w:sz w:val="24"/>
          <w:shd w:fill="FFFF00" w:val="clear"/>
        </w:rPr>
        <w:t xml:space="preserve">Secure the mouse to the frame using the snout clamp and ear bars.</w:t>
      </w:r>
      <w:r>
        <w:rPr>
          <w:rFonts w:ascii="Times New Roman" w:hAnsi="Times New Roman" w:cs="Times New Roman" w:eastAsia="Times New Roman"/>
          <w:color w:val="auto"/>
          <w:spacing w:val="0"/>
          <w:position w:val="0"/>
          <w:sz w:val="24"/>
          <w:shd w:fill="auto" w:val="clear"/>
        </w:rPr>
        <w:t xml:space="preserve"> Ensure that the snout clamp and ear bars are stable enough that the head will not move during the procedure, but not so tight that the skull is damaged.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Times New Roman" w:hAnsi="Times New Roman" w:cs="Times New Roman" w:eastAsia="Times New Roman"/>
          <w:color w:val="auto"/>
          <w:spacing w:val="0"/>
          <w:position w:val="0"/>
          <w:sz w:val="24"/>
          <w:shd w:fill="auto" w:val="clear"/>
        </w:rPr>
        <w:t xml:space="preserve">Maintain anesthesia with 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1.5% isoflurane with oxygen at a flow rate of 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L/min. Note that some animals may need more or less isoflurane to maintain sedation. Monitor the breathing of the animal as well as its reflexes to toe and tail pinches, and adjust the isoflurane appropriately.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Times New Roman" w:hAnsi="Times New Roman" w:cs="Times New Roman" w:eastAsia="Times New Roman"/>
          <w:color w:val="auto"/>
          <w:spacing w:val="0"/>
          <w:position w:val="0"/>
          <w:sz w:val="24"/>
          <w:shd w:fill="auto" w:val="clear"/>
        </w:rPr>
        <w:t xml:space="preserve">Apply eye ointment to each eye using a cotton tip applicator to prevent the eyes from drying out during the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Times New Roman" w:hAnsi="Times New Roman" w:cs="Times New Roman" w:eastAsia="Times New Roman"/>
          <w:color w:val="auto"/>
          <w:spacing w:val="0"/>
          <w:position w:val="0"/>
          <w:sz w:val="24"/>
          <w:shd w:fill="auto" w:val="clear"/>
        </w:rPr>
        <w:t xml:space="preserve">Using rodent trimmers, shave the hair from the neck to just past the eyes. Use caution to ensure that the whiskers of the animal are not accidentally trimmed.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Times New Roman" w:hAnsi="Times New Roman" w:cs="Times New Roman" w:eastAsia="Times New Roman"/>
          <w:color w:val="auto"/>
          <w:spacing w:val="0"/>
          <w:position w:val="0"/>
          <w:sz w:val="24"/>
          <w:shd w:fill="auto" w:val="clear"/>
        </w:rPr>
        <w:t xml:space="preserve">Clean the shaved area with one iodine prep pad, followed by one alcohol prep pad.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r>
      <w:r>
        <w:rPr>
          <w:rFonts w:ascii="Times New Roman" w:hAnsi="Times New Roman" w:cs="Times New Roman" w:eastAsia="Times New Roman"/>
          <w:color w:val="auto"/>
          <w:spacing w:val="0"/>
          <w:position w:val="0"/>
          <w:sz w:val="24"/>
          <w:shd w:fill="auto" w:val="clear"/>
        </w:rPr>
        <w:t xml:space="preserve">Using sterile tissue forceps and surgical scissors, cut and remove the skin from the frontal sutures anterior to the bregma all the way posteriorly to lambda.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r>
      <w:r>
        <w:rPr>
          <w:rFonts w:ascii="Times New Roman" w:hAnsi="Times New Roman" w:cs="Times New Roman" w:eastAsia="Times New Roman"/>
          <w:color w:val="auto"/>
          <w:spacing w:val="0"/>
          <w:position w:val="0"/>
          <w:sz w:val="24"/>
          <w:shd w:fill="auto" w:val="clear"/>
        </w:rPr>
        <w:t xml:space="preserve">Once the skin is removed, add approximately 0.1 mL of 1% xylocaine (lidocaine with epinephrine 1:200,000) to the skull to minimize bleeding of the skull.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r>
      <w:r>
        <w:rPr>
          <w:rFonts w:ascii="Times New Roman" w:hAnsi="Times New Roman" w:cs="Times New Roman" w:eastAsia="Times New Roman"/>
          <w:color w:val="auto"/>
          <w:spacing w:val="0"/>
          <w:position w:val="0"/>
          <w:sz w:val="24"/>
          <w:shd w:fill="FFFF00" w:val="clear"/>
        </w:rPr>
        <w:t xml:space="preserve">Using a sterile size 11 carbon steel surgical blade attached to a handle, gently scrape the connective tissue from the skull. Take extra care when removing the connective tissue near the edge of the skull, as any remaining tissue could prevent strong adhesion of the glass or head plate later 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r>
      <w:r>
        <w:rPr>
          <w:rFonts w:ascii="Times New Roman" w:hAnsi="Times New Roman" w:cs="Times New Roman" w:eastAsia="Times New Roman"/>
          <w:color w:val="auto"/>
          <w:spacing w:val="0"/>
          <w:position w:val="0"/>
          <w:sz w:val="24"/>
          <w:shd w:fill="auto" w:val="clear"/>
        </w:rPr>
        <w:t xml:space="preserve">Use sterile tissue forceps to remove loose connective tissue from the skull.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r>
      <w:r>
        <w:rPr>
          <w:rFonts w:ascii="Times New Roman" w:hAnsi="Times New Roman" w:cs="Times New Roman" w:eastAsia="Times New Roman"/>
          <w:color w:val="auto"/>
          <w:spacing w:val="0"/>
          <w:position w:val="0"/>
          <w:sz w:val="24"/>
          <w:shd w:fill="auto" w:val="clear"/>
        </w:rPr>
        <w:t xml:space="preserve">Using sterile cotton tip applicators, clean off any remaining xylocaine from the skull.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r>
      <w:r>
        <w:rPr>
          <w:rFonts w:ascii="Times New Roman" w:hAnsi="Times New Roman" w:cs="Times New Roman" w:eastAsia="Times New Roman"/>
          <w:color w:val="auto"/>
          <w:spacing w:val="0"/>
          <w:position w:val="0"/>
          <w:sz w:val="24"/>
          <w:shd w:fill="auto" w:val="clear"/>
        </w:rPr>
        <w:t xml:space="preserve">Once completed, thoroughly degrease the skull using a sterile cotton tip applicator dipped in acetone. Use compressed air to blow-dry the skull.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r>
      <w:r>
        <w:rPr>
          <w:rFonts w:ascii="Times New Roman" w:hAnsi="Times New Roman" w:cs="Times New Roman" w:eastAsia="Times New Roman"/>
          <w:b/>
          <w:color w:val="auto"/>
          <w:spacing w:val="0"/>
          <w:position w:val="0"/>
          <w:sz w:val="24"/>
          <w:shd w:fill="FFFF00" w:val="clear"/>
        </w:rPr>
        <w:t xml:space="preserve">Craniotomy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Using a fine-point marker and a ruler, measure the appropriate size for the opening at the desired location. Confirm the size of the opening by comparing it to the size of the cover glass (3 or 5 mm in diameter); ensure that the opening is slightly smaller than the size of the cover glass.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r>
      <w:r>
        <w:rPr>
          <w:rFonts w:ascii="Times New Roman" w:hAnsi="Times New Roman" w:cs="Times New Roman" w:eastAsia="Times New Roman"/>
          <w:color w:val="auto"/>
          <w:spacing w:val="0"/>
          <w:position w:val="0"/>
          <w:sz w:val="24"/>
          <w:shd w:fill="FFFF00" w:val="clear"/>
        </w:rPr>
        <w:t xml:space="preserve">Using a dental drill, gradually trace the outline of the opening, thinning the bone. Drill slowly to prevent drilling through the bone, and drill in concentric circles to facilitate even thinning of the bone.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r>
      <w:r>
        <w:rPr>
          <w:rFonts w:ascii="Times New Roman" w:hAnsi="Times New Roman" w:cs="Times New Roman" w:eastAsia="Times New Roman"/>
          <w:color w:val="auto"/>
          <w:spacing w:val="0"/>
          <w:position w:val="0"/>
          <w:sz w:val="24"/>
          <w:shd w:fill="FFFF00" w:val="clear"/>
        </w:rPr>
        <w:t xml:space="preserve">After each concentric pass, add a drop or two of saline to the drilled area. Allow the saline to sit for at least 10 s to prevent the bone from overheating and damaging the underlying dura.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Times New Roman" w:hAnsi="Times New Roman" w:cs="Times New Roman" w:eastAsia="Times New Roman"/>
          <w:color w:val="auto"/>
          <w:spacing w:val="0"/>
          <w:position w:val="0"/>
          <w:sz w:val="24"/>
          <w:shd w:fill="auto" w:val="clear"/>
        </w:rPr>
        <w:t xml:space="preserve">Use a sterile cotton tip applicator to absorb any remaining saline. Blow compressed air over the area to ensure that all remaining saline has evaporated before resuming drilling. Do this to blow away bone debris that remains.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r>
      <w:r>
        <w:rPr>
          <w:rFonts w:ascii="Times New Roman" w:hAnsi="Times New Roman" w:cs="Times New Roman" w:eastAsia="Times New Roman"/>
          <w:color w:val="auto"/>
          <w:spacing w:val="0"/>
          <w:position w:val="0"/>
          <w:sz w:val="24"/>
          <w:shd w:fill="auto" w:val="clear"/>
        </w:rPr>
        <w:t xml:space="preserve">Repeat steps 3.2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3.4 until the bone is adequately thinned for removal.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r>
      <w:r>
        <w:rPr>
          <w:rFonts w:ascii="Times New Roman" w:hAnsi="Times New Roman" w:cs="Times New Roman" w:eastAsia="Times New Roman"/>
          <w:color w:val="auto"/>
          <w:spacing w:val="0"/>
          <w:position w:val="0"/>
          <w:sz w:val="24"/>
          <w:shd w:fill="FFFF00" w:val="clear"/>
        </w:rPr>
        <w:t xml:space="preserve">Ensure that the bone is adequately thinned for removal by gently pushing on the central area of the bone with fine forceps to check that the thinned skull moves. Look for the underlying vasculature where the drilling occurred. Observe that the bone may appear as if it will crack where thinning occurred.</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Training at this stage is crucial to identify when the bone has been thinned appropriately.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r>
      <w:r>
        <w:rPr>
          <w:rFonts w:ascii="Times New Roman" w:hAnsi="Times New Roman" w:cs="Times New Roman" w:eastAsia="Times New Roman"/>
          <w:color w:val="auto"/>
          <w:spacing w:val="0"/>
          <w:position w:val="0"/>
          <w:sz w:val="24"/>
          <w:shd w:fill="auto" w:val="clear"/>
        </w:rPr>
        <w:t xml:space="preserve">Before attempting to remove the bone, check the mouse to make sure it is completely sedated. If not, gradually increase the isoflurane maintenance to prevent brain swelling when removing the bone.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r>
      <w:r>
        <w:rPr>
          <w:rFonts w:ascii="Times New Roman" w:hAnsi="Times New Roman" w:cs="Times New Roman" w:eastAsia="Times New Roman"/>
          <w:color w:val="auto"/>
          <w:spacing w:val="0"/>
          <w:position w:val="0"/>
          <w:sz w:val="24"/>
          <w:shd w:fill="auto" w:val="clear"/>
        </w:rPr>
        <w:t xml:space="preserve">Add a small piece of gel foam saturated in saline to the thinned skull. Add one or two additional drops of saline to the thinned skull.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Having plenty of saline over the thinned skull helps to reduce bleeding and protect the dura when removing the bone flap.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r>
      <w:r>
        <w:rPr>
          <w:rFonts w:ascii="Times New Roman" w:hAnsi="Times New Roman" w:cs="Times New Roman" w:eastAsia="Times New Roman"/>
          <w:color w:val="auto"/>
          <w:spacing w:val="0"/>
          <w:position w:val="0"/>
          <w:sz w:val="24"/>
          <w:shd w:fill="FFFF00" w:val="clear"/>
        </w:rPr>
        <w:t xml:space="preserve">Using a miniature 15&amp;#176;</w:t>
      </w:r>
      <w:r>
        <w:rPr>
          <w:rFonts w:ascii="Times New Roman" w:hAnsi="Times New Roman" w:cs="Times New Roman" w:eastAsia="Times New Roman"/>
          <w:color w:val="auto"/>
          <w:spacing w:val="0"/>
          <w:position w:val="0"/>
          <w:sz w:val="24"/>
          <w:shd w:fill="FFFF00" w:val="clear"/>
          <w:vertAlign w:val="superscript"/>
        </w:rPr>
        <w:t xml:space="preserve"> </w:t>
      </w:r>
      <w:r>
        <w:rPr>
          <w:rFonts w:ascii="Times New Roman" w:hAnsi="Times New Roman" w:cs="Times New Roman" w:eastAsia="Times New Roman"/>
          <w:color w:val="auto"/>
          <w:spacing w:val="0"/>
          <w:position w:val="0"/>
          <w:sz w:val="24"/>
          <w:shd w:fill="FFFF00" w:val="clear"/>
        </w:rPr>
        <w:t xml:space="preserve">pointed blade, carefully insert the blade into the thinned bone and cut along the thinned bone. Keep the gel foam soaked in saline, ready to stop any bleeds that may occur.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r>
      <w:r>
        <w:rPr>
          <w:rFonts w:ascii="Times New Roman" w:hAnsi="Times New Roman" w:cs="Times New Roman" w:eastAsia="Times New Roman"/>
          <w:color w:val="auto"/>
          <w:spacing w:val="0"/>
          <w:position w:val="0"/>
          <w:sz w:val="24"/>
          <w:shd w:fill="FFFF00" w:val="clear"/>
        </w:rPr>
        <w:t xml:space="preserve">Using forceps, carefully lift and remove the bone. Be as gentle as possible to avoid damage to the underlying tissue and vasculature. Take extreme care not to damage the dura mater.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r>
      <w:r>
        <w:rPr>
          <w:rFonts w:ascii="Times New Roman" w:hAnsi="Times New Roman" w:cs="Times New Roman" w:eastAsia="Times New Roman"/>
          <w:color w:val="auto"/>
          <w:spacing w:val="0"/>
          <w:position w:val="0"/>
          <w:sz w:val="24"/>
          <w:shd w:fill="auto" w:val="clear"/>
        </w:rPr>
        <w:t xml:space="preserve">Once the bone flap is removed, add a fresh piece of gel foam saturated in saline to the cortex. Add a few drops of saline to prevent the gel foam from drying out, as this will cause damage to the underlying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r>
      <w:r>
        <w:rPr>
          <w:rFonts w:ascii="Times New Roman" w:hAnsi="Times New Roman" w:cs="Times New Roman" w:eastAsia="Times New Roman"/>
          <w:b/>
          <w:color w:val="auto"/>
          <w:spacing w:val="0"/>
          <w:position w:val="0"/>
          <w:sz w:val="24"/>
          <w:shd w:fill="FFFF00" w:val="clear"/>
        </w:rPr>
        <w:t xml:space="preserve">Viral injections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Times New Roman" w:hAnsi="Times New Roman" w:cs="Times New Roman" w:eastAsia="Times New Roman"/>
          <w:color w:val="auto"/>
          <w:spacing w:val="0"/>
          <w:position w:val="0"/>
          <w:sz w:val="24"/>
          <w:shd w:fill="auto" w:val="clear"/>
        </w:rPr>
        <w:t xml:space="preserve">Perform viral injections using a stereotaxic apparatus.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r>
      <w:r>
        <w:rPr>
          <w:rFonts w:ascii="Times New Roman" w:hAnsi="Times New Roman" w:cs="Times New Roman" w:eastAsia="Times New Roman"/>
          <w:color w:val="auto"/>
          <w:spacing w:val="0"/>
          <w:position w:val="0"/>
          <w:sz w:val="24"/>
          <w:shd w:fill="auto" w:val="clear"/>
        </w:rPr>
        <w:t xml:space="preserve">Prepare AAV1.CaMKII.0.4.Cre (titer of 3 &amp;#215; 10</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genome copies (GC)/mL) at 1:5,000 by serial dilutions in saline.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r>
      <w:r>
        <w:rPr>
          <w:rFonts w:ascii="Times New Roman" w:hAnsi="Times New Roman" w:cs="Times New Roman" w:eastAsia="Times New Roman"/>
          <w:color w:val="auto"/>
          <w:spacing w:val="0"/>
          <w:position w:val="0"/>
          <w:sz w:val="24"/>
          <w:shd w:fill="auto" w:val="clear"/>
        </w:rPr>
        <w:t xml:space="preserve">Prepare the mixture of AAV1.CaMKII.0.4.Cre (1:5,000) and AAV1.CAG.FLEX.tdTomato (titer of 5 &amp;#215; 10</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GC/mL) on a small piece of parafilm.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r>
      <w:r>
        <w:rPr>
          <w:rFonts w:ascii="Times New Roman" w:hAnsi="Times New Roman" w:cs="Times New Roman" w:eastAsia="Times New Roman"/>
          <w:color w:val="auto"/>
          <w:spacing w:val="0"/>
          <w:position w:val="0"/>
          <w:sz w:val="24"/>
          <w:shd w:fill="FFFF00" w:val="clear"/>
        </w:rPr>
        <w:t xml:space="preserve">Fill a sterile beveled glass pipette with a tip size of 20 &amp;#181;m with the virus mixture by gently placing the pipette on the solution.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r>
      <w:r>
        <w:rPr>
          <w:rFonts w:ascii="Times New Roman" w:hAnsi="Times New Roman" w:cs="Times New Roman" w:eastAsia="Times New Roman"/>
          <w:color w:val="auto"/>
          <w:spacing w:val="0"/>
          <w:position w:val="0"/>
          <w:sz w:val="24"/>
          <w:shd w:fill="FFFFFF" w:val="clear"/>
        </w:rPr>
        <w:t xml:space="preserve">Lower the pipette so that it just touches the surface of the brain and continue to lower for an additional 200</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300</w:t>
      </w:r>
      <w:r>
        <w:rPr>
          <w:rFonts w:ascii="Times New Roman" w:hAnsi="Times New Roman" w:cs="Times New Roman" w:eastAsia="Times New Roman"/>
          <w:color w:val="auto"/>
          <w:spacing w:val="0"/>
          <w:position w:val="0"/>
          <w:sz w:val="24"/>
          <w:shd w:fill="FFFF00" w:val="clear"/>
        </w:rPr>
        <w:t xml:space="preserve"> &amp;#181;m</w:t>
      </w:r>
      <w:r>
        <w:rPr>
          <w:rFonts w:ascii="Times New Roman" w:hAnsi="Times New Roman" w:cs="Times New Roman" w:eastAsia="Times New Roman"/>
          <w:color w:val="auto"/>
          <w:spacing w:val="0"/>
          <w:position w:val="0"/>
          <w:sz w:val="24"/>
          <w:shd w:fill="FFFFFF" w:val="clear"/>
        </w:rPr>
        <w:t xml:space="preserve"> for L2/3 injections</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FF" w:val="clear"/>
        </w:rPr>
        <w:t xml:space="preserve">Using an intracellular microinjection dispense system (see the </w:t>
      </w:r>
      <w:r>
        <w:rPr>
          <w:rFonts w:ascii="Times New Roman" w:hAnsi="Times New Roman" w:cs="Times New Roman" w:eastAsia="Times New Roman"/>
          <w:b/>
          <w:color w:val="auto"/>
          <w:spacing w:val="0"/>
          <w:position w:val="0"/>
          <w:sz w:val="24"/>
          <w:shd w:fill="FFFFFF" w:val="clear"/>
        </w:rPr>
        <w:t xml:space="preserve">Table of Materials</w:t>
      </w:r>
      <w:r>
        <w:rPr>
          <w:rFonts w:ascii="Times New Roman" w:hAnsi="Times New Roman" w:cs="Times New Roman" w:eastAsia="Times New Roman"/>
          <w:color w:val="auto"/>
          <w:spacing w:val="0"/>
          <w:position w:val="0"/>
          <w:sz w:val="24"/>
          <w:shd w:fill="FFFFFF" w:val="clear"/>
        </w:rPr>
        <w:t xml:space="preserve">), pressure-inject 12</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15 times over 2 min (20 psi, 9 ms pulse duration). Observe the meniscus in the pipette drop with each injection to ensure that the pipette is not blocked.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4.1.5.</w:t>
        <w:tab/>
      </w:r>
      <w:r>
        <w:rPr>
          <w:rFonts w:ascii="Times New Roman" w:hAnsi="Times New Roman" w:cs="Times New Roman" w:eastAsia="Times New Roman"/>
          <w:color w:val="auto"/>
          <w:spacing w:val="0"/>
          <w:position w:val="0"/>
          <w:sz w:val="24"/>
          <w:shd w:fill="auto" w:val="clear"/>
        </w:rPr>
        <w:t xml:space="preserve">Once injected, leave the pipette in the brain for 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 min to prevent backflow. Slowly retract the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4.1.6.</w:t>
        <w:tab/>
      </w:r>
      <w:r>
        <w:rPr>
          <w:rFonts w:ascii="Times New Roman" w:hAnsi="Times New Roman" w:cs="Times New Roman" w:eastAsia="Times New Roman"/>
          <w:color w:val="auto"/>
          <w:spacing w:val="0"/>
          <w:position w:val="0"/>
          <w:sz w:val="24"/>
          <w:shd w:fill="auto" w:val="clear"/>
        </w:rPr>
        <w:t xml:space="preserve">Repeat the injections at 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sites (approximately 500 &amp;#181;m apart).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4.1.7.</w:t>
        <w:tab/>
      </w:r>
      <w:r>
        <w:rPr>
          <w:rFonts w:ascii="Times New Roman" w:hAnsi="Times New Roman" w:cs="Times New Roman" w:eastAsia="Times New Roman"/>
          <w:color w:val="auto"/>
          <w:spacing w:val="0"/>
          <w:position w:val="0"/>
          <w:sz w:val="24"/>
          <w:shd w:fill="auto" w:val="clear"/>
        </w:rPr>
        <w:t xml:space="preserve">Discard the used glass pipettes, parafilm, pipette tips, and microfuge tubes used for serial dilutions of the Cre virus into 10% bleach.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r>
      <w:r>
        <w:rPr>
          <w:rFonts w:ascii="Times New Roman" w:hAnsi="Times New Roman" w:cs="Times New Roman" w:eastAsia="Times New Roman"/>
          <w:b/>
          <w:color w:val="auto"/>
          <w:spacing w:val="0"/>
          <w:position w:val="0"/>
          <w:sz w:val="24"/>
          <w:shd w:fill="FFFF00" w:val="clear"/>
        </w:rPr>
        <w:t xml:space="preserve">Implantation of cranial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r>
      <w:r>
        <w:rPr>
          <w:rFonts w:ascii="Times New Roman" w:hAnsi="Times New Roman" w:cs="Times New Roman" w:eastAsia="Times New Roman"/>
          <w:color w:val="auto"/>
          <w:spacing w:val="0"/>
          <w:position w:val="0"/>
          <w:sz w:val="24"/>
          <w:shd w:fill="auto" w:val="clear"/>
        </w:rPr>
        <w:t xml:space="preserve">Remove any gel foam, and use a small strip of sponge strips to soak up any remaining saline.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r>
      <w:r>
        <w:rPr>
          <w:rFonts w:ascii="Times New Roman" w:hAnsi="Times New Roman" w:cs="Times New Roman" w:eastAsia="Times New Roman"/>
          <w:color w:val="auto"/>
          <w:spacing w:val="0"/>
          <w:position w:val="0"/>
          <w:sz w:val="24"/>
          <w:shd w:fill="auto" w:val="clear"/>
        </w:rPr>
        <w:t xml:space="preserve">Add a few drops of the antibiotic enrofloxacin (1:1,000) to the opening and allow them to remain there for 1 min. After 1 min, use a fresh piece of sponge strip to absorb any remaining enrofloxacin. Repeat this process two more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r>
      <w:r>
        <w:rPr>
          <w:rFonts w:ascii="Times New Roman" w:hAnsi="Times New Roman" w:cs="Times New Roman" w:eastAsia="Times New Roman"/>
          <w:color w:val="auto"/>
          <w:spacing w:val="0"/>
          <w:position w:val="0"/>
          <w:sz w:val="24"/>
          <w:shd w:fill="auto" w:val="clear"/>
        </w:rPr>
        <w:t xml:space="preserve">After the third wash, add a few drops of saline to the opening and allow them to remain there for 1 min. After 1 min, use a fresh piece of sponge strip to absorb any remaining saline. Repeat this wash process two more times and after the third wash, add a small drop of saline to the opening.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r>
      <w:r>
        <w:rPr>
          <w:rFonts w:ascii="Times New Roman" w:hAnsi="Times New Roman" w:cs="Times New Roman" w:eastAsia="Times New Roman"/>
          <w:color w:val="auto"/>
          <w:spacing w:val="0"/>
          <w:position w:val="0"/>
          <w:sz w:val="24"/>
          <w:shd w:fill="FFFF00" w:val="clear"/>
        </w:rPr>
        <w:t xml:space="preserve">Place the cover glass over the opening. Use forceps to ensure that the glass is flush over the opening to obtain images of good quality.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r>
      <w:r>
        <w:rPr>
          <w:rFonts w:ascii="Times New Roman" w:hAnsi="Times New Roman" w:cs="Times New Roman" w:eastAsia="Times New Roman"/>
          <w:color w:val="auto"/>
          <w:spacing w:val="0"/>
          <w:position w:val="0"/>
          <w:sz w:val="24"/>
          <w:shd w:fill="FFFF00" w:val="clear"/>
        </w:rPr>
        <w:t xml:space="preserve">While gently holding the glass in place, apply cyanoacrylate adhesive gel (</w:t>
      </w:r>
      <w:r>
        <w:rPr>
          <w:rFonts w:ascii="Times New Roman" w:hAnsi="Times New Roman" w:cs="Times New Roman" w:eastAsia="Times New Roman"/>
          <w:b/>
          <w:color w:val="auto"/>
          <w:spacing w:val="0"/>
          <w:position w:val="0"/>
          <w:sz w:val="24"/>
          <w:shd w:fill="FFFF00" w:val="clear"/>
        </w:rPr>
        <w:t xml:space="preserve">Table of Materials</w:t>
      </w:r>
      <w:r>
        <w:rPr>
          <w:rFonts w:ascii="Times New Roman" w:hAnsi="Times New Roman" w:cs="Times New Roman" w:eastAsia="Times New Roman"/>
          <w:color w:val="auto"/>
          <w:spacing w:val="0"/>
          <w:position w:val="0"/>
          <w:sz w:val="24"/>
          <w:shd w:fill="FFFF00" w:val="clear"/>
        </w:rPr>
        <w:t xml:space="preserve">) around the perimeter of the glass to seal the edges of the window to the skull. Make sure not to let the glue seep under the cover glass, and keep as much glue off the surface of the cover glass as possible.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r>
      <w:r>
        <w:rPr>
          <w:rFonts w:ascii="Times New Roman" w:hAnsi="Times New Roman" w:cs="Times New Roman" w:eastAsia="Times New Roman"/>
          <w:color w:val="auto"/>
          <w:spacing w:val="0"/>
          <w:position w:val="0"/>
          <w:sz w:val="24"/>
          <w:shd w:fill="FFFF00" w:val="clear"/>
        </w:rPr>
        <w:t xml:space="preserve">Apply a layer of glue over the adhesive gel. Add a layer of dental cement liquid over the glue to allow it to harden.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r>
      <w:r>
        <w:rPr>
          <w:rFonts w:ascii="Times New Roman" w:hAnsi="Times New Roman" w:cs="Times New Roman" w:eastAsia="Times New Roman"/>
          <w:color w:val="auto"/>
          <w:spacing w:val="0"/>
          <w:position w:val="0"/>
          <w:sz w:val="24"/>
          <w:shd w:fill="FFFF00" w:val="clear"/>
        </w:rPr>
        <w:t xml:space="preserve">Take an appropriately sized helicopter-type head plate and apply a thin layer of glue around the central opening. Place the head plate over the cover glass, and allow the glue to dry briefly.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r>
      <w:r>
        <w:rPr>
          <w:rFonts w:ascii="Times New Roman" w:hAnsi="Times New Roman" w:cs="Times New Roman" w:eastAsia="Times New Roman"/>
          <w:color w:val="auto"/>
          <w:spacing w:val="0"/>
          <w:position w:val="0"/>
          <w:sz w:val="24"/>
          <w:shd w:fill="FFFF00" w:val="clear"/>
        </w:rPr>
        <w:t xml:space="preserve">In a 1.5 mL microfuge tube, add dental cement powder to the 0.1 mL mark on the tube. Add 7</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8 drops of fast-curing, instant adhesive, and mix. Draw into a 1 mL syringe with a 19 G needle that has been cut to create a larger opening.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5.9.</w:t>
        <w:tab/>
      </w:r>
      <w:r>
        <w:rPr>
          <w:rFonts w:ascii="Times New Roman" w:hAnsi="Times New Roman" w:cs="Times New Roman" w:eastAsia="Times New Roman"/>
          <w:color w:val="auto"/>
          <w:spacing w:val="0"/>
          <w:position w:val="0"/>
          <w:sz w:val="24"/>
          <w:shd w:fill="FFFF00" w:val="clear"/>
        </w:rPr>
        <w:t xml:space="preserve">Inject the mixture through the lateral holes of the helicopter bar until it seeps from either side. Apply the dental cement/adhesive mixture to the rest of the exposed skull to fasten the headplate to the skull, which will reduce movement artifacts during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5.10.</w:t>
        <w:tab/>
      </w:r>
      <w:r>
        <w:rPr>
          <w:rFonts w:ascii="Times New Roman" w:hAnsi="Times New Roman" w:cs="Times New Roman" w:eastAsia="Times New Roman"/>
          <w:color w:val="auto"/>
          <w:spacing w:val="0"/>
          <w:position w:val="0"/>
          <w:sz w:val="24"/>
          <w:shd w:fill="auto" w:val="clear"/>
        </w:rPr>
        <w:t xml:space="preserve">Allow the mixture to air-dry for at least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r>
      <w:r>
        <w:rPr>
          <w:rFonts w:ascii="Times New Roman" w:hAnsi="Times New Roman" w:cs="Times New Roman" w:eastAsia="Times New Roman"/>
          <w:color w:val="auto"/>
          <w:spacing w:val="0"/>
          <w:position w:val="0"/>
          <w:sz w:val="24"/>
          <w:shd w:fill="auto" w:val="clear"/>
        </w:rPr>
        <w:t xml:space="preserve">Inject the mouse with 0.5 mL of saline subcutaneously to aid in recovery. Use space gel heating pads and isothermal pads for short-term heat support to allow the mice to recover.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r>
      <w:r>
        <w:rPr>
          <w:rFonts w:ascii="Times New Roman" w:hAnsi="Times New Roman" w:cs="Times New Roman" w:eastAsia="Times New Roman"/>
          <w:b/>
          <w:color w:val="auto"/>
          <w:spacing w:val="0"/>
          <w:position w:val="0"/>
          <w:sz w:val="24"/>
          <w:shd w:fill="auto" w:val="clear"/>
        </w:rPr>
        <w:t xml:space="preserve">Post operation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r>
      <w:r>
        <w:rPr>
          <w:rFonts w:ascii="Times New Roman" w:hAnsi="Times New Roman" w:cs="Times New Roman" w:eastAsia="Times New Roman"/>
          <w:color w:val="auto"/>
          <w:spacing w:val="0"/>
          <w:position w:val="0"/>
          <w:sz w:val="24"/>
          <w:shd w:fill="auto" w:val="clear"/>
        </w:rPr>
        <w:t xml:space="preserve">Remove the mouse from the stereotaxic frame and return it to its cage.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r>
      <w:r>
        <w:rPr>
          <w:rFonts w:ascii="Times New Roman" w:hAnsi="Times New Roman" w:cs="Times New Roman" w:eastAsia="Times New Roman"/>
          <w:color w:val="auto"/>
          <w:spacing w:val="0"/>
          <w:position w:val="0"/>
          <w:sz w:val="24"/>
          <w:shd w:fill="auto" w:val="clear"/>
        </w:rPr>
        <w:t xml:space="preserve">Place a portion of the cage on a water re-circulating blanket to assist with recovery.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r>
      <w:r>
        <w:rPr>
          <w:rFonts w:ascii="Times New Roman" w:hAnsi="Times New Roman" w:cs="Times New Roman" w:eastAsia="Times New Roman"/>
          <w:color w:val="auto"/>
          <w:spacing w:val="0"/>
          <w:position w:val="0"/>
          <w:sz w:val="24"/>
          <w:shd w:fill="auto" w:val="clear"/>
        </w:rPr>
        <w:t xml:space="preserve">Provide the animal with a small helping of food pellets and wet food, in addition to their regular diet, to further aid in recovery. Add new food pellet and wet food each day after surgery for the duration of recovery.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r>
      <w:r>
        <w:rPr>
          <w:rFonts w:ascii="Times New Roman" w:hAnsi="Times New Roman" w:cs="Times New Roman" w:eastAsia="Times New Roman"/>
          <w:color w:val="auto"/>
          <w:spacing w:val="0"/>
          <w:position w:val="0"/>
          <w:sz w:val="24"/>
          <w:shd w:fill="auto" w:val="clear"/>
        </w:rPr>
        <w:t xml:space="preserve">The day after surgery, inject mice once with 5 mg/kg carprofen and 5 mg/kg enrofloxacin.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r>
      <w:r>
        <w:rPr>
          <w:rFonts w:ascii="Times New Roman" w:hAnsi="Times New Roman" w:cs="Times New Roman" w:eastAsia="Times New Roman"/>
          <w:color w:val="auto"/>
          <w:spacing w:val="0"/>
          <w:position w:val="0"/>
          <w:sz w:val="24"/>
          <w:shd w:fill="auto" w:val="clear"/>
        </w:rPr>
        <w:t xml:space="preserve">On days 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 inject the mice once with 5 mg/kg carprofen and twice with 5 mg/kg enrofloxacin. Separate the enrofloxacin injections by at least 8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r>
      <w:r>
        <w:rPr>
          <w:rFonts w:ascii="Times New Roman" w:hAnsi="Times New Roman" w:cs="Times New Roman" w:eastAsia="Times New Roman"/>
          <w:color w:val="auto"/>
          <w:spacing w:val="0"/>
          <w:position w:val="0"/>
          <w:sz w:val="24"/>
          <w:shd w:fill="auto" w:val="clear"/>
        </w:rPr>
        <w:t xml:space="preserve">On days 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 inject the mice daily with 5 mg/kg carprofen.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r>
      <w:r>
        <w:rPr>
          <w:rFonts w:ascii="Times New Roman" w:hAnsi="Times New Roman" w:cs="Times New Roman" w:eastAsia="Times New Roman"/>
          <w:b/>
          <w:color w:val="auto"/>
          <w:spacing w:val="0"/>
          <w:position w:val="0"/>
          <w:sz w:val="24"/>
          <w:shd w:fill="auto" w:val="clear"/>
        </w:rPr>
        <w:t xml:space="preserve">Animal habituation for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r>
      <w:r>
        <w:rPr>
          <w:rFonts w:ascii="Times New Roman" w:hAnsi="Times New Roman" w:cs="Times New Roman" w:eastAsia="Times New Roman"/>
          <w:color w:val="auto"/>
          <w:spacing w:val="0"/>
          <w:position w:val="0"/>
          <w:sz w:val="24"/>
          <w:shd w:fill="auto" w:val="clear"/>
        </w:rPr>
        <w:t xml:space="preserve">On day 14 after surgery, examine the cranial window for optical clarity. Do not use mice with unclear or otherwise damaged windows (i.e., excessive angiogenesis).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r>
      <w:r>
        <w:rPr>
          <w:rFonts w:ascii="Times New Roman" w:hAnsi="Times New Roman" w:cs="Times New Roman" w:eastAsia="Times New Roman"/>
          <w:color w:val="auto"/>
          <w:spacing w:val="0"/>
          <w:position w:val="0"/>
          <w:sz w:val="24"/>
          <w:shd w:fill="auto" w:val="clear"/>
        </w:rPr>
        <w:t xml:space="preserve">Check for tdTomato expression under a fluorescence microscope. If labeled cells can be identified, proceed with animal habituation.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r>
      <w:r>
        <w:rPr>
          <w:rFonts w:ascii="Times New Roman" w:hAnsi="Times New Roman" w:cs="Times New Roman" w:eastAsia="Times New Roman"/>
          <w:color w:val="auto"/>
          <w:spacing w:val="0"/>
          <w:position w:val="0"/>
          <w:sz w:val="24"/>
          <w:shd w:fill="auto" w:val="clear"/>
        </w:rPr>
        <w:t xml:space="preserve">First day of habituation (handling)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7.3.1.</w:t>
        <w:tab/>
      </w:r>
      <w:r>
        <w:rPr>
          <w:rFonts w:ascii="Times New Roman" w:hAnsi="Times New Roman" w:cs="Times New Roman" w:eastAsia="Times New Roman"/>
          <w:color w:val="auto"/>
          <w:spacing w:val="0"/>
          <w:position w:val="0"/>
          <w:sz w:val="24"/>
          <w:shd w:fill="auto" w:val="clear"/>
        </w:rPr>
        <w:t xml:space="preserve">Hold the mouse for a few minutes and return it to its cage after handling. Repeat the handling three times with a 15 min interval between the sessions.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7.3.2.</w:t>
        <w:tab/>
      </w:r>
      <w:r>
        <w:rPr>
          <w:rFonts w:ascii="Times New Roman" w:hAnsi="Times New Roman" w:cs="Times New Roman" w:eastAsia="Times New Roman"/>
          <w:color w:val="auto"/>
          <w:spacing w:val="0"/>
          <w:position w:val="0"/>
          <w:sz w:val="24"/>
          <w:shd w:fill="auto" w:val="clear"/>
        </w:rPr>
        <w:t xml:space="preserve">After the third trial, habituate the mouse by wrapping the animal in a small piece of cloth.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7.3.3.</w:t>
        <w:tab/>
      </w:r>
      <w:r>
        <w:rPr>
          <w:rFonts w:ascii="Times New Roman" w:hAnsi="Times New Roman" w:cs="Times New Roman" w:eastAsia="Times New Roman"/>
          <w:color w:val="auto"/>
          <w:spacing w:val="0"/>
          <w:position w:val="0"/>
          <w:sz w:val="24"/>
          <w:shd w:fill="auto" w:val="clear"/>
        </w:rPr>
        <w:t xml:space="preserve">Hold the mouse wrapped in cloth for approximately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7.3.4.</w:t>
        <w:tab/>
      </w:r>
      <w:r>
        <w:rPr>
          <w:rFonts w:ascii="Times New Roman" w:hAnsi="Times New Roman" w:cs="Times New Roman" w:eastAsia="Times New Roman"/>
          <w:color w:val="auto"/>
          <w:spacing w:val="0"/>
          <w:position w:val="0"/>
          <w:sz w:val="24"/>
          <w:shd w:fill="auto" w:val="clear"/>
        </w:rPr>
        <w:t xml:space="preserve">After the trial, return the mouse to its cage. Repeat this process two more times, allowing a 15 min interval between each trial.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r>
      <w:r>
        <w:rPr>
          <w:rFonts w:ascii="Times New Roman" w:hAnsi="Times New Roman" w:cs="Times New Roman" w:eastAsia="Times New Roman"/>
          <w:color w:val="auto"/>
          <w:spacing w:val="0"/>
          <w:position w:val="0"/>
          <w:sz w:val="24"/>
          <w:shd w:fill="auto" w:val="clear"/>
        </w:rPr>
        <w:t xml:space="preserve">Second day of habituation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7.4.1.</w:t>
        <w:tab/>
      </w:r>
      <w:r>
        <w:rPr>
          <w:rFonts w:ascii="Times New Roman" w:hAnsi="Times New Roman" w:cs="Times New Roman" w:eastAsia="Times New Roman"/>
          <w:color w:val="auto"/>
          <w:spacing w:val="0"/>
          <w:position w:val="0"/>
          <w:sz w:val="24"/>
          <w:shd w:fill="auto" w:val="clear"/>
        </w:rPr>
        <w:t xml:space="preserve">Weigh and record the mouse weight.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7.4.2.</w:t>
        <w:tab/>
      </w:r>
      <w:r>
        <w:rPr>
          <w:rFonts w:ascii="Times New Roman" w:hAnsi="Times New Roman" w:cs="Times New Roman" w:eastAsia="Times New Roman"/>
          <w:color w:val="auto"/>
          <w:spacing w:val="0"/>
          <w:position w:val="0"/>
          <w:sz w:val="24"/>
          <w:shd w:fill="FFFF00" w:val="clear"/>
        </w:rPr>
        <w:t xml:space="preserve">Wrap the mouse in cloth, and secure it via its head plate to the head fixation arm of the air-lifted home cage.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7.4.3.</w:t>
        <w:tab/>
      </w:r>
      <w:r>
        <w:rPr>
          <w:rFonts w:ascii="Times New Roman" w:hAnsi="Times New Roman" w:cs="Times New Roman" w:eastAsia="Times New Roman"/>
          <w:color w:val="auto"/>
          <w:spacing w:val="0"/>
          <w:position w:val="0"/>
          <w:sz w:val="24"/>
          <w:shd w:fill="FFFF00" w:val="clear"/>
        </w:rPr>
        <w:t xml:space="preserve">Leave the home cage exposed to the light.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7.4.4.</w:t>
        <w:tab/>
      </w:r>
      <w:r>
        <w:rPr>
          <w:rFonts w:ascii="Times New Roman" w:hAnsi="Times New Roman" w:cs="Times New Roman" w:eastAsia="Times New Roman"/>
          <w:color w:val="auto"/>
          <w:spacing w:val="0"/>
          <w:position w:val="0"/>
          <w:sz w:val="24"/>
          <w:shd w:fill="FFFF00" w:val="clear"/>
        </w:rPr>
        <w:t xml:space="preserve">Allow the mouse to remain secured in the mobile home cage for 15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7.4.5.</w:t>
        <w:tab/>
      </w:r>
      <w:r>
        <w:rPr>
          <w:rFonts w:ascii="Times New Roman" w:hAnsi="Times New Roman" w:cs="Times New Roman" w:eastAsia="Times New Roman"/>
          <w:color w:val="auto"/>
          <w:spacing w:val="0"/>
          <w:position w:val="0"/>
          <w:sz w:val="24"/>
          <w:shd w:fill="FFFF00" w:val="clear"/>
        </w:rPr>
        <w:t xml:space="preserve">After habituation, remove the mouse from the home cage and turn off the airflow.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7.4.6.</w:t>
        <w:tab/>
      </w:r>
      <w:r>
        <w:rPr>
          <w:rFonts w:ascii="Times New Roman" w:hAnsi="Times New Roman" w:cs="Times New Roman" w:eastAsia="Times New Roman"/>
          <w:color w:val="auto"/>
          <w:spacing w:val="0"/>
          <w:position w:val="0"/>
          <w:sz w:val="24"/>
          <w:shd w:fill="auto" w:val="clear"/>
        </w:rPr>
        <w:t xml:space="preserve">Weigh the mouse and return it to its cage. Take care to only include mice that do not lose more than 10% of their body weight. Exclude mice that lose more than 10% of their weight during any day of habituation from imaging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r>
      <w:r>
        <w:rPr>
          <w:rFonts w:ascii="Times New Roman" w:hAnsi="Times New Roman" w:cs="Times New Roman" w:eastAsia="Times New Roman"/>
          <w:color w:val="auto"/>
          <w:spacing w:val="0"/>
          <w:position w:val="0"/>
          <w:sz w:val="24"/>
          <w:shd w:fill="auto" w:val="clear"/>
        </w:rPr>
        <w:t xml:space="preserve">Day three of habituation and beyond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7.5.1.</w:t>
        <w:tab/>
      </w:r>
      <w:r>
        <w:rPr>
          <w:rFonts w:ascii="Times New Roman" w:hAnsi="Times New Roman" w:cs="Times New Roman" w:eastAsia="Times New Roman"/>
          <w:color w:val="auto"/>
          <w:spacing w:val="0"/>
          <w:position w:val="0"/>
          <w:sz w:val="24"/>
          <w:shd w:fill="auto" w:val="clear"/>
        </w:rPr>
        <w:t xml:space="preserve">Weigh and record the mouse weight before securing it to the air-lifted home cage.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7.5.2.</w:t>
        <w:tab/>
      </w:r>
      <w:r>
        <w:rPr>
          <w:rFonts w:ascii="Times New Roman" w:hAnsi="Times New Roman" w:cs="Times New Roman" w:eastAsia="Times New Roman"/>
          <w:color w:val="auto"/>
          <w:spacing w:val="0"/>
          <w:position w:val="0"/>
          <w:sz w:val="24"/>
          <w:shd w:fill="auto" w:val="clear"/>
        </w:rPr>
        <w:t xml:space="preserve">Secure the mouse to the air-lifted home cage.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7.5.3.</w:t>
        <w:tab/>
      </w:r>
      <w:r>
        <w:rPr>
          <w:rFonts w:ascii="Times New Roman" w:hAnsi="Times New Roman" w:cs="Times New Roman" w:eastAsia="Times New Roman"/>
          <w:color w:val="auto"/>
          <w:spacing w:val="0"/>
          <w:position w:val="0"/>
          <w:sz w:val="24"/>
          <w:shd w:fill="auto" w:val="clear"/>
        </w:rPr>
        <w:t xml:space="preserve">Cover the home cage with something that will provide a dark interior, such as a box, and allow the mouse to remain secured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7.5.4.</w:t>
        <w:tab/>
      </w:r>
      <w:r>
        <w:rPr>
          <w:rFonts w:ascii="Times New Roman" w:hAnsi="Times New Roman" w:cs="Times New Roman" w:eastAsia="Times New Roman"/>
          <w:color w:val="auto"/>
          <w:spacing w:val="0"/>
          <w:position w:val="0"/>
          <w:sz w:val="24"/>
          <w:shd w:fill="auto" w:val="clear"/>
        </w:rPr>
        <w:t xml:space="preserve">After 30 min, uncover the home cage, remove the mouse, and turn off the air 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7.5.5.</w:t>
        <w:tab/>
      </w:r>
      <w:r>
        <w:rPr>
          <w:rFonts w:ascii="Times New Roman" w:hAnsi="Times New Roman" w:cs="Times New Roman" w:eastAsia="Times New Roman"/>
          <w:color w:val="auto"/>
          <w:spacing w:val="0"/>
          <w:position w:val="0"/>
          <w:sz w:val="24"/>
          <w:shd w:fill="auto" w:val="clear"/>
        </w:rPr>
        <w:t xml:space="preserve">Weigh and record the mouse weight after habituation.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7.5.6.</w:t>
        <w:tab/>
      </w:r>
      <w:r>
        <w:rPr>
          <w:rFonts w:ascii="Times New Roman" w:hAnsi="Times New Roman" w:cs="Times New Roman" w:eastAsia="Times New Roman"/>
          <w:color w:val="auto"/>
          <w:spacing w:val="0"/>
          <w:position w:val="0"/>
          <w:sz w:val="24"/>
          <w:shd w:fill="auto" w:val="clear"/>
        </w:rPr>
        <w:t xml:space="preserve">Repeat this process every day, increasing the duration the mouse is secured to the home cage by 15 min. Continue this process until the mouse can be secured to the home cage for 1.5 h as this is the approximate duration of a two-photon imaging session.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7.5.7.</w:t>
        <w:tab/>
      </w:r>
      <w:r>
        <w:rPr>
          <w:rFonts w:ascii="Times New Roman" w:hAnsi="Times New Roman" w:cs="Times New Roman" w:eastAsia="Times New Roman"/>
          <w:color w:val="auto"/>
          <w:spacing w:val="0"/>
          <w:position w:val="0"/>
          <w:sz w:val="24"/>
          <w:shd w:fill="auto" w:val="clear"/>
        </w:rPr>
        <w:t xml:space="preserve">To habituate the mouse to noise, perform some habituation sessions on the microscope to acclimate the mouse to the sounds of the laser scanning mirrors. </w:t>
      </w:r>
      <w:r>
        <w:rPr>
          <w:rFonts w:ascii="Times New Roman" w:hAnsi="Times New Roman" w:cs="Times New Roman" w:eastAsia="Times New Roman"/>
          <w:color w:val="auto"/>
          <w:spacing w:val="0"/>
          <w:position w:val="0"/>
          <w:sz w:val="24"/>
          <w:shd w:fill="FFFFFF" w:val="clear"/>
        </w:rPr>
        <w:t xml:space="preserve">Exclude mice that fail to habituate sufficiently (i.e., vocalizations and stress-induced defecation).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r>
      <w:r>
        <w:rPr>
          <w:rFonts w:ascii="Times New Roman" w:hAnsi="Times New Roman" w:cs="Times New Roman" w:eastAsia="Times New Roman"/>
          <w:b/>
          <w:color w:val="auto"/>
          <w:spacing w:val="0"/>
          <w:position w:val="0"/>
          <w:sz w:val="24"/>
          <w:shd w:fill="auto" w:val="clear"/>
        </w:rPr>
        <w:t xml:space="preserve">Multiphoton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r>
      <w:r>
        <w:rPr>
          <w:rFonts w:ascii="Times New Roman" w:hAnsi="Times New Roman" w:cs="Times New Roman" w:eastAsia="Times New Roman"/>
          <w:color w:val="auto"/>
          <w:spacing w:val="0"/>
          <w:position w:val="0"/>
          <w:sz w:val="24"/>
          <w:shd w:fill="auto" w:val="clear"/>
        </w:rPr>
        <w:t xml:space="preserve">Commence imaging 3 weeks following surgery to allow for the window to clear.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r>
      <w:r>
        <w:rPr>
          <w:rFonts w:ascii="Times New Roman" w:hAnsi="Times New Roman" w:cs="Times New Roman" w:eastAsia="Times New Roman"/>
          <w:color w:val="auto"/>
          <w:spacing w:val="0"/>
          <w:position w:val="0"/>
          <w:sz w:val="24"/>
          <w:shd w:fill="auto" w:val="clear"/>
        </w:rPr>
        <w:t xml:space="preserve">Perform imaging on a custom-made or commercially available multiphoton microscope equipped with a Ti:Sapphire laser. Acquire images using a high numerical aperture (NA) water immersion objective.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Two-channel imaging is achieved by using a 565 nm dichroic mirror and two external photomultiplier tubes. A 535/50 bandpass filter is used to detect GCaMP6f emission, and a 610/75 bandpass filter is used to detect tdTomato. A 25x water immersion objective (1.05 NA) was used to acquire images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Each region of interest consisted of a stack of images separated axially by 1 &amp;#181;m. Each optical section was collected at 512 x 512 pixels, 0.1855 &amp;#181;m/pixel. Images were acquired from the forelimb region of the primary motor cortex as determined by stereotaxic coordinates.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r>
      <w:r>
        <w:rPr>
          <w:rFonts w:ascii="Times New Roman" w:hAnsi="Times New Roman" w:cs="Times New Roman" w:eastAsia="Times New Roman"/>
          <w:color w:val="auto"/>
          <w:spacing w:val="0"/>
          <w:position w:val="0"/>
          <w:sz w:val="24"/>
          <w:shd w:fill="auto" w:val="clear"/>
        </w:rPr>
        <w:t xml:space="preserve">Set the wavelength of the laser to 920 nm (990 nm if a red-shifted GECI is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8.4.</w:t>
        <w:tab/>
      </w:r>
      <w:r>
        <w:rPr>
          <w:rFonts w:ascii="Times New Roman" w:hAnsi="Times New Roman" w:cs="Times New Roman" w:eastAsia="Times New Roman"/>
          <w:color w:val="auto"/>
          <w:spacing w:val="0"/>
          <w:position w:val="0"/>
          <w:sz w:val="24"/>
          <w:shd w:fill="FFFF00" w:val="clear"/>
        </w:rPr>
        <w:t xml:space="preserve">Place the mouse on the mobile home cage, and clamp the headplate to the head fixation arm.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r>
      <w:r>
        <w:rPr>
          <w:rFonts w:ascii="Times New Roman" w:hAnsi="Times New Roman" w:cs="Times New Roman" w:eastAsia="Times New Roman"/>
          <w:color w:val="auto"/>
          <w:spacing w:val="0"/>
          <w:position w:val="0"/>
          <w:sz w:val="24"/>
          <w:shd w:fill="auto" w:val="clear"/>
        </w:rPr>
        <w:t xml:space="preserve">Add a few drops of water to the center of the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r>
      <w:r>
        <w:rPr>
          <w:rFonts w:ascii="Times New Roman" w:hAnsi="Times New Roman" w:cs="Times New Roman" w:eastAsia="Times New Roman"/>
          <w:color w:val="auto"/>
          <w:spacing w:val="0"/>
          <w:position w:val="0"/>
          <w:sz w:val="24"/>
          <w:shd w:fill="FFFF00" w:val="clear"/>
        </w:rPr>
        <w:t xml:space="preserve">Using the wide-field mode of the microscope, select 2</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3 positions of easily identifiable vasculature. Save the images of these blood vessels and record the X- and Y-coordinates that appear on the motor controller</w:t>
      </w:r>
      <w:r>
        <w:rPr>
          <w:rFonts w:ascii="Times New Roman" w:hAnsi="Times New Roman" w:cs="Times New Roman" w:eastAsia="Times New Roman"/>
          <w:color w:val="auto"/>
          <w:spacing w:val="0"/>
          <w:position w:val="0"/>
          <w:sz w:val="24"/>
          <w:shd w:fill="auto" w:val="clear"/>
        </w:rPr>
        <w:t xml:space="preserve"> to relocate the tdTomato-labeled dendrites for subsequent imaging sessions. Adjust the X- and Y-coordinates each time to realign with the saved images of the blood vessels.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8.7.</w:t>
        <w:tab/>
      </w:r>
      <w:r>
        <w:rPr>
          <w:rFonts w:ascii="Times New Roman" w:hAnsi="Times New Roman" w:cs="Times New Roman" w:eastAsia="Times New Roman"/>
          <w:color w:val="auto"/>
          <w:spacing w:val="0"/>
          <w:position w:val="0"/>
          <w:sz w:val="24"/>
          <w:shd w:fill="auto" w:val="clear"/>
        </w:rPr>
        <w:t xml:space="preserve">Once the vasculature has been imaged and positions recorded, locate the regions with neurons expressing tdTomato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00" w:val="clear"/>
        </w:rPr>
        <w:t xml:space="preserve">Image the synaptic structures (dendrites and axons) of neurons and GCaMP6f activity in astrocytes.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dendrites will serve as landmarks to reliably return to the same regions and image the same dendrites and astrocytes over repeated days. No detectable shift in the imaging plane was observed with stable head fixation and after habituation to head fixation. Displacement that occurs in the X and Y directions is motion-corrected.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8.8.</w:t>
        <w:tab/>
      </w:r>
      <w:r>
        <w:rPr>
          <w:rFonts w:ascii="Times New Roman" w:hAnsi="Times New Roman" w:cs="Times New Roman" w:eastAsia="Times New Roman"/>
          <w:color w:val="auto"/>
          <w:spacing w:val="0"/>
          <w:position w:val="0"/>
          <w:sz w:val="24"/>
          <w:shd w:fill="auto" w:val="clear"/>
        </w:rPr>
        <w:t xml:space="preserve">After imaging, return the mouse to its cage.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tab/>
        <w:t xml:space="preserve">Mice are typically kept on the scope for a maximum of 2 h. When the imaging lasts for a long time, the water under the objective may dry. Water should be added during the experiments. Alternatively, an ultrasonic gel can be used instead of water.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quality of the cranial window can be assessed by how crisp the neuronal structures appear. In a good window, dendritic spines are clearly visible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With the structural and positional data stored, the same animal can be imaged repeatedly for days, weeks, or months to examine the same cells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images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were obtained from the forelimb region of the primary motor cortex (in a 5 mm window). A variety of parameters can be measured, including density and dynamics of dendritic spines and axonal boutons to study structural synaptic plasticity. Astrocytic activity can be studied by analyzing the spatiotemporal dynamics of calcium signaling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Depending on the microscope capabilities (i.e., resonant scanners, piezo motor controlling the objective) and the experimental question, time-lapse imaging can be performed in a single focal plane or in a volume or multiregion to monitor calcium activity at the desired acquisition frequency.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Repeated imaging of dendrites and astrocytes over days. </w:t>
      </w:r>
      <w:r>
        <w:rPr>
          <w:rFonts w:ascii="Calibri" w:hAnsi="Calibri" w:cs="Calibri" w:eastAsia="Calibri"/>
          <w:color w:val="auto"/>
          <w:spacing w:val="0"/>
          <w:position w:val="0"/>
          <w:sz w:val="24"/>
          <w:shd w:fill="auto" w:val="clear"/>
        </w:rPr>
        <w:t xml:space="preserve">A dendrite expressing tdTomato (magenta) allows the identification and repeated imaging of GCaMP6f-expressing astrocytes (white) in close proximity.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activity within astrocytes is shown at different time points on different days. Synaptic structural plasticity can be concurrently imaged. Two new spines that appeared on Day 2 are marked with an arrowhead. While one spine persisted and was visible on Day 5 (blue arrow), the other spine was eliminated (green arrow). Scale bar = 10 &amp;#181;m.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Imaging of astrocytic calcium signaling</w:t>
      </w:r>
      <w:r>
        <w:rPr>
          <w:rFonts w:ascii="Calibri" w:hAnsi="Calibri" w:cs="Calibri" w:eastAsia="Calibri"/>
          <w:color w:val="auto"/>
          <w:spacing w:val="0"/>
          <w:position w:val="0"/>
          <w:sz w:val="24"/>
          <w:shd w:fill="auto" w:val="clear"/>
        </w:rPr>
        <w:t xml:space="preserve">. Images showing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activity in a single layer; one astrocyte expressing GCaMP6f at different time points during the acquisition. Calcium signaling in processes and microdomains can be observed during the resting periods. A global event encompassing the entire cell can be observed during a locomotion bout at 188 s. Scale bar = 10 &amp;#181;m.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have presented a protocol for the implantation of chronic cranial windows for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imaging of cortical astrocytes and neurons in awake, head-restrained mice on an air-lifted home cage. Specific examples have been provided of the cranial window application for imaging astrocytes that express GECIs and neuronal synaptic structures. With the use of multiphoton microscopy, astrocytic calcium signaling dynamics and structural synaptic dynamics can be recorded repeatedly over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chronic cranial window provides good optical imaging quality and allows for multiple imaging sessions to be performed of the same neuronal and glial structures. The approach also makes it possible to perform intracranial viral injections before covering the craniotomy with a cover glass.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Users should be aware of a number of limitations incurred through the implantation of chronic cranial windows. Experience and much practice are needed to achieve a high-quality window and to ensure animal survival. Moreover, the surgery is invasive and can result in an inflammatory response. Pharmacological treatment during surgery and post-surgical recovery includes anti-inflammatory drugs and antibiotics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The use of anti-inflammatory drugs may not be appropriate in studies investigating models of neuroinflammation as these drugs may also affect the phenomenon under study.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 recently, meningeal lymphangiogenesis has been shown to occur in response to cranial window implantation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Thus, the chronic cranial window might not be therefore acceptable for studies investigating meningeal lymphatic vessels. Importantly, a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3-week waiting period post-surgery is necessary before imaging experiments</w:t>
      </w:r>
      <w:r>
        <w:rPr>
          <w:rFonts w:ascii="Calibri" w:hAnsi="Calibri" w:cs="Calibri" w:eastAsia="Calibri"/>
          <w:color w:val="auto"/>
          <w:spacing w:val="0"/>
          <w:position w:val="0"/>
          <w:sz w:val="24"/>
          <w:shd w:fill="auto" w:val="clear"/>
          <w:vertAlign w:val="superscript"/>
        </w:rPr>
        <w:t xml:space="preserve">31,33</w:t>
      </w:r>
      <w:r>
        <w:rPr>
          <w:rFonts w:ascii="Calibri" w:hAnsi="Calibri" w:cs="Calibri" w:eastAsia="Calibri"/>
          <w:color w:val="auto"/>
          <w:spacing w:val="0"/>
          <w:position w:val="0"/>
          <w:sz w:val="24"/>
          <w:shd w:fill="auto" w:val="clear"/>
        </w:rPr>
        <w:t xml:space="preserve">. Additionally, the age of the mice, as well as post-operation recovery time, precludes the imaging of early developmental events. While cranial windows can be implanted in younger mice (P15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possible side effects, such as inflammation, need to be considered.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an alternative to the chronic cranial window, thinned skull preparations may also be made. This method results in the thinning of the skull over the region of interest before imaging. A thinned skull window is less invasive and overcomes the need for anti-inflammatory drug administration, making it a choice in studies investigating models of neuroinflammation and neuroimmune interactions. However, should repeated imaging be desired, the skull needs to be re-thinned before imaging, and bone can only be re-thinned a limited number of times before image quality degrades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a modified version of a reinforced thin-skull method that does not require rethinning has been described</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 non-uniform skull thickness may cause spherical aberrations, resulting in the distortion of fluorescent structures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Thus, when quantitative measurements are being recorded, such as calcium signaling dynamics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or levels of synaptic proteins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as opposed to the identification of structures such as dendritic spines, the chronic cranial window provides a more optically stable and reliable preparation. Thus, for longitudinal,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imaging, the insertion of cranial windows is the superior method for examining changes as a result of drug treatment</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training in a behavioral paradigm</w:t>
      </w:r>
      <w:r>
        <w:rPr>
          <w:rFonts w:ascii="Calibri" w:hAnsi="Calibri" w:cs="Calibri" w:eastAsia="Calibri"/>
          <w:color w:val="auto"/>
          <w:spacing w:val="0"/>
          <w:position w:val="0"/>
          <w:sz w:val="24"/>
          <w:shd w:fill="auto" w:val="clear"/>
          <w:vertAlign w:val="superscript"/>
        </w:rPr>
        <w:t xml:space="preserve">4,25</w:t>
      </w:r>
      <w:r>
        <w:rPr>
          <w:rFonts w:ascii="Calibri" w:hAnsi="Calibri" w:cs="Calibri" w:eastAsia="Calibri"/>
          <w:color w:val="auto"/>
          <w:spacing w:val="0"/>
          <w:position w:val="0"/>
          <w:sz w:val="24"/>
          <w:shd w:fill="auto" w:val="clear"/>
        </w:rPr>
        <w:t xml:space="preserve">, and synaptic remodeling in neurological disorders</w:t>
      </w:r>
      <w:r>
        <w:rPr>
          <w:rFonts w:ascii="Calibri" w:hAnsi="Calibri" w:cs="Calibri" w:eastAsia="Calibri"/>
          <w:color w:val="auto"/>
          <w:spacing w:val="0"/>
          <w:position w:val="0"/>
          <w:sz w:val="24"/>
          <w:shd w:fill="auto" w:val="clear"/>
          <w:vertAlign w:val="superscript"/>
        </w:rPr>
        <w:t xml:space="preserve">11,27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described procedure is technically challenging and provides a barrier for quality image acquisition. Extreme care must be taken at each step to ensure that the window stays free of infection, and damage to the underlying tissue is avoided. This includes gentle scraping of connective tissue on the skull, taking adequate breaks for cooling the bone when drilling, ensuring uniform thinning to facilitate easy bone removal, preventing brain swelling, and extreme care to not damage the dura mater during surgery. Only the best window preparations remain optically transparent for longer periods of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changes in synaptic structures can be imaged in anesthetized mice over days, this is not preferred when examining astrocyte calcium signaling as anesthesia has been shown to disrupt astrocyte calcium signaling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To perform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in awake, head-restrained mice, it is essential to habituate the animal to the imaging conditions in the mobile home cage, free-floating treadmill, air-lifted Styrofoam ball, or other apparatus. Proper habituation will not only reduce stress during imaging, but also act to minimize movement artifacts during the imaging sessions.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multiphoton microscopy through a chronic cranial window is a useful tool for studying structural and functional changes of cells in the cortex. Using cell-specific fluorescent dyes and reporters, it is possible to study cellular morphology, interactions, and activity. With the longitudinal imaging allowed by chronic cranial windows, it is possible to examine how synaptic structures change and develop over time</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Using the protocol presented here, it is possible to examine calcium signaling dynamics in astrocytes due to sensory stimulation</w:t>
      </w:r>
      <w:r>
        <w:rPr>
          <w:rFonts w:ascii="Calibri" w:hAnsi="Calibri" w:cs="Calibri" w:eastAsia="Calibri"/>
          <w:color w:val="auto"/>
          <w:spacing w:val="0"/>
          <w:position w:val="0"/>
          <w:sz w:val="24"/>
          <w:shd w:fill="auto" w:val="clear"/>
          <w:vertAlign w:val="superscript"/>
        </w:rPr>
        <w:t xml:space="preserve">23,38</w:t>
      </w:r>
      <w:r>
        <w:rPr>
          <w:rFonts w:ascii="Calibri" w:hAnsi="Calibri" w:cs="Calibri" w:eastAsia="Calibri"/>
          <w:color w:val="auto"/>
          <w:spacing w:val="0"/>
          <w:position w:val="0"/>
          <w:sz w:val="24"/>
          <w:shd w:fill="auto" w:val="clear"/>
        </w:rPr>
        <w:t xml:space="preserve">, locomotion or startle</w:t>
      </w:r>
      <w:r>
        <w:rPr>
          <w:rFonts w:ascii="Calibri" w:hAnsi="Calibri" w:cs="Calibri" w:eastAsia="Calibri"/>
          <w:color w:val="auto"/>
          <w:spacing w:val="0"/>
          <w:position w:val="0"/>
          <w:sz w:val="24"/>
          <w:shd w:fill="auto" w:val="clear"/>
          <w:vertAlign w:val="superscript"/>
        </w:rPr>
        <w:t xml:space="preserve">6,41</w:t>
      </w:r>
      <w:r>
        <w:rPr>
          <w:rFonts w:ascii="Calibri" w:hAnsi="Calibri" w:cs="Calibri" w:eastAsia="Calibri"/>
          <w:color w:val="auto"/>
          <w:spacing w:val="0"/>
          <w:position w:val="0"/>
          <w:sz w:val="24"/>
          <w:shd w:fill="auto" w:val="clear"/>
        </w:rPr>
        <w:t xml:space="preserve">, disease</w:t>
      </w:r>
      <w:r>
        <w:rPr>
          <w:rFonts w:ascii="Calibri" w:hAnsi="Calibri" w:cs="Calibri" w:eastAsia="Calibri"/>
          <w:color w:val="auto"/>
          <w:spacing w:val="0"/>
          <w:position w:val="0"/>
          <w:sz w:val="24"/>
          <w:shd w:fill="auto" w:val="clear"/>
          <w:vertAlign w:val="superscript"/>
        </w:rPr>
        <w:t xml:space="preserve">15,42</w:t>
      </w:r>
      <w:r>
        <w:rPr>
          <w:rFonts w:ascii="Calibri" w:hAnsi="Calibri" w:cs="Calibri" w:eastAsia="Calibri"/>
          <w:color w:val="auto"/>
          <w:spacing w:val="0"/>
          <w:position w:val="0"/>
          <w:sz w:val="24"/>
          <w:shd w:fill="auto" w:val="clear"/>
        </w:rPr>
        <w:t xml:space="preserve">, or other parameters of interest.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Cichon, J., Gan, W. B. Branch-specific dendritic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spikes cause persistent synaptic plasticity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520 </w:t>
      </w:r>
      <w:r>
        <w:rPr>
          <w:rFonts w:ascii="Calibri" w:hAnsi="Calibri" w:cs="Calibri" w:eastAsia="Calibri"/>
          <w:color w:val="auto"/>
          <w:spacing w:val="0"/>
          <w:position w:val="0"/>
          <w:sz w:val="24"/>
          <w:shd w:fill="auto" w:val="clear"/>
        </w:rPr>
        <w:t xml:space="preserve">(7546), 180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Goncalves, J. T., et al. Circuit level defects in the developing neocortex of Fragile X mice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(7), 903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Padmashri, R., et al. Altered structural and functional synaptic plasticity with motor skill learning in a mouse model of fragile X syndrome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(50), 19715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19723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Peters, A. J., Chen, S. X., Komiyama, T. Emergence of reproducible spatiotemporal activity during motor learning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510 </w:t>
      </w:r>
      <w:r>
        <w:rPr>
          <w:rFonts w:ascii="Calibri" w:hAnsi="Calibri" w:cs="Calibri" w:eastAsia="Calibri"/>
          <w:color w:val="auto"/>
          <w:spacing w:val="0"/>
          <w:position w:val="0"/>
          <w:sz w:val="24"/>
          <w:shd w:fill="auto" w:val="clear"/>
        </w:rPr>
        <w:t xml:space="preserve">(7504), 263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Poskanzer, K. E., Yuste, R. Astrocytes regulate cortical state switching in vivo.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 </w:t>
      </w:r>
      <w:r>
        <w:rPr>
          <w:rFonts w:ascii="Calibri" w:hAnsi="Calibri" w:cs="Calibri" w:eastAsia="Calibri"/>
          <w:color w:val="auto"/>
          <w:spacing w:val="0"/>
          <w:position w:val="0"/>
          <w:sz w:val="24"/>
          <w:shd w:fill="auto" w:val="clear"/>
        </w:rPr>
        <w:t xml:space="preserve">(19), E2675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E2684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Srinivasan, R., et al.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signaling in astrocytes from Ip3r2(-/-) mice in brain slices and during startle responses in vivo.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(5), 708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Takata, N., et al. Astrocyte calcium signaling transforms cholinergic modulation to cortical plasticity in vivo</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(49), 18155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18165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Yang, G., Pan, F., Gan, W. B. Stably maintained dendritic spines are associated with lifelong memories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Nature. </w:t>
      </w:r>
      <w:r>
        <w:rPr>
          <w:rFonts w:ascii="Calibri" w:hAnsi="Calibri" w:cs="Calibri" w:eastAsia="Calibri"/>
          <w:b/>
          <w:color w:val="auto"/>
          <w:spacing w:val="0"/>
          <w:position w:val="0"/>
          <w:sz w:val="24"/>
          <w:shd w:fill="auto" w:val="clear"/>
        </w:rPr>
        <w:t xml:space="preserve">462 </w:t>
      </w:r>
      <w:r>
        <w:rPr>
          <w:rFonts w:ascii="Calibri" w:hAnsi="Calibri" w:cs="Calibri" w:eastAsia="Calibri"/>
          <w:color w:val="auto"/>
          <w:spacing w:val="0"/>
          <w:position w:val="0"/>
          <w:sz w:val="24"/>
          <w:shd w:fill="auto" w:val="clear"/>
        </w:rPr>
        <w:t xml:space="preserve">(7275), 920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Zuo, Y., et al. Development of long-term dendritic spine stability in diverse regions of cerebral cortex. Neuron. </w:t>
      </w:r>
      <w:r>
        <w:rPr>
          <w:rFonts w:ascii="Calibri" w:hAnsi="Calibri" w:cs="Calibri" w:eastAsia="Calibri"/>
          <w:b/>
          <w:color w:val="auto"/>
          <w:spacing w:val="0"/>
          <w:position w:val="0"/>
          <w:sz w:val="24"/>
          <w:shd w:fill="auto" w:val="clear"/>
        </w:rPr>
        <w:t xml:space="preserve">46 </w:t>
      </w:r>
      <w:r>
        <w:rPr>
          <w:rFonts w:ascii="Calibri" w:hAnsi="Calibri" w:cs="Calibri" w:eastAsia="Calibri"/>
          <w:color w:val="auto"/>
          <w:spacing w:val="0"/>
          <w:position w:val="0"/>
          <w:sz w:val="24"/>
          <w:shd w:fill="auto" w:val="clear"/>
        </w:rPr>
        <w:t xml:space="preserve">(2), 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Grutzendler, J., Gan, W. B. Two-photon imaging of synaptic plasticity and pathology in the living mouse brain. </w:t>
      </w:r>
      <w:r>
        <w:rPr>
          <w:rFonts w:ascii="Calibri" w:hAnsi="Calibri" w:cs="Calibri" w:eastAsia="Calibri"/>
          <w:i/>
          <w:color w:val="auto"/>
          <w:spacing w:val="0"/>
          <w:position w:val="0"/>
          <w:sz w:val="24"/>
          <w:shd w:fill="auto" w:val="clear"/>
        </w:rPr>
        <w:t xml:space="preserve">NeuroRx. </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(4), 489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Isshiki, M., et al. Enhanced synapse remodelling as a common phenotype in mouse models of autism</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4742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Cruz-Martin, A., Crespo, M., Portera-Cailliau, C. Delayed stabilization of dendritic spines in fragile X mice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(23), 7793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7803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Mostany, R., et al. Altered synaptic dynamics during normal brain aging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(9), 4094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4104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Trachtenberg, J. T., et al. Long-term in vivo imaging of experience-dependent synaptic plasticity in adult cortex</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420 </w:t>
      </w:r>
      <w:r>
        <w:rPr>
          <w:rFonts w:ascii="Calibri" w:hAnsi="Calibri" w:cs="Calibri" w:eastAsia="Calibri"/>
          <w:color w:val="auto"/>
          <w:spacing w:val="0"/>
          <w:position w:val="0"/>
          <w:sz w:val="24"/>
          <w:shd w:fill="auto" w:val="clear"/>
        </w:rPr>
        <w:t xml:space="preserve">(6917), 788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794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Agarwal, A., et al. Transient opening of the mitochondrial permeability transition pore induces microdomain calcium transients in astrocyte processes.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 </w:t>
      </w:r>
      <w:r>
        <w:rPr>
          <w:rFonts w:ascii="Calibri" w:hAnsi="Calibri" w:cs="Calibri" w:eastAsia="Calibri"/>
          <w:color w:val="auto"/>
          <w:spacing w:val="0"/>
          <w:position w:val="0"/>
          <w:sz w:val="24"/>
          <w:shd w:fill="auto" w:val="clear"/>
        </w:rPr>
        <w:t xml:space="preserve">(3), 587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605.e7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Bindocci, E., et al. Three-dimensional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imaging advances understanding of astrocyte biology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356 </w:t>
      </w:r>
      <w:r>
        <w:rPr>
          <w:rFonts w:ascii="Calibri" w:hAnsi="Calibri" w:cs="Calibri" w:eastAsia="Calibri"/>
          <w:color w:val="auto"/>
          <w:spacing w:val="0"/>
          <w:position w:val="0"/>
          <w:sz w:val="24"/>
          <w:shd w:fill="auto" w:val="clear"/>
        </w:rPr>
        <w:t xml:space="preserve">(6339), eaai8185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Dana, H., et al. High-performance calcium sensors for imaging activity in neuronal populations and microcompartments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(7), 649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Han, S., Yang, W., Yuste, R. Two-color volumetric imaging of neuronal activity of cortical columns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(7), 2229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2240.e4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Nimmerjahn, A., Kirchhoff, F., Helmchen, F. Resting microglial cells are highly dynamic surveillants of brain parenchyma in vivo.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308 </w:t>
      </w:r>
      <w:r>
        <w:rPr>
          <w:rFonts w:ascii="Calibri" w:hAnsi="Calibri" w:cs="Calibri" w:eastAsia="Calibri"/>
          <w:color w:val="auto"/>
          <w:spacing w:val="0"/>
          <w:position w:val="0"/>
          <w:sz w:val="24"/>
          <w:shd w:fill="auto" w:val="clear"/>
        </w:rPr>
        <w:t xml:space="preserve">(5726), 1314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1318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Stowell, R.D., et al. Noradrenergic signaling in the wakeful state inhibits microglial surveillance and synaptic plasticity in the mouse visual cortex</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(11), 1782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1792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Madisen, L., et al. A robust and high-throughput Cre reporting and characterization system for the whole mouse brain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(1), 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Chen, S. X., et al. Subtype-specific plasticity of inhibitory circuits in motor cortex during motor learning.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(8), 1109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Stobart, J. L., et al. Cortical circuit activity evokes rapid astrocyte calcium signals on a similar timescale to neurons.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 </w:t>
      </w:r>
      <w:r>
        <w:rPr>
          <w:rFonts w:ascii="Calibri" w:hAnsi="Calibri" w:cs="Calibri" w:eastAsia="Calibri"/>
          <w:color w:val="auto"/>
          <w:spacing w:val="0"/>
          <w:position w:val="0"/>
          <w:sz w:val="24"/>
          <w:shd w:fill="auto" w:val="clear"/>
        </w:rPr>
        <w:t xml:space="preserve">(4), 726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735.e4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Matsui, A., et al. Mouse in utero electroporation: controlled spatiotemporal gene transfection.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(54), 3024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Roth, R. H., et al. Cortical synaptic AMPA receptor plasticity during motor learning.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 </w:t>
      </w:r>
      <w:r>
        <w:rPr>
          <w:rFonts w:ascii="Calibri" w:hAnsi="Calibri" w:cs="Calibri" w:eastAsia="Calibri"/>
          <w:color w:val="auto"/>
          <w:spacing w:val="0"/>
          <w:position w:val="0"/>
          <w:sz w:val="24"/>
          <w:shd w:fill="auto" w:val="clear"/>
        </w:rPr>
        <w:t xml:space="preserve">(5), 895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908.e5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Stogsdill, J. A., et al. Astrocytic neuroligins control astrocyte morphogenesis and synaptogenesis.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551 </w:t>
      </w:r>
      <w:r>
        <w:rPr>
          <w:rFonts w:ascii="Calibri" w:hAnsi="Calibri" w:cs="Calibri" w:eastAsia="Calibri"/>
          <w:color w:val="auto"/>
          <w:spacing w:val="0"/>
          <w:position w:val="0"/>
          <w:sz w:val="24"/>
          <w:shd w:fill="auto" w:val="clear"/>
        </w:rPr>
        <w:t xml:space="preserve">(7679), 192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Suresh, A., Dunaevsky, A. Relationship between synaptic AMPAR and spine dynamics: impairments in the FXS mouse. </w:t>
      </w:r>
      <w:r>
        <w:rPr>
          <w:rFonts w:ascii="Calibri" w:hAnsi="Calibri" w:cs="Calibri" w:eastAsia="Calibri"/>
          <w:i/>
          <w:color w:val="auto"/>
          <w:spacing w:val="0"/>
          <w:position w:val="0"/>
          <w:sz w:val="24"/>
          <w:shd w:fill="auto" w:val="clear"/>
        </w:rPr>
        <w:t xml:space="preserve">Cerebral Cortex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(8), 4244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4256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Yang, G., et al. Transcranial two-photon imaging of synaptic structures in the cortex of awake head-restrained mice.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1010</w:t>
      </w:r>
      <w:r>
        <w:rPr>
          <w:rFonts w:ascii="Calibri" w:hAnsi="Calibri" w:cs="Calibri" w:eastAsia="Calibri"/>
          <w:color w:val="auto"/>
          <w:spacing w:val="0"/>
          <w:position w:val="0"/>
          <w:sz w:val="24"/>
          <w:shd w:fill="auto" w:val="clear"/>
        </w:rPr>
        <w:t xml:space="preserve">,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Dombeck, D. A., et al. Imaging large-scale neural activity with cellular resolution in awake, mobile mice.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 </w:t>
      </w:r>
      <w:r>
        <w:rPr>
          <w:rFonts w:ascii="Calibri" w:hAnsi="Calibri" w:cs="Calibri" w:eastAsia="Calibri"/>
          <w:color w:val="auto"/>
          <w:spacing w:val="0"/>
          <w:position w:val="0"/>
          <w:sz w:val="24"/>
          <w:shd w:fill="auto" w:val="clear"/>
        </w:rPr>
        <w:t xml:space="preserve">(1), 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Kislin, M., et al. Flat-floored air-lifted platform: a new method for combining behavior with microscopy or electrophysiology on awake freely moving rodents.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(88), e51869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Holtmaat, A., et al. Long-term, high-resolution imaging in the mouse neocortex through a chronic cranial window.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(8), 1128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Hauglund, N. L., et al. Meningeal lymphangiogenesis and enhanced glymphatic activity in mice with chronically implanted EEG electrodes.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 </w:t>
      </w:r>
      <w:r>
        <w:rPr>
          <w:rFonts w:ascii="Calibri" w:hAnsi="Calibri" w:cs="Calibri" w:eastAsia="Calibri"/>
          <w:color w:val="auto"/>
          <w:spacing w:val="0"/>
          <w:position w:val="0"/>
          <w:sz w:val="24"/>
          <w:shd w:fill="auto" w:val="clear"/>
        </w:rPr>
        <w:t xml:space="preserve">(11), 2371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2380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De Paola, V., et al. Cell type-specific structural plasticity of axonal branches and boutons in the adult neocortex.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 </w:t>
      </w:r>
      <w:r>
        <w:rPr>
          <w:rFonts w:ascii="Calibri" w:hAnsi="Calibri" w:cs="Calibri" w:eastAsia="Calibri"/>
          <w:color w:val="auto"/>
          <w:spacing w:val="0"/>
          <w:position w:val="0"/>
          <w:sz w:val="24"/>
          <w:shd w:fill="auto" w:val="clear"/>
        </w:rPr>
        <w:t xml:space="preserve">(6), 861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Cheng, A., et al. Simultaneous two-photon calcium imaging at different depths with spatiotemporal multiplexing.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(2), 139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Yang, G., et al. Thinned-skull cranial window technique for long-term imaging of the cortex in live mice.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(2), 201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Shih, A.Y., et al. A polished and reinforced thinned-skull window for long-term imaging of the mouse brain.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(61), 3742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Helm, P. J., Ottersen, O. P., Nase, G. Analysis of optical properties of the mouse cranium--implications for in vivo multi photon laser scanning microscopy.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178 </w:t>
      </w:r>
      <w:r>
        <w:rPr>
          <w:rFonts w:ascii="Calibri" w:hAnsi="Calibri" w:cs="Calibri" w:eastAsia="Calibri"/>
          <w:color w:val="auto"/>
          <w:spacing w:val="0"/>
          <w:position w:val="0"/>
          <w:sz w:val="24"/>
          <w:shd w:fill="auto" w:val="clear"/>
        </w:rPr>
        <w:t xml:space="preserve">(2), 316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Stobart, J. L., et al. Long-term in vivo calcium imaging of astrocytes reveals distinct cellular compartment responses to sensory stimulation. </w:t>
      </w:r>
      <w:r>
        <w:rPr>
          <w:rFonts w:ascii="Calibri" w:hAnsi="Calibri" w:cs="Calibri" w:eastAsia="Calibri"/>
          <w:i/>
          <w:color w:val="auto"/>
          <w:spacing w:val="0"/>
          <w:position w:val="0"/>
          <w:sz w:val="24"/>
          <w:shd w:fill="auto" w:val="clear"/>
        </w:rPr>
        <w:t xml:space="preserve">Cerebral Cortex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(1), 184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Pryazhnikov, E., et al. Longitudinal two-photon imaging in somatosensory cortex of behaving mice reveals dendritic spine formation enhancement by subchronic administration of low-dose ketamine.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(1), 6464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Thrane, A. S., et al. General anesthesia selectively disrupts astrocyte calcium signaling in the awake mouse cortex. </w:t>
      </w:r>
      <w:r>
        <w:rPr>
          <w:rFonts w:ascii="Calibri" w:hAnsi="Calibri" w:cs="Calibri" w:eastAsia="Calibri"/>
          <w:i/>
          <w:color w:val="auto"/>
          <w:spacing w:val="0"/>
          <w:position w:val="0"/>
          <w:sz w:val="24"/>
          <w:shd w:fill="auto" w:val="clear"/>
        </w:rPr>
        <w:t xml:space="preserve">Proceedings of the National Academy of Sciences of the United States of America. </w:t>
      </w:r>
      <w:r>
        <w:rPr>
          <w:rFonts w:ascii="Calibri" w:hAnsi="Calibri" w:cs="Calibri" w:eastAsia="Calibri"/>
          <w:b/>
          <w:color w:val="auto"/>
          <w:spacing w:val="0"/>
          <w:position w:val="0"/>
          <w:sz w:val="24"/>
          <w:shd w:fill="auto" w:val="clear"/>
        </w:rPr>
        <w:t xml:space="preserve">109 </w:t>
      </w:r>
      <w:r>
        <w:rPr>
          <w:rFonts w:ascii="Calibri" w:hAnsi="Calibri" w:cs="Calibri" w:eastAsia="Calibri"/>
          <w:color w:val="auto"/>
          <w:spacing w:val="0"/>
          <w:position w:val="0"/>
          <w:sz w:val="24"/>
          <w:shd w:fill="auto" w:val="clear"/>
        </w:rPr>
        <w:t xml:space="preserve">(46), 18974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18979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Paukert, M., et al. Norepinephrine controls astroglial responsiveness to local circuit activity.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 </w:t>
      </w:r>
      <w:r>
        <w:rPr>
          <w:rFonts w:ascii="Calibri" w:hAnsi="Calibri" w:cs="Calibri" w:eastAsia="Calibri"/>
          <w:color w:val="auto"/>
          <w:spacing w:val="0"/>
          <w:position w:val="0"/>
          <w:sz w:val="24"/>
          <w:shd w:fill="auto" w:val="clear"/>
        </w:rPr>
        <w:t xml:space="preserve">(6), 1263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Delekate, A., et al. Metabotropic P2Y1 receptor signalling mediates astrocytic hyperactivity in vivo in an Alzheimer's disease mouse model.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5422 (2014).</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