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Neuronal Apoptosis Model induced by Spinal Cord Compression in Rat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Yue-li Sun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Gan Li</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Zhong Zheng</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Min Yao</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Jia-Wen Cui</w:t>
      </w:r>
      <w:r>
        <w:rPr>
          <w:rFonts w:ascii="Calibri" w:hAnsi="Calibri" w:cs="Calibri" w:eastAsia="Calibri"/>
          <w:color w:val="auto"/>
          <w:spacing w:val="0"/>
          <w:position w:val="0"/>
          <w:sz w:val="24"/>
          <w:shd w:fill="FFFFFF" w:val="clear"/>
          <w:vertAlign w:val="superscript"/>
        </w:rPr>
        <w:t xml:space="preserve">1,2,3</w:t>
      </w:r>
      <w:r>
        <w:rPr>
          <w:rFonts w:ascii="Calibri" w:hAnsi="Calibri" w:cs="Calibri" w:eastAsia="Calibri"/>
          <w:color w:val="auto"/>
          <w:spacing w:val="0"/>
          <w:position w:val="0"/>
          <w:sz w:val="24"/>
          <w:shd w:fill="FFFFFF" w:val="clear"/>
        </w:rPr>
        <w:t xml:space="preserve">, Shu-fen Liu</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Long-Yun Zhou</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Kim-Sia Sng</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Xue-jun Cui</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Yong-jun Wang</w:t>
      </w:r>
      <w:r>
        <w:rPr>
          <w:rFonts w:ascii="Calibri" w:hAnsi="Calibri" w:cs="Calibri" w:eastAsia="Calibri"/>
          <w:color w:val="auto"/>
          <w:spacing w:val="0"/>
          <w:position w:val="0"/>
          <w:sz w:val="24"/>
          <w:shd w:fill="FFFFFF"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Longhua Hospital, Shanghai University of Traditional Chinese Medicine, Shanghai 200032,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Spine Research Institute, Shanghai University of Traditional Chinese Medicine, Shanghai 200032,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Shanghai University of Traditional Chinese Medicine, Shanghai 201203,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YL Sun, G Li, and Z Zheng contributed equally to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Yue-li Sun         </w:t>
        <w:tab/>
        <w:t xml:space="preserve"> yueli_sun@foxmail.com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 Li                </w:t>
        <w:tab/>
        <w:t xml:space="preserve"> 493224468@qq.com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 Zheng.    </w:t>
        <w:tab/>
        <w:t xml:space="preserve"> 757578713@qq.com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 Yao            </w:t>
        <w:tab/>
        <w:t xml:space="preserve"> yaomin19871223@126.com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Jia-Wen Cui      </w:t>
        <w:tab/>
        <w:t xml:space="preserve"> cuijiawen2011@163.com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Shu-Fen Liu.     </w:t>
        <w:tab/>
        <w:t xml:space="preserve"> xiaoliufenfen@139.com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Long-Yun Zhou</w:t>
        <w:tab/>
        <w:t xml:space="preserve">228970442@qq.com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Kim-Sia Sng      </w:t>
        <w:tab/>
        <w:t xml:space="preserve">kimsiasng@hotmail.com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Xue-jun Cui                  13917715524@139.com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Yong-jun Wang            yjwang8888@126.com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Xue-jun Cui.                 13917715524@139.com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Yong-jun Wang            yjwang8888@126.com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cervical spondylotic myelopathy, </w:t>
      </w:r>
      <w:r>
        <w:rPr>
          <w:rFonts w:ascii="Calibri" w:hAnsi="Calibri" w:cs="Calibri" w:eastAsia="Calibri"/>
          <w:color w:val="auto"/>
          <w:spacing w:val="0"/>
          <w:position w:val="0"/>
          <w:sz w:val="24"/>
          <w:shd w:fill="FFFFFF" w:val="clear"/>
        </w:rPr>
        <w:t xml:space="preserve">spinal cord compression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neuronal apoptosis,</w:t>
      </w:r>
      <w:r>
        <w:rPr>
          <w:rFonts w:ascii="Calibri" w:hAnsi="Calibri" w:cs="Calibri" w:eastAsia="Calibri"/>
          <w:color w:val="auto"/>
          <w:spacing w:val="0"/>
          <w:position w:val="0"/>
          <w:sz w:val="24"/>
          <w:shd w:fill="auto" w:val="clear"/>
        </w:rPr>
        <w:t xml:space="preserve"> rat, animal model,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generate a rat spinal cord compression model, assess its behavioral score, and observe the compressed spinal cord region. The behavioral assessments showed decreased monitor motor disability. Hematoxylin and eosin staining and immunostaining revealed considerable neuronal apoptosis in the compressed region of the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severe progressive degenerative disease, cervical spondylotic myelopathy (CSM) has a poor prognosis and is associated with physical pain, stiffness, motor or sensory dysfunction, and a high risk of spinal cord injury and acroparalysis. Thus, therapeutic strategies that promote efficient spinal cord regeneration in this chronic and progressive disease are urgently needed. Effective and reproducible animal spinal cord compression models are required to understand the complex biological mechanism underlying CSM. Most spinal cord injury models reflect acute and structural destructive conditions, whereas animal models of CSM present a chronic compression in the spinal cord. This paper presents a protocol to generate a rat spinal cord compression model, which was further evaluated by assessing the behavioral score and observing the compressed spinal cord region. The behavioral assessments showed decreased monitor motor disability, including joint movements, stepping ability, coordination, trunk stability, and limb muscle strength. Hematoxylin and eosin (H&amp;amp;E) staining and immunostaining revealed considerable neuronal apoptosis in the compressed region of the spinal cord.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common progressive degenerative disease, CSM accounts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all cervical spondylosis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If patients suffering from CSM ignore their symptoms and fail to treat them in a timely and effective manner, this could lead to severe complications, such as spinal cord injury and limb paralysis, which would deteriorate with aging, posing a substantial economic and mental burden to patients and their families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pathogenesis of CSM is complex, involving static and dynamic factors, the hypoxia-ischemia theory, endothelial cell injury, the blood spinal cord barrier destruction theory, and the inflammation and apoptosis theory</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static and dynamic mechanisms of compression on the spinal cord cause clinical symptoms. Protruding vertebral discs, deformed vertebral bodies, and calcified ligaments may cause prolonged spinal cord compression, which will gradually affect the blood-spinal cord barrier and local microvasculature in the spinal cord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In turn, ischemia, inflammation, and apoptosis affect the neurons, axons, and glial cells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animal models of spinal cord injury include contusive injury, compressive injury, traction injury, photochemical-induced injury, and ischemia-reperfusion injury. Most of these models also reflect some acute and structural destructive conditions (transection or chemical toxicity). However, these animal models of CSM cannot present progressive neuronal apoptosis in the spinal cord.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detailed protocol to generate a rat spinal cord compression model, which was further evaluated by assessing the behavioral score and observing the compressed region of the spinal cord. This rat spinal cord compression model is a reliable animal model for further investigation of the mechanisms involved in CSM.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procedure was performed with approval from the Institutional Animal Care and Use Committee (IACUC), Shanghai University of Traditional Chinese. All survival surgeries were performed under sterile conditions as outlined by the NIH guidelines. Pain and risk of infections were managed with appropriate analgesics and antibiotics to ensure a successful outcome. This surgical procedure is optimized for Sprague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Dawley (SD) outbred male rats at 12 weeks of age and 400 g weight.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PVA-polyacrylamide hydrogel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shown in </w:t>
      </w:r>
      <w:r>
        <w:rPr>
          <w:rFonts w:ascii="Calibri" w:hAnsi="Calibri" w:cs="Calibri" w:eastAsia="Calibri"/>
          <w:b/>
          <w:color w:val="auto"/>
          <w:spacing w:val="0"/>
          <w:position w:val="0"/>
          <w:sz w:val="24"/>
          <w:shd w:fill="auto" w:val="clear"/>
        </w:rPr>
        <w:t xml:space="preserve">Figure 1G,H</w:t>
      </w:r>
      <w:r>
        <w:rPr>
          <w:rFonts w:ascii="Calibri" w:hAnsi="Calibri" w:cs="Calibri" w:eastAsia="Calibri"/>
          <w:color w:val="auto"/>
          <w:spacing w:val="0"/>
          <w:position w:val="0"/>
          <w:sz w:val="24"/>
          <w:shd w:fill="auto" w:val="clear"/>
        </w:rPr>
        <w:t xml:space="preserve">, the PVA-polyacrylamide hydrogel is a water-absorbing polymer sheet. In the natural state, the gel is extremely difficult to cut into small pieces. The preparation is described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Place a PVA-polyacrylamide hydrogel in water for 24 h to make it easier to cut after hydration.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Use a self-made cutting tool (</w:t>
      </w:r>
      <w:r>
        <w:rPr>
          <w:rFonts w:ascii="Calibri" w:hAnsi="Calibri" w:cs="Calibri" w:eastAsia="Calibri"/>
          <w:b/>
          <w:color w:val="auto"/>
          <w:spacing w:val="0"/>
          <w:position w:val="0"/>
          <w:sz w:val="24"/>
          <w:shd w:fill="FFFF00" w:val="clear"/>
        </w:rPr>
        <w:t xml:space="preserve">Figure 1H</w:t>
      </w:r>
      <w:r>
        <w:rPr>
          <w:rFonts w:ascii="Calibri" w:hAnsi="Calibri" w:cs="Calibri" w:eastAsia="Calibri"/>
          <w:color w:val="auto"/>
          <w:spacing w:val="0"/>
          <w:position w:val="0"/>
          <w:sz w:val="24"/>
          <w:shd w:fill="FFFF00" w:val="clear"/>
        </w:rPr>
        <w:t xml:space="preserve">) to divide the whole hydrogel into pieces, sized 2 mm x 2 mm x 2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Transfer these hydrogel pieces to an oven at 60 &amp;#176;C for 12 h for dehydration into small pieces of 1 mm x 1 mm x 1 mm as implantation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Anesthesia and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wear a surgical cap, disposable medical masks, and sterile surgical gloves throughout the sterile surgical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rat on a heating pad, and ensure that rectal temperature is maintained at 37&amp;plusmn;1 &amp;#176;C during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the rat into the anesthesia chamber filled with 3% isoflurane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Gently pinch the rat’s limbs and toes with tweezers to test for loss of withdrawal response, indicating successful anesthetization.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Fix the rat on the operating table in a prone position, ensuring that the limbs and head of the rat are firmly fixed.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Fix the anesthesia mask to the face of the rat. Administer 2% isoflurane in an oxygen/air mixture via a standard rat nose mask to anesthetize the rat throughout the spinal compression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Place a cylindrical gauze pad (size of about 30 mm x 20 mm x 60 mm) between the rat and the operating table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to ensure an unobstructed airway and fully exposed surgical site throughout the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Shave the hair around the surgical area of the rat’s neck with an electric shaver.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Apply depilating cream to remove the remaining hair and expose the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Disinfect the surgical area with iodophor.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Cover the disinfected area with a sterile towel with a hole exposing only the surgical area on the dorsal side of the rat’s neck.</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Surgical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Percutaneously positioning the second cervical spinous process and second thoracic spinous process, make a longitudinal incision in the dorsal midline with a scalpel from the second cervical spinous process to the second thoracic spinous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Move the obtuse muscles of both sides with hemostatic forceps to expose the C2-T2 lamina after cutting subcutaneous tissue and fascia layer by layer.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Remove the ligamentum flavum between the C2-T2 lamina of the right side using microscopic shears, and separate the lamina to expose the dura mater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Separate the dural membranes carefully from the lamina using toothed forceps to expose the space beneath the lamina.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Drill a hole (1 mm x 1 mm) on the cervical laminar.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excessive injury on the spinal cord, ensure that the rat’s neck is maintained in a dorsal arch state, allowing sufficient space between the cervical laminas.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Use microsurgical forceps to grasp a piece of PVA-polyacrylamide hydrogel of the size of 1 mm x 1 mm x 1 mm and insert it into the previously drilled hole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Transient twitching performance indicates the spinal cord compression model has been established successfully.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Suture the muscle, fascia, subcutaneous, and skin tissues, layer by layer, using triangular needles and 5-0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After disinfection, transfer the animals back to the cage and keep them warm.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Subcutaneously inject buprenorphine hydrochloride analgesia (0.03 mg/kg) every 6 h for 3 days following the surgery and as needed after that.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Postoperative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Inject an equivalent of 100,000 units of penicillin intraperitoneally into the rats once a day to prevent postoperative infection and relieve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Transfer the rats to new cages that have been continuously heated with an infrared lamp to ensure adequate heat preservation postoperatively.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the heating lamp after the rat’s consciousness is restored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Maintain hygiene and ventilation of the rat’s feeding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Assist the rats with eating and drinking twice a day. </w:t>
      </w:r>
      <w:r>
        <w:rPr>
          <w:rFonts w:ascii="Calibri" w:hAnsi="Calibri" w:cs="Calibri" w:eastAsia="Calibri"/>
          <w:color w:val="auto"/>
          <w:spacing w:val="0"/>
          <w:position w:val="0"/>
          <w:sz w:val="24"/>
          <w:shd w:fill="FFFF00" w:val="clear"/>
        </w:rPr>
        <w:t xml:space="preserve">If necessary, administer a bladder massage to assist in urination until the urinary function is restored.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Behavioral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the Basso, Beattie, and Bresnahan (BBB) rating scale to assess postoperative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BBB rating scale is a gold standard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used to evaluate spinal cord-related function in rats. It assesses rats’ movement according to scores ranging from 0 (no hind limb movement was observed) to 21 (gait coordination, toe space consistency, main claw position parallel in the whole posture, consistent trunk stability, and consistent tail elevation).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Grip strength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Use an electronic grip strength meter to measure grip strength.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Grab the lower half of the rat to suspend the rat and allow it to grab the metal rod of the front grip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When the rat grasps the metal rod, pull it away and record the grip strength.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Measure the grip strength three times for each rat and record the highest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Inclined plate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Place the rat on a rubber plate with an adjustable 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Gradually raise the inclined plate angle by 5&amp;#176; each time until the rat manages to balance and stand firm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Record the maximum angle at which the rat can balance itself on the inclined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Measure the maximum angle three times for each rat and record the highest score.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r>
      <w:r>
        <w:rPr>
          <w:rFonts w:ascii="Calibri" w:hAnsi="Calibri" w:cs="Calibri" w:eastAsia="Calibri"/>
          <w:b/>
          <w:color w:val="auto"/>
          <w:spacing w:val="0"/>
          <w:position w:val="0"/>
          <w:sz w:val="24"/>
          <w:shd w:fill="FFFFFF" w:val="clear"/>
        </w:rPr>
        <w:t xml:space="preserve">Euthanasia,</w:t>
      </w:r>
      <w:r>
        <w:rPr>
          <w:rFonts w:ascii="Calibri" w:hAnsi="Calibri" w:cs="Calibri" w:eastAsia="Calibri"/>
          <w:b/>
          <w:color w:val="auto"/>
          <w:spacing w:val="0"/>
          <w:position w:val="0"/>
          <w:sz w:val="24"/>
          <w:shd w:fill="auto" w:val="clear"/>
        </w:rPr>
        <w:t xml:space="preserve"> spinal cord separation, and frozen 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appropriate eye goggles and face shield/mask are worn to protect the eyes, face, and respiratory tract from paraformaldehyde and formaldehyde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Inject an equivalent of 10% chloral hydrate intraperitoneally to anesthetize the rats before opening the sternum to expose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Insert a perfusion needle into the apex of the heart, fix it with hemostatic forceps, and slowly infuse with normal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Drill a hole on the right atrial appendage until clean normal saline flows out of the right atrium, indicating a successful 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Inject normal saline to expand the volume of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Cut the right auricular appendage with scissors to let the blood flow out with normal saline, indicating complete systemic circulation.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Stop the normal saline perfusion after the liver turns 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Infuse with an equivalent of 10% paraformaldehyde until the rat’s body becomes stiff.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After paraformaldehyde perfusion, remove the skin, muscles, and soft tissues around the spine; separate the C2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C7 segment of the cervical spine; and immerse it into 10% paraformaldehyde for fixation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Separate the cervical spinal cord from the spine and place it into a concentration gradient of 10%, 20%, and 30% sucrose solutions for gradual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Transfer the compressed spinal cord of 2 mm height along with an OCT embedding agent into a -80 &amp;#176;C freezer.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After sectioning into 7-&amp;#181;m-thick slices and staining (H&amp;amp;E staining and dUTP nick end labeling (TUNEL)/neuronal nuclei (NeuN), see section 9), observe the histopathology of the spinal cord and neuronal apoptosis,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TUNEL/NeuN 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Immerse the spinal cord sections in 1.2% hydrogen peroxide for 20 min at room temperature to inhibit the endogenous peroxidase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Incubate the spinal cord sections with a rabbit polyclonal anti-NeuN antibody (diluted 1:500;) and perform the one-step TUNEL apoptosis assay (green fluorescence) in phosphate-buffered saline with 0.3% Triton X-100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Incubate the spinal cord sections with biotinylated anti-rabbit IgG secondary antibody for 2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Immerse the spinal cord sections with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-diaminobenzidine solution (0.06% DAB agar) in 0.01 M PBS buffer (100 mL) and 30% hydrogen peroxide (50 &amp;#181;L) for 1 min to visualize the immune reactions.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Spinal cord compressive injury may lead to neuromuscular disability in limbs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hydrogel piece expands gradually, it persistently compresses the spinal cord region for a prolonged period, which simulates the forelimb disabilities induced by cervical spinal cord diseases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In the current model, considerable ipsilateral forepaw contracture was observed in most of the rats (9/10) in the model group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Further measurement and analysis of the forepaws’ length and width were conducted on a piece of paper with a grid line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data revealed that the length and width of the ipsilateral forepaws in the model group were remarkably decreased one day post-surgery (P &amp;lt; 0.01). However, no significant difference was detected in the contralateral forepaws between the control and model groups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progress and neuromuscular disability in limbs, the BBB rating scale, inclined plane test, and forelimb grip test were employed for observation on days 1, 3, 7, 14, 21, and 28 after the surgery. One-way or two-way analysis with Tukey's test was performed to analyze normally distributed data. A nonparametric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-test with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analysis was performed for data that were not normally distributed but contained equal variances. Data are expressed as mean &amp;plusmn; standard deviation (SD). Differences were considered statistically significant at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the BBB scores of the rats in the model group gradually decreased on days 1 and 3 after the surgery, presenting significant functional disability during the early phase, especially on the ipsilateral side (</w:t>
      </w:r>
      <w:r>
        <w:rPr>
          <w:rFonts w:ascii="Calibri" w:hAnsi="Calibri" w:cs="Calibri" w:eastAsia="Calibri"/>
          <w:b/>
          <w:color w:val="auto"/>
          <w:spacing w:val="0"/>
          <w:position w:val="0"/>
          <w:sz w:val="24"/>
          <w:shd w:fill="auto" w:val="clear"/>
        </w:rPr>
        <w:t xml:space="preserve">Figure 2D,E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Although recovery for spinal cord compression was observed in both the model and control groups, the rats in the model group showed a tardy and incomplete recovery of the aberrant forepaw function and balancing ability compared to the control group at 4 weeks post-surgery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Significant differences between the model and control groups were maintained in the inclined plane score and grip strength on day 28 post-surgery. These combined results indicate that this surgery induces progressive compression on the cervical spinal cord and causes deterioration of motor ability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Histological changes and inflammation induced by compression in the spinal cord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separating the cervical spinal cord, a prominent indentation of 2 mm depth and 2 mm x 2 mm area could be observed on the spinal cord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assess the morphometric changes, the spinal cord sections were stained and viewed under a light microscope. The H&amp;amp;E staining revealed the infiltration of immune cells and a dramatic loss of neurons in the compressive region of the spinal cord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addition, the immunostaining revealed a dramatic increase in neuronal apoptosis in the spinal cord compression site in the model group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Some cells or tissues have high nuclease and polymerase activity levels, which could result in nonspecific fluorescence. Hence, the tissue was immobilized immediately after it was extracted to prevent these enzymes from causing false positives. TUNEL staining is nonspecific and can be employed in the event of cell or neuron death. NeuN is a specific staining marker for neurons. As a result, merged images from TUNEL staining and NeuN staining were used to demonstrate neuronal apoptosis.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schematic of the surgical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gauze pad was placed under the rat to ensure that the airway of the rat was clear during the operation.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surgical procedure of hydrogel implantation into the cervical spinal canal; the yellow arrowhead points to a tiny hole drilled on the vertebral plate of C6, and the green arrowhead indicates the dehydrated hydrogel block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schematic of the surgical procedure.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three-dimensional schematic of spinal cord compression.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Water-absorbing property of the PVA-polyacrylamide hydrogel.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Preparation of the hydrogel block for spinal cord compression. Abbreviations: PVA = polyvinyl alcohol.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Morphology of the forepaw and behavioral observations with BBB scale, grip strength test, and inclined plate test.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typical feature of the ipsilateral forepaws of the control group (left) and model group (right) rats on the third day after surgery.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width and length of the forepaws of the rats were measured. The transverse red arrow is from the first finger to the fourth finger, and the longitudinal red arrow is from the tip of the longest finger to the root of the palm.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Quantitative analysis of the length and width of the ipsilateral forepaws in the model and control groups.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BBB score of both the ipsilateral and contralateral sides 1, 3, 7, 14, 21, and 28 days after surgery.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grip strength of both the ipsilateral and contralateral side forelimbs 1, 3, 7, 14, 21, and 28 days after surgery, assessed with the grip strength test.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Schematic of the inclined plate test.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strength and balance of both ipsilateral side and contralateral side limbs 1, 3, 10, 20, and 28 days after surgery, assessed with the inclined plate test. Data are presented as mean &amp;plusmn; SD. *P &amp;lt; 0.05 and **P &amp;lt; 0.01 vs. control group; n = 10/group. Abbreviation: BBB = Basso, Beattie, and Bresnahan rating 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Morphological changes and inflammatory responses after prolonged cervical spinal cord compression.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three-dimensional schematic of spinal cord compression.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indentation of 2 mm depth and 2 mm x 2 mm-area on the spinal cord.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spinal cord histological section at 28 days after compression and H&amp;amp;E staining. The infiltration of immune cells and a dramatic loss of neurons in the compressive region of the spinal cord. Red rectangle, ipsilateral side; green rectangle, contralateral; blue arrowheads, immune cells; yellow arrows, neurons.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Double staining for NeuN (red)/TUNEL (green) of sections from the spinal cord compression site in the model and control groups. Scale bars = 20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Quantification of NeuN and TUNEL double-positive cells. ***P &amp;lt; 0.001 compared to the control group; n = 10/group. Abbreviations: H &amp;amp; E = hematoxylin and eosin; NeuN = neuronal nuclei; TUNEL = dUTP nick end labeling.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21-point functional evaluation scale of Basso et al.</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surgical procedure was to generate reproducible, prolonged, inflammatory infiltration in the rat spinal cord. A key advantage of this model is that the expandable hydrogel implants provide an initial blunt injury and subsequent inflammation in the spinal cord, thereby leading to a progressive inflammatory response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which is consistent with the pathological process of CSM. In the current study, the mortality from spinal cord injury was extremely low (~2 in 50), whereas the repeatability of this model was &amp;gt; 45 in 50.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Incorrect size of the hydrogel pieces and vigorous implantation during the surgery might cause an acute injury to the spinal cord</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unpublished study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found that implantation with an expansion rate of 350% resulted in temporary and acute CSM with progressive recovery for several weeks. An expansion rate of 200% caused a slow progressive paralysis in the CSM model because the implants were harder than the spinal cord. However, in this model, we were not interested in the hardness of the implanted material, only in the final size of this implantation. After 4 weeks, an indentation on the spinal cord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was observed, which reflected the sustained constriction on the spinal cord, aggravated neuroinflammation, and neuronal apoptosis.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is no consensus on the size of the implants. Several studies used absorbent sheets with a thickness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mm</w:t>
      </w:r>
      <w:r>
        <w:rPr>
          <w:rFonts w:ascii="Calibri" w:hAnsi="Calibri" w:cs="Calibri" w:eastAsia="Calibri"/>
          <w:color w:val="auto"/>
          <w:spacing w:val="0"/>
          <w:position w:val="0"/>
          <w:sz w:val="24"/>
          <w:shd w:fill="auto" w:val="clear"/>
          <w:vertAlign w:val="superscript"/>
        </w:rPr>
        <w:t xml:space="preserve">15,16,17,18</w:t>
      </w:r>
      <w:r>
        <w:rPr>
          <w:rFonts w:ascii="Calibri" w:hAnsi="Calibri" w:cs="Calibri" w:eastAsia="Calibri"/>
          <w:color w:val="auto"/>
          <w:spacing w:val="0"/>
          <w:position w:val="0"/>
          <w:sz w:val="24"/>
          <w:shd w:fill="auto" w:val="clear"/>
        </w:rPr>
        <w:t xml:space="preserve"> and reported functional disability from spinal compression. Another rat spinal cord compression study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showed that the loss of intact white matter and dramatic cord flattening were induced by severe cord compression (2.6 mm thickness), which reflected a compression strain without inflammation. Therefore, a large implant fabricated with a soft expandable material may be suitable for prolonged compression on the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model, the size of the hydrogel pieces and drill on the vertebral plate was strictly limited to a size of 1 mm x 1 mm x 1 mm to avoid acute spinal cord injury or accidental death due to any sudden force due to oversized implants. After 48 h of hydration, the hydrogel blocks expanded to a size of 2 mm x 2 mm x 2 mm. Clinically, the aggravation of symptoms in CSM patients is related to the sudden compression of the spinal cord, which is from continuous disc herniated compression on the spinal cord and subsequent lower compensated adaptation induced by inflammation and edema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could explain why unilateral hydrogel inflammatory infiltration leads to a bilateral neurological function deficit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animal model is that rats show strong adaptation to any injury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facilitates quick recovery. Several studies have shown continuous improvements in neurological function over time after the compression operation</w:t>
      </w:r>
      <w:r>
        <w:rPr>
          <w:rFonts w:ascii="Calibri" w:hAnsi="Calibri" w:cs="Calibri" w:eastAsia="Calibri"/>
          <w:color w:val="auto"/>
          <w:spacing w:val="0"/>
          <w:position w:val="0"/>
          <w:sz w:val="24"/>
          <w:shd w:fill="auto" w:val="clear"/>
          <w:vertAlign w:val="superscript"/>
        </w:rPr>
        <w:t xml:space="preserve">15,16,17,18,21,22,15-18,21,22</w:t>
      </w:r>
      <w:r>
        <w:rPr>
          <w:rFonts w:ascii="Calibri" w:hAnsi="Calibri" w:cs="Calibri" w:eastAsia="Calibri"/>
          <w:color w:val="auto"/>
          <w:spacing w:val="0"/>
          <w:position w:val="0"/>
          <w:sz w:val="24"/>
          <w:shd w:fill="auto" w:val="clear"/>
        </w:rPr>
        <w:t xml:space="preserve">, whereas only a few studies have reported a deteriorating trend. In addition, most CSM patients show either a gradual recovery or deterioration in neurological function under consistent compression on the spinal cord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 there was no significant difference in the motor function in the current model after 4 weeks, we stopped the behavioral assessment and euthanized the rats for further histological investigations. In summary, this study presents a neural apoptosis model induced by spinal cord compression in rat, a practical animal model to study the cellular and molecular mechanisms associated with CSM and spinal cord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and state that there are no restrictions on full access to all the materials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Key R&amp;amp;D Program of China (2018YFC1704300), National Natural Science Foundation of China (81930116, 81804115, 81873317, and 81704096), Shanghai Sailing Program (18YF1423800). This project was also supported by the Shanghai University of Traditional Chinese Medicine (2019LK057).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Lebl, D. R., Bono, C. M. Update on the diagnosis and management of cervical spondylotic myelopathy. </w:t>
      </w:r>
      <w:r>
        <w:rPr>
          <w:rFonts w:ascii="Calibri" w:hAnsi="Calibri" w:cs="Calibri" w:eastAsia="Calibri"/>
          <w:i/>
          <w:color w:val="auto"/>
          <w:spacing w:val="0"/>
          <w:position w:val="0"/>
          <w:sz w:val="24"/>
          <w:shd w:fill="auto" w:val="clear"/>
        </w:rPr>
        <w:t xml:space="preserve">The Journal of the American Academy of Orthopaedic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Haddas, R. et al. Spine and lower extremity kinematics during gait in patients with cervical spondylotic myelopathy. </w:t>
      </w:r>
      <w:r>
        <w:rPr>
          <w:rFonts w:ascii="Calibri" w:hAnsi="Calibri" w:cs="Calibri" w:eastAsia="Calibri"/>
          <w:i/>
          <w:color w:val="auto"/>
          <w:spacing w:val="0"/>
          <w:position w:val="0"/>
          <w:sz w:val="24"/>
          <w:shd w:fill="auto" w:val="clear"/>
        </w:rPr>
        <w:t xml:space="preserve">The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Song, D. W., Wu, Y. D. Tian, D. D. Association of Vdr-Foki and Vdbp-Thr420 Lys polymorphisms with cervical spondylotic myelopathy: A case-control study in the population of China. </w:t>
      </w:r>
      <w:r>
        <w:rPr>
          <w:rFonts w:ascii="Calibri" w:hAnsi="Calibri" w:cs="Calibri" w:eastAsia="Calibri"/>
          <w:i/>
          <w:color w:val="auto"/>
          <w:spacing w:val="0"/>
          <w:position w:val="0"/>
          <w:sz w:val="24"/>
          <w:shd w:fill="auto" w:val="clear"/>
        </w:rPr>
        <w:t xml:space="preserve">Journal of Clinical Laboratory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e22669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Kurokawa, R., Murata, H., Ogino, M., Ueki, K., Kim, P. Altered blood flow distribution in the rat spinal cord under chronic compression.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(13), 1006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Wen, C. Y. et al. Is Diffusion anisotropy a biomarker for disease severity and surgical prognosis of cervical spondylotic myelopathy?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(1),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Long, H. Q., Li, G. S., Hu, Y., Wen, C. Y. Xie, W. H. Hif-1</w:t>
      </w:r>
      <w:r>
        <w:rPr>
          <w:rFonts w:ascii="Calibri" w:hAnsi="Calibri" w:cs="Calibri" w:eastAsia="Calibri"/>
          <w:color w:val="auto"/>
          <w:spacing w:val="0"/>
          <w:position w:val="0"/>
          <w:sz w:val="24"/>
          <w:shd w:fill="auto" w:val="clear"/>
        </w:rPr>
        <w:t xml:space="preserve">Α/Vegf signaling pathway may play a dual role in secondary pathogenesis of cervical myelopathy. </w:t>
      </w:r>
      <w:r>
        <w:rPr>
          <w:rFonts w:ascii="Calibri" w:hAnsi="Calibri" w:cs="Calibri" w:eastAsia="Calibri"/>
          <w:i/>
          <w:color w:val="auto"/>
          <w:spacing w:val="0"/>
          <w:position w:val="0"/>
          <w:sz w:val="24"/>
          <w:shd w:fill="auto" w:val="clear"/>
        </w:rPr>
        <w:t xml:space="preserve">Medical Hypotheses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Karadimas, S. K., Erwin, W. M., Ely, C. G., Dettori, J. R., Fehlings, M. G. Pathophysiology and natural history of cervical spondylotic myelopathy.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S21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Wilson, J. R. et al. State of the art in degenerative cervical myelopathy: an update on current clinical evidence.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S33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Baptiste, D. C., Fehlings, M. G. Pathophysiology of cervical myelopathy. </w:t>
      </w:r>
      <w:r>
        <w:rPr>
          <w:rFonts w:ascii="Calibri" w:hAnsi="Calibri" w:cs="Calibri" w:eastAsia="Calibri"/>
          <w:i/>
          <w:color w:val="auto"/>
          <w:spacing w:val="0"/>
          <w:position w:val="0"/>
          <w:sz w:val="24"/>
          <w:shd w:fill="auto" w:val="clear"/>
        </w:rPr>
        <w:t xml:space="preserve">The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190S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197S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Wilcox, J. T. et al. Generating level-dependent models of cervical and thoracic spinal cord injury: exploring the interplay of neuroanatomy, physiology, and function.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Takano, M. et al. Inflammatory cascades mediate synapse elimination in spinal cord compression.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Hu, Y. et al. Somatosensory-evoked potentials as an indicator for the extent of ultrastructural damage of the spinal cord after chronic compressive injuries in a rat model.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(7), 1440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Yang, T. et al. Inflammation level after decompression surgery for a rat model of chronic severe spinal cord compression and effects on ischemia-reperfusion injury. </w:t>
      </w:r>
      <w:r>
        <w:rPr>
          <w:rFonts w:ascii="Calibri" w:hAnsi="Calibri" w:cs="Calibri" w:eastAsia="Calibri"/>
          <w:i/>
          <w:color w:val="auto"/>
          <w:spacing w:val="0"/>
          <w:position w:val="0"/>
          <w:sz w:val="24"/>
          <w:shd w:fill="auto" w:val="clear"/>
        </w:rPr>
        <w:t xml:space="preserve">Neurologia Medico-Chirurgica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(7), 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Ijima, Y. et al. Experimental rat model for cervical compressive myelopathy.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(18), 1239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Yamamoto, S., Kurokawa, R., Kim, P. Cilostazol, a selective type iii phosphodiesterase inhibitor: prevention of cervical myelopathy in a rat chronic compression model. </w:t>
      </w:r>
      <w:r>
        <w:rPr>
          <w:rFonts w:ascii="Calibri" w:hAnsi="Calibri" w:cs="Calibri" w:eastAsia="Calibri"/>
          <w:i/>
          <w:color w:val="auto"/>
          <w:spacing w:val="0"/>
          <w:position w:val="0"/>
          <w:sz w:val="24"/>
          <w:shd w:fill="auto" w:val="clear"/>
        </w:rPr>
        <w:t xml:space="preserve">Journal of Neurosurgery. 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Holly, L. T.et al. Dietary therapy to promote neuroprotection in chronic spinal cord injury. </w:t>
      </w:r>
      <w:r>
        <w:rPr>
          <w:rFonts w:ascii="Calibri" w:hAnsi="Calibri" w:cs="Calibri" w:eastAsia="Calibri"/>
          <w:i/>
          <w:color w:val="auto"/>
          <w:spacing w:val="0"/>
          <w:position w:val="0"/>
          <w:sz w:val="24"/>
          <w:shd w:fill="auto" w:val="clear"/>
        </w:rPr>
        <w:t xml:space="preserve">Journal of Neurosurgery. 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Zhao, P .et al. In vivo diffusion tensor imaging of chronic spinal cord compression: a rat model with special attention to the conus medullaris. </w:t>
      </w:r>
      <w:r>
        <w:rPr>
          <w:rFonts w:ascii="Calibri" w:hAnsi="Calibri" w:cs="Calibri" w:eastAsia="Calibri"/>
          <w:i/>
          <w:color w:val="auto"/>
          <w:spacing w:val="0"/>
          <w:position w:val="0"/>
          <w:sz w:val="24"/>
          <w:shd w:fill="auto" w:val="clear"/>
        </w:rPr>
        <w:t xml:space="preserve">Acta Radiologica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(12), 1531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Kurokawa, R., Nagayama, E .,Murata, H., Kim, P. Limaprost alfadex, a prostaglandin E1 derivative, prevents deterioration of forced exercise capability in rats with chronic compression of the spinal cord.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 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Lee J., Satkunendrarajah, K., Fehlings, M. G. Development and characterization of a novel rat model of cervical spondylotic myelopathy: the impact of chronic cord compression on clinical, neuroanatomical, and neurophysiological outcomes.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Chen, B. et al. Reactivation of dormant relay pathways in injured spinal cord by Kcc2 manipulations.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Yu, W. R., Liu, T., Kiehl, T. R., Fehlings, M. G. Human neuropathological and animal model evidence supporting a role for Fas-mediated apoptosis and inflammation in cervical spondylotic myelopathy.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Yu, W. R. et al. Molecular mechanisms of spinal cord dysfunction and cell death in the spinal hyperostotic mouse: implications for the pathophysiology of human cervical spondylotic myelopathy.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Iyer, A., Azad, T. D. Tharin, S. Cervical spondylotic myelopathy. </w:t>
      </w:r>
      <w:r>
        <w:rPr>
          <w:rFonts w:ascii="Calibri" w:hAnsi="Calibri" w:cs="Calibri" w:eastAsia="Calibri"/>
          <w:i/>
          <w:color w:val="auto"/>
          <w:spacing w:val="0"/>
          <w:position w:val="0"/>
          <w:sz w:val="24"/>
          <w:shd w:fill="auto" w:val="clear"/>
        </w:rPr>
        <w:t xml:space="preserve">Clinical Spine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 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