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03A5E6DA" w:rsidR="006E4797" w:rsidRDefault="00551D82">
      <w:pPr>
        <w:pBdr>
          <w:top w:val="nil"/>
          <w:left w:val="nil"/>
          <w:bottom w:val="nil"/>
          <w:right w:val="nil"/>
          <w:between w:val="nil"/>
        </w:pBdr>
        <w:rPr>
          <w:color w:val="000000"/>
        </w:rPr>
      </w:pPr>
      <w:r>
        <w:rPr>
          <w:b/>
          <w:color w:val="000000"/>
        </w:rPr>
        <w:t>TITLE:</w:t>
      </w:r>
    </w:p>
    <w:p w14:paraId="59AAC127" w14:textId="609F217D" w:rsidR="006E4797" w:rsidRPr="00F11D4F" w:rsidRDefault="00792B45">
      <w:r w:rsidRPr="00F11D4F">
        <w:t xml:space="preserve">Standing Neurophysiological Assessment of </w:t>
      </w:r>
      <w:r w:rsidR="006272B0">
        <w:t>L</w:t>
      </w:r>
      <w:r w:rsidRPr="00F11D4F">
        <w:t>ower Extremit</w:t>
      </w:r>
      <w:r w:rsidR="006272B0">
        <w:t>y Muscles</w:t>
      </w:r>
      <w:r w:rsidRPr="00F11D4F">
        <w:t xml:space="preserve"> Post-Stroke</w:t>
      </w:r>
    </w:p>
    <w:p w14:paraId="06C0C87E" w14:textId="77777777" w:rsidR="006E4797" w:rsidRDefault="006E4797">
      <w:pPr>
        <w:rPr>
          <w:b/>
        </w:rPr>
      </w:pPr>
    </w:p>
    <w:p w14:paraId="2CD8481E" w14:textId="6F91DAD4" w:rsidR="006E4797" w:rsidRDefault="00551D82">
      <w:pPr>
        <w:rPr>
          <w:color w:val="808080"/>
        </w:rPr>
      </w:pPr>
      <w:r>
        <w:rPr>
          <w:b/>
        </w:rPr>
        <w:t>AUTHORS AND AFFILIATIONS:</w:t>
      </w:r>
    </w:p>
    <w:p w14:paraId="1269996D" w14:textId="12545C12" w:rsidR="00792B45" w:rsidRPr="00F11D4F" w:rsidRDefault="00792B45">
      <w:r w:rsidRPr="00F11D4F">
        <w:t>John Harvey Kindred</w:t>
      </w:r>
      <w:r w:rsidRPr="00F11D4F">
        <w:rPr>
          <w:vertAlign w:val="superscript"/>
        </w:rPr>
        <w:t>1,2</w:t>
      </w:r>
      <w:r w:rsidR="00235BA5">
        <w:t xml:space="preserve">, </w:t>
      </w:r>
      <w:r w:rsidRPr="00F11D4F">
        <w:t>Christian Finetto</w:t>
      </w:r>
      <w:r w:rsidRPr="00F11D4F">
        <w:rPr>
          <w:vertAlign w:val="superscript"/>
        </w:rPr>
        <w:t>3</w:t>
      </w:r>
      <w:r w:rsidR="00235BA5">
        <w:t>,</w:t>
      </w:r>
      <w:r w:rsidR="00235BA5" w:rsidRPr="00006D07">
        <w:t xml:space="preserve"> </w:t>
      </w:r>
      <w:r w:rsidRPr="00F11D4F">
        <w:t xml:space="preserve">Jasmine </w:t>
      </w:r>
      <w:r w:rsidRPr="008A37EA">
        <w:t>Jamila</w:t>
      </w:r>
      <w:r w:rsidR="00E931AB">
        <w:t>h</w:t>
      </w:r>
      <w:r w:rsidRPr="00F11D4F">
        <w:t xml:space="preserve"> Cash</w:t>
      </w:r>
      <w:r w:rsidRPr="00F11D4F">
        <w:rPr>
          <w:vertAlign w:val="superscript"/>
        </w:rPr>
        <w:t>3</w:t>
      </w:r>
      <w:r w:rsidR="00235BA5">
        <w:t>,</w:t>
      </w:r>
      <w:r w:rsidR="00235BA5" w:rsidRPr="00006D07">
        <w:t xml:space="preserve"> </w:t>
      </w:r>
      <w:r w:rsidRPr="00F11D4F">
        <w:t>Mark Goodman Bowden</w:t>
      </w:r>
      <w:r w:rsidRPr="00F11D4F">
        <w:rPr>
          <w:vertAlign w:val="superscript"/>
        </w:rPr>
        <w:t>1,2,3</w:t>
      </w:r>
    </w:p>
    <w:p w14:paraId="2BCA84F8" w14:textId="135BF8C3" w:rsidR="00792B45" w:rsidRPr="00006D07" w:rsidRDefault="00792B45"/>
    <w:p w14:paraId="4A62FC13" w14:textId="66C2A232" w:rsidR="00792B45" w:rsidRPr="00F11D4F" w:rsidRDefault="00792B45">
      <w:r w:rsidRPr="00F11D4F">
        <w:rPr>
          <w:vertAlign w:val="superscript"/>
        </w:rPr>
        <w:t>1</w:t>
      </w:r>
      <w:r w:rsidRPr="00F11D4F">
        <w:t xml:space="preserve">Ralph H. Johnson Veterans Administration Medical Center, </w:t>
      </w:r>
      <w:r w:rsidR="006272B0">
        <w:t xml:space="preserve">Department of Research and Development, </w:t>
      </w:r>
      <w:r w:rsidRPr="00F11D4F">
        <w:t>Charleston, SC</w:t>
      </w:r>
    </w:p>
    <w:p w14:paraId="213F1079" w14:textId="23B4922E" w:rsidR="00792B45" w:rsidRPr="00F11D4F" w:rsidRDefault="00006D07">
      <w:r w:rsidRPr="00F11D4F">
        <w:rPr>
          <w:vertAlign w:val="superscript"/>
        </w:rPr>
        <w:t>2</w:t>
      </w:r>
      <w:r>
        <w:t>M</w:t>
      </w:r>
      <w:r w:rsidRPr="00F11D4F">
        <w:t xml:space="preserve">edical </w:t>
      </w:r>
      <w:r w:rsidR="00792B45" w:rsidRPr="00F11D4F">
        <w:t xml:space="preserve">University of South Carolina, College of Health Professions, </w:t>
      </w:r>
      <w:r w:rsidR="00036167">
        <w:t xml:space="preserve">Department of Rehabilitation Sciences, </w:t>
      </w:r>
      <w:r w:rsidR="00792B45" w:rsidRPr="00036167">
        <w:t>Division of Physical Therapy</w:t>
      </w:r>
      <w:r w:rsidR="00036167">
        <w:t>,</w:t>
      </w:r>
      <w:r w:rsidR="00792B45" w:rsidRPr="00F11D4F">
        <w:t xml:space="preserve"> Charleston, SC</w:t>
      </w:r>
    </w:p>
    <w:p w14:paraId="475ACF6E" w14:textId="2512C668" w:rsidR="00792B45" w:rsidRPr="00F11D4F" w:rsidRDefault="00006D07">
      <w:r w:rsidRPr="00F11D4F">
        <w:rPr>
          <w:vertAlign w:val="superscript"/>
        </w:rPr>
        <w:t>3</w:t>
      </w:r>
      <w:r>
        <w:t>M</w:t>
      </w:r>
      <w:r w:rsidRPr="00F11D4F">
        <w:t xml:space="preserve">edical </w:t>
      </w:r>
      <w:r w:rsidR="00792B45" w:rsidRPr="00F11D4F">
        <w:t xml:space="preserve">University of South Carolina, College of Health Professions, </w:t>
      </w:r>
      <w:r w:rsidR="00792B45" w:rsidRPr="00036167">
        <w:t xml:space="preserve">Department of Health </w:t>
      </w:r>
      <w:r w:rsidR="00036167" w:rsidRPr="00036167">
        <w:t>Sciences and Research</w:t>
      </w:r>
      <w:r w:rsidR="00792B45" w:rsidRPr="00F11D4F">
        <w:t>, Charleston, SC</w:t>
      </w:r>
    </w:p>
    <w:p w14:paraId="141ABDE5" w14:textId="0A93F2D0" w:rsidR="006E4797" w:rsidRDefault="006E4797">
      <w:pPr>
        <w:pBdr>
          <w:top w:val="nil"/>
          <w:left w:val="nil"/>
          <w:bottom w:val="nil"/>
          <w:right w:val="nil"/>
          <w:between w:val="nil"/>
        </w:pBdr>
        <w:rPr>
          <w:color w:val="000000"/>
        </w:rPr>
      </w:pPr>
    </w:p>
    <w:p w14:paraId="0634E1BA" w14:textId="5C524C4F" w:rsidR="00235BA5" w:rsidRDefault="00235BA5" w:rsidP="00235BA5">
      <w:r>
        <w:t>Email Addresses of Co-Authors:</w:t>
      </w:r>
    </w:p>
    <w:p w14:paraId="0AC46044" w14:textId="3BC4C135" w:rsidR="00235BA5" w:rsidRPr="00F11D4F" w:rsidRDefault="00235BA5" w:rsidP="00235BA5">
      <w:r w:rsidRPr="00F11D4F">
        <w:t>John Harvey Kindred</w:t>
      </w:r>
      <w:r>
        <w:tab/>
      </w:r>
      <w:r>
        <w:tab/>
        <w:t>(kindred@musc.edu)</w:t>
      </w:r>
    </w:p>
    <w:p w14:paraId="163A6B69" w14:textId="698688DA" w:rsidR="00235BA5" w:rsidRPr="00F11D4F" w:rsidRDefault="00235BA5" w:rsidP="00235BA5">
      <w:r w:rsidRPr="00F11D4F">
        <w:t>Christian Finetto</w:t>
      </w:r>
      <w:r w:rsidRPr="00006D07">
        <w:tab/>
      </w:r>
      <w:r w:rsidRPr="00006D07">
        <w:tab/>
      </w:r>
      <w:r>
        <w:t>(finetto@musc.edu)</w:t>
      </w:r>
    </w:p>
    <w:p w14:paraId="5A3769E5" w14:textId="3BC4A27E" w:rsidR="00235BA5" w:rsidRPr="00F11D4F" w:rsidRDefault="00235BA5" w:rsidP="00235BA5">
      <w:r w:rsidRPr="00F11D4F">
        <w:t xml:space="preserve">Jasmine </w:t>
      </w:r>
      <w:r w:rsidRPr="008A37EA">
        <w:t>Jamila</w:t>
      </w:r>
      <w:r>
        <w:t>h</w:t>
      </w:r>
      <w:r w:rsidRPr="00F11D4F">
        <w:t xml:space="preserve"> Cash</w:t>
      </w:r>
      <w:r w:rsidRPr="00006D07">
        <w:tab/>
      </w:r>
      <w:r w:rsidRPr="00006D07">
        <w:tab/>
      </w:r>
      <w:r>
        <w:t>(cashja@musc.edu)</w:t>
      </w:r>
    </w:p>
    <w:p w14:paraId="1AE64C5D" w14:textId="770F3C4D" w:rsidR="00235BA5" w:rsidRPr="00F11D4F" w:rsidRDefault="00235BA5" w:rsidP="00235BA5">
      <w:r w:rsidRPr="00F11D4F">
        <w:t>Mark Goodman Bowden</w:t>
      </w:r>
      <w:r w:rsidRPr="00006D07">
        <w:tab/>
      </w:r>
      <w:r>
        <w:t>(bowdenm@musc.edu)</w:t>
      </w:r>
    </w:p>
    <w:p w14:paraId="68D6D09B" w14:textId="77777777" w:rsidR="00235BA5" w:rsidRDefault="00235BA5">
      <w:pPr>
        <w:pBdr>
          <w:top w:val="nil"/>
          <w:left w:val="nil"/>
          <w:bottom w:val="nil"/>
          <w:right w:val="nil"/>
          <w:between w:val="nil"/>
        </w:pBdr>
        <w:rPr>
          <w:color w:val="000000"/>
        </w:rPr>
      </w:pPr>
    </w:p>
    <w:p w14:paraId="4067140F" w14:textId="368F4BAD" w:rsidR="006272B0" w:rsidRDefault="00235BA5">
      <w:pPr>
        <w:pBdr>
          <w:top w:val="nil"/>
          <w:left w:val="nil"/>
          <w:bottom w:val="nil"/>
          <w:right w:val="nil"/>
          <w:between w:val="nil"/>
        </w:pBdr>
        <w:rPr>
          <w:color w:val="000000"/>
        </w:rPr>
      </w:pPr>
      <w:r>
        <w:rPr>
          <w:color w:val="000000"/>
        </w:rPr>
        <w:t>C</w:t>
      </w:r>
      <w:r w:rsidR="006272B0">
        <w:rPr>
          <w:color w:val="000000"/>
        </w:rPr>
        <w:t>orresponding author</w:t>
      </w:r>
      <w:r>
        <w:rPr>
          <w:color w:val="000000"/>
        </w:rPr>
        <w:t>s:</w:t>
      </w:r>
    </w:p>
    <w:p w14:paraId="459D7ECD" w14:textId="5C466C4E" w:rsidR="006272B0" w:rsidRDefault="00235BA5">
      <w:pPr>
        <w:pBdr>
          <w:top w:val="nil"/>
          <w:left w:val="nil"/>
          <w:bottom w:val="nil"/>
          <w:right w:val="nil"/>
          <w:between w:val="nil"/>
        </w:pBdr>
        <w:rPr>
          <w:color w:val="000000"/>
        </w:rPr>
      </w:pPr>
      <w:r w:rsidRPr="00F11D4F">
        <w:t>John Harvey Kindred</w:t>
      </w:r>
      <w:r>
        <w:tab/>
      </w:r>
      <w:r>
        <w:tab/>
        <w:t>(kindred@musc.edu)</w:t>
      </w:r>
    </w:p>
    <w:p w14:paraId="69C3D5DE" w14:textId="0DB7CA8D" w:rsidR="00235BA5" w:rsidRPr="00F11D4F" w:rsidRDefault="00235BA5" w:rsidP="00235BA5">
      <w:r w:rsidRPr="00F11D4F">
        <w:t>Mark Goodman Bowden</w:t>
      </w:r>
      <w:r w:rsidRPr="00006D07">
        <w:tab/>
      </w:r>
      <w:r>
        <w:t>(bowdenm@musc.edu)</w:t>
      </w:r>
    </w:p>
    <w:p w14:paraId="6D979188" w14:textId="7C3AB4E6" w:rsidR="00553394" w:rsidRDefault="00553394">
      <w:pPr>
        <w:rPr>
          <w:b/>
        </w:rPr>
      </w:pPr>
    </w:p>
    <w:p w14:paraId="60F3B8D4" w14:textId="6F630BDF" w:rsidR="006E4797" w:rsidRDefault="00551D82">
      <w:r>
        <w:rPr>
          <w:b/>
        </w:rPr>
        <w:t>SUMMARY:</w:t>
      </w:r>
    </w:p>
    <w:p w14:paraId="0958F031" w14:textId="211DE8DE" w:rsidR="006272B0" w:rsidRDefault="006272B0">
      <w:r>
        <w:t xml:space="preserve">This protocol describes </w:t>
      </w:r>
      <w:r w:rsidR="007D5D18">
        <w:t>t</w:t>
      </w:r>
      <w:r>
        <w:t xml:space="preserve">he process </w:t>
      </w:r>
      <w:r w:rsidR="00006D07">
        <w:t xml:space="preserve">for </w:t>
      </w:r>
      <w:r>
        <w:t xml:space="preserve">performing </w:t>
      </w:r>
      <w:r w:rsidR="00006D07">
        <w:t xml:space="preserve">a </w:t>
      </w:r>
      <w:r>
        <w:t xml:space="preserve">neurophysiological assessment of </w:t>
      </w:r>
      <w:r w:rsidR="00235BA5">
        <w:t xml:space="preserve">the </w:t>
      </w:r>
      <w:r>
        <w:t xml:space="preserve">lower extremity muscles, tibialis anterior and soleus, in a standing position using </w:t>
      </w:r>
      <w:r w:rsidR="007D5D18">
        <w:t xml:space="preserve">TMS </w:t>
      </w:r>
      <w:r w:rsidR="00AC1ADE">
        <w:t>in people post-stroke</w:t>
      </w:r>
      <w:r>
        <w:t>. Th</w:t>
      </w:r>
      <w:r w:rsidR="007D5D18">
        <w:t>is</w:t>
      </w:r>
      <w:r>
        <w:t xml:space="preserve"> position provides a greater probability of eliciting a </w:t>
      </w:r>
      <w:r w:rsidR="007B2B67">
        <w:t xml:space="preserve">post-stroke TMS </w:t>
      </w:r>
      <w:r>
        <w:t>response and allows for the use of reduced stimulator power</w:t>
      </w:r>
      <w:r w:rsidR="000D79C9">
        <w:t xml:space="preserve"> during neurophysiological assessments</w:t>
      </w:r>
      <w:r>
        <w:t>.</w:t>
      </w:r>
    </w:p>
    <w:p w14:paraId="7D0BE5A2" w14:textId="77777777" w:rsidR="00235BA5" w:rsidRDefault="00235BA5"/>
    <w:p w14:paraId="713B27C1" w14:textId="3EFCA327" w:rsidR="001D7C17" w:rsidRDefault="00551D82">
      <w:pPr>
        <w:rPr>
          <w:b/>
        </w:rPr>
      </w:pPr>
      <w:r>
        <w:rPr>
          <w:b/>
        </w:rPr>
        <w:t>ABSTRACT:</w:t>
      </w:r>
    </w:p>
    <w:p w14:paraId="52537C9B" w14:textId="4FF4EE0A" w:rsidR="006C6B2E" w:rsidRDefault="006C6B2E" w:rsidP="001D7C17">
      <w:pPr>
        <w:rPr>
          <w:bCs/>
        </w:rPr>
      </w:pPr>
      <w:r>
        <w:rPr>
          <w:bCs/>
        </w:rPr>
        <w:t>Transcranial magnetic stimulation (TMS) is</w:t>
      </w:r>
      <w:r w:rsidR="00A864DB">
        <w:rPr>
          <w:bCs/>
        </w:rPr>
        <w:t xml:space="preserve"> a</w:t>
      </w:r>
      <w:r>
        <w:rPr>
          <w:bCs/>
        </w:rPr>
        <w:t xml:space="preserve"> common tool used to measure the behavior of motor circuits in healthy and neurologically impaired population</w:t>
      </w:r>
      <w:r w:rsidR="00AE0B4B">
        <w:rPr>
          <w:bCs/>
        </w:rPr>
        <w:t>s</w:t>
      </w:r>
      <w:r>
        <w:rPr>
          <w:bCs/>
        </w:rPr>
        <w:t xml:space="preserve">. TMS </w:t>
      </w:r>
      <w:r w:rsidR="007B2B67">
        <w:rPr>
          <w:bCs/>
        </w:rPr>
        <w:t>is</w:t>
      </w:r>
      <w:r>
        <w:rPr>
          <w:bCs/>
        </w:rPr>
        <w:t xml:space="preserve"> used extensively </w:t>
      </w:r>
      <w:r w:rsidR="00006D07">
        <w:rPr>
          <w:bCs/>
        </w:rPr>
        <w:t>to study</w:t>
      </w:r>
      <w:r>
        <w:rPr>
          <w:bCs/>
        </w:rPr>
        <w:t xml:space="preserve"> motor control and </w:t>
      </w:r>
      <w:r w:rsidR="00315709">
        <w:rPr>
          <w:bCs/>
        </w:rPr>
        <w:t>the</w:t>
      </w:r>
      <w:r>
        <w:rPr>
          <w:bCs/>
        </w:rPr>
        <w:t xml:space="preserve"> </w:t>
      </w:r>
      <w:r w:rsidR="00315709">
        <w:rPr>
          <w:bCs/>
        </w:rPr>
        <w:t>response</w:t>
      </w:r>
      <w:r w:rsidR="007B2B67">
        <w:rPr>
          <w:bCs/>
        </w:rPr>
        <w:t xml:space="preserve"> to</w:t>
      </w:r>
      <w:r>
        <w:rPr>
          <w:bCs/>
        </w:rPr>
        <w:t xml:space="preserve"> neurorehabilitation</w:t>
      </w:r>
      <w:r w:rsidR="007B2B67">
        <w:rPr>
          <w:bCs/>
        </w:rPr>
        <w:t xml:space="preserve"> of the upper extremities</w:t>
      </w:r>
      <w:r>
        <w:rPr>
          <w:bCs/>
        </w:rPr>
        <w:t>. However, TMS has been less utilized</w:t>
      </w:r>
      <w:r w:rsidR="00AE0B4B" w:rsidRPr="00AE0B4B">
        <w:rPr>
          <w:bCs/>
        </w:rPr>
        <w:t xml:space="preserve"> </w:t>
      </w:r>
      <w:r w:rsidR="00AE0B4B">
        <w:rPr>
          <w:bCs/>
        </w:rPr>
        <w:t>in the study of</w:t>
      </w:r>
      <w:r w:rsidR="007B2B67">
        <w:rPr>
          <w:bCs/>
        </w:rPr>
        <w:t xml:space="preserve"> lower extremity</w:t>
      </w:r>
      <w:r w:rsidR="00AE0B4B">
        <w:rPr>
          <w:bCs/>
        </w:rPr>
        <w:t xml:space="preserve"> </w:t>
      </w:r>
      <w:r w:rsidR="00AF7351">
        <w:rPr>
          <w:bCs/>
        </w:rPr>
        <w:t xml:space="preserve">postural and </w:t>
      </w:r>
      <w:r w:rsidR="00AE0B4B">
        <w:rPr>
          <w:bCs/>
        </w:rPr>
        <w:t>walking-specific motor control</w:t>
      </w:r>
      <w:r>
        <w:rPr>
          <w:bCs/>
        </w:rPr>
        <w:t xml:space="preserve">. The </w:t>
      </w:r>
      <w:r w:rsidR="007B2B67">
        <w:rPr>
          <w:bCs/>
        </w:rPr>
        <w:t xml:space="preserve">limited </w:t>
      </w:r>
      <w:r>
        <w:rPr>
          <w:bCs/>
        </w:rPr>
        <w:t xml:space="preserve">use and the additional methodological challenges of lower extremity </w:t>
      </w:r>
      <w:r w:rsidR="007429D8">
        <w:rPr>
          <w:bCs/>
        </w:rPr>
        <w:t xml:space="preserve">TMS assessments </w:t>
      </w:r>
      <w:r>
        <w:rPr>
          <w:bCs/>
        </w:rPr>
        <w:t>ha</w:t>
      </w:r>
      <w:r w:rsidR="00A864DB">
        <w:rPr>
          <w:bCs/>
        </w:rPr>
        <w:t>ve</w:t>
      </w:r>
      <w:r>
        <w:rPr>
          <w:bCs/>
        </w:rPr>
        <w:t xml:space="preserve"> contributed to the lack of </w:t>
      </w:r>
      <w:r w:rsidR="00AC1ADE">
        <w:rPr>
          <w:bCs/>
        </w:rPr>
        <w:t xml:space="preserve">consistency </w:t>
      </w:r>
      <w:r w:rsidR="00487DF8">
        <w:rPr>
          <w:bCs/>
        </w:rPr>
        <w:t xml:space="preserve">in lower extremity </w:t>
      </w:r>
      <w:r>
        <w:rPr>
          <w:bCs/>
        </w:rPr>
        <w:t>TMS procedures</w:t>
      </w:r>
      <w:r w:rsidR="00927344">
        <w:rPr>
          <w:bCs/>
        </w:rPr>
        <w:t xml:space="preserve"> </w:t>
      </w:r>
      <w:r w:rsidR="00AC1ADE">
        <w:rPr>
          <w:bCs/>
        </w:rPr>
        <w:t>within the literature</w:t>
      </w:r>
      <w:r w:rsidR="00927344">
        <w:rPr>
          <w:bCs/>
        </w:rPr>
        <w:t>.</w:t>
      </w:r>
      <w:r w:rsidR="0085478A">
        <w:rPr>
          <w:bCs/>
        </w:rPr>
        <w:t xml:space="preserve"> Inspired by the decreased ability to record lower extremity </w:t>
      </w:r>
      <w:r w:rsidR="007429D8">
        <w:rPr>
          <w:bCs/>
        </w:rPr>
        <w:t xml:space="preserve">TMS </w:t>
      </w:r>
      <w:r w:rsidR="0085478A">
        <w:rPr>
          <w:bCs/>
        </w:rPr>
        <w:t>motor evoked potentials (MEP), t</w:t>
      </w:r>
      <w:r w:rsidR="00927344">
        <w:rPr>
          <w:bCs/>
        </w:rPr>
        <w:t xml:space="preserve">his methodological report details steps to enable </w:t>
      </w:r>
      <w:r w:rsidR="007429D8">
        <w:rPr>
          <w:bCs/>
        </w:rPr>
        <w:t xml:space="preserve">post-stroke </w:t>
      </w:r>
      <w:r w:rsidR="00927344">
        <w:rPr>
          <w:bCs/>
        </w:rPr>
        <w:t xml:space="preserve">TMS assessments in a standing posture. </w:t>
      </w:r>
      <w:bookmarkStart w:id="0" w:name="_Hlk68002961"/>
      <w:r w:rsidR="007429D8">
        <w:rPr>
          <w:bCs/>
        </w:rPr>
        <w:t>The</w:t>
      </w:r>
      <w:r w:rsidR="00927344">
        <w:rPr>
          <w:bCs/>
        </w:rPr>
        <w:t xml:space="preserve"> standing posture allows for the activation of the neuromuscular system</w:t>
      </w:r>
      <w:r w:rsidR="00006D07">
        <w:rPr>
          <w:bCs/>
        </w:rPr>
        <w:t>,</w:t>
      </w:r>
      <w:r w:rsidR="00927344">
        <w:rPr>
          <w:bCs/>
        </w:rPr>
        <w:t xml:space="preserve"> reflect</w:t>
      </w:r>
      <w:r w:rsidR="00315709">
        <w:rPr>
          <w:bCs/>
        </w:rPr>
        <w:t>ing</w:t>
      </w:r>
      <w:r w:rsidR="00927344">
        <w:rPr>
          <w:bCs/>
        </w:rPr>
        <w:t xml:space="preserve"> a state more akin to the </w:t>
      </w:r>
      <w:r w:rsidR="007B2B67">
        <w:rPr>
          <w:bCs/>
        </w:rPr>
        <w:t xml:space="preserve">system’s </w:t>
      </w:r>
      <w:r w:rsidR="00927344">
        <w:rPr>
          <w:bCs/>
        </w:rPr>
        <w:t xml:space="preserve">state during </w:t>
      </w:r>
      <w:r w:rsidR="00627F07">
        <w:rPr>
          <w:bCs/>
        </w:rPr>
        <w:t xml:space="preserve">postural and </w:t>
      </w:r>
      <w:r w:rsidR="00927344">
        <w:rPr>
          <w:bCs/>
        </w:rPr>
        <w:t>walking</w:t>
      </w:r>
      <w:bookmarkEnd w:id="0"/>
      <w:r w:rsidR="00627F07">
        <w:rPr>
          <w:bCs/>
        </w:rPr>
        <w:t xml:space="preserve"> tasks</w:t>
      </w:r>
      <w:r w:rsidR="00927344">
        <w:rPr>
          <w:bCs/>
        </w:rPr>
        <w:t>. Using dual</w:t>
      </w:r>
      <w:r w:rsidR="00370EF6">
        <w:rPr>
          <w:bCs/>
        </w:rPr>
        <w:t>-top</w:t>
      </w:r>
      <w:r w:rsidR="00966A0C">
        <w:rPr>
          <w:bCs/>
        </w:rPr>
        <w:t xml:space="preserve"> </w:t>
      </w:r>
      <w:r w:rsidR="00927344">
        <w:rPr>
          <w:bCs/>
        </w:rPr>
        <w:t>force plates</w:t>
      </w:r>
      <w:r w:rsidR="00235BA5">
        <w:rPr>
          <w:bCs/>
        </w:rPr>
        <w:t>,</w:t>
      </w:r>
      <w:r w:rsidR="00927344">
        <w:rPr>
          <w:bCs/>
        </w:rPr>
        <w:t xml:space="preserve"> we instructed participants to equally distribute their weight between their paretic and non-paretic legs. Visual feedback of the participants’ weight distribution was provided.</w:t>
      </w:r>
      <w:r w:rsidR="00235BA5">
        <w:rPr>
          <w:bCs/>
        </w:rPr>
        <w:t xml:space="preserve"> </w:t>
      </w:r>
      <w:r w:rsidR="00627F07">
        <w:rPr>
          <w:bCs/>
        </w:rPr>
        <w:t xml:space="preserve">Using image guidance </w:t>
      </w:r>
      <w:r w:rsidR="00315709">
        <w:rPr>
          <w:bCs/>
        </w:rPr>
        <w:t>software</w:t>
      </w:r>
      <w:r w:rsidR="00235BA5">
        <w:rPr>
          <w:bCs/>
        </w:rPr>
        <w:t>,</w:t>
      </w:r>
      <w:r w:rsidR="00927344">
        <w:rPr>
          <w:bCs/>
        </w:rPr>
        <w:t xml:space="preserve"> we delivered single </w:t>
      </w:r>
      <w:r w:rsidR="00463208">
        <w:rPr>
          <w:bCs/>
        </w:rPr>
        <w:t>TMS pulses</w:t>
      </w:r>
      <w:r w:rsidR="00627F07">
        <w:rPr>
          <w:bCs/>
        </w:rPr>
        <w:t xml:space="preserve"> via a double-cone coil</w:t>
      </w:r>
      <w:r w:rsidR="00927344">
        <w:rPr>
          <w:bCs/>
        </w:rPr>
        <w:t xml:space="preserve"> to the participant</w:t>
      </w:r>
      <w:r w:rsidR="00E931AB">
        <w:rPr>
          <w:bCs/>
        </w:rPr>
        <w:t>s’</w:t>
      </w:r>
      <w:r w:rsidR="00927344">
        <w:rPr>
          <w:bCs/>
        </w:rPr>
        <w:t xml:space="preserve"> lesioned and non-lesioned hemispheres and measured the </w:t>
      </w:r>
      <w:r w:rsidR="00927344">
        <w:rPr>
          <w:bCs/>
        </w:rPr>
        <w:lastRenderedPageBreak/>
        <w:t xml:space="preserve">corticomotor response of the paretic and non-paretic </w:t>
      </w:r>
      <w:r w:rsidR="00AE0B4B">
        <w:rPr>
          <w:bCs/>
        </w:rPr>
        <w:t xml:space="preserve">tibialis </w:t>
      </w:r>
      <w:r w:rsidR="00463208">
        <w:rPr>
          <w:bCs/>
        </w:rPr>
        <w:t xml:space="preserve">anterior </w:t>
      </w:r>
      <w:r w:rsidR="00AE0B4B">
        <w:rPr>
          <w:bCs/>
        </w:rPr>
        <w:t>and soleus muscles</w:t>
      </w:r>
      <w:r w:rsidR="00927344">
        <w:rPr>
          <w:bCs/>
        </w:rPr>
        <w:t xml:space="preserve">. Performing </w:t>
      </w:r>
      <w:r w:rsidR="00D304C5">
        <w:rPr>
          <w:bCs/>
        </w:rPr>
        <w:t>a</w:t>
      </w:r>
      <w:r w:rsidR="00927344">
        <w:rPr>
          <w:bCs/>
        </w:rPr>
        <w:t xml:space="preserve">ssessments in the standing position increased the </w:t>
      </w:r>
      <w:r w:rsidR="00D304C5">
        <w:rPr>
          <w:bCs/>
        </w:rPr>
        <w:t xml:space="preserve">TMS </w:t>
      </w:r>
      <w:r w:rsidR="00927344">
        <w:rPr>
          <w:bCs/>
        </w:rPr>
        <w:t>response rate</w:t>
      </w:r>
      <w:r w:rsidR="00D304C5">
        <w:rPr>
          <w:bCs/>
        </w:rPr>
        <w:t xml:space="preserve"> and allowed for the use of </w:t>
      </w:r>
      <w:r w:rsidR="00235BA5">
        <w:rPr>
          <w:bCs/>
        </w:rPr>
        <w:t xml:space="preserve">the </w:t>
      </w:r>
      <w:r w:rsidR="00D304C5">
        <w:rPr>
          <w:bCs/>
        </w:rPr>
        <w:t xml:space="preserve">lower stimulation intensities compared to the standard sitting/resting position. Utilization of this </w:t>
      </w:r>
      <w:r w:rsidR="007B2B67">
        <w:rPr>
          <w:bCs/>
        </w:rPr>
        <w:t xml:space="preserve">TMS </w:t>
      </w:r>
      <w:r w:rsidR="00D304C5">
        <w:rPr>
          <w:bCs/>
        </w:rPr>
        <w:t xml:space="preserve">protocol can provide a common </w:t>
      </w:r>
      <w:r w:rsidR="00A864DB">
        <w:rPr>
          <w:bCs/>
        </w:rPr>
        <w:t>approach</w:t>
      </w:r>
      <w:r w:rsidR="00D304C5">
        <w:rPr>
          <w:bCs/>
        </w:rPr>
        <w:t xml:space="preserve"> to assess the lower extremity corticomotor response post-stroke when</w:t>
      </w:r>
      <w:r w:rsidR="005138F4">
        <w:rPr>
          <w:bCs/>
        </w:rPr>
        <w:t xml:space="preserve"> </w:t>
      </w:r>
      <w:r w:rsidR="007B2B67">
        <w:rPr>
          <w:bCs/>
        </w:rPr>
        <w:t xml:space="preserve">the </w:t>
      </w:r>
      <w:r w:rsidR="005138F4">
        <w:rPr>
          <w:bCs/>
        </w:rPr>
        <w:t>neurorehabilitation of</w:t>
      </w:r>
      <w:r w:rsidR="00D304C5">
        <w:rPr>
          <w:bCs/>
        </w:rPr>
        <w:t xml:space="preserve"> </w:t>
      </w:r>
      <w:r w:rsidR="00463208">
        <w:rPr>
          <w:bCs/>
        </w:rPr>
        <w:t xml:space="preserve">postural and </w:t>
      </w:r>
      <w:r w:rsidR="00D304C5">
        <w:rPr>
          <w:bCs/>
        </w:rPr>
        <w:t xml:space="preserve">gait impairments </w:t>
      </w:r>
      <w:proofErr w:type="gramStart"/>
      <w:r w:rsidR="007B2B67">
        <w:rPr>
          <w:bCs/>
        </w:rPr>
        <w:t>are</w:t>
      </w:r>
      <w:proofErr w:type="gramEnd"/>
      <w:r w:rsidR="00487DF8">
        <w:rPr>
          <w:bCs/>
        </w:rPr>
        <w:t xml:space="preserve"> </w:t>
      </w:r>
      <w:r w:rsidR="00D304C5">
        <w:rPr>
          <w:bCs/>
        </w:rPr>
        <w:t>of interest.</w:t>
      </w:r>
    </w:p>
    <w:p w14:paraId="236952A1" w14:textId="77777777" w:rsidR="00235BA5" w:rsidRDefault="00235BA5">
      <w:pPr>
        <w:rPr>
          <w:b/>
        </w:rPr>
      </w:pPr>
    </w:p>
    <w:p w14:paraId="0646E204" w14:textId="1E079199" w:rsidR="006E4797" w:rsidRPr="00235BA5" w:rsidRDefault="00551D82">
      <w:pPr>
        <w:rPr>
          <w:b/>
        </w:rPr>
      </w:pPr>
      <w:r>
        <w:rPr>
          <w:b/>
        </w:rPr>
        <w:t>INTRODUCTION:</w:t>
      </w:r>
    </w:p>
    <w:p w14:paraId="2A6C06EF" w14:textId="3C42B5A2" w:rsidR="00FA18D3" w:rsidRDefault="006C4814">
      <w:r>
        <w:t xml:space="preserve">Transcranial magnetic stimulation (TMS) </w:t>
      </w:r>
      <w:r w:rsidR="00A56972">
        <w:t>is</w:t>
      </w:r>
      <w:r>
        <w:t xml:space="preserve"> an instrument </w:t>
      </w:r>
      <w:r w:rsidR="00AA1956">
        <w:t xml:space="preserve">used </w:t>
      </w:r>
      <w:r>
        <w:t xml:space="preserve">to measure </w:t>
      </w:r>
      <w:r w:rsidR="00AA1956">
        <w:t xml:space="preserve">the behavior of </w:t>
      </w:r>
      <w:r>
        <w:t>neural circuit</w:t>
      </w:r>
      <w:r w:rsidR="00AA1956">
        <w:t>s</w:t>
      </w:r>
      <w:r>
        <w:t xml:space="preserve">. </w:t>
      </w:r>
      <w:r w:rsidR="00A56972">
        <w:t xml:space="preserve">The majority of TMS </w:t>
      </w:r>
      <w:r w:rsidR="003D0233">
        <w:t>investigations</w:t>
      </w:r>
      <w:r w:rsidR="00A56972">
        <w:t xml:space="preserve"> </w:t>
      </w:r>
      <w:r w:rsidR="00315709">
        <w:t>focusing</w:t>
      </w:r>
      <w:r w:rsidR="00627F07">
        <w:t xml:space="preserve"> on</w:t>
      </w:r>
      <w:r w:rsidR="003D0233">
        <w:t xml:space="preserve"> the study of</w:t>
      </w:r>
      <w:r w:rsidR="00A56972">
        <w:t xml:space="preserve"> motor </w:t>
      </w:r>
      <w:r w:rsidR="007B2B67">
        <w:t>control/</w:t>
      </w:r>
      <w:r w:rsidR="00A56972">
        <w:t xml:space="preserve">performance have been </w:t>
      </w:r>
      <w:r w:rsidR="002F7045">
        <w:t>conducted</w:t>
      </w:r>
      <w:r w:rsidR="00A56972">
        <w:t xml:space="preserve"> in the upper extremities. </w:t>
      </w:r>
      <w:r w:rsidR="00D6591E">
        <w:t xml:space="preserve">The imbalance between </w:t>
      </w:r>
      <w:r w:rsidR="00235BA5">
        <w:t xml:space="preserve">the </w:t>
      </w:r>
      <w:r w:rsidR="00D6591E">
        <w:t>upper and lower extremity</w:t>
      </w:r>
      <w:r w:rsidR="00090343">
        <w:t xml:space="preserve"> studies</w:t>
      </w:r>
      <w:r w:rsidR="00D6591E">
        <w:t xml:space="preserve"> </w:t>
      </w:r>
      <w:r w:rsidR="00090343">
        <w:t xml:space="preserve">is in part due to </w:t>
      </w:r>
      <w:r w:rsidR="007B2B67">
        <w:t xml:space="preserve">the </w:t>
      </w:r>
      <w:r w:rsidR="00AA1956">
        <w:t xml:space="preserve">additional challenges </w:t>
      </w:r>
      <w:r w:rsidR="002F7045">
        <w:t>in</w:t>
      </w:r>
      <w:r w:rsidR="00AA1956">
        <w:t xml:space="preserve"> measuring the </w:t>
      </w:r>
      <w:r w:rsidR="00C724F7">
        <w:t xml:space="preserve">lower extremity </w:t>
      </w:r>
      <w:r w:rsidR="00AA1956">
        <w:t>corticomotor</w:t>
      </w:r>
      <w:r w:rsidR="00FA18D3">
        <w:t xml:space="preserve"> response (CMR)</w:t>
      </w:r>
      <w:r w:rsidR="00C724F7">
        <w:t>. Some of the</w:t>
      </w:r>
      <w:r w:rsidR="002F7045">
        <w:t>se</w:t>
      </w:r>
      <w:r w:rsidR="00B45000">
        <w:t xml:space="preserve"> methodological</w:t>
      </w:r>
      <w:r w:rsidR="00C724F7">
        <w:t xml:space="preserve"> </w:t>
      </w:r>
      <w:r w:rsidR="002F7045">
        <w:t>obstacles</w:t>
      </w:r>
      <w:r w:rsidR="00C724F7">
        <w:t xml:space="preserve"> include the smaller cortical representations of the lower extremity muscles within the motor cortex</w:t>
      </w:r>
      <w:r w:rsidR="00B45000">
        <w:t xml:space="preserve"> and</w:t>
      </w:r>
      <w:r w:rsidR="00C724F7">
        <w:t xml:space="preserve"> the deeper location of the </w:t>
      </w:r>
      <w:r w:rsidR="00B45000">
        <w:t>representations</w:t>
      </w:r>
      <w:r w:rsidR="00AA1956">
        <w:t xml:space="preserve"> </w:t>
      </w:r>
      <w:r w:rsidR="00B45000">
        <w:t>relative to the scalp</w:t>
      </w:r>
      <w:r w:rsidR="00747221">
        <w:rPr>
          <w:vertAlign w:val="superscript"/>
        </w:rPr>
        <w:t>1</w:t>
      </w:r>
      <w:r w:rsidR="00B45000">
        <w:t xml:space="preserve">. </w:t>
      </w:r>
      <w:r w:rsidR="00FA18D3">
        <w:t>In populations with neurological injury</w:t>
      </w:r>
      <w:r w:rsidR="00627F07">
        <w:t>,</w:t>
      </w:r>
      <w:r w:rsidR="00FA18D3">
        <w:t xml:space="preserve"> additional </w:t>
      </w:r>
      <w:r w:rsidR="002F7045">
        <w:t>hurdles</w:t>
      </w:r>
      <w:r w:rsidR="00FA18D3">
        <w:t xml:space="preserve"> </w:t>
      </w:r>
      <w:r w:rsidR="0085478A">
        <w:t>are also</w:t>
      </w:r>
      <w:r w:rsidR="00FA18D3">
        <w:t xml:space="preserve"> present. For example</w:t>
      </w:r>
      <w:r w:rsidR="00FA18D3" w:rsidRPr="00FA18D3">
        <w:t xml:space="preserve">, </w:t>
      </w:r>
      <w:r w:rsidR="002B3DDC">
        <w:t>approximately half</w:t>
      </w:r>
      <w:r w:rsidR="00FA18D3">
        <w:t xml:space="preserve"> of </w:t>
      </w:r>
      <w:r w:rsidR="00235BA5">
        <w:t xml:space="preserve">the </w:t>
      </w:r>
      <w:r w:rsidR="00FA18D3">
        <w:t xml:space="preserve">individuals post-stroke show no response to TMS </w:t>
      </w:r>
      <w:r w:rsidR="00627F07">
        <w:t xml:space="preserve">at rest </w:t>
      </w:r>
      <w:r w:rsidR="00FA18D3">
        <w:t xml:space="preserve">in </w:t>
      </w:r>
      <w:r w:rsidR="002B3DDC">
        <w:t>lower extremity</w:t>
      </w:r>
      <w:r w:rsidR="00FA18D3">
        <w:t xml:space="preserve"> muscles</w:t>
      </w:r>
      <w:r w:rsidR="00747221">
        <w:rPr>
          <w:vertAlign w:val="superscript"/>
        </w:rPr>
        <w:t>2,3</w:t>
      </w:r>
      <w:r w:rsidR="00FA18D3">
        <w:t>.</w:t>
      </w:r>
      <w:r w:rsidR="00667947">
        <w:t xml:space="preserve"> The lack of </w:t>
      </w:r>
      <w:r w:rsidR="002F7045">
        <w:t xml:space="preserve">post-stroke </w:t>
      </w:r>
      <w:r w:rsidR="00667947">
        <w:t>response</w:t>
      </w:r>
      <w:r w:rsidR="00272A74">
        <w:t xml:space="preserve"> to TMS</w:t>
      </w:r>
      <w:r w:rsidR="00667947">
        <w:t xml:space="preserve"> </w:t>
      </w:r>
      <w:r w:rsidR="0085478A">
        <w:t>is</w:t>
      </w:r>
      <w:r w:rsidR="00A864DB">
        <w:t xml:space="preserve"> even</w:t>
      </w:r>
      <w:r w:rsidR="0085478A">
        <w:t xml:space="preserve"> </w:t>
      </w:r>
      <w:r w:rsidR="00667947">
        <w:t>seen when patients maintain some volitional control of the muscles, indicating at least a partially intact corticospinal tract.</w:t>
      </w:r>
    </w:p>
    <w:p w14:paraId="2618A45A" w14:textId="77777777" w:rsidR="00553394" w:rsidRDefault="00553394"/>
    <w:p w14:paraId="5C6B7BAB" w14:textId="663ECC90" w:rsidR="007F55BA" w:rsidRDefault="00272A74">
      <w:r>
        <w:t xml:space="preserve">The </w:t>
      </w:r>
      <w:r w:rsidR="0085478A">
        <w:t xml:space="preserve">lack of </w:t>
      </w:r>
      <w:r>
        <w:t>measurable</w:t>
      </w:r>
      <w:r w:rsidR="00315709">
        <w:t xml:space="preserve"> TMS</w:t>
      </w:r>
      <w:r>
        <w:t xml:space="preserve"> response</w:t>
      </w:r>
      <w:r w:rsidR="0085478A">
        <w:t>s</w:t>
      </w:r>
      <w:r>
        <w:t xml:space="preserve"> with maintained motor function contributes to our </w:t>
      </w:r>
      <w:r w:rsidR="0085478A">
        <w:t>decreased</w:t>
      </w:r>
      <w:r>
        <w:t xml:space="preserve"> understanding of post-stroke</w:t>
      </w:r>
      <w:r w:rsidR="00477D2C">
        <w:t xml:space="preserve"> postural and walking-specific</w:t>
      </w:r>
      <w:r>
        <w:t xml:space="preserve"> motor control and </w:t>
      </w:r>
      <w:r w:rsidR="00CC031E">
        <w:t xml:space="preserve">the </w:t>
      </w:r>
      <w:r w:rsidR="00315709">
        <w:t xml:space="preserve">neurophysiological </w:t>
      </w:r>
      <w:r w:rsidR="00A864DB">
        <w:t xml:space="preserve">effects of </w:t>
      </w:r>
      <w:r>
        <w:t xml:space="preserve">neurorehabilitation. However, some of the challenges of lower extremity post-stroke neurophysiological assessments </w:t>
      </w:r>
      <w:r w:rsidR="002F7045">
        <w:t>have been overcome</w:t>
      </w:r>
      <w:r>
        <w:t xml:space="preserve">. </w:t>
      </w:r>
      <w:r w:rsidR="0085478A">
        <w:t>For example,</w:t>
      </w:r>
      <w:r w:rsidR="00232B2E" w:rsidRPr="00232B2E">
        <w:t xml:space="preserve"> </w:t>
      </w:r>
      <w:r w:rsidR="00232B2E">
        <w:t>a double-cone coil can be used</w:t>
      </w:r>
      <w:r w:rsidR="0085478A">
        <w:t xml:space="preserve"> to </w:t>
      </w:r>
      <w:r w:rsidR="00232B2E">
        <w:t xml:space="preserve">reliably </w:t>
      </w:r>
      <w:r w:rsidR="0085478A">
        <w:t xml:space="preserve">activate the lower extremity </w:t>
      </w:r>
      <w:r w:rsidR="005E7AC2">
        <w:t>motoneurons</w:t>
      </w:r>
      <w:r w:rsidR="0085478A">
        <w:t xml:space="preserve"> located deep in the interhemispheric </w:t>
      </w:r>
      <w:r w:rsidR="00235BA5">
        <w:t>fissure</w:t>
      </w:r>
      <w:r w:rsidR="00FF0097">
        <w:rPr>
          <w:vertAlign w:val="superscript"/>
        </w:rPr>
        <w:t>1</w:t>
      </w:r>
      <w:r w:rsidR="0085478A">
        <w:t>.</w:t>
      </w:r>
      <w:r w:rsidR="00235BA5">
        <w:t xml:space="preserve"> </w:t>
      </w:r>
      <w:r w:rsidR="004B0120">
        <w:t xml:space="preserve">The double-cone coil produces a larger and stronger magnetic field </w:t>
      </w:r>
      <w:r w:rsidR="003B1B4D">
        <w:t xml:space="preserve">that penetrates deeper into the brain </w:t>
      </w:r>
      <w:r w:rsidR="0085478A">
        <w:t>than the</w:t>
      </w:r>
      <w:r>
        <w:t xml:space="preserve"> more </w:t>
      </w:r>
      <w:r w:rsidR="003A7158">
        <w:t xml:space="preserve">commonly </w:t>
      </w:r>
      <w:r>
        <w:t>used figure-of-eight coil</w:t>
      </w:r>
      <w:r w:rsidR="00747221">
        <w:rPr>
          <w:vertAlign w:val="superscript"/>
        </w:rPr>
        <w:t>4</w:t>
      </w:r>
      <w:r>
        <w:t xml:space="preserve">. Another </w:t>
      </w:r>
      <w:r w:rsidR="007F55BA">
        <w:t xml:space="preserve">methodological change that can be implemented to increase the responsiveness to TMS is </w:t>
      </w:r>
      <w:r w:rsidR="002F7045">
        <w:t>measur</w:t>
      </w:r>
      <w:r w:rsidR="00564024">
        <w:t>ing</w:t>
      </w:r>
      <w:r w:rsidR="002F7045">
        <w:t xml:space="preserve"> the CMR</w:t>
      </w:r>
      <w:r w:rsidR="007F55BA">
        <w:t xml:space="preserve"> during a slight voluntary contraction</w:t>
      </w:r>
      <w:r w:rsidR="00747221">
        <w:rPr>
          <w:vertAlign w:val="superscript"/>
        </w:rPr>
        <w:t>5</w:t>
      </w:r>
      <w:r w:rsidR="007F55BA">
        <w:t xml:space="preserve">. </w:t>
      </w:r>
      <w:r w:rsidR="00F73C3E">
        <w:t xml:space="preserve">Generally, this contraction is performed at a predetermined level of either maximal voluntary joint torque or </w:t>
      </w:r>
      <w:r w:rsidR="007B2B67">
        <w:t xml:space="preserve">maximal electromyographic (EMG) </w:t>
      </w:r>
      <w:r w:rsidR="00F73C3E">
        <w:t xml:space="preserve">muscle activity. Peripheral nerve stimulation can also be used to elicit a maximal muscle response and the recorded EMG of this response can be used to set the </w:t>
      </w:r>
      <w:r w:rsidR="005118D3">
        <w:t xml:space="preserve">targeted </w:t>
      </w:r>
      <w:r w:rsidR="00F73C3E">
        <w:t>voluntary activation of the muscle.</w:t>
      </w:r>
    </w:p>
    <w:p w14:paraId="5DD2B159" w14:textId="77777777" w:rsidR="007F55BA" w:rsidRDefault="007F55BA"/>
    <w:p w14:paraId="21F5B2D3" w14:textId="6BC440F9" w:rsidR="00272A74" w:rsidRDefault="007F55BA">
      <w:r>
        <w:t xml:space="preserve">Performing TMS assessment post-stroke during active muscle contraction is fairly common in the upper extremities where isometric tasks can mimic </w:t>
      </w:r>
      <w:r w:rsidR="009772B8">
        <w:t>functional activities</w:t>
      </w:r>
      <w:r w:rsidR="005C34C3">
        <w:t>, for example</w:t>
      </w:r>
      <w:r w:rsidR="00630D60">
        <w:t>,</w:t>
      </w:r>
      <w:r w:rsidR="005C34C3">
        <w:t xml:space="preserve"> grasping/holding objects</w:t>
      </w:r>
      <w:r w:rsidR="009772B8">
        <w:t xml:space="preserve">. </w:t>
      </w:r>
      <w:r w:rsidR="0085478A">
        <w:t>In contrast, walking</w:t>
      </w:r>
      <w:r w:rsidR="009772B8">
        <w:t xml:space="preserve"> is accomplished through the bilateral </w:t>
      </w:r>
      <w:r w:rsidR="002F7045">
        <w:t>activation</w:t>
      </w:r>
      <w:r w:rsidR="009772B8">
        <w:t xml:space="preserve"> of multiple muscle groups </w:t>
      </w:r>
      <w:r w:rsidR="005C34C3">
        <w:t xml:space="preserve">via cortical, subcortical, and spinal cord structures </w:t>
      </w:r>
      <w:r w:rsidR="009772B8">
        <w:t xml:space="preserve">and requires postural muscle activation to resist the effects of gravity. This </w:t>
      </w:r>
      <w:r w:rsidR="005E7AC2">
        <w:t xml:space="preserve">activation </w:t>
      </w:r>
      <w:r w:rsidR="009772B8">
        <w:t xml:space="preserve">state is </w:t>
      </w:r>
      <w:r w:rsidR="00487DF8">
        <w:t xml:space="preserve">likely </w:t>
      </w:r>
      <w:r w:rsidR="009772B8">
        <w:t xml:space="preserve">not reflected </w:t>
      </w:r>
      <w:r w:rsidR="007B2B67">
        <w:t xml:space="preserve">when </w:t>
      </w:r>
      <w:r w:rsidR="009772B8">
        <w:t xml:space="preserve">measuring isolated muscles </w:t>
      </w:r>
      <w:r w:rsidR="00627F07">
        <w:t xml:space="preserve">producing </w:t>
      </w:r>
      <w:r w:rsidR="009772B8">
        <w:t xml:space="preserve">an </w:t>
      </w:r>
      <w:r w:rsidR="002F7045">
        <w:t>isometric</w:t>
      </w:r>
      <w:r w:rsidR="00627F07">
        <w:t xml:space="preserve"> </w:t>
      </w:r>
      <w:r w:rsidR="009772B8">
        <w:t xml:space="preserve">contraction. </w:t>
      </w:r>
      <w:r w:rsidR="008670EE">
        <w:t xml:space="preserve">Several previous </w:t>
      </w:r>
      <w:r w:rsidR="005E7AC2">
        <w:t xml:space="preserve">studies directed at </w:t>
      </w:r>
      <w:r w:rsidR="008670EE">
        <w:t xml:space="preserve">understanding </w:t>
      </w:r>
      <w:r w:rsidR="00273C44">
        <w:t>postural and walking</w:t>
      </w:r>
      <w:r w:rsidR="005118D3">
        <w:t>-</w:t>
      </w:r>
      <w:r w:rsidR="00273C44">
        <w:t xml:space="preserve">specific </w:t>
      </w:r>
      <w:r w:rsidR="008670EE">
        <w:t xml:space="preserve">motor control have </w:t>
      </w:r>
      <w:r w:rsidR="005E7AC2">
        <w:t>delivered</w:t>
      </w:r>
      <w:r w:rsidR="008670EE">
        <w:t xml:space="preserve"> TMS pulse</w:t>
      </w:r>
      <w:r w:rsidR="00564024">
        <w:t>s</w:t>
      </w:r>
      <w:r w:rsidR="008670EE">
        <w:t xml:space="preserve"> </w:t>
      </w:r>
      <w:r w:rsidR="005E7AC2">
        <w:t xml:space="preserve">while participants were </w:t>
      </w:r>
      <w:r w:rsidR="008670EE">
        <w:t>walking</w:t>
      </w:r>
      <w:r w:rsidR="00747221">
        <w:rPr>
          <w:vertAlign w:val="superscript"/>
        </w:rPr>
        <w:t>6</w:t>
      </w:r>
      <w:r w:rsidR="00630D60">
        <w:rPr>
          <w:vertAlign w:val="superscript"/>
        </w:rPr>
        <w:t>–</w:t>
      </w:r>
      <w:r w:rsidR="00980D2A">
        <w:rPr>
          <w:vertAlign w:val="superscript"/>
        </w:rPr>
        <w:t>8</w:t>
      </w:r>
      <w:r w:rsidR="008670EE">
        <w:t xml:space="preserve"> and standing</w:t>
      </w:r>
      <w:r w:rsidR="00980D2A">
        <w:rPr>
          <w:vertAlign w:val="superscript"/>
        </w:rPr>
        <w:t>9</w:t>
      </w:r>
      <w:r w:rsidR="00630D60">
        <w:rPr>
          <w:vertAlign w:val="superscript"/>
        </w:rPr>
        <w:t>–</w:t>
      </w:r>
      <w:r w:rsidR="00747221">
        <w:rPr>
          <w:vertAlign w:val="superscript"/>
        </w:rPr>
        <w:t>1</w:t>
      </w:r>
      <w:r w:rsidR="00980D2A">
        <w:rPr>
          <w:vertAlign w:val="superscript"/>
        </w:rPr>
        <w:t>5</w:t>
      </w:r>
      <w:r w:rsidR="008670EE">
        <w:t xml:space="preserve">. The measurement of the </w:t>
      </w:r>
      <w:r w:rsidR="001E7453">
        <w:t>CMR</w:t>
      </w:r>
      <w:r w:rsidR="008670EE">
        <w:t xml:space="preserve"> in </w:t>
      </w:r>
      <w:r w:rsidR="005E7AC2">
        <w:t>the</w:t>
      </w:r>
      <w:r w:rsidR="008670EE">
        <w:t xml:space="preserve"> upright position allows </w:t>
      </w:r>
      <w:r w:rsidR="00315709">
        <w:t xml:space="preserve">for </w:t>
      </w:r>
      <w:r w:rsidR="007D5D18">
        <w:t xml:space="preserve">the </w:t>
      </w:r>
      <w:r w:rsidR="008670EE">
        <w:t>activation of postural muscle</w:t>
      </w:r>
      <w:r w:rsidR="00315709">
        <w:t>s</w:t>
      </w:r>
      <w:r w:rsidR="008670EE">
        <w:t xml:space="preserve"> and subcortical components of the </w:t>
      </w:r>
      <w:r w:rsidR="003A7158">
        <w:t xml:space="preserve">postural and </w:t>
      </w:r>
      <w:r w:rsidR="008670EE">
        <w:t>gait motor-control network</w:t>
      </w:r>
      <w:r w:rsidR="003A7158">
        <w:t>s</w:t>
      </w:r>
      <w:r w:rsidR="008670EE">
        <w:t>. To date</w:t>
      </w:r>
      <w:r w:rsidR="00235BA5">
        <w:t>,</w:t>
      </w:r>
      <w:r w:rsidR="008670EE">
        <w:t xml:space="preserve"> there have not been any reports of performing </w:t>
      </w:r>
      <w:r w:rsidR="008670EE">
        <w:lastRenderedPageBreak/>
        <w:t>standing TMS assessments in individuals post-stroke.</w:t>
      </w:r>
    </w:p>
    <w:p w14:paraId="25492514" w14:textId="02202A0A" w:rsidR="008670EE" w:rsidRDefault="008670EE"/>
    <w:p w14:paraId="4AAFF8AB" w14:textId="3CDE5468" w:rsidR="00B45000" w:rsidRDefault="007B2B67">
      <w:r>
        <w:t>T</w:t>
      </w:r>
      <w:r w:rsidR="008670EE">
        <w:t xml:space="preserve">his study </w:t>
      </w:r>
      <w:r w:rsidR="00E06390">
        <w:t>propose</w:t>
      </w:r>
      <w:r>
        <w:t>s</w:t>
      </w:r>
      <w:r w:rsidR="00E06390">
        <w:t xml:space="preserve"> </w:t>
      </w:r>
      <w:r w:rsidR="008670EE">
        <w:t xml:space="preserve">a standardized </w:t>
      </w:r>
      <w:r w:rsidR="00E06390">
        <w:t>methodology</w:t>
      </w:r>
      <w:r w:rsidR="00627F07">
        <w:t>, built upon the existing body of literature of standing TMS methods</w:t>
      </w:r>
      <w:r w:rsidR="00627F07">
        <w:rPr>
          <w:vertAlign w:val="superscript"/>
        </w:rPr>
        <w:t>6</w:t>
      </w:r>
      <w:r w:rsidR="00630D60">
        <w:rPr>
          <w:vertAlign w:val="superscript"/>
        </w:rPr>
        <w:t>–</w:t>
      </w:r>
      <w:r w:rsidR="00627F07">
        <w:rPr>
          <w:vertAlign w:val="superscript"/>
        </w:rPr>
        <w:t>15</w:t>
      </w:r>
      <w:r w:rsidR="00627F07">
        <w:t xml:space="preserve">, </w:t>
      </w:r>
      <w:r w:rsidR="00E06390">
        <w:t xml:space="preserve">for </w:t>
      </w:r>
      <w:r w:rsidR="008670EE">
        <w:t xml:space="preserve">standing </w:t>
      </w:r>
      <w:r w:rsidR="002F7045">
        <w:t xml:space="preserve">TMS </w:t>
      </w:r>
      <w:r w:rsidR="008670EE">
        <w:t>assessment</w:t>
      </w:r>
      <w:r w:rsidR="00627F07">
        <w:t xml:space="preserve"> of the CMR post-stroke</w:t>
      </w:r>
      <w:r w:rsidR="00D10BC7">
        <w:t>. This methodology</w:t>
      </w:r>
      <w:r w:rsidR="008670EE">
        <w:t xml:space="preserve"> </w:t>
      </w:r>
      <w:r w:rsidR="00627F07">
        <w:t xml:space="preserve">can </w:t>
      </w:r>
      <w:r w:rsidR="008670EE">
        <w:t>be utilized by research groups studying</w:t>
      </w:r>
      <w:r w:rsidR="00D10BC7">
        <w:t>, but not limited to,</w:t>
      </w:r>
      <w:r w:rsidR="008670EE">
        <w:t xml:space="preserve"> </w:t>
      </w:r>
      <w:r w:rsidR="00D10BC7">
        <w:t xml:space="preserve">postural deficits and </w:t>
      </w:r>
      <w:r w:rsidR="003A7158">
        <w:t>walking-specific</w:t>
      </w:r>
      <w:r w:rsidR="008670EE">
        <w:t xml:space="preserve"> motor control</w:t>
      </w:r>
      <w:r w:rsidR="00D10BC7">
        <w:t xml:space="preserve"> post-stroke</w:t>
      </w:r>
      <w:r w:rsidR="00AC1ADE">
        <w:t xml:space="preserve"> and </w:t>
      </w:r>
      <w:r w:rsidR="00315709">
        <w:t>establish</w:t>
      </w:r>
      <w:r w:rsidR="00AC1ADE">
        <w:t xml:space="preserve"> greater consistency of TMS procedures</w:t>
      </w:r>
      <w:r w:rsidR="008670EE">
        <w:t xml:space="preserve">. </w:t>
      </w:r>
      <w:r w:rsidR="00BA0BAC">
        <w:t>The purpose of this methodolog</w:t>
      </w:r>
      <w:r w:rsidR="00627F07">
        <w:t>ical investigation</w:t>
      </w:r>
      <w:r w:rsidR="00BA0BAC">
        <w:t xml:space="preserve"> was to determine </w:t>
      </w:r>
      <w:r w:rsidR="00630D60">
        <w:t xml:space="preserve">whether </w:t>
      </w:r>
      <w:r w:rsidR="005E7AC2">
        <w:t xml:space="preserve">standing TMS assessments are feasible in </w:t>
      </w:r>
      <w:r w:rsidR="008670EE">
        <w:t>individuals post-stroke</w:t>
      </w:r>
      <w:r w:rsidR="005E7AC2">
        <w:t xml:space="preserve"> with moderate</w:t>
      </w:r>
      <w:r w:rsidR="008670EE">
        <w:t xml:space="preserve"> gait impairments</w:t>
      </w:r>
      <w:r w:rsidR="005E7AC2">
        <w:t xml:space="preserve">. </w:t>
      </w:r>
      <w:r w:rsidR="008670EE">
        <w:t xml:space="preserve">We hypothesized that performing assessments in the standing position would </w:t>
      </w:r>
      <w:r w:rsidR="00BA0BAC">
        <w:t xml:space="preserve">1) </w:t>
      </w:r>
      <w:r w:rsidR="008670EE">
        <w:t xml:space="preserve">increase the likelihood of </w:t>
      </w:r>
      <w:r w:rsidR="003A5384">
        <w:t>eliciting a measurable response</w:t>
      </w:r>
      <w:r w:rsidR="005E7AC2">
        <w:t xml:space="preserve"> (motor evoked potential, MEP)</w:t>
      </w:r>
      <w:r w:rsidR="003A5384">
        <w:t xml:space="preserve"> and </w:t>
      </w:r>
      <w:r w:rsidR="005118D3">
        <w:t xml:space="preserve">2) </w:t>
      </w:r>
      <w:r w:rsidR="003A5384">
        <w:t xml:space="preserve">that the stimulator power/intensity used to perform standing TMS assessments would be lower than that of the </w:t>
      </w:r>
      <w:r w:rsidR="002F7045">
        <w:t xml:space="preserve">usually performed </w:t>
      </w:r>
      <w:r w:rsidR="003A5384">
        <w:t xml:space="preserve">sitting/resting assessments. We believe the successful completion </w:t>
      </w:r>
      <w:r>
        <w:t xml:space="preserve">and widespread use </w:t>
      </w:r>
      <w:r w:rsidR="003A5384">
        <w:t xml:space="preserve">of this protocol </w:t>
      </w:r>
      <w:r w:rsidR="00487DF8">
        <w:t xml:space="preserve">may </w:t>
      </w:r>
      <w:r w:rsidR="005E437A">
        <w:t>lead to a greater</w:t>
      </w:r>
      <w:r w:rsidR="003A5384">
        <w:t xml:space="preserve"> understanding of the neurophysiological aspects of post-stroke </w:t>
      </w:r>
      <w:r w:rsidR="00D10BC7">
        <w:t>postural</w:t>
      </w:r>
      <w:r w:rsidR="00951B0A">
        <w:t xml:space="preserve"> and walking-specific </w:t>
      </w:r>
      <w:r w:rsidR="003A5384">
        <w:t xml:space="preserve">motor control and </w:t>
      </w:r>
      <w:r w:rsidR="00786C36">
        <w:t xml:space="preserve">the </w:t>
      </w:r>
      <w:r>
        <w:t xml:space="preserve">effects of </w:t>
      </w:r>
      <w:r w:rsidR="00951B0A">
        <w:t>neuro</w:t>
      </w:r>
      <w:r w:rsidR="003A5384">
        <w:t>rehabilitation.</w:t>
      </w:r>
    </w:p>
    <w:p w14:paraId="48BA6B0A" w14:textId="77777777" w:rsidR="006E4797" w:rsidRDefault="006E4797" w:rsidP="001E1661">
      <w:pPr>
        <w:rPr>
          <w:b/>
        </w:rPr>
      </w:pPr>
      <w:bookmarkStart w:id="1" w:name="_Hlk75783282"/>
    </w:p>
    <w:p w14:paraId="32A92E82" w14:textId="63DFDC0B" w:rsidR="006E4797" w:rsidRDefault="00551D82" w:rsidP="001E1661">
      <w:pPr>
        <w:rPr>
          <w:color w:val="808080"/>
        </w:rPr>
      </w:pPr>
      <w:r>
        <w:rPr>
          <w:b/>
        </w:rPr>
        <w:t>PROTOCOL:</w:t>
      </w:r>
    </w:p>
    <w:p w14:paraId="6B20C6C6" w14:textId="3858DD25" w:rsidR="00235BA5" w:rsidRDefault="00290DFB" w:rsidP="001E1661">
      <w:r>
        <w:t xml:space="preserve">All procedures were approved by </w:t>
      </w:r>
      <w:r w:rsidR="00980D2A">
        <w:t>the</w:t>
      </w:r>
      <w:r>
        <w:t xml:space="preserve"> Institutional Review Board</w:t>
      </w:r>
      <w:r w:rsidR="000B67CE">
        <w:t xml:space="preserve"> at the Medical University of South Carolina</w:t>
      </w:r>
      <w:r>
        <w:t xml:space="preserve"> and conformed to the Declaration of Helsinki.</w:t>
      </w:r>
    </w:p>
    <w:p w14:paraId="5CFD38E9" w14:textId="77777777" w:rsidR="00235BA5" w:rsidRDefault="00235BA5" w:rsidP="001E1661"/>
    <w:p w14:paraId="2E25A191" w14:textId="4428933B" w:rsidR="00254C14" w:rsidRPr="00235BA5" w:rsidRDefault="00DD69A9" w:rsidP="001E1661">
      <w:pPr>
        <w:rPr>
          <w:b/>
          <w:bCs/>
        </w:rPr>
      </w:pPr>
      <w:r w:rsidRPr="00235BA5">
        <w:rPr>
          <w:b/>
          <w:bCs/>
        </w:rPr>
        <w:t xml:space="preserve">1. </w:t>
      </w:r>
      <w:r w:rsidR="00254C14" w:rsidRPr="00235BA5">
        <w:rPr>
          <w:b/>
          <w:bCs/>
        </w:rPr>
        <w:t xml:space="preserve">Participant </w:t>
      </w:r>
      <w:r w:rsidR="00630D60">
        <w:rPr>
          <w:b/>
          <w:bCs/>
        </w:rPr>
        <w:t>r</w:t>
      </w:r>
      <w:r w:rsidR="00254C14" w:rsidRPr="00235BA5">
        <w:rPr>
          <w:b/>
          <w:bCs/>
        </w:rPr>
        <w:t>ecruitment</w:t>
      </w:r>
    </w:p>
    <w:p w14:paraId="64BEA46B" w14:textId="77777777" w:rsidR="00235BA5" w:rsidRDefault="00235BA5" w:rsidP="001E1661"/>
    <w:p w14:paraId="33BAA3E7" w14:textId="2C6F6E7E" w:rsidR="007D5D18" w:rsidRDefault="007D5D18" w:rsidP="001E1661">
      <w:pPr>
        <w:pStyle w:val="ListParagraph"/>
        <w:numPr>
          <w:ilvl w:val="1"/>
          <w:numId w:val="17"/>
        </w:numPr>
        <w:ind w:left="0" w:firstLine="0"/>
      </w:pPr>
      <w:r>
        <w:t xml:space="preserve">Recruit </w:t>
      </w:r>
      <w:proofErr w:type="gramStart"/>
      <w:r w:rsidR="00006D07">
        <w:t>individuals</w:t>
      </w:r>
      <w:proofErr w:type="gramEnd"/>
      <w:r w:rsidR="005B7843">
        <w:t xml:space="preserve"> </w:t>
      </w:r>
      <w:r w:rsidR="00627F07">
        <w:t xml:space="preserve">post-stroke </w:t>
      </w:r>
      <w:r w:rsidR="005B7843">
        <w:t xml:space="preserve">from </w:t>
      </w:r>
      <w:r w:rsidR="00006D07">
        <w:t xml:space="preserve">the </w:t>
      </w:r>
      <w:r w:rsidR="005B7843">
        <w:t xml:space="preserve">local database. </w:t>
      </w:r>
      <w:r>
        <w:t>For this experiment</w:t>
      </w:r>
      <w:r w:rsidR="00630D60">
        <w:t>,</w:t>
      </w:r>
      <w:r>
        <w:t xml:space="preserve"> </w:t>
      </w:r>
      <w:r w:rsidR="00630D60">
        <w:t xml:space="preserve">16 individuals </w:t>
      </w:r>
      <w:r>
        <w:t xml:space="preserve">were </w:t>
      </w:r>
      <w:r w:rsidR="00630D60">
        <w:t xml:space="preserve">recruited </w:t>
      </w:r>
      <w:r>
        <w:t xml:space="preserve">from </w:t>
      </w:r>
      <w:r w:rsidR="00630D60">
        <w:t xml:space="preserve">a </w:t>
      </w:r>
      <w:r>
        <w:t xml:space="preserve">local electronic recruitment database. </w:t>
      </w:r>
      <w:r w:rsidR="005B7843">
        <w:t xml:space="preserve">In some </w:t>
      </w:r>
      <w:r w:rsidR="004A7F05">
        <w:t>instances,</w:t>
      </w:r>
      <w:r w:rsidR="005B7843">
        <w:t xml:space="preserve"> participants were recruited specifically because </w:t>
      </w:r>
      <w:r w:rsidR="00726C35">
        <w:t xml:space="preserve">they </w:t>
      </w:r>
      <w:r w:rsidR="005B7843">
        <w:t>had failed to respon</w:t>
      </w:r>
      <w:r w:rsidR="00726C35">
        <w:t>d</w:t>
      </w:r>
      <w:r w:rsidR="005B7843">
        <w:t xml:space="preserve"> to TMS at rest in previous studies</w:t>
      </w:r>
      <w:r w:rsidR="00F51E79">
        <w:t xml:space="preserve"> performed by our research group</w:t>
      </w:r>
      <w:r w:rsidR="005B7843">
        <w:t>.</w:t>
      </w:r>
    </w:p>
    <w:p w14:paraId="74939C80" w14:textId="77777777" w:rsidR="007D5D18" w:rsidRDefault="007D5D18" w:rsidP="001E1661">
      <w:pPr>
        <w:pStyle w:val="ListParagraph"/>
        <w:ind w:left="0"/>
      </w:pPr>
    </w:p>
    <w:p w14:paraId="3186C5FD" w14:textId="392D904E" w:rsidR="007D5D18" w:rsidRDefault="007D5D18" w:rsidP="001E1661">
      <w:pPr>
        <w:pStyle w:val="ListParagraph"/>
        <w:numPr>
          <w:ilvl w:val="2"/>
          <w:numId w:val="17"/>
        </w:numPr>
        <w:ind w:left="0" w:firstLine="0"/>
      </w:pPr>
      <w:r>
        <w:t>Use the following i</w:t>
      </w:r>
      <w:r w:rsidR="00FF0097">
        <w:t>nclusion criteria</w:t>
      </w:r>
      <w:r w:rsidR="00F51E79">
        <w:t xml:space="preserve"> for this investigation</w:t>
      </w:r>
      <w:r w:rsidR="00FF0097">
        <w:t>:</w:t>
      </w:r>
      <w:r w:rsidR="00A67456">
        <w:t xml:space="preserve"> males and females</w:t>
      </w:r>
      <w:r w:rsidR="00FF0097">
        <w:t xml:space="preserve"> between the ages of 18</w:t>
      </w:r>
      <w:r w:rsidR="00630D60">
        <w:t>–</w:t>
      </w:r>
      <w:r w:rsidR="00FF0097">
        <w:t>85, at least 6 months post</w:t>
      </w:r>
      <w:r w:rsidR="00627F07">
        <w:t>-</w:t>
      </w:r>
      <w:r w:rsidR="00FF0097">
        <w:t xml:space="preserve">stroke, residual paresis of the lower extremities, </w:t>
      </w:r>
      <w:r w:rsidR="00315709">
        <w:t>and able</w:t>
      </w:r>
      <w:r w:rsidR="00FF0097">
        <w:t xml:space="preserve"> to stand 10 min without an assistive device.</w:t>
      </w:r>
    </w:p>
    <w:p w14:paraId="211620AC" w14:textId="77777777" w:rsidR="007D5D18" w:rsidRDefault="007D5D18" w:rsidP="001E1661">
      <w:pPr>
        <w:pStyle w:val="ListParagraph"/>
        <w:ind w:left="0"/>
      </w:pPr>
    </w:p>
    <w:p w14:paraId="436449A6" w14:textId="2405C2BA" w:rsidR="007D5D18" w:rsidRDefault="007D5D18" w:rsidP="001E1661">
      <w:pPr>
        <w:pStyle w:val="ListParagraph"/>
        <w:numPr>
          <w:ilvl w:val="2"/>
          <w:numId w:val="17"/>
        </w:numPr>
        <w:ind w:left="0" w:firstLine="0"/>
      </w:pPr>
      <w:r>
        <w:t>Exclude p</w:t>
      </w:r>
      <w:r w:rsidR="00FF0097">
        <w:t xml:space="preserve">articipants if they had a history of seizures, took </w:t>
      </w:r>
      <w:r w:rsidR="00A67456">
        <w:t xml:space="preserve">prescription medications that lowered seizure thresholds, had a history of brain injury </w:t>
      </w:r>
      <w:r w:rsidR="00315709">
        <w:t>and/</w:t>
      </w:r>
      <w:r w:rsidR="00A67456">
        <w:t>or other diseases of the central nervous system, had implanted devices or metal objects in their head, or had severe arthritis or orthopedic conditions limit</w:t>
      </w:r>
      <w:r w:rsidR="00627F07">
        <w:t>ing</w:t>
      </w:r>
      <w:r w:rsidR="00A67456">
        <w:t xml:space="preserve"> </w:t>
      </w:r>
      <w:r w:rsidR="00627F07">
        <w:t xml:space="preserve">their </w:t>
      </w:r>
      <w:r w:rsidR="00A67456">
        <w:t>passive range of motion.</w:t>
      </w:r>
    </w:p>
    <w:p w14:paraId="1F242DF8" w14:textId="77777777" w:rsidR="007D5D18" w:rsidRDefault="007D5D18" w:rsidP="001E1661">
      <w:pPr>
        <w:pStyle w:val="ListParagraph"/>
        <w:ind w:left="0"/>
      </w:pPr>
    </w:p>
    <w:p w14:paraId="44B9CB09" w14:textId="2D5DF759" w:rsidR="005B7843" w:rsidRDefault="007D5D18" w:rsidP="001E1661">
      <w:pPr>
        <w:pStyle w:val="ListParagraph"/>
        <w:ind w:left="0"/>
      </w:pPr>
      <w:r>
        <w:t xml:space="preserve">NOTE: </w:t>
      </w:r>
      <w:r w:rsidR="002C6273">
        <w:t>Participant</w:t>
      </w:r>
      <w:r>
        <w:t>s</w:t>
      </w:r>
      <w:r w:rsidR="00630D60">
        <w:t>’</w:t>
      </w:r>
      <w:r w:rsidR="002C6273">
        <w:t xml:space="preserve"> demographics are located in </w:t>
      </w:r>
      <w:r w:rsidR="002C6273" w:rsidRPr="007D5D18">
        <w:rPr>
          <w:b/>
          <w:bCs/>
        </w:rPr>
        <w:t>Table 1</w:t>
      </w:r>
      <w:r w:rsidR="002C6273">
        <w:t>.</w:t>
      </w:r>
    </w:p>
    <w:p w14:paraId="1A536524" w14:textId="77777777" w:rsidR="00315709" w:rsidRDefault="00315709" w:rsidP="00006D07"/>
    <w:p w14:paraId="26DE5ED3" w14:textId="78BA336A" w:rsidR="002C6273" w:rsidRDefault="002C6273" w:rsidP="00006D07">
      <w:r>
        <w:t>[</w:t>
      </w:r>
      <w:r w:rsidR="00D91E47">
        <w:t xml:space="preserve">Place </w:t>
      </w:r>
      <w:r w:rsidRPr="00D91E47">
        <w:rPr>
          <w:b/>
          <w:bCs/>
        </w:rPr>
        <w:t>Table 1</w:t>
      </w:r>
      <w:r w:rsidR="00D91E47">
        <w:t xml:space="preserve"> here</w:t>
      </w:r>
      <w:r>
        <w:t>]</w:t>
      </w:r>
    </w:p>
    <w:p w14:paraId="78BAD46E" w14:textId="32748902" w:rsidR="006272B0" w:rsidRDefault="006272B0" w:rsidP="001E1661"/>
    <w:p w14:paraId="1A490FBF" w14:textId="0C0C15F7" w:rsidR="007D5D18" w:rsidRDefault="00235BA5" w:rsidP="001E1661">
      <w:pPr>
        <w:pStyle w:val="ListParagraph"/>
        <w:numPr>
          <w:ilvl w:val="1"/>
          <w:numId w:val="17"/>
        </w:numPr>
        <w:ind w:left="0" w:firstLine="0"/>
      </w:pPr>
      <w:r>
        <w:t>Make i</w:t>
      </w:r>
      <w:r w:rsidR="006272B0">
        <w:t xml:space="preserve">nitial contact with participants via phone </w:t>
      </w:r>
      <w:r w:rsidR="000F6FF5">
        <w:t>and briefly explain the testing procedures. I</w:t>
      </w:r>
      <w:r>
        <w:t xml:space="preserve">nvite </w:t>
      </w:r>
      <w:r w:rsidR="000F6FF5">
        <w:t xml:space="preserve">interested individuals </w:t>
      </w:r>
      <w:r>
        <w:t>to the laboratory</w:t>
      </w:r>
      <w:r w:rsidR="006272B0">
        <w:t>.</w:t>
      </w:r>
    </w:p>
    <w:p w14:paraId="5B054370" w14:textId="77777777" w:rsidR="007D5D18" w:rsidRDefault="007D5D18" w:rsidP="001E1661">
      <w:pPr>
        <w:pStyle w:val="ListParagraph"/>
        <w:ind w:left="0"/>
      </w:pPr>
    </w:p>
    <w:p w14:paraId="18217363" w14:textId="46B367A4" w:rsidR="007D5D18" w:rsidRDefault="006272B0" w:rsidP="001E1661">
      <w:pPr>
        <w:pStyle w:val="ListParagraph"/>
        <w:numPr>
          <w:ilvl w:val="2"/>
          <w:numId w:val="17"/>
        </w:numPr>
        <w:ind w:left="0" w:firstLine="0"/>
      </w:pPr>
      <w:r>
        <w:t xml:space="preserve">Upon arrival to the research facility, </w:t>
      </w:r>
      <w:r w:rsidR="000F6FF5">
        <w:t xml:space="preserve">have a member of the </w:t>
      </w:r>
      <w:r>
        <w:t xml:space="preserve">research staff </w:t>
      </w:r>
      <w:r w:rsidR="000F6FF5">
        <w:t xml:space="preserve">fully explain the </w:t>
      </w:r>
      <w:r w:rsidR="000F6FF5">
        <w:lastRenderedPageBreak/>
        <w:t xml:space="preserve">experimental </w:t>
      </w:r>
      <w:r>
        <w:t xml:space="preserve">protocol to </w:t>
      </w:r>
      <w:r w:rsidR="000F6FF5">
        <w:t xml:space="preserve">the </w:t>
      </w:r>
      <w:r>
        <w:t>prospective participants</w:t>
      </w:r>
      <w:r w:rsidR="000F6FF5">
        <w:t>.</w:t>
      </w:r>
    </w:p>
    <w:p w14:paraId="6D7B04F8" w14:textId="77777777" w:rsidR="007D5D18" w:rsidRDefault="007D5D18" w:rsidP="001E1661">
      <w:pPr>
        <w:pStyle w:val="ListParagraph"/>
        <w:ind w:left="0"/>
      </w:pPr>
    </w:p>
    <w:p w14:paraId="76819FD3" w14:textId="55F824F6" w:rsidR="00235BA5" w:rsidRDefault="000F6FF5" w:rsidP="001E1661">
      <w:pPr>
        <w:pStyle w:val="ListParagraph"/>
        <w:numPr>
          <w:ilvl w:val="2"/>
          <w:numId w:val="17"/>
        </w:numPr>
        <w:ind w:left="0" w:firstLine="0"/>
      </w:pPr>
      <w:r>
        <w:t xml:space="preserve">When a prospective participant confirms their willingness to </w:t>
      </w:r>
      <w:r w:rsidR="00006D07">
        <w:t>participate</w:t>
      </w:r>
      <w:r>
        <w:t xml:space="preserve"> in the study,</w:t>
      </w:r>
      <w:r w:rsidR="006272B0">
        <w:t xml:space="preserve"> </w:t>
      </w:r>
      <w:r w:rsidR="00D634D3">
        <w:t>obtain</w:t>
      </w:r>
      <w:r w:rsidR="00235BA5">
        <w:t xml:space="preserve"> </w:t>
      </w:r>
      <w:r w:rsidR="006272B0">
        <w:t xml:space="preserve">written informed consent </w:t>
      </w:r>
      <w:r w:rsidR="00D634D3">
        <w:t>approved by the local institutional review board.</w:t>
      </w:r>
    </w:p>
    <w:p w14:paraId="12AC5309" w14:textId="77777777" w:rsidR="00235BA5" w:rsidRDefault="00235BA5" w:rsidP="001E1661"/>
    <w:p w14:paraId="724D68BE" w14:textId="6889A584" w:rsidR="00121F72" w:rsidRDefault="004F7670" w:rsidP="001E1661">
      <w:r w:rsidRPr="001E1661">
        <w:rPr>
          <w:b/>
          <w:bCs/>
        </w:rPr>
        <w:t>2</w:t>
      </w:r>
      <w:r w:rsidR="00121F72" w:rsidRPr="001E1661">
        <w:rPr>
          <w:b/>
          <w:bCs/>
        </w:rPr>
        <w:t>.</w:t>
      </w:r>
      <w:r w:rsidR="00121F72">
        <w:t xml:space="preserve"> </w:t>
      </w:r>
      <w:r w:rsidR="00121F72">
        <w:rPr>
          <w:b/>
          <w:bCs/>
        </w:rPr>
        <w:t xml:space="preserve">Image </w:t>
      </w:r>
      <w:r w:rsidR="00630D60">
        <w:rPr>
          <w:b/>
          <w:bCs/>
        </w:rPr>
        <w:t>g</w:t>
      </w:r>
      <w:r w:rsidR="00121F72">
        <w:rPr>
          <w:b/>
          <w:bCs/>
        </w:rPr>
        <w:t xml:space="preserve">uidance </w:t>
      </w:r>
      <w:r w:rsidR="00630D60">
        <w:rPr>
          <w:b/>
          <w:bCs/>
        </w:rPr>
        <w:t>s</w:t>
      </w:r>
      <w:r w:rsidR="00BC42FD">
        <w:rPr>
          <w:b/>
          <w:bCs/>
        </w:rPr>
        <w:t>ystem</w:t>
      </w:r>
      <w:r w:rsidR="000F4F09">
        <w:rPr>
          <w:b/>
          <w:bCs/>
        </w:rPr>
        <w:t xml:space="preserve"> and </w:t>
      </w:r>
      <w:r w:rsidR="00630D60">
        <w:rPr>
          <w:b/>
          <w:bCs/>
        </w:rPr>
        <w:t>p</w:t>
      </w:r>
      <w:r w:rsidR="000F4F09">
        <w:rPr>
          <w:b/>
          <w:bCs/>
        </w:rPr>
        <w:t>articipant</w:t>
      </w:r>
      <w:r w:rsidR="00E16FA5">
        <w:rPr>
          <w:b/>
          <w:bCs/>
        </w:rPr>
        <w:t xml:space="preserve"> </w:t>
      </w:r>
      <w:r w:rsidR="00630D60">
        <w:rPr>
          <w:b/>
          <w:bCs/>
        </w:rPr>
        <w:t>s</w:t>
      </w:r>
      <w:r w:rsidR="00121F72">
        <w:rPr>
          <w:b/>
          <w:bCs/>
        </w:rPr>
        <w:t>etup</w:t>
      </w:r>
    </w:p>
    <w:p w14:paraId="733AAAC1" w14:textId="77777777" w:rsidR="007B2B67" w:rsidRDefault="007B2B67" w:rsidP="001E1661"/>
    <w:p w14:paraId="0BF62DD8" w14:textId="039FA228" w:rsidR="007D5D18" w:rsidRDefault="000E38F0" w:rsidP="001E1661">
      <w:r>
        <w:t>2</w:t>
      </w:r>
      <w:r w:rsidR="00121F72">
        <w:t>.1</w:t>
      </w:r>
      <w:r w:rsidR="0071300E">
        <w:tab/>
      </w:r>
      <w:r w:rsidR="00121F72">
        <w:t xml:space="preserve">Utilize image guidance </w:t>
      </w:r>
      <w:r w:rsidR="00BC42FD">
        <w:t>software</w:t>
      </w:r>
      <w:r w:rsidR="00121F72">
        <w:t xml:space="preserve"> to ensure consistent delivery of the TMS pulses during the assessment.</w:t>
      </w:r>
    </w:p>
    <w:p w14:paraId="5BB1A824" w14:textId="77777777" w:rsidR="007D5D18" w:rsidRDefault="007D5D18" w:rsidP="001E1661"/>
    <w:p w14:paraId="4929ABAE" w14:textId="3866EB22" w:rsidR="007D5D18" w:rsidRDefault="007D5D18" w:rsidP="001E1661">
      <w:r>
        <w:t xml:space="preserve">2.1.1. </w:t>
      </w:r>
      <w:r w:rsidR="007B2B67">
        <w:t>S</w:t>
      </w:r>
      <w:r w:rsidR="00121F72">
        <w:t xml:space="preserve">tart a new project using the MNI head model native to the </w:t>
      </w:r>
      <w:r w:rsidR="00BC42FD">
        <w:t xml:space="preserve">image </w:t>
      </w:r>
      <w:r w:rsidR="00121F72">
        <w:t xml:space="preserve">guidance system. Open the software and select </w:t>
      </w:r>
      <w:r w:rsidR="006C422C" w:rsidRPr="00006D07">
        <w:rPr>
          <w:b/>
          <w:bCs/>
        </w:rPr>
        <w:t>New MNI Head Project</w:t>
      </w:r>
      <w:r w:rsidR="00121F72">
        <w:t>.</w:t>
      </w:r>
    </w:p>
    <w:p w14:paraId="577BF3C8" w14:textId="77777777" w:rsidR="007D5D18" w:rsidRDefault="007D5D18" w:rsidP="001E1661"/>
    <w:p w14:paraId="26FBE1FC" w14:textId="520BE899" w:rsidR="007D5D18" w:rsidRDefault="007D5D18" w:rsidP="001E1661">
      <w:r>
        <w:t xml:space="preserve">2.1.2. </w:t>
      </w:r>
      <w:r w:rsidR="006C422C">
        <w:t>In the pop-up window</w:t>
      </w:r>
      <w:r w:rsidR="00630D60">
        <w:t>,</w:t>
      </w:r>
      <w:r w:rsidR="006C422C">
        <w:t xml:space="preserve"> click on the </w:t>
      </w:r>
      <w:r w:rsidR="006C422C" w:rsidRPr="00006D07">
        <w:rPr>
          <w:b/>
          <w:bCs/>
        </w:rPr>
        <w:t>Targets</w:t>
      </w:r>
      <w:r w:rsidR="006C422C">
        <w:t xml:space="preserve"> tab and then click </w:t>
      </w:r>
      <w:r w:rsidR="006C422C" w:rsidRPr="00006D07">
        <w:rPr>
          <w:b/>
          <w:bCs/>
        </w:rPr>
        <w:t>Configure Targets</w:t>
      </w:r>
      <w:r w:rsidR="006C422C">
        <w:t xml:space="preserve">. </w:t>
      </w:r>
      <w:r w:rsidR="00E16FA5">
        <w:t>Determine</w:t>
      </w:r>
      <w:r w:rsidR="006C422C">
        <w:t xml:space="preserve"> the scalp location directly superior to the pre-central gyrus</w:t>
      </w:r>
      <w:r w:rsidR="00A0577A">
        <w:t xml:space="preserve"> and 0.5 cm lateral to the midsagittal line</w:t>
      </w:r>
      <w:r w:rsidR="006C422C">
        <w:t>.</w:t>
      </w:r>
    </w:p>
    <w:p w14:paraId="03BC953E" w14:textId="77777777" w:rsidR="007D5D18" w:rsidRDefault="007D5D18" w:rsidP="001E1661"/>
    <w:p w14:paraId="049DD675" w14:textId="686106C4" w:rsidR="007D5D18" w:rsidRDefault="007D5D18" w:rsidP="001E1661">
      <w:r>
        <w:t xml:space="preserve">2.1.3. </w:t>
      </w:r>
      <w:r w:rsidR="00A0577A">
        <w:t>Once the location is visually identified</w:t>
      </w:r>
      <w:r w:rsidR="007B2B67">
        <w:t>,</w:t>
      </w:r>
      <w:r w:rsidR="00A0577A">
        <w:t xml:space="preserve"> add a new rectangular grid by clicking</w:t>
      </w:r>
      <w:r w:rsidR="00D953A9">
        <w:t xml:space="preserve"> on</w:t>
      </w:r>
      <w:r w:rsidR="00A0577A">
        <w:t xml:space="preserve"> </w:t>
      </w:r>
      <w:r w:rsidR="00006D07">
        <w:t xml:space="preserve">the </w:t>
      </w:r>
      <w:r w:rsidR="00D953A9" w:rsidRPr="00006D07">
        <w:rPr>
          <w:b/>
          <w:bCs/>
        </w:rPr>
        <w:t>N</w:t>
      </w:r>
      <w:r w:rsidR="00A0577A" w:rsidRPr="00006D07">
        <w:rPr>
          <w:b/>
          <w:bCs/>
        </w:rPr>
        <w:t>ew</w:t>
      </w:r>
      <w:r w:rsidR="00135B4F" w:rsidRPr="00006D07">
        <w:t>,</w:t>
      </w:r>
      <w:r w:rsidR="00A0577A">
        <w:t xml:space="preserve"> </w:t>
      </w:r>
      <w:r w:rsidR="00D953A9">
        <w:t xml:space="preserve">and </w:t>
      </w:r>
      <w:r w:rsidR="00A0577A">
        <w:t>then</w:t>
      </w:r>
      <w:r w:rsidR="00D953A9">
        <w:t xml:space="preserve"> on</w:t>
      </w:r>
      <w:r w:rsidR="00A0577A">
        <w:t xml:space="preserve"> </w:t>
      </w:r>
      <w:r w:rsidR="00006D07">
        <w:t xml:space="preserve">the </w:t>
      </w:r>
      <w:r w:rsidR="00D953A9" w:rsidRPr="00006D07">
        <w:rPr>
          <w:b/>
          <w:bCs/>
        </w:rPr>
        <w:t>R</w:t>
      </w:r>
      <w:r w:rsidR="00A0577A" w:rsidRPr="00006D07">
        <w:rPr>
          <w:b/>
          <w:bCs/>
        </w:rPr>
        <w:t xml:space="preserve">ectangular </w:t>
      </w:r>
      <w:r w:rsidR="00D953A9" w:rsidRPr="00006D07">
        <w:rPr>
          <w:b/>
          <w:bCs/>
        </w:rPr>
        <w:t>G</w:t>
      </w:r>
      <w:r w:rsidR="00A0577A" w:rsidRPr="00006D07">
        <w:rPr>
          <w:b/>
          <w:bCs/>
        </w:rPr>
        <w:t>rid</w:t>
      </w:r>
      <w:r w:rsidR="00A0577A">
        <w:t>. The grid should appear on the screen</w:t>
      </w:r>
      <w:r w:rsidR="00006D07">
        <w:t>,</w:t>
      </w:r>
      <w:r w:rsidR="00E16FA5">
        <w:t xml:space="preserve"> and the medial row should be</w:t>
      </w:r>
      <w:r w:rsidR="007B2B67">
        <w:t xml:space="preserve"> 0.</w:t>
      </w:r>
      <w:r w:rsidR="00E16FA5">
        <w:t xml:space="preserve">5 </w:t>
      </w:r>
      <w:r w:rsidR="007B2B67">
        <w:t>c</w:t>
      </w:r>
      <w:r w:rsidR="00E16FA5">
        <w:t>m lateral to the midsagittal line</w:t>
      </w:r>
      <w:r w:rsidR="00A0577A">
        <w:t>.</w:t>
      </w:r>
    </w:p>
    <w:p w14:paraId="19B635A0" w14:textId="77777777" w:rsidR="007D5D18" w:rsidRDefault="007D5D18" w:rsidP="001E1661"/>
    <w:p w14:paraId="28800C4C" w14:textId="4893CE0B" w:rsidR="007D5D18" w:rsidRDefault="007D5D18" w:rsidP="001E1661">
      <w:r>
        <w:t xml:space="preserve">2.1.4. </w:t>
      </w:r>
      <w:r w:rsidR="00A0577A">
        <w:t xml:space="preserve">Resize the grid by </w:t>
      </w:r>
      <w:r w:rsidR="003D774E">
        <w:t>typing 3 and 5 in the grid size boxes.</w:t>
      </w:r>
      <w:r w:rsidR="00A0577A">
        <w:t xml:space="preserve"> </w:t>
      </w:r>
      <w:r w:rsidR="003D774E">
        <w:t xml:space="preserve">Set the grid spacing to 10 by 10 mm by typing in the grid spacing boxes. Select the </w:t>
      </w:r>
      <w:r w:rsidR="00D953A9" w:rsidRPr="00006D07">
        <w:rPr>
          <w:b/>
          <w:bCs/>
        </w:rPr>
        <w:t>C</w:t>
      </w:r>
      <w:r w:rsidR="003D774E" w:rsidRPr="00006D07">
        <w:rPr>
          <w:b/>
          <w:bCs/>
        </w:rPr>
        <w:t xml:space="preserve">ursor </w:t>
      </w:r>
      <w:r w:rsidR="00D953A9">
        <w:rPr>
          <w:b/>
          <w:bCs/>
        </w:rPr>
        <w:t>T</w:t>
      </w:r>
      <w:r w:rsidR="003D774E" w:rsidRPr="00006D07">
        <w:rPr>
          <w:b/>
          <w:bCs/>
        </w:rPr>
        <w:t>ool</w:t>
      </w:r>
      <w:r w:rsidR="00D953A9" w:rsidRPr="00006D07">
        <w:t>,</w:t>
      </w:r>
      <w:r w:rsidR="003D774E">
        <w:t xml:space="preserve"> and then mov</w:t>
      </w:r>
      <w:r w:rsidR="00BC42FD">
        <w:t>e</w:t>
      </w:r>
      <w:r w:rsidR="003D774E">
        <w:t xml:space="preserve"> the cursor to the scalp image.</w:t>
      </w:r>
    </w:p>
    <w:p w14:paraId="039EB270" w14:textId="77777777" w:rsidR="007D5D18" w:rsidRDefault="007D5D18" w:rsidP="001E1661"/>
    <w:p w14:paraId="0A5543D6" w14:textId="62347282" w:rsidR="007D5D18" w:rsidRDefault="007D5D18" w:rsidP="001E1661">
      <w:r>
        <w:t xml:space="preserve">2.1.5. </w:t>
      </w:r>
      <w:r w:rsidR="003D774E">
        <w:t xml:space="preserve">Press and hold the mouse button to rotate the scalp image to ensure all grid points are touching the skin. If </w:t>
      </w:r>
      <w:r w:rsidR="00D953A9">
        <w:t xml:space="preserve">the </w:t>
      </w:r>
      <w:r w:rsidR="003D774E">
        <w:t>grid points are not on the scalp</w:t>
      </w:r>
      <w:r w:rsidR="00D953A9">
        <w:t>,</w:t>
      </w:r>
      <w:r w:rsidR="003D774E">
        <w:t xml:space="preserve"> adjust the curvature of the grid by moving the curvature slider.</w:t>
      </w:r>
    </w:p>
    <w:p w14:paraId="4793331F" w14:textId="77777777" w:rsidR="007D5D18" w:rsidRDefault="007D5D18" w:rsidP="001E1661"/>
    <w:p w14:paraId="1EB8486C" w14:textId="1119D9D1" w:rsidR="00121F72" w:rsidRDefault="007D5D18" w:rsidP="001E1661">
      <w:r>
        <w:t xml:space="preserve">2.1.6. </w:t>
      </w:r>
      <w:r w:rsidR="003D774E">
        <w:t>Repeat these procedures to place another 3</w:t>
      </w:r>
      <w:r>
        <w:t xml:space="preserve"> </w:t>
      </w:r>
      <w:r w:rsidR="003D774E">
        <w:t>x</w:t>
      </w:r>
      <w:r>
        <w:t xml:space="preserve"> </w:t>
      </w:r>
      <w:r w:rsidR="003D774E">
        <w:t>5 grid over the opposite hemisphere.</w:t>
      </w:r>
    </w:p>
    <w:p w14:paraId="5072FDFE" w14:textId="77777777" w:rsidR="00315709" w:rsidRDefault="00315709" w:rsidP="001E1661"/>
    <w:p w14:paraId="598B2894" w14:textId="0B03E736" w:rsidR="00315709" w:rsidRPr="00770E67" w:rsidRDefault="00315709" w:rsidP="001E1661">
      <w:r>
        <w:t xml:space="preserve">NOTE: </w:t>
      </w:r>
      <w:r w:rsidR="007B2B67">
        <w:t>This can be performed before a participant’s enrollment into the study and arrival to the laboratory. Additionally</w:t>
      </w:r>
      <w:r>
        <w:t>, a participant’s anatomical T1</w:t>
      </w:r>
      <w:r w:rsidR="00370EF6">
        <w:t>-weighted</w:t>
      </w:r>
      <w:r>
        <w:t xml:space="preserve"> image can be used </w:t>
      </w:r>
      <w:r w:rsidR="007B2B67">
        <w:t>if available</w:t>
      </w:r>
      <w:r>
        <w:t xml:space="preserve">. Specific details on using anatomical MRIs for navigation can be found in </w:t>
      </w:r>
      <w:r w:rsidR="00D953A9">
        <w:t xml:space="preserve">the </w:t>
      </w:r>
      <w:r w:rsidR="007D5D18">
        <w:t>previously published</w:t>
      </w:r>
      <w:r>
        <w:t xml:space="preserve"> article</w:t>
      </w:r>
      <w:r>
        <w:rPr>
          <w:vertAlign w:val="superscript"/>
        </w:rPr>
        <w:t>16</w:t>
      </w:r>
      <w:r>
        <w:t>.</w:t>
      </w:r>
    </w:p>
    <w:p w14:paraId="1EBF1367" w14:textId="4AC4C3C7" w:rsidR="00121F72" w:rsidRDefault="00121F72" w:rsidP="001E1661"/>
    <w:p w14:paraId="647F9979" w14:textId="29621752" w:rsidR="001E1661" w:rsidRDefault="0071300E" w:rsidP="001E1661">
      <w:r>
        <w:t>2.2</w:t>
      </w:r>
      <w:r>
        <w:tab/>
      </w:r>
      <w:r w:rsidR="00315709">
        <w:t>S</w:t>
      </w:r>
      <w:r>
        <w:t xml:space="preserve">tart a new session within the image guidance software by selecting the </w:t>
      </w:r>
      <w:r w:rsidRPr="00006D07">
        <w:rPr>
          <w:b/>
          <w:bCs/>
        </w:rPr>
        <w:t>Sessions</w:t>
      </w:r>
      <w:r>
        <w:t xml:space="preserve"> tab once the software is open.</w:t>
      </w:r>
    </w:p>
    <w:p w14:paraId="58FD66E9" w14:textId="77777777" w:rsidR="001E1661" w:rsidRDefault="001E1661" w:rsidP="001E1661"/>
    <w:p w14:paraId="034C85A1" w14:textId="314DF6FF" w:rsidR="001E1661" w:rsidRDefault="001E1661" w:rsidP="001E1661">
      <w:r>
        <w:t xml:space="preserve">2.2.1. </w:t>
      </w:r>
      <w:r w:rsidR="0071300E">
        <w:t>Click</w:t>
      </w:r>
      <w:r w:rsidR="00D953A9">
        <w:t xml:space="preserve"> on</w:t>
      </w:r>
      <w:r w:rsidR="0071300E">
        <w:t xml:space="preserve"> </w:t>
      </w:r>
      <w:r w:rsidR="0071300E" w:rsidRPr="00006D07">
        <w:rPr>
          <w:b/>
          <w:bCs/>
        </w:rPr>
        <w:t>New</w:t>
      </w:r>
      <w:r w:rsidR="00BC42FD">
        <w:t>,</w:t>
      </w:r>
      <w:r w:rsidR="00D953A9">
        <w:t xml:space="preserve"> and then on</w:t>
      </w:r>
      <w:r w:rsidR="0071300E">
        <w:t xml:space="preserve"> </w:t>
      </w:r>
      <w:r w:rsidR="0071300E" w:rsidRPr="00006D07">
        <w:rPr>
          <w:b/>
          <w:bCs/>
        </w:rPr>
        <w:t>Online Session</w:t>
      </w:r>
      <w:r w:rsidR="0071300E">
        <w:t>. In the next window</w:t>
      </w:r>
      <w:r w:rsidR="00D953A9">
        <w:t>,</w:t>
      </w:r>
      <w:r w:rsidR="0071300E">
        <w:t xml:space="preserve"> select the two grids created in the previous section</w:t>
      </w:r>
      <w:r w:rsidR="007B2B67">
        <w:t xml:space="preserve"> (</w:t>
      </w:r>
      <w:r w:rsidR="00D953A9">
        <w:t>s</w:t>
      </w:r>
      <w:r w:rsidR="007B2B67">
        <w:t>ection 2.1)</w:t>
      </w:r>
      <w:r w:rsidR="0071300E">
        <w:t xml:space="preserve"> by clicking on them</w:t>
      </w:r>
      <w:r w:rsidR="00E16FA5">
        <w:t>,</w:t>
      </w:r>
      <w:r w:rsidR="0071300E">
        <w:t xml:space="preserve"> </w:t>
      </w:r>
      <w:r w:rsidR="00D953A9">
        <w:t xml:space="preserve">and </w:t>
      </w:r>
      <w:r w:rsidR="0071300E">
        <w:t>then click</w:t>
      </w:r>
      <w:r w:rsidR="00D953A9">
        <w:t xml:space="preserve"> on</w:t>
      </w:r>
      <w:r w:rsidR="0071300E">
        <w:t xml:space="preserve"> </w:t>
      </w:r>
      <w:r w:rsidR="0071300E" w:rsidRPr="00006D07">
        <w:rPr>
          <w:b/>
          <w:bCs/>
        </w:rPr>
        <w:t>Add</w:t>
      </w:r>
      <w:r w:rsidR="0071300E">
        <w:t>.</w:t>
      </w:r>
    </w:p>
    <w:p w14:paraId="28939411" w14:textId="77777777" w:rsidR="001E1661" w:rsidRDefault="001E1661" w:rsidP="001E1661"/>
    <w:p w14:paraId="412FB2BF" w14:textId="09895ACF" w:rsidR="000F4F09" w:rsidRDefault="001E1661" w:rsidP="001E1661">
      <w:r>
        <w:t xml:space="preserve">2.2.2. </w:t>
      </w:r>
      <w:r w:rsidR="0071300E">
        <w:t xml:space="preserve">In the </w:t>
      </w:r>
      <w:proofErr w:type="spellStart"/>
      <w:r w:rsidR="0071300E">
        <w:t>IOBox</w:t>
      </w:r>
      <w:proofErr w:type="spellEnd"/>
      <w:r w:rsidR="0071300E">
        <w:t xml:space="preserve"> tab</w:t>
      </w:r>
      <w:r w:rsidR="00D953A9">
        <w:t>,</w:t>
      </w:r>
      <w:r w:rsidR="0071300E">
        <w:t xml:space="preserve"> under </w:t>
      </w:r>
      <w:r w:rsidR="0071300E" w:rsidRPr="00006D07">
        <w:rPr>
          <w:b/>
          <w:bCs/>
        </w:rPr>
        <w:t>TTL Trigger Options</w:t>
      </w:r>
      <w:r w:rsidR="0071300E">
        <w:t xml:space="preserve"> check the box next to Use Switch (Switch In) and input 0 ms into the </w:t>
      </w:r>
      <w:r w:rsidR="0071300E" w:rsidRPr="00006D07">
        <w:rPr>
          <w:b/>
          <w:bCs/>
        </w:rPr>
        <w:t>Dead Time</w:t>
      </w:r>
      <w:r w:rsidR="0071300E">
        <w:t xml:space="preserve"> box. Click</w:t>
      </w:r>
      <w:r w:rsidR="00D953A9">
        <w:t xml:space="preserve"> on</w:t>
      </w:r>
      <w:r w:rsidR="0071300E">
        <w:t xml:space="preserve"> the </w:t>
      </w:r>
      <w:r w:rsidR="0071300E" w:rsidRPr="00006D07">
        <w:rPr>
          <w:b/>
          <w:bCs/>
        </w:rPr>
        <w:t>Next</w:t>
      </w:r>
      <w:r w:rsidR="0071300E">
        <w:t xml:space="preserve"> button at the top. </w:t>
      </w:r>
      <w:r w:rsidR="00BC42FD">
        <w:t>Visually e</w:t>
      </w:r>
      <w:r w:rsidR="0071300E">
        <w:t xml:space="preserve">nsure the </w:t>
      </w:r>
      <w:r w:rsidR="007B2B67">
        <w:lastRenderedPageBreak/>
        <w:t xml:space="preserve">image guidance system’s </w:t>
      </w:r>
      <w:r w:rsidR="0071300E">
        <w:t>camera is active.</w:t>
      </w:r>
    </w:p>
    <w:p w14:paraId="344A2126" w14:textId="77777777" w:rsidR="000F4F09" w:rsidRDefault="000F4F09" w:rsidP="001E1661"/>
    <w:p w14:paraId="24C7A3CB" w14:textId="756D6128" w:rsidR="001E1661" w:rsidRDefault="000F4F09" w:rsidP="001E1661">
      <w:r>
        <w:t>2.3</w:t>
      </w:r>
      <w:r>
        <w:tab/>
        <w:t>Begin participant registration by placing</w:t>
      </w:r>
      <w:r w:rsidR="0071300E">
        <w:t xml:space="preserve"> the subject tracker, supplied with the image guidance system, around the participant’s forehead.</w:t>
      </w:r>
    </w:p>
    <w:p w14:paraId="4FF90CEA" w14:textId="77777777" w:rsidR="001E1661" w:rsidRDefault="001E1661" w:rsidP="001E1661"/>
    <w:p w14:paraId="4F7A849A" w14:textId="02658F1B" w:rsidR="001E1661" w:rsidRDefault="001E1661" w:rsidP="001E1661">
      <w:r>
        <w:t xml:space="preserve">2.3.1. </w:t>
      </w:r>
      <w:r w:rsidR="0071300E">
        <w:t xml:space="preserve">Manually adjust the camera to ensure the participant tracker is in the middle of the camera’s field of view. </w:t>
      </w:r>
      <w:r w:rsidR="006F63F1">
        <w:t xml:space="preserve">Next, click </w:t>
      </w:r>
      <w:r w:rsidR="00D953A9">
        <w:t xml:space="preserve">on </w:t>
      </w:r>
      <w:r w:rsidR="006F63F1">
        <w:t xml:space="preserve">the </w:t>
      </w:r>
      <w:r w:rsidR="006F63F1" w:rsidRPr="00006D07">
        <w:rPr>
          <w:b/>
          <w:bCs/>
        </w:rPr>
        <w:t>Registration</w:t>
      </w:r>
      <w:r w:rsidR="006F63F1">
        <w:t xml:space="preserve"> tab at the top of the software.</w:t>
      </w:r>
    </w:p>
    <w:p w14:paraId="42A96A8E" w14:textId="77777777" w:rsidR="001E1661" w:rsidRDefault="001E1661" w:rsidP="001E1661"/>
    <w:p w14:paraId="44CD305E" w14:textId="62A36E6B" w:rsidR="001E1661" w:rsidRDefault="001E1661" w:rsidP="001E1661">
      <w:r>
        <w:t xml:space="preserve">2.3.2. </w:t>
      </w:r>
      <w:r w:rsidR="006F63F1">
        <w:t xml:space="preserve">Place the </w:t>
      </w:r>
      <w:r w:rsidR="00E16FA5">
        <w:t xml:space="preserve">image guidance system’s </w:t>
      </w:r>
      <w:r w:rsidR="006F63F1">
        <w:t xml:space="preserve">pointer/marker onto the registration landmarks: nasion and the right and left </w:t>
      </w:r>
      <w:r w:rsidR="00E16FA5">
        <w:t>periauricular points</w:t>
      </w:r>
      <w:r w:rsidR="006F63F1">
        <w:t>. When the pointer is placed on the skin, click</w:t>
      </w:r>
      <w:r w:rsidR="00D953A9">
        <w:t xml:space="preserve"> on</w:t>
      </w:r>
      <w:r w:rsidR="006F63F1">
        <w:t xml:space="preserve"> the </w:t>
      </w:r>
      <w:r w:rsidR="006F63F1" w:rsidRPr="00006D07">
        <w:rPr>
          <w:b/>
          <w:bCs/>
        </w:rPr>
        <w:t>Next</w:t>
      </w:r>
      <w:r w:rsidR="006F63F1">
        <w:t xml:space="preserve"> button to register the participant</w:t>
      </w:r>
      <w:r w:rsidR="00BC42FD">
        <w:t>’</w:t>
      </w:r>
      <w:r w:rsidR="006F63F1">
        <w:t>s skin location</w:t>
      </w:r>
      <w:r w:rsidR="00BC42FD">
        <w:t>s</w:t>
      </w:r>
      <w:r w:rsidR="006F63F1">
        <w:t xml:space="preserve"> </w:t>
      </w:r>
      <w:r w:rsidR="00E16FA5">
        <w:t xml:space="preserve">to </w:t>
      </w:r>
      <w:r w:rsidR="006F63F1">
        <w:t xml:space="preserve">the image guidance </w:t>
      </w:r>
      <w:r w:rsidR="00BC42FD">
        <w:t>software</w:t>
      </w:r>
      <w:r w:rsidR="006F63F1">
        <w:t>.</w:t>
      </w:r>
    </w:p>
    <w:p w14:paraId="33F353D6" w14:textId="77777777" w:rsidR="001E1661" w:rsidRDefault="001E1661" w:rsidP="001E1661"/>
    <w:p w14:paraId="25FE6523" w14:textId="18473DE3" w:rsidR="001E1661" w:rsidRDefault="001E1661" w:rsidP="001E1661">
      <w:r>
        <w:t xml:space="preserve">2.3.3. </w:t>
      </w:r>
      <w:r w:rsidR="006F63F1">
        <w:t xml:space="preserve">After the registration landmarks have been captured, click on the </w:t>
      </w:r>
      <w:r w:rsidR="006F63F1" w:rsidRPr="00006D07">
        <w:rPr>
          <w:b/>
          <w:bCs/>
        </w:rPr>
        <w:t>Scaling</w:t>
      </w:r>
      <w:r w:rsidR="006F63F1">
        <w:t xml:space="preserve"> tab at the top of the software</w:t>
      </w:r>
      <w:r w:rsidR="00BC42FD">
        <w:t xml:space="preserve"> window</w:t>
      </w:r>
      <w:r w:rsidR="006F63F1">
        <w:t>. Place the pointer on the rightmost, leftmost, topmost, frontmost, and backmost locations of the participant’s scalp.</w:t>
      </w:r>
    </w:p>
    <w:p w14:paraId="4A6AC868" w14:textId="77777777" w:rsidR="001E1661" w:rsidRDefault="001E1661" w:rsidP="001E1661"/>
    <w:p w14:paraId="5E226E14" w14:textId="1F77013F" w:rsidR="0071300E" w:rsidRDefault="001E1661" w:rsidP="001E1661">
      <w:r>
        <w:t xml:space="preserve">2.3.4. </w:t>
      </w:r>
      <w:r w:rsidR="006F63F1">
        <w:t xml:space="preserve">Click </w:t>
      </w:r>
      <w:r w:rsidR="00D953A9">
        <w:t xml:space="preserve">on </w:t>
      </w:r>
      <w:r w:rsidR="006F63F1">
        <w:t xml:space="preserve">the </w:t>
      </w:r>
      <w:r w:rsidR="006F63F1" w:rsidRPr="00006D07">
        <w:rPr>
          <w:b/>
          <w:bCs/>
        </w:rPr>
        <w:t>Next</w:t>
      </w:r>
      <w:r w:rsidR="006F63F1">
        <w:t xml:space="preserve"> button at each location to scale the image guidance system to the participant’s head. After scaling is complete</w:t>
      </w:r>
      <w:r w:rsidR="00D953A9">
        <w:t>,</w:t>
      </w:r>
      <w:r w:rsidR="006F63F1">
        <w:t xml:space="preserve"> click on the </w:t>
      </w:r>
      <w:r w:rsidR="006F63F1" w:rsidRPr="00006D07">
        <w:rPr>
          <w:b/>
          <w:bCs/>
        </w:rPr>
        <w:t>Perform</w:t>
      </w:r>
      <w:r w:rsidR="006F63F1">
        <w:t xml:space="preserve"> tab at the top of the software. The image guidance system is now ready.</w:t>
      </w:r>
    </w:p>
    <w:p w14:paraId="43314C73" w14:textId="77777777" w:rsidR="00121F72" w:rsidRDefault="00121F72" w:rsidP="001E1661">
      <w:pPr>
        <w:rPr>
          <w:b/>
          <w:bCs/>
        </w:rPr>
      </w:pPr>
    </w:p>
    <w:p w14:paraId="4036E398" w14:textId="795E4A27" w:rsidR="00254C14" w:rsidRPr="00235BA5" w:rsidRDefault="00E16FA5" w:rsidP="001E1661">
      <w:pPr>
        <w:rPr>
          <w:b/>
          <w:bCs/>
        </w:rPr>
      </w:pPr>
      <w:r>
        <w:rPr>
          <w:b/>
          <w:bCs/>
        </w:rPr>
        <w:t>3</w:t>
      </w:r>
      <w:r w:rsidR="00DD69A9" w:rsidRPr="00235BA5">
        <w:rPr>
          <w:b/>
          <w:bCs/>
        </w:rPr>
        <w:t xml:space="preserve">. </w:t>
      </w:r>
      <w:r w:rsidR="00254C14" w:rsidRPr="00235BA5">
        <w:rPr>
          <w:b/>
          <w:bCs/>
        </w:rPr>
        <w:t xml:space="preserve">Surface </w:t>
      </w:r>
      <w:r w:rsidR="00D953A9">
        <w:rPr>
          <w:b/>
          <w:bCs/>
        </w:rPr>
        <w:t>e</w:t>
      </w:r>
      <w:r w:rsidR="00254C14" w:rsidRPr="00235BA5">
        <w:rPr>
          <w:b/>
          <w:bCs/>
        </w:rPr>
        <w:t xml:space="preserve">lectromyography </w:t>
      </w:r>
      <w:r w:rsidR="00D953A9">
        <w:rPr>
          <w:b/>
          <w:bCs/>
        </w:rPr>
        <w:t>p</w:t>
      </w:r>
      <w:r w:rsidR="00254C14" w:rsidRPr="00235BA5">
        <w:rPr>
          <w:b/>
          <w:bCs/>
        </w:rPr>
        <w:t xml:space="preserve">reparation and </w:t>
      </w:r>
      <w:r w:rsidR="00D953A9">
        <w:rPr>
          <w:b/>
          <w:bCs/>
        </w:rPr>
        <w:t>s</w:t>
      </w:r>
      <w:r w:rsidR="00254C14" w:rsidRPr="00235BA5">
        <w:rPr>
          <w:b/>
          <w:bCs/>
        </w:rPr>
        <w:t>etup</w:t>
      </w:r>
    </w:p>
    <w:p w14:paraId="1F4510A7" w14:textId="77777777" w:rsidR="00235BA5" w:rsidRDefault="00235BA5" w:rsidP="001E1661"/>
    <w:p w14:paraId="3F93995C" w14:textId="314FA192" w:rsidR="003337F2" w:rsidRDefault="00E16FA5" w:rsidP="001E1661">
      <w:r>
        <w:t>3.1</w:t>
      </w:r>
      <w:r w:rsidR="00697F68">
        <w:tab/>
      </w:r>
      <w:r w:rsidR="00E53E43">
        <w:t xml:space="preserve">Prepare the </w:t>
      </w:r>
      <w:r w:rsidR="003337F2">
        <w:t xml:space="preserve">participants’ </w:t>
      </w:r>
      <w:r w:rsidR="00D634D3">
        <w:t>tibialis anterior</w:t>
      </w:r>
      <w:r w:rsidR="00543164">
        <w:t xml:space="preserve"> (TA)</w:t>
      </w:r>
      <w:r w:rsidR="00D634D3">
        <w:t xml:space="preserve"> and soleus </w:t>
      </w:r>
      <w:r w:rsidR="00543164">
        <w:t xml:space="preserve">(SOL) </w:t>
      </w:r>
      <w:r w:rsidR="00D634D3">
        <w:t>muscles for surface electromyography (sEMG) electrodes.</w:t>
      </w:r>
      <w:r w:rsidR="00290DFB">
        <w:t xml:space="preserve"> </w:t>
      </w:r>
      <w:r w:rsidR="00D634D3">
        <w:t>To prepare the skin for sEMG</w:t>
      </w:r>
      <w:r w:rsidR="00235BA5">
        <w:t xml:space="preserve">, </w:t>
      </w:r>
      <w:r w:rsidR="00E53E43">
        <w:t>clean the area</w:t>
      </w:r>
      <w:r w:rsidR="00D634D3">
        <w:t xml:space="preserve"> using alcohol pads and</w:t>
      </w:r>
      <w:r w:rsidR="00D953A9">
        <w:t>,</w:t>
      </w:r>
      <w:r w:rsidR="00D634D3">
        <w:t xml:space="preserve"> if necessary</w:t>
      </w:r>
      <w:r w:rsidR="00235BA5">
        <w:t>,</w:t>
      </w:r>
      <w:r w:rsidR="00D634D3">
        <w:t xml:space="preserve"> </w:t>
      </w:r>
      <w:r w:rsidR="00E53E43">
        <w:t xml:space="preserve">remove any </w:t>
      </w:r>
      <w:r w:rsidR="00D634D3">
        <w:t xml:space="preserve">hair </w:t>
      </w:r>
      <w:r w:rsidR="00E53E43">
        <w:t>with</w:t>
      </w:r>
      <w:r w:rsidR="00D634D3">
        <w:t xml:space="preserve"> </w:t>
      </w:r>
      <w:r w:rsidR="00E53E43">
        <w:t xml:space="preserve">a </w:t>
      </w:r>
      <w:r w:rsidR="00D634D3">
        <w:t>single</w:t>
      </w:r>
      <w:r w:rsidR="00436FC6">
        <w:t>-</w:t>
      </w:r>
      <w:r w:rsidR="00D634D3">
        <w:t xml:space="preserve">use safety razor. </w:t>
      </w:r>
      <w:r w:rsidR="00E53E43">
        <w:t>Place t</w:t>
      </w:r>
      <w:r w:rsidR="00D634D3">
        <w:t xml:space="preserve">he sEMG </w:t>
      </w:r>
      <w:r w:rsidR="006C4814">
        <w:t xml:space="preserve">disposable gel </w:t>
      </w:r>
      <w:r w:rsidR="00D634D3">
        <w:t xml:space="preserve">electrodes according to SENIAM </w:t>
      </w:r>
      <w:r w:rsidR="00315709">
        <w:t>guidelines</w:t>
      </w:r>
      <w:r w:rsidR="00315709">
        <w:rPr>
          <w:vertAlign w:val="superscript"/>
        </w:rPr>
        <w:t>17</w:t>
      </w:r>
      <w:r w:rsidR="00D634D3">
        <w:t>.</w:t>
      </w:r>
    </w:p>
    <w:p w14:paraId="55550295" w14:textId="3950F4EE" w:rsidR="00E53E43" w:rsidRDefault="00E53E43" w:rsidP="001E1661"/>
    <w:p w14:paraId="71D13064" w14:textId="7BB26989" w:rsidR="00E53E43" w:rsidRDefault="00E53E43" w:rsidP="001E1661">
      <w:r>
        <w:t>NOTE</w:t>
      </w:r>
      <w:r w:rsidR="00235BA5">
        <w:t xml:space="preserve">: </w:t>
      </w:r>
      <w:r>
        <w:t xml:space="preserve">Sensor placement for the TA is </w:t>
      </w:r>
      <w:r w:rsidRPr="00E53E43">
        <w:t xml:space="preserve">1/3 </w:t>
      </w:r>
      <w:r>
        <w:t xml:space="preserve">of the way down </w:t>
      </w:r>
      <w:r w:rsidRPr="00E53E43">
        <w:t>on the line between the tip of the fibula and the tip of the medial malleolus.</w:t>
      </w:r>
      <w:r>
        <w:t xml:space="preserve"> For the SOL</w:t>
      </w:r>
      <w:r w:rsidR="00D953A9">
        <w:t>,</w:t>
      </w:r>
      <w:r>
        <w:t xml:space="preserve"> place the sensor </w:t>
      </w:r>
      <w:r w:rsidRPr="00E53E43">
        <w:t>2/3 of the line between the medial condyle of the femur to the medial malleolus.</w:t>
      </w:r>
    </w:p>
    <w:p w14:paraId="4A0D2AC0" w14:textId="66E7C8BB" w:rsidR="00697F68" w:rsidRDefault="00697F68" w:rsidP="001E1661"/>
    <w:p w14:paraId="655A26BC" w14:textId="2145BD33" w:rsidR="00E53E43" w:rsidRDefault="00E16FA5" w:rsidP="001E1661">
      <w:pPr>
        <w:rPr>
          <w:highlight w:val="yellow"/>
        </w:rPr>
      </w:pPr>
      <w:r>
        <w:rPr>
          <w:highlight w:val="yellow"/>
        </w:rPr>
        <w:t>3.2</w:t>
      </w:r>
      <w:r w:rsidR="00697F68" w:rsidRPr="00C846C2">
        <w:rPr>
          <w:highlight w:val="yellow"/>
        </w:rPr>
        <w:tab/>
      </w:r>
      <w:r w:rsidR="00D634D3" w:rsidRPr="00C846C2">
        <w:rPr>
          <w:highlight w:val="yellow"/>
        </w:rPr>
        <w:t xml:space="preserve">Once the electrodes </w:t>
      </w:r>
      <w:r w:rsidR="00E53E43">
        <w:rPr>
          <w:highlight w:val="yellow"/>
        </w:rPr>
        <w:t>are</w:t>
      </w:r>
      <w:r w:rsidR="00E53E43" w:rsidRPr="00C846C2">
        <w:rPr>
          <w:highlight w:val="yellow"/>
        </w:rPr>
        <w:t xml:space="preserve"> </w:t>
      </w:r>
      <w:r w:rsidR="00D634D3" w:rsidRPr="00C846C2">
        <w:rPr>
          <w:highlight w:val="yellow"/>
        </w:rPr>
        <w:t>attached</w:t>
      </w:r>
      <w:r w:rsidR="00235BA5">
        <w:rPr>
          <w:highlight w:val="yellow"/>
        </w:rPr>
        <w:t>,</w:t>
      </w:r>
      <w:r w:rsidR="00D634D3" w:rsidRPr="00C846C2">
        <w:rPr>
          <w:highlight w:val="yellow"/>
        </w:rPr>
        <w:t xml:space="preserve"> visually inspect</w:t>
      </w:r>
      <w:r w:rsidR="00E53E43">
        <w:rPr>
          <w:highlight w:val="yellow"/>
        </w:rPr>
        <w:t xml:space="preserve"> the signal</w:t>
      </w:r>
      <w:r w:rsidR="00D634D3" w:rsidRPr="00C846C2">
        <w:rPr>
          <w:highlight w:val="yellow"/>
        </w:rPr>
        <w:t xml:space="preserve"> for quality</w:t>
      </w:r>
      <w:r w:rsidR="00E53E43">
        <w:rPr>
          <w:highlight w:val="yellow"/>
        </w:rPr>
        <w:t>.</w:t>
      </w:r>
      <w:r w:rsidR="00D634D3" w:rsidRPr="00C846C2">
        <w:rPr>
          <w:highlight w:val="yellow"/>
        </w:rPr>
        <w:t xml:space="preserve"> </w:t>
      </w:r>
      <w:r w:rsidR="00E53E43">
        <w:rPr>
          <w:highlight w:val="yellow"/>
        </w:rPr>
        <w:t>Then</w:t>
      </w:r>
      <w:r w:rsidR="00D953A9">
        <w:rPr>
          <w:highlight w:val="yellow"/>
        </w:rPr>
        <w:t>,</w:t>
      </w:r>
      <w:r w:rsidR="00E53E43">
        <w:rPr>
          <w:highlight w:val="yellow"/>
        </w:rPr>
        <w:t xml:space="preserve"> proceed to </w:t>
      </w:r>
      <w:r w:rsidR="00796120" w:rsidRPr="00C846C2">
        <w:rPr>
          <w:highlight w:val="yellow"/>
        </w:rPr>
        <w:t>wrap</w:t>
      </w:r>
      <w:r w:rsidR="00E53E43">
        <w:rPr>
          <w:highlight w:val="yellow"/>
        </w:rPr>
        <w:t xml:space="preserve"> the shanks</w:t>
      </w:r>
      <w:r w:rsidR="00796120" w:rsidRPr="00C846C2">
        <w:rPr>
          <w:highlight w:val="yellow"/>
        </w:rPr>
        <w:t xml:space="preserve"> with an elastic bandage to minimize </w:t>
      </w:r>
      <w:r w:rsidR="00436FC6" w:rsidRPr="00C846C2">
        <w:rPr>
          <w:highlight w:val="yellow"/>
        </w:rPr>
        <w:t>any</w:t>
      </w:r>
      <w:r w:rsidR="00796120" w:rsidRPr="00C846C2">
        <w:rPr>
          <w:highlight w:val="yellow"/>
        </w:rPr>
        <w:t xml:space="preserve"> movement of the electrodes </w:t>
      </w:r>
      <w:r w:rsidR="005E7AC2" w:rsidRPr="00C846C2">
        <w:rPr>
          <w:highlight w:val="yellow"/>
        </w:rPr>
        <w:t xml:space="preserve">and </w:t>
      </w:r>
      <w:r w:rsidR="00235BA5">
        <w:rPr>
          <w:highlight w:val="yellow"/>
        </w:rPr>
        <w:t xml:space="preserve">the </w:t>
      </w:r>
      <w:r w:rsidR="005E7AC2" w:rsidRPr="00C846C2">
        <w:rPr>
          <w:highlight w:val="yellow"/>
        </w:rPr>
        <w:t xml:space="preserve">resultant artifact </w:t>
      </w:r>
      <w:r w:rsidR="00796120" w:rsidRPr="00C846C2">
        <w:rPr>
          <w:highlight w:val="yellow"/>
        </w:rPr>
        <w:t>during testing.</w:t>
      </w:r>
    </w:p>
    <w:p w14:paraId="10677E34" w14:textId="77777777" w:rsidR="00E53E43" w:rsidRDefault="00E53E43" w:rsidP="001E1661">
      <w:pPr>
        <w:rPr>
          <w:highlight w:val="yellow"/>
        </w:rPr>
      </w:pPr>
    </w:p>
    <w:p w14:paraId="034C5A18" w14:textId="3CDC1AA8" w:rsidR="00D634D3" w:rsidRDefault="00242CD1" w:rsidP="001E1661">
      <w:r w:rsidRPr="00F35E14">
        <w:t xml:space="preserve">NOTE: </w:t>
      </w:r>
      <w:r w:rsidR="00E53E43" w:rsidRPr="00F35E14">
        <w:t>Record</w:t>
      </w:r>
      <w:r w:rsidR="003D633F" w:rsidRPr="00F35E14">
        <w:t xml:space="preserve"> sEMG signals</w:t>
      </w:r>
      <w:r w:rsidR="003D633F" w:rsidRPr="00786C36">
        <w:t xml:space="preserve"> at</w:t>
      </w:r>
      <w:r w:rsidR="003D633F" w:rsidRPr="00F35E14">
        <w:t xml:space="preserve"> 5000 </w:t>
      </w:r>
      <w:r w:rsidR="005E7AC2" w:rsidRPr="00F35E14">
        <w:t>H</w:t>
      </w:r>
      <w:r w:rsidR="003D633F" w:rsidRPr="00F35E14">
        <w:t>z in a 0.5 s window star</w:t>
      </w:r>
      <w:r w:rsidR="00BC42FD">
        <w:t>t</w:t>
      </w:r>
      <w:r w:rsidR="003D633F" w:rsidRPr="00F35E14">
        <w:t xml:space="preserve">ing 0.1 s </w:t>
      </w:r>
      <w:r w:rsidR="00BC42FD">
        <w:t>before</w:t>
      </w:r>
      <w:r w:rsidR="003D633F" w:rsidRPr="00F35E14">
        <w:t xml:space="preserve"> the delivery of the TMS pulses.</w:t>
      </w:r>
      <w:r w:rsidR="003D633F">
        <w:t xml:space="preserve"> </w:t>
      </w:r>
      <w:r w:rsidR="00F35E14">
        <w:t xml:space="preserve">The exact sampling frequency and amount of data collected will be dependent on the hardware and software used to </w:t>
      </w:r>
      <w:r w:rsidR="007B2B67">
        <w:t>record</w:t>
      </w:r>
      <w:r w:rsidR="00F35E14">
        <w:t xml:space="preserve"> the sEMG response to TMS.</w:t>
      </w:r>
      <w:r w:rsidR="0044231D">
        <w:t xml:space="preserve"> For details on establishing EMG recording</w:t>
      </w:r>
      <w:r w:rsidR="00315709">
        <w:t>s</w:t>
      </w:r>
      <w:r w:rsidR="0044231D">
        <w:t xml:space="preserve"> and analyses see </w:t>
      </w:r>
      <w:proofErr w:type="spellStart"/>
      <w:r w:rsidR="0044231D">
        <w:t>Tankisi</w:t>
      </w:r>
      <w:proofErr w:type="spellEnd"/>
      <w:r w:rsidR="0044231D">
        <w:t xml:space="preserve"> et al</w:t>
      </w:r>
      <w:r w:rsidR="00315709">
        <w:t>.</w:t>
      </w:r>
      <w:r w:rsidR="00315709">
        <w:rPr>
          <w:vertAlign w:val="superscript"/>
        </w:rPr>
        <w:t>18</w:t>
      </w:r>
      <w:r w:rsidR="00302222">
        <w:t>.</w:t>
      </w:r>
    </w:p>
    <w:p w14:paraId="74CADFB2" w14:textId="77777777" w:rsidR="00770E67" w:rsidRDefault="00770E67" w:rsidP="001E1661"/>
    <w:p w14:paraId="714172FC" w14:textId="278FF866" w:rsidR="00254C14" w:rsidRPr="00235BA5" w:rsidRDefault="00E16FA5" w:rsidP="001E1661">
      <w:pPr>
        <w:rPr>
          <w:b/>
          <w:bCs/>
          <w:highlight w:val="yellow"/>
        </w:rPr>
      </w:pPr>
      <w:r w:rsidRPr="001E1661">
        <w:rPr>
          <w:b/>
          <w:bCs/>
          <w:highlight w:val="yellow"/>
        </w:rPr>
        <w:t>4</w:t>
      </w:r>
      <w:r w:rsidR="00DD69A9" w:rsidRPr="001E1661">
        <w:rPr>
          <w:b/>
          <w:bCs/>
          <w:highlight w:val="yellow"/>
        </w:rPr>
        <w:t>.</w:t>
      </w:r>
      <w:r w:rsidR="00DD69A9">
        <w:rPr>
          <w:highlight w:val="yellow"/>
        </w:rPr>
        <w:t xml:space="preserve"> </w:t>
      </w:r>
      <w:r w:rsidR="00315709" w:rsidRPr="00786C36">
        <w:rPr>
          <w:b/>
          <w:bCs/>
          <w:highlight w:val="yellow"/>
        </w:rPr>
        <w:t xml:space="preserve">Force </w:t>
      </w:r>
      <w:r w:rsidR="00302222">
        <w:rPr>
          <w:b/>
          <w:bCs/>
          <w:highlight w:val="yellow"/>
        </w:rPr>
        <w:t>p</w:t>
      </w:r>
      <w:r w:rsidR="00315709" w:rsidRPr="00786C36">
        <w:rPr>
          <w:b/>
          <w:bCs/>
          <w:highlight w:val="yellow"/>
        </w:rPr>
        <w:t>late and</w:t>
      </w:r>
      <w:r w:rsidR="00315709">
        <w:rPr>
          <w:highlight w:val="yellow"/>
        </w:rPr>
        <w:t xml:space="preserve"> </w:t>
      </w:r>
      <w:r w:rsidR="00302222">
        <w:rPr>
          <w:b/>
          <w:bCs/>
          <w:highlight w:val="yellow"/>
        </w:rPr>
        <w:t>p</w:t>
      </w:r>
      <w:r>
        <w:rPr>
          <w:b/>
          <w:bCs/>
          <w:highlight w:val="yellow"/>
        </w:rPr>
        <w:t>articipant</w:t>
      </w:r>
      <w:r w:rsidR="00254C14" w:rsidRPr="00235BA5">
        <w:rPr>
          <w:b/>
          <w:bCs/>
          <w:highlight w:val="yellow"/>
        </w:rPr>
        <w:t xml:space="preserve"> </w:t>
      </w:r>
      <w:r w:rsidR="00302222">
        <w:rPr>
          <w:b/>
          <w:bCs/>
          <w:highlight w:val="yellow"/>
        </w:rPr>
        <w:t>s</w:t>
      </w:r>
      <w:r w:rsidR="00254C14" w:rsidRPr="00235BA5">
        <w:rPr>
          <w:b/>
          <w:bCs/>
          <w:highlight w:val="yellow"/>
        </w:rPr>
        <w:t xml:space="preserve">afety </w:t>
      </w:r>
      <w:r w:rsidR="00302222">
        <w:rPr>
          <w:b/>
          <w:bCs/>
          <w:highlight w:val="yellow"/>
        </w:rPr>
        <w:t>s</w:t>
      </w:r>
      <w:r w:rsidR="00254C14" w:rsidRPr="00235BA5">
        <w:rPr>
          <w:b/>
          <w:bCs/>
          <w:highlight w:val="yellow"/>
        </w:rPr>
        <w:t>etup</w:t>
      </w:r>
    </w:p>
    <w:p w14:paraId="3C1310FB" w14:textId="77777777" w:rsidR="00235BA5" w:rsidRDefault="00235BA5" w:rsidP="001E1661">
      <w:pPr>
        <w:rPr>
          <w:highlight w:val="yellow"/>
        </w:rPr>
      </w:pPr>
    </w:p>
    <w:p w14:paraId="04678B1F" w14:textId="593932A6" w:rsidR="001E1661" w:rsidRDefault="004332EC" w:rsidP="001E1661">
      <w:pPr>
        <w:rPr>
          <w:highlight w:val="yellow"/>
        </w:rPr>
      </w:pPr>
      <w:r>
        <w:rPr>
          <w:highlight w:val="yellow"/>
        </w:rPr>
        <w:t>4.1</w:t>
      </w:r>
      <w:r w:rsidR="00BC42FD">
        <w:rPr>
          <w:highlight w:val="yellow"/>
        </w:rPr>
        <w:tab/>
      </w:r>
      <w:r w:rsidR="00315709">
        <w:rPr>
          <w:highlight w:val="yellow"/>
        </w:rPr>
        <w:t>Open the data collection software and start a new trial to c</w:t>
      </w:r>
      <w:r>
        <w:rPr>
          <w:highlight w:val="yellow"/>
        </w:rPr>
        <w:t>alibrate the</w:t>
      </w:r>
      <w:r w:rsidR="00315709">
        <w:rPr>
          <w:highlight w:val="yellow"/>
        </w:rPr>
        <w:t xml:space="preserve"> dual-top</w:t>
      </w:r>
      <w:r>
        <w:rPr>
          <w:highlight w:val="yellow"/>
        </w:rPr>
        <w:t xml:space="preserve"> force plate</w:t>
      </w:r>
      <w:r w:rsidR="00315709">
        <w:rPr>
          <w:highlight w:val="yellow"/>
        </w:rPr>
        <w:t>.</w:t>
      </w:r>
    </w:p>
    <w:p w14:paraId="48852A15" w14:textId="77777777" w:rsidR="001E1661" w:rsidRDefault="001E1661" w:rsidP="001E1661">
      <w:pPr>
        <w:rPr>
          <w:highlight w:val="yellow"/>
        </w:rPr>
      </w:pPr>
    </w:p>
    <w:p w14:paraId="6591093E" w14:textId="44A9FFD1" w:rsidR="001E1661" w:rsidRDefault="001E1661" w:rsidP="001E1661">
      <w:pPr>
        <w:rPr>
          <w:highlight w:val="yellow"/>
        </w:rPr>
      </w:pPr>
      <w:r>
        <w:rPr>
          <w:highlight w:val="yellow"/>
        </w:rPr>
        <w:t xml:space="preserve">4.1.1. </w:t>
      </w:r>
      <w:r w:rsidR="00315709">
        <w:rPr>
          <w:highlight w:val="yellow"/>
        </w:rPr>
        <w:t xml:space="preserve">Click </w:t>
      </w:r>
      <w:r w:rsidR="00315709" w:rsidRPr="00006D07">
        <w:rPr>
          <w:b/>
          <w:bCs/>
          <w:highlight w:val="yellow"/>
        </w:rPr>
        <w:t>Start</w:t>
      </w:r>
      <w:r w:rsidR="00315709">
        <w:rPr>
          <w:highlight w:val="yellow"/>
        </w:rPr>
        <w:t xml:space="preserve"> and begin a</w:t>
      </w:r>
      <w:r w:rsidR="007B2B67">
        <w:rPr>
          <w:highlight w:val="yellow"/>
        </w:rPr>
        <w:t>n</w:t>
      </w:r>
      <w:r w:rsidR="00315709">
        <w:rPr>
          <w:highlight w:val="yellow"/>
        </w:rPr>
        <w:t xml:space="preserve"> FP Zero trial. C</w:t>
      </w:r>
      <w:r w:rsidR="004332EC">
        <w:rPr>
          <w:highlight w:val="yellow"/>
        </w:rPr>
        <w:t>ollect 3</w:t>
      </w:r>
      <w:r w:rsidR="00302222">
        <w:rPr>
          <w:highlight w:val="yellow"/>
        </w:rPr>
        <w:t>–</w:t>
      </w:r>
      <w:r w:rsidR="004332EC">
        <w:rPr>
          <w:highlight w:val="yellow"/>
        </w:rPr>
        <w:t xml:space="preserve">5 s of data with no load </w:t>
      </w:r>
      <w:r w:rsidR="00315709">
        <w:rPr>
          <w:highlight w:val="yellow"/>
        </w:rPr>
        <w:t>on the force plate</w:t>
      </w:r>
      <w:r w:rsidR="00302222">
        <w:rPr>
          <w:highlight w:val="yellow"/>
        </w:rPr>
        <w:t>,</w:t>
      </w:r>
      <w:r w:rsidR="00315709">
        <w:rPr>
          <w:highlight w:val="yellow"/>
        </w:rPr>
        <w:t xml:space="preserve"> and then click</w:t>
      </w:r>
      <w:r w:rsidR="00302222">
        <w:rPr>
          <w:highlight w:val="yellow"/>
        </w:rPr>
        <w:t xml:space="preserve"> </w:t>
      </w:r>
      <w:r w:rsidR="00315709" w:rsidRPr="00006D07">
        <w:rPr>
          <w:b/>
          <w:bCs/>
          <w:highlight w:val="yellow"/>
        </w:rPr>
        <w:t>Stop</w:t>
      </w:r>
      <w:r w:rsidR="004332EC">
        <w:rPr>
          <w:highlight w:val="yellow"/>
        </w:rPr>
        <w:t>.</w:t>
      </w:r>
    </w:p>
    <w:p w14:paraId="1E035FD4" w14:textId="77777777" w:rsidR="001E1661" w:rsidRDefault="001E1661" w:rsidP="001E1661">
      <w:pPr>
        <w:rPr>
          <w:highlight w:val="yellow"/>
        </w:rPr>
      </w:pPr>
    </w:p>
    <w:p w14:paraId="41E5417E" w14:textId="572EB37A" w:rsidR="001E1661" w:rsidRDefault="001E1661" w:rsidP="001E1661">
      <w:pPr>
        <w:rPr>
          <w:highlight w:val="yellow"/>
        </w:rPr>
      </w:pPr>
      <w:r>
        <w:rPr>
          <w:highlight w:val="yellow"/>
        </w:rPr>
        <w:t xml:space="preserve">4.1.2. </w:t>
      </w:r>
      <w:r w:rsidR="004332EC">
        <w:rPr>
          <w:highlight w:val="yellow"/>
        </w:rPr>
        <w:t xml:space="preserve">Once the </w:t>
      </w:r>
      <w:r w:rsidR="002C11E2">
        <w:rPr>
          <w:highlight w:val="yellow"/>
        </w:rPr>
        <w:t xml:space="preserve">force plate is calibrated, </w:t>
      </w:r>
      <w:r w:rsidR="003B47F9" w:rsidRPr="00C44B9B">
        <w:rPr>
          <w:highlight w:val="yellow"/>
        </w:rPr>
        <w:t>the participant</w:t>
      </w:r>
      <w:r w:rsidR="00703CBE">
        <w:rPr>
          <w:highlight w:val="yellow"/>
        </w:rPr>
        <w:t xml:space="preserve"> </w:t>
      </w:r>
      <w:r w:rsidR="004332EC">
        <w:rPr>
          <w:highlight w:val="yellow"/>
        </w:rPr>
        <w:t>has been</w:t>
      </w:r>
      <w:r w:rsidR="004332EC" w:rsidRPr="00C44B9B">
        <w:rPr>
          <w:highlight w:val="yellow"/>
        </w:rPr>
        <w:t xml:space="preserve"> </w:t>
      </w:r>
      <w:r w:rsidR="003B47F9" w:rsidRPr="00C44B9B">
        <w:rPr>
          <w:highlight w:val="yellow"/>
        </w:rPr>
        <w:t xml:space="preserve">registered to the </w:t>
      </w:r>
      <w:r w:rsidR="004332EC">
        <w:rPr>
          <w:highlight w:val="yellow"/>
        </w:rPr>
        <w:t xml:space="preserve">image guidance </w:t>
      </w:r>
      <w:r w:rsidR="003B47F9" w:rsidRPr="00C44B9B">
        <w:rPr>
          <w:highlight w:val="yellow"/>
        </w:rPr>
        <w:t xml:space="preserve">system </w:t>
      </w:r>
      <w:r w:rsidR="004332EC">
        <w:rPr>
          <w:highlight w:val="yellow"/>
        </w:rPr>
        <w:t>(</w:t>
      </w:r>
      <w:r w:rsidR="00302222">
        <w:rPr>
          <w:highlight w:val="yellow"/>
        </w:rPr>
        <w:t>s</w:t>
      </w:r>
      <w:r w:rsidR="004332EC">
        <w:rPr>
          <w:highlight w:val="yellow"/>
        </w:rPr>
        <w:t>ection 2.2)</w:t>
      </w:r>
      <w:r w:rsidR="00BC42FD">
        <w:rPr>
          <w:highlight w:val="yellow"/>
        </w:rPr>
        <w:t>,</w:t>
      </w:r>
      <w:r w:rsidR="004332EC">
        <w:rPr>
          <w:highlight w:val="yellow"/>
        </w:rPr>
        <w:t xml:space="preserve"> </w:t>
      </w:r>
      <w:r w:rsidR="003B47F9" w:rsidRPr="00C44B9B">
        <w:rPr>
          <w:highlight w:val="yellow"/>
        </w:rPr>
        <w:t xml:space="preserve">and </w:t>
      </w:r>
      <w:r w:rsidR="00703CBE">
        <w:rPr>
          <w:highlight w:val="yellow"/>
        </w:rPr>
        <w:t xml:space="preserve">the </w:t>
      </w:r>
      <w:r w:rsidR="003B47F9" w:rsidRPr="00C44B9B">
        <w:rPr>
          <w:highlight w:val="yellow"/>
        </w:rPr>
        <w:t xml:space="preserve">sEMG electrodes </w:t>
      </w:r>
      <w:r w:rsidR="004332EC">
        <w:rPr>
          <w:highlight w:val="yellow"/>
        </w:rPr>
        <w:t>have been</w:t>
      </w:r>
      <w:r w:rsidR="004332EC" w:rsidRPr="00C44B9B">
        <w:rPr>
          <w:highlight w:val="yellow"/>
        </w:rPr>
        <w:t xml:space="preserve"> </w:t>
      </w:r>
      <w:r w:rsidR="003B47F9" w:rsidRPr="00C44B9B">
        <w:rPr>
          <w:highlight w:val="yellow"/>
        </w:rPr>
        <w:t xml:space="preserve">placed and tested for </w:t>
      </w:r>
      <w:r w:rsidR="00235BA5">
        <w:rPr>
          <w:highlight w:val="yellow"/>
        </w:rPr>
        <w:t xml:space="preserve">the </w:t>
      </w:r>
      <w:r w:rsidR="001E1B0F" w:rsidRPr="00C44B9B">
        <w:rPr>
          <w:highlight w:val="yellow"/>
        </w:rPr>
        <w:t xml:space="preserve">signal </w:t>
      </w:r>
      <w:r w:rsidR="003B47F9" w:rsidRPr="00C44B9B">
        <w:rPr>
          <w:highlight w:val="yellow"/>
        </w:rPr>
        <w:t>quality</w:t>
      </w:r>
      <w:r w:rsidR="004332EC">
        <w:rPr>
          <w:highlight w:val="yellow"/>
        </w:rPr>
        <w:t xml:space="preserve"> (</w:t>
      </w:r>
      <w:r w:rsidR="00302222">
        <w:rPr>
          <w:highlight w:val="yellow"/>
        </w:rPr>
        <w:t>s</w:t>
      </w:r>
      <w:r w:rsidR="004332EC">
        <w:rPr>
          <w:highlight w:val="yellow"/>
        </w:rPr>
        <w:t>ection 3)</w:t>
      </w:r>
      <w:r>
        <w:rPr>
          <w:highlight w:val="yellow"/>
        </w:rPr>
        <w:t>,</w:t>
      </w:r>
      <w:r w:rsidR="00703CBE">
        <w:rPr>
          <w:highlight w:val="yellow"/>
        </w:rPr>
        <w:t xml:space="preserve"> instruct the</w:t>
      </w:r>
      <w:r w:rsidR="003B47F9" w:rsidRPr="00C44B9B">
        <w:rPr>
          <w:highlight w:val="yellow"/>
        </w:rPr>
        <w:t xml:space="preserve"> </w:t>
      </w:r>
      <w:r w:rsidR="001E1B0F" w:rsidRPr="00C44B9B">
        <w:rPr>
          <w:highlight w:val="yellow"/>
        </w:rPr>
        <w:t>participant</w:t>
      </w:r>
      <w:r w:rsidR="003B47F9" w:rsidRPr="00C44B9B">
        <w:rPr>
          <w:highlight w:val="yellow"/>
        </w:rPr>
        <w:t xml:space="preserve"> to stand</w:t>
      </w:r>
      <w:r w:rsidR="00315709">
        <w:rPr>
          <w:highlight w:val="yellow"/>
        </w:rPr>
        <w:t xml:space="preserve"> and fit them with a safety harness.</w:t>
      </w:r>
    </w:p>
    <w:p w14:paraId="5E62A25E" w14:textId="77777777" w:rsidR="001E1661" w:rsidRDefault="001E1661" w:rsidP="001E1661">
      <w:pPr>
        <w:rPr>
          <w:highlight w:val="yellow"/>
        </w:rPr>
      </w:pPr>
    </w:p>
    <w:p w14:paraId="521EC84E" w14:textId="35A8209E" w:rsidR="001E1661" w:rsidRDefault="001E1661" w:rsidP="001E1661">
      <w:pPr>
        <w:rPr>
          <w:highlight w:val="yellow"/>
        </w:rPr>
      </w:pPr>
      <w:r>
        <w:rPr>
          <w:highlight w:val="yellow"/>
        </w:rPr>
        <w:t xml:space="preserve">4.1.3. </w:t>
      </w:r>
      <w:r w:rsidR="00315709">
        <w:rPr>
          <w:highlight w:val="yellow"/>
        </w:rPr>
        <w:t>Have the participant step onto the force plate and s</w:t>
      </w:r>
      <w:r w:rsidR="00726F50">
        <w:rPr>
          <w:highlight w:val="yellow"/>
        </w:rPr>
        <w:t>tandardize th</w:t>
      </w:r>
      <w:r w:rsidR="00315709">
        <w:rPr>
          <w:highlight w:val="yellow"/>
        </w:rPr>
        <w:t>eir</w:t>
      </w:r>
      <w:r w:rsidR="00726F50">
        <w:rPr>
          <w:highlight w:val="yellow"/>
        </w:rPr>
        <w:t xml:space="preserve"> foot placement </w:t>
      </w:r>
      <w:r w:rsidR="00111A4D">
        <w:rPr>
          <w:highlight w:val="yellow"/>
        </w:rPr>
        <w:t xml:space="preserve">with </w:t>
      </w:r>
      <w:r w:rsidR="00393DBF">
        <w:rPr>
          <w:highlight w:val="yellow"/>
        </w:rPr>
        <w:t>masking tape</w:t>
      </w:r>
      <w:r w:rsidR="00111A4D">
        <w:rPr>
          <w:highlight w:val="yellow"/>
        </w:rPr>
        <w:t xml:space="preserve"> pre-applied to the force plate</w:t>
      </w:r>
      <w:r w:rsidR="00393DBF">
        <w:rPr>
          <w:highlight w:val="yellow"/>
        </w:rPr>
        <w:t xml:space="preserve"> to signify the for</w:t>
      </w:r>
      <w:r w:rsidR="00BC42FD">
        <w:rPr>
          <w:highlight w:val="yellow"/>
        </w:rPr>
        <w:t>e</w:t>
      </w:r>
      <w:r w:rsidR="00393DBF">
        <w:rPr>
          <w:highlight w:val="yellow"/>
        </w:rPr>
        <w:t>most position of the foot and medial edge</w:t>
      </w:r>
      <w:r w:rsidR="00BC42FD">
        <w:rPr>
          <w:highlight w:val="yellow"/>
        </w:rPr>
        <w:t>s</w:t>
      </w:r>
      <w:r w:rsidR="00393DBF">
        <w:rPr>
          <w:highlight w:val="yellow"/>
        </w:rPr>
        <w:t xml:space="preserve"> of the </w:t>
      </w:r>
      <w:r w:rsidR="00BC42FD">
        <w:rPr>
          <w:highlight w:val="yellow"/>
        </w:rPr>
        <w:t xml:space="preserve">feet </w:t>
      </w:r>
      <w:r w:rsidR="00111A4D">
        <w:rPr>
          <w:highlight w:val="yellow"/>
        </w:rPr>
        <w:t>equal distances from</w:t>
      </w:r>
      <w:r w:rsidR="00393DBF">
        <w:rPr>
          <w:highlight w:val="yellow"/>
        </w:rPr>
        <w:t xml:space="preserve"> the midline.</w:t>
      </w:r>
    </w:p>
    <w:p w14:paraId="03C49112" w14:textId="77777777" w:rsidR="001E1661" w:rsidRDefault="001E1661" w:rsidP="001E1661">
      <w:pPr>
        <w:rPr>
          <w:highlight w:val="yellow"/>
        </w:rPr>
      </w:pPr>
    </w:p>
    <w:p w14:paraId="34C4E1D8" w14:textId="0DF82A50" w:rsidR="00BC42FD" w:rsidRDefault="001E1661" w:rsidP="001E1661">
      <w:r>
        <w:rPr>
          <w:highlight w:val="yellow"/>
        </w:rPr>
        <w:t xml:space="preserve">4.1.4. </w:t>
      </w:r>
      <w:r w:rsidR="004332EC">
        <w:rPr>
          <w:highlight w:val="yellow"/>
        </w:rPr>
        <w:t>Attach the participant’s safety harness to the ceiling support.</w:t>
      </w:r>
      <w:r w:rsidR="00393DBF" w:rsidRPr="00393DBF">
        <w:rPr>
          <w:highlight w:val="yellow"/>
        </w:rPr>
        <w:t xml:space="preserve"> </w:t>
      </w:r>
      <w:r w:rsidR="00393DBF">
        <w:rPr>
          <w:highlight w:val="yellow"/>
        </w:rPr>
        <w:t>P</w:t>
      </w:r>
      <w:r w:rsidR="00393DBF" w:rsidRPr="00C44B9B">
        <w:rPr>
          <w:highlight w:val="yellow"/>
        </w:rPr>
        <w:t>lace a rollator</w:t>
      </w:r>
      <w:r w:rsidR="00393DBF">
        <w:rPr>
          <w:highlight w:val="yellow"/>
        </w:rPr>
        <w:t>, or similar device,</w:t>
      </w:r>
      <w:r w:rsidR="00393DBF" w:rsidRPr="00C44B9B">
        <w:rPr>
          <w:highlight w:val="yellow"/>
        </w:rPr>
        <w:t xml:space="preserve"> </w:t>
      </w:r>
      <w:r w:rsidR="00393DBF">
        <w:rPr>
          <w:highlight w:val="yellow"/>
        </w:rPr>
        <w:t xml:space="preserve">around the force plate </w:t>
      </w:r>
      <w:r w:rsidR="00393DBF" w:rsidRPr="00C44B9B">
        <w:rPr>
          <w:highlight w:val="yellow"/>
        </w:rPr>
        <w:t xml:space="preserve">to provide participants </w:t>
      </w:r>
      <w:r w:rsidR="00393DBF">
        <w:rPr>
          <w:highlight w:val="yellow"/>
        </w:rPr>
        <w:t>with</w:t>
      </w:r>
      <w:r w:rsidR="00393DBF" w:rsidRPr="00C44B9B">
        <w:rPr>
          <w:highlight w:val="yellow"/>
        </w:rPr>
        <w:t xml:space="preserve"> something to steady themselves with during testing</w:t>
      </w:r>
      <w:r w:rsidR="00393DBF">
        <w:rPr>
          <w:highlight w:val="yellow"/>
        </w:rPr>
        <w:t xml:space="preserve"> if needed</w:t>
      </w:r>
      <w:r w:rsidR="00393DBF" w:rsidRPr="00C44B9B">
        <w:rPr>
          <w:highlight w:val="yellow"/>
        </w:rPr>
        <w:t>.</w:t>
      </w:r>
    </w:p>
    <w:p w14:paraId="780D1CEC" w14:textId="77777777" w:rsidR="00BC42FD" w:rsidRDefault="00BC42FD" w:rsidP="001E1661"/>
    <w:p w14:paraId="2771D22B" w14:textId="047BFB89" w:rsidR="00235BA5" w:rsidRPr="00786C36" w:rsidRDefault="002C11E2" w:rsidP="001E1661">
      <w:r w:rsidRPr="00786C36">
        <w:t xml:space="preserve">NOTE: </w:t>
      </w:r>
      <w:r w:rsidR="00703CBE" w:rsidRPr="00786C36">
        <w:t>Ensure that d</w:t>
      </w:r>
      <w:r w:rsidR="003B47F9" w:rsidRPr="00786C36">
        <w:t xml:space="preserve">uring all standing TMS procedures the participants </w:t>
      </w:r>
      <w:r w:rsidR="00703CBE" w:rsidRPr="00786C36">
        <w:t xml:space="preserve">are </w:t>
      </w:r>
      <w:r w:rsidR="003B47F9" w:rsidRPr="00786C36">
        <w:t>secure</w:t>
      </w:r>
      <w:r w:rsidR="001E1B0F" w:rsidRPr="00786C36">
        <w:t>d</w:t>
      </w:r>
      <w:r w:rsidR="003B47F9" w:rsidRPr="00786C36">
        <w:t xml:space="preserve"> to the ceiling via </w:t>
      </w:r>
      <w:r w:rsidRPr="00786C36">
        <w:t>a safety</w:t>
      </w:r>
      <w:r w:rsidR="00BC42FD">
        <w:t xml:space="preserve"> </w:t>
      </w:r>
      <w:r w:rsidR="003B47F9" w:rsidRPr="00786C36">
        <w:t xml:space="preserve">harness to prevent </w:t>
      </w:r>
      <w:r w:rsidR="004332EC" w:rsidRPr="00786C36">
        <w:t xml:space="preserve">a </w:t>
      </w:r>
      <w:r w:rsidR="003B47F9" w:rsidRPr="00786C36">
        <w:t>fall.</w:t>
      </w:r>
    </w:p>
    <w:p w14:paraId="5E6FD897" w14:textId="77777777" w:rsidR="00235BA5" w:rsidRDefault="00235BA5" w:rsidP="001E1661">
      <w:pPr>
        <w:rPr>
          <w:highlight w:val="yellow"/>
        </w:rPr>
      </w:pPr>
    </w:p>
    <w:p w14:paraId="553752BF" w14:textId="63216E16" w:rsidR="001E1661" w:rsidRDefault="002C11E2" w:rsidP="001E1661">
      <w:pPr>
        <w:rPr>
          <w:highlight w:val="yellow"/>
        </w:rPr>
      </w:pPr>
      <w:r>
        <w:rPr>
          <w:highlight w:val="yellow"/>
        </w:rPr>
        <w:t>4.2</w:t>
      </w:r>
      <w:r w:rsidR="00BC42FD">
        <w:rPr>
          <w:highlight w:val="yellow"/>
        </w:rPr>
        <w:tab/>
      </w:r>
      <w:r>
        <w:rPr>
          <w:highlight w:val="yellow"/>
        </w:rPr>
        <w:t>M</w:t>
      </w:r>
      <w:r w:rsidR="00703CBE">
        <w:rPr>
          <w:highlight w:val="yellow"/>
        </w:rPr>
        <w:t>easure</w:t>
      </w:r>
      <w:r>
        <w:rPr>
          <w:highlight w:val="yellow"/>
        </w:rPr>
        <w:t xml:space="preserve"> and collect</w:t>
      </w:r>
      <w:r w:rsidR="00703CBE">
        <w:rPr>
          <w:highlight w:val="yellow"/>
        </w:rPr>
        <w:t xml:space="preserve"> the</w:t>
      </w:r>
      <w:r w:rsidR="003B47F9" w:rsidRPr="00C44B9B">
        <w:rPr>
          <w:highlight w:val="yellow"/>
        </w:rPr>
        <w:t xml:space="preserve"> participant</w:t>
      </w:r>
      <w:r w:rsidR="00BC42FD">
        <w:rPr>
          <w:highlight w:val="yellow"/>
        </w:rPr>
        <w:t>’</w:t>
      </w:r>
      <w:r w:rsidR="003B47F9" w:rsidRPr="00C44B9B">
        <w:rPr>
          <w:highlight w:val="yellow"/>
        </w:rPr>
        <w:t xml:space="preserve">s weight </w:t>
      </w:r>
      <w:r w:rsidR="004B6A42">
        <w:rPr>
          <w:highlight w:val="yellow"/>
        </w:rPr>
        <w:t>as they stand on the force plate</w:t>
      </w:r>
      <w:r w:rsidR="00315709">
        <w:rPr>
          <w:highlight w:val="yellow"/>
        </w:rPr>
        <w:t xml:space="preserve"> by clicking</w:t>
      </w:r>
      <w:r w:rsidR="00302222">
        <w:rPr>
          <w:highlight w:val="yellow"/>
        </w:rPr>
        <w:t xml:space="preserve"> </w:t>
      </w:r>
      <w:r w:rsidR="00315709" w:rsidRPr="00006D07">
        <w:rPr>
          <w:b/>
          <w:bCs/>
          <w:highlight w:val="yellow"/>
        </w:rPr>
        <w:t>Start</w:t>
      </w:r>
      <w:r w:rsidR="00111A4D">
        <w:rPr>
          <w:highlight w:val="yellow"/>
        </w:rPr>
        <w:t xml:space="preserve"> and selecting an </w:t>
      </w:r>
      <w:r w:rsidR="00111A4D" w:rsidRPr="00006D07">
        <w:rPr>
          <w:b/>
          <w:bCs/>
          <w:highlight w:val="yellow"/>
        </w:rPr>
        <w:t>FP Static</w:t>
      </w:r>
      <w:r w:rsidR="00111A4D">
        <w:rPr>
          <w:highlight w:val="yellow"/>
        </w:rPr>
        <w:t xml:space="preserve"> trial</w:t>
      </w:r>
      <w:r w:rsidR="00315709">
        <w:rPr>
          <w:highlight w:val="yellow"/>
        </w:rPr>
        <w:t>. Record 2</w:t>
      </w:r>
      <w:r w:rsidR="00302222">
        <w:rPr>
          <w:highlight w:val="yellow"/>
        </w:rPr>
        <w:t>–</w:t>
      </w:r>
      <w:r w:rsidR="00315709">
        <w:rPr>
          <w:highlight w:val="yellow"/>
        </w:rPr>
        <w:t>5 s worth of data and click</w:t>
      </w:r>
      <w:r w:rsidR="00302222">
        <w:rPr>
          <w:highlight w:val="yellow"/>
        </w:rPr>
        <w:t xml:space="preserve"> </w:t>
      </w:r>
      <w:r w:rsidR="00315709" w:rsidRPr="00006D07">
        <w:rPr>
          <w:b/>
          <w:bCs/>
          <w:highlight w:val="yellow"/>
        </w:rPr>
        <w:t>Stop</w:t>
      </w:r>
      <w:r w:rsidR="00315709">
        <w:rPr>
          <w:highlight w:val="yellow"/>
        </w:rPr>
        <w:t xml:space="preserve"> to end the trial</w:t>
      </w:r>
      <w:r>
        <w:rPr>
          <w:highlight w:val="yellow"/>
        </w:rPr>
        <w:t>.</w:t>
      </w:r>
    </w:p>
    <w:p w14:paraId="3921B2E4" w14:textId="77777777" w:rsidR="001E1661" w:rsidRDefault="001E1661" w:rsidP="001E1661">
      <w:pPr>
        <w:rPr>
          <w:highlight w:val="yellow"/>
        </w:rPr>
      </w:pPr>
    </w:p>
    <w:p w14:paraId="646C49E6" w14:textId="3AC677C4" w:rsidR="001E1661" w:rsidRDefault="001E1661" w:rsidP="001E1661">
      <w:pPr>
        <w:rPr>
          <w:highlight w:val="yellow"/>
        </w:rPr>
      </w:pPr>
      <w:r>
        <w:rPr>
          <w:highlight w:val="yellow"/>
        </w:rPr>
        <w:t xml:space="preserve">4.2.1. </w:t>
      </w:r>
      <w:r w:rsidR="00393DBF">
        <w:rPr>
          <w:highlight w:val="yellow"/>
        </w:rPr>
        <w:t>When standing on the force plates</w:t>
      </w:r>
      <w:r w:rsidR="00302222">
        <w:rPr>
          <w:highlight w:val="yellow"/>
        </w:rPr>
        <w:t>,</w:t>
      </w:r>
      <w:r w:rsidR="00393DBF">
        <w:rPr>
          <w:highlight w:val="yellow"/>
        </w:rPr>
        <w:t xml:space="preserve"> </w:t>
      </w:r>
      <w:r>
        <w:rPr>
          <w:highlight w:val="yellow"/>
        </w:rPr>
        <w:t xml:space="preserve">ensure </w:t>
      </w:r>
      <w:r w:rsidR="00302222">
        <w:rPr>
          <w:highlight w:val="yellow"/>
        </w:rPr>
        <w:t xml:space="preserve">that </w:t>
      </w:r>
      <w:r w:rsidR="00393DBF">
        <w:rPr>
          <w:highlight w:val="yellow"/>
        </w:rPr>
        <w:t>the</w:t>
      </w:r>
      <w:r w:rsidR="002C11E2">
        <w:rPr>
          <w:highlight w:val="yellow"/>
        </w:rPr>
        <w:t xml:space="preserve"> data collection software</w:t>
      </w:r>
      <w:r w:rsidR="00393DBF">
        <w:rPr>
          <w:highlight w:val="yellow"/>
        </w:rPr>
        <w:t xml:space="preserve"> </w:t>
      </w:r>
      <w:r w:rsidR="002C11E2">
        <w:rPr>
          <w:highlight w:val="yellow"/>
        </w:rPr>
        <w:t>display</w:t>
      </w:r>
      <w:r w:rsidR="00302222">
        <w:rPr>
          <w:highlight w:val="yellow"/>
        </w:rPr>
        <w:t>s</w:t>
      </w:r>
      <w:r w:rsidR="002C11E2">
        <w:rPr>
          <w:highlight w:val="yellow"/>
        </w:rPr>
        <w:t xml:space="preserve"> two bar graphs representing the weight/force under each of the participant’s feet</w:t>
      </w:r>
      <w:r w:rsidR="00393DBF">
        <w:rPr>
          <w:highlight w:val="yellow"/>
        </w:rPr>
        <w:t xml:space="preserve"> (</w:t>
      </w:r>
      <w:r w:rsidR="00393DBF" w:rsidRPr="00006D07">
        <w:rPr>
          <w:b/>
          <w:bCs/>
          <w:highlight w:val="yellow"/>
        </w:rPr>
        <w:t>Figure 1</w:t>
      </w:r>
      <w:r w:rsidR="00006D07">
        <w:rPr>
          <w:b/>
          <w:bCs/>
          <w:highlight w:val="yellow"/>
        </w:rPr>
        <w:t>A</w:t>
      </w:r>
      <w:r w:rsidR="00393DBF">
        <w:rPr>
          <w:highlight w:val="yellow"/>
        </w:rPr>
        <w:t xml:space="preserve">). When </w:t>
      </w:r>
      <w:r w:rsidR="00111A4D">
        <w:rPr>
          <w:highlight w:val="yellow"/>
        </w:rPr>
        <w:t>the</w:t>
      </w:r>
      <w:r w:rsidR="00393DBF">
        <w:rPr>
          <w:highlight w:val="yellow"/>
        </w:rPr>
        <w:t xml:space="preserve"> participant shifts their weight to one side</w:t>
      </w:r>
      <w:r w:rsidR="00302222">
        <w:rPr>
          <w:highlight w:val="yellow"/>
        </w:rPr>
        <w:t>,</w:t>
      </w:r>
      <w:r w:rsidR="00393DBF">
        <w:rPr>
          <w:highlight w:val="yellow"/>
        </w:rPr>
        <w:t xml:space="preserve"> the bar graphs</w:t>
      </w:r>
      <w:r>
        <w:rPr>
          <w:highlight w:val="yellow"/>
        </w:rPr>
        <w:t xml:space="preserve"> will </w:t>
      </w:r>
      <w:r w:rsidR="00393DBF">
        <w:rPr>
          <w:highlight w:val="yellow"/>
        </w:rPr>
        <w:t>change</w:t>
      </w:r>
      <w:r w:rsidR="00111A4D">
        <w:rPr>
          <w:highlight w:val="yellow"/>
        </w:rPr>
        <w:t xml:space="preserve"> in</w:t>
      </w:r>
      <w:r w:rsidR="00393DBF">
        <w:rPr>
          <w:highlight w:val="yellow"/>
        </w:rPr>
        <w:t xml:space="preserve"> height (</w:t>
      </w:r>
      <w:r w:rsidR="00393DBF" w:rsidRPr="00006D07">
        <w:rPr>
          <w:b/>
          <w:bCs/>
          <w:highlight w:val="yellow"/>
        </w:rPr>
        <w:t>Figure 1</w:t>
      </w:r>
      <w:r w:rsidR="00006D07">
        <w:rPr>
          <w:b/>
          <w:bCs/>
          <w:highlight w:val="yellow"/>
        </w:rPr>
        <w:t>B</w:t>
      </w:r>
      <w:r w:rsidR="00393DBF">
        <w:rPr>
          <w:highlight w:val="yellow"/>
        </w:rPr>
        <w:t>).</w:t>
      </w:r>
    </w:p>
    <w:p w14:paraId="0E01DB73" w14:textId="77777777" w:rsidR="001E1661" w:rsidRDefault="001E1661" w:rsidP="001E1661">
      <w:pPr>
        <w:rPr>
          <w:highlight w:val="yellow"/>
        </w:rPr>
      </w:pPr>
    </w:p>
    <w:p w14:paraId="7ADF9306" w14:textId="510B0D68" w:rsidR="00235BA5" w:rsidRDefault="001E1661" w:rsidP="001E1661">
      <w:pPr>
        <w:rPr>
          <w:highlight w:val="yellow"/>
        </w:rPr>
      </w:pPr>
      <w:r>
        <w:rPr>
          <w:highlight w:val="yellow"/>
        </w:rPr>
        <w:t xml:space="preserve">4.2.2. </w:t>
      </w:r>
      <w:r w:rsidR="00393DBF">
        <w:rPr>
          <w:highlight w:val="yellow"/>
        </w:rPr>
        <w:t>If a participant unloads the weight on their legs to their arms</w:t>
      </w:r>
      <w:r w:rsidR="00302222">
        <w:rPr>
          <w:highlight w:val="yellow"/>
        </w:rPr>
        <w:t>,</w:t>
      </w:r>
      <w:r>
        <w:rPr>
          <w:highlight w:val="yellow"/>
        </w:rPr>
        <w:t xml:space="preserve"> ensure</w:t>
      </w:r>
      <w:r w:rsidR="00393DBF">
        <w:rPr>
          <w:highlight w:val="yellow"/>
        </w:rPr>
        <w:t xml:space="preserve"> the bar graph display change</w:t>
      </w:r>
      <w:r w:rsidR="00302222">
        <w:rPr>
          <w:highlight w:val="yellow"/>
        </w:rPr>
        <w:t>s</w:t>
      </w:r>
      <w:r w:rsidR="00393DBF">
        <w:rPr>
          <w:highlight w:val="yellow"/>
        </w:rPr>
        <w:t xml:space="preserve"> color (</w:t>
      </w:r>
      <w:r w:rsidR="00393DBF" w:rsidRPr="00006D07">
        <w:rPr>
          <w:b/>
          <w:bCs/>
          <w:highlight w:val="yellow"/>
        </w:rPr>
        <w:t>Figure 1</w:t>
      </w:r>
      <w:r w:rsidR="00006D07">
        <w:rPr>
          <w:b/>
          <w:bCs/>
          <w:highlight w:val="yellow"/>
        </w:rPr>
        <w:t>C</w:t>
      </w:r>
      <w:r w:rsidR="00393DBF">
        <w:rPr>
          <w:highlight w:val="yellow"/>
        </w:rPr>
        <w:t xml:space="preserve">). </w:t>
      </w:r>
      <w:r w:rsidR="002C11E2">
        <w:rPr>
          <w:highlight w:val="yellow"/>
        </w:rPr>
        <w:t>After a participant become</w:t>
      </w:r>
      <w:r w:rsidR="00393DBF">
        <w:rPr>
          <w:highlight w:val="yellow"/>
        </w:rPr>
        <w:t>s</w:t>
      </w:r>
      <w:r w:rsidR="002C11E2">
        <w:rPr>
          <w:highlight w:val="yellow"/>
        </w:rPr>
        <w:t xml:space="preserve"> comfortable</w:t>
      </w:r>
      <w:r w:rsidR="00393DBF">
        <w:rPr>
          <w:highlight w:val="yellow"/>
        </w:rPr>
        <w:t xml:space="preserve"> </w:t>
      </w:r>
      <w:r w:rsidR="00111A4D">
        <w:rPr>
          <w:highlight w:val="yellow"/>
        </w:rPr>
        <w:t xml:space="preserve">standing with </w:t>
      </w:r>
      <w:r w:rsidR="00393DBF">
        <w:rPr>
          <w:highlight w:val="yellow"/>
        </w:rPr>
        <w:t>equal weight</w:t>
      </w:r>
      <w:r w:rsidR="00111A4D">
        <w:rPr>
          <w:highlight w:val="yellow"/>
        </w:rPr>
        <w:t xml:space="preserve"> distributed</w:t>
      </w:r>
      <w:r w:rsidR="00393DBF">
        <w:rPr>
          <w:highlight w:val="yellow"/>
        </w:rPr>
        <w:t xml:space="preserve"> between their legs</w:t>
      </w:r>
      <w:r w:rsidR="00302222">
        <w:rPr>
          <w:highlight w:val="yellow"/>
        </w:rPr>
        <w:t>,</w:t>
      </w:r>
      <w:r w:rsidR="00393DBF">
        <w:rPr>
          <w:highlight w:val="yellow"/>
        </w:rPr>
        <w:t xml:space="preserve"> measuring the </w:t>
      </w:r>
      <w:r w:rsidR="00111A4D">
        <w:rPr>
          <w:highlight w:val="yellow"/>
        </w:rPr>
        <w:t>CMR can commence.</w:t>
      </w:r>
    </w:p>
    <w:p w14:paraId="4D2BBE1F" w14:textId="77777777" w:rsidR="00235BA5" w:rsidRDefault="00235BA5" w:rsidP="001E1661">
      <w:pPr>
        <w:rPr>
          <w:highlight w:val="yellow"/>
        </w:rPr>
      </w:pPr>
    </w:p>
    <w:p w14:paraId="765BD570" w14:textId="7BF2A055" w:rsidR="00061FB4" w:rsidRDefault="0055230E" w:rsidP="00006D07">
      <w:r>
        <w:t>[</w:t>
      </w:r>
      <w:r w:rsidR="00D91E47">
        <w:t xml:space="preserve">Place </w:t>
      </w:r>
      <w:r w:rsidRPr="00D91E47">
        <w:rPr>
          <w:b/>
          <w:bCs/>
        </w:rPr>
        <w:t>Figure 1</w:t>
      </w:r>
      <w:r w:rsidR="00D91E47">
        <w:t xml:space="preserve"> here</w:t>
      </w:r>
      <w:r>
        <w:t>]</w:t>
      </w:r>
    </w:p>
    <w:p w14:paraId="7E7C24EF" w14:textId="2CAB1AD7" w:rsidR="0055230E" w:rsidRDefault="0055230E" w:rsidP="001E1661"/>
    <w:p w14:paraId="197534CB" w14:textId="4C61FDA6" w:rsidR="00254C14" w:rsidRPr="00235BA5" w:rsidRDefault="00393DBF" w:rsidP="001E1661">
      <w:pPr>
        <w:rPr>
          <w:b/>
          <w:bCs/>
          <w:highlight w:val="yellow"/>
        </w:rPr>
      </w:pPr>
      <w:r>
        <w:rPr>
          <w:b/>
          <w:bCs/>
          <w:highlight w:val="yellow"/>
        </w:rPr>
        <w:t>5</w:t>
      </w:r>
      <w:r w:rsidR="00235BA5" w:rsidRPr="00235BA5">
        <w:rPr>
          <w:b/>
          <w:bCs/>
          <w:highlight w:val="yellow"/>
        </w:rPr>
        <w:t>.</w:t>
      </w:r>
      <w:r w:rsidR="00DD69A9" w:rsidRPr="00235BA5">
        <w:rPr>
          <w:b/>
          <w:bCs/>
          <w:highlight w:val="yellow"/>
        </w:rPr>
        <w:t xml:space="preserve"> </w:t>
      </w:r>
      <w:r w:rsidR="00254C14" w:rsidRPr="00235BA5">
        <w:rPr>
          <w:b/>
          <w:bCs/>
          <w:highlight w:val="yellow"/>
        </w:rPr>
        <w:t xml:space="preserve">Standing </w:t>
      </w:r>
      <w:r w:rsidR="00302222">
        <w:rPr>
          <w:b/>
          <w:bCs/>
          <w:highlight w:val="yellow"/>
        </w:rPr>
        <w:t>c</w:t>
      </w:r>
      <w:r w:rsidR="00254C14" w:rsidRPr="00235BA5">
        <w:rPr>
          <w:b/>
          <w:bCs/>
          <w:highlight w:val="yellow"/>
        </w:rPr>
        <w:t xml:space="preserve">orticomotor </w:t>
      </w:r>
      <w:r w:rsidR="00302222">
        <w:rPr>
          <w:b/>
          <w:bCs/>
          <w:highlight w:val="yellow"/>
        </w:rPr>
        <w:t>r</w:t>
      </w:r>
      <w:r w:rsidR="00254C14" w:rsidRPr="00235BA5">
        <w:rPr>
          <w:b/>
          <w:bCs/>
          <w:highlight w:val="yellow"/>
        </w:rPr>
        <w:t xml:space="preserve">esponse </w:t>
      </w:r>
      <w:r w:rsidR="00302222">
        <w:rPr>
          <w:b/>
          <w:bCs/>
          <w:highlight w:val="yellow"/>
        </w:rPr>
        <w:t>a</w:t>
      </w:r>
      <w:r w:rsidR="00254C14" w:rsidRPr="00235BA5">
        <w:rPr>
          <w:b/>
          <w:bCs/>
          <w:highlight w:val="yellow"/>
        </w:rPr>
        <w:t>ssessment</w:t>
      </w:r>
    </w:p>
    <w:p w14:paraId="0609E86C" w14:textId="77777777" w:rsidR="00235BA5" w:rsidRPr="00C44B9B" w:rsidRDefault="00235BA5" w:rsidP="001E1661">
      <w:pPr>
        <w:rPr>
          <w:highlight w:val="yellow"/>
        </w:rPr>
      </w:pPr>
    </w:p>
    <w:p w14:paraId="03D8441A" w14:textId="76E764DB" w:rsidR="00BC42FD" w:rsidRDefault="00393DBF" w:rsidP="001E1661">
      <w:pPr>
        <w:rPr>
          <w:highlight w:val="yellow"/>
        </w:rPr>
      </w:pPr>
      <w:r>
        <w:rPr>
          <w:highlight w:val="yellow"/>
        </w:rPr>
        <w:t>5.1</w:t>
      </w:r>
      <w:r w:rsidR="006D3966" w:rsidRPr="00C44B9B">
        <w:rPr>
          <w:highlight w:val="yellow"/>
        </w:rPr>
        <w:tab/>
      </w:r>
      <w:r w:rsidR="00703CBE">
        <w:rPr>
          <w:highlight w:val="yellow"/>
        </w:rPr>
        <w:t>Be</w:t>
      </w:r>
      <w:r w:rsidR="00832FBB">
        <w:rPr>
          <w:highlight w:val="yellow"/>
        </w:rPr>
        <w:t>gin</w:t>
      </w:r>
      <w:r w:rsidR="00703CBE">
        <w:rPr>
          <w:highlight w:val="yellow"/>
        </w:rPr>
        <w:t xml:space="preserve"> the n</w:t>
      </w:r>
      <w:r w:rsidR="00061FB4" w:rsidRPr="00C44B9B">
        <w:rPr>
          <w:highlight w:val="yellow"/>
        </w:rPr>
        <w:t>europhysiological assessments by identifying a stimulator intensity that produce</w:t>
      </w:r>
      <w:r w:rsidR="00703CBE">
        <w:rPr>
          <w:highlight w:val="yellow"/>
        </w:rPr>
        <w:t>s</w:t>
      </w:r>
      <w:r w:rsidR="00061FB4" w:rsidRPr="00C44B9B">
        <w:rPr>
          <w:highlight w:val="yellow"/>
        </w:rPr>
        <w:t xml:space="preserve"> consistent motor evoked potentials</w:t>
      </w:r>
      <w:r w:rsidR="0093305E">
        <w:rPr>
          <w:highlight w:val="yellow"/>
        </w:rPr>
        <w:t xml:space="preserve"> (MEP)</w:t>
      </w:r>
      <w:r w:rsidR="00061FB4" w:rsidRPr="00C44B9B">
        <w:rPr>
          <w:highlight w:val="yellow"/>
        </w:rPr>
        <w:t xml:space="preserve">, </w:t>
      </w:r>
      <w:r w:rsidR="00BC42FD">
        <w:rPr>
          <w:highlight w:val="yellow"/>
        </w:rPr>
        <w:t>i.e.</w:t>
      </w:r>
      <w:r w:rsidR="00302222">
        <w:rPr>
          <w:highlight w:val="yellow"/>
        </w:rPr>
        <w:t>,</w:t>
      </w:r>
      <w:r w:rsidR="00BC42FD">
        <w:rPr>
          <w:highlight w:val="yellow"/>
        </w:rPr>
        <w:t xml:space="preserve"> </w:t>
      </w:r>
      <w:r w:rsidR="00061FB4" w:rsidRPr="00C44B9B">
        <w:rPr>
          <w:highlight w:val="yellow"/>
        </w:rPr>
        <w:t>EMG signal amplitude &gt; 50 µV</w:t>
      </w:r>
      <w:r w:rsidR="00BC42FD">
        <w:rPr>
          <w:highlight w:val="yellow"/>
        </w:rPr>
        <w:t>,</w:t>
      </w:r>
      <w:r w:rsidR="00061FB4" w:rsidRPr="00C44B9B">
        <w:rPr>
          <w:highlight w:val="yellow"/>
        </w:rPr>
        <w:t xml:space="preserve"> and/or a visible corticosilent period in </w:t>
      </w:r>
      <w:r w:rsidR="00006D07">
        <w:rPr>
          <w:highlight w:val="yellow"/>
        </w:rPr>
        <w:t xml:space="preserve">the </w:t>
      </w:r>
      <w:r w:rsidR="00061FB4" w:rsidRPr="00C44B9B">
        <w:rPr>
          <w:highlight w:val="yellow"/>
        </w:rPr>
        <w:t>active muscles, in the</w:t>
      </w:r>
      <w:r w:rsidR="00703CBE">
        <w:rPr>
          <w:highlight w:val="yellow"/>
        </w:rPr>
        <w:t xml:space="preserve"> target</w:t>
      </w:r>
      <w:r w:rsidR="00061FB4" w:rsidRPr="00C44B9B">
        <w:rPr>
          <w:highlight w:val="yellow"/>
        </w:rPr>
        <w:t xml:space="preserve"> </w:t>
      </w:r>
      <w:r w:rsidR="00436FC6" w:rsidRPr="00C44B9B">
        <w:rPr>
          <w:highlight w:val="yellow"/>
        </w:rPr>
        <w:t>TA</w:t>
      </w:r>
      <w:r w:rsidR="00302222">
        <w:rPr>
          <w:highlight w:val="yellow"/>
        </w:rPr>
        <w:t>,</w:t>
      </w:r>
      <w:r w:rsidR="00061FB4" w:rsidRPr="00C44B9B">
        <w:rPr>
          <w:highlight w:val="yellow"/>
        </w:rPr>
        <w:t xml:space="preserve"> and </w:t>
      </w:r>
      <w:r w:rsidR="00436FC6" w:rsidRPr="00C44B9B">
        <w:rPr>
          <w:highlight w:val="yellow"/>
        </w:rPr>
        <w:t>SOL</w:t>
      </w:r>
      <w:r w:rsidR="00061FB4" w:rsidRPr="00C44B9B">
        <w:rPr>
          <w:highlight w:val="yellow"/>
        </w:rPr>
        <w:t xml:space="preserve"> </w:t>
      </w:r>
      <w:r w:rsidR="00703CBE">
        <w:rPr>
          <w:highlight w:val="yellow"/>
        </w:rPr>
        <w:t>muscle</w:t>
      </w:r>
      <w:r w:rsidR="00061FB4" w:rsidRPr="00C44B9B">
        <w:rPr>
          <w:highlight w:val="yellow"/>
        </w:rPr>
        <w:t>.</w:t>
      </w:r>
    </w:p>
    <w:p w14:paraId="35E7D956" w14:textId="77777777" w:rsidR="00BC42FD" w:rsidRDefault="00BC42FD" w:rsidP="001E1661">
      <w:pPr>
        <w:rPr>
          <w:highlight w:val="yellow"/>
        </w:rPr>
      </w:pPr>
    </w:p>
    <w:p w14:paraId="2FD8BE61" w14:textId="406C58FB" w:rsidR="006D3966" w:rsidRPr="00CC274A" w:rsidRDefault="00302222" w:rsidP="001E1661">
      <w:r w:rsidRPr="00CC274A">
        <w:t>N</w:t>
      </w:r>
      <w:r>
        <w:t>OTE</w:t>
      </w:r>
      <w:r w:rsidR="00CC274A" w:rsidRPr="00CC274A">
        <w:t>:</w:t>
      </w:r>
      <w:r w:rsidR="00235BA5" w:rsidRPr="00CC274A">
        <w:t xml:space="preserve"> </w:t>
      </w:r>
      <w:r w:rsidR="00703CBE" w:rsidRPr="00CC274A">
        <w:t>Use a double-cone coil to deliver a</w:t>
      </w:r>
      <w:r w:rsidR="00BF3577" w:rsidRPr="00CC274A">
        <w:t xml:space="preserve">ll TMS pulses </w:t>
      </w:r>
      <w:r w:rsidR="008D3170" w:rsidRPr="00CC274A">
        <w:t>with the current moving</w:t>
      </w:r>
      <w:r w:rsidR="00703CBE" w:rsidRPr="00CC274A">
        <w:t xml:space="preserve"> through the coil</w:t>
      </w:r>
      <w:r w:rsidR="008D3170" w:rsidRPr="00CC274A">
        <w:t xml:space="preserve"> in an anterior to posterior direction</w:t>
      </w:r>
      <w:r w:rsidR="00BF3577" w:rsidRPr="00CC274A">
        <w:t xml:space="preserve">. </w:t>
      </w:r>
      <w:r w:rsidR="00393DBF">
        <w:t>Apply the TMS pulses only when the participant is maintaining equal weight distribution between their paretic and non-paretic legs, as indicated by the visual feedback/bar graphs mentioned in the previous section</w:t>
      </w:r>
      <w:r w:rsidR="00111A4D">
        <w:t xml:space="preserve"> (</w:t>
      </w:r>
      <w:r>
        <w:t>s</w:t>
      </w:r>
      <w:r w:rsidR="00111A4D">
        <w:t>ection 4.2)</w:t>
      </w:r>
      <w:r w:rsidR="00393DBF">
        <w:t>.</w:t>
      </w:r>
    </w:p>
    <w:p w14:paraId="63E7E0DA" w14:textId="77777777" w:rsidR="006D3966" w:rsidRPr="00C44B9B" w:rsidRDefault="006D3966" w:rsidP="001E1661">
      <w:pPr>
        <w:rPr>
          <w:highlight w:val="yellow"/>
        </w:rPr>
      </w:pPr>
    </w:p>
    <w:p w14:paraId="1C14A0E9" w14:textId="18F53980" w:rsidR="003D79C2" w:rsidRPr="00C44B9B" w:rsidRDefault="00393DBF" w:rsidP="001E1661">
      <w:pPr>
        <w:rPr>
          <w:highlight w:val="yellow"/>
        </w:rPr>
      </w:pPr>
      <w:r>
        <w:rPr>
          <w:highlight w:val="yellow"/>
        </w:rPr>
        <w:t>5.1</w:t>
      </w:r>
      <w:r w:rsidR="00721DA8">
        <w:rPr>
          <w:highlight w:val="yellow"/>
        </w:rPr>
        <w:t>.</w:t>
      </w:r>
      <w:r>
        <w:rPr>
          <w:highlight w:val="yellow"/>
        </w:rPr>
        <w:t>1</w:t>
      </w:r>
      <w:r w:rsidR="006D3966" w:rsidRPr="00C44B9B">
        <w:rPr>
          <w:highlight w:val="yellow"/>
        </w:rPr>
        <w:tab/>
      </w:r>
      <w:r w:rsidR="00703CBE">
        <w:rPr>
          <w:highlight w:val="yellow"/>
        </w:rPr>
        <w:t>Test the paretic limb first</w:t>
      </w:r>
      <w:r w:rsidR="00A44693" w:rsidRPr="00C44B9B">
        <w:rPr>
          <w:highlight w:val="yellow"/>
        </w:rPr>
        <w:t xml:space="preserve"> by applying TMS pulses </w:t>
      </w:r>
      <w:r w:rsidR="00061FB4" w:rsidRPr="00C44B9B">
        <w:rPr>
          <w:highlight w:val="yellow"/>
        </w:rPr>
        <w:t xml:space="preserve">to the lesioned hemisphere. </w:t>
      </w:r>
      <w:r w:rsidR="004B6A42">
        <w:rPr>
          <w:highlight w:val="yellow"/>
        </w:rPr>
        <w:t>B</w:t>
      </w:r>
      <w:r w:rsidR="00703CBE">
        <w:rPr>
          <w:highlight w:val="yellow"/>
        </w:rPr>
        <w:t xml:space="preserve">egin by </w:t>
      </w:r>
      <w:r w:rsidR="00111A4D">
        <w:rPr>
          <w:highlight w:val="yellow"/>
        </w:rPr>
        <w:lastRenderedPageBreak/>
        <w:t>setting</w:t>
      </w:r>
      <w:r w:rsidR="003F7930">
        <w:rPr>
          <w:highlight w:val="yellow"/>
        </w:rPr>
        <w:t xml:space="preserve"> the TMS stimulator </w:t>
      </w:r>
      <w:r w:rsidR="00111A4D">
        <w:rPr>
          <w:highlight w:val="yellow"/>
        </w:rPr>
        <w:t xml:space="preserve">power level </w:t>
      </w:r>
      <w:r w:rsidR="003F7930">
        <w:rPr>
          <w:highlight w:val="yellow"/>
        </w:rPr>
        <w:t xml:space="preserve">to 50% maximal stimulator output (%MSO) by turning the </w:t>
      </w:r>
      <w:r w:rsidR="00CC274A">
        <w:rPr>
          <w:highlight w:val="yellow"/>
        </w:rPr>
        <w:t>output control</w:t>
      </w:r>
      <w:r w:rsidR="003F7930">
        <w:rPr>
          <w:highlight w:val="yellow"/>
        </w:rPr>
        <w:t xml:space="preserve"> knob. Apply</w:t>
      </w:r>
      <w:r w:rsidR="00BC42FD">
        <w:rPr>
          <w:highlight w:val="yellow"/>
        </w:rPr>
        <w:t xml:space="preserve"> </w:t>
      </w:r>
      <w:r w:rsidR="00703CBE">
        <w:rPr>
          <w:highlight w:val="yellow"/>
        </w:rPr>
        <w:t xml:space="preserve">a </w:t>
      </w:r>
      <w:r w:rsidR="001E1B0F" w:rsidRPr="00C44B9B">
        <w:rPr>
          <w:highlight w:val="yellow"/>
        </w:rPr>
        <w:t xml:space="preserve">single pulse </w:t>
      </w:r>
      <w:r w:rsidR="003F7930">
        <w:rPr>
          <w:highlight w:val="yellow"/>
        </w:rPr>
        <w:t>at 50</w:t>
      </w:r>
      <w:r w:rsidR="00E61E73" w:rsidRPr="00C44B9B">
        <w:rPr>
          <w:highlight w:val="yellow"/>
        </w:rPr>
        <w:t>%</w:t>
      </w:r>
      <w:r w:rsidR="003F7930">
        <w:rPr>
          <w:highlight w:val="yellow"/>
        </w:rPr>
        <w:t xml:space="preserve"> </w:t>
      </w:r>
      <w:r w:rsidR="00E61E73" w:rsidRPr="00C44B9B">
        <w:rPr>
          <w:highlight w:val="yellow"/>
        </w:rPr>
        <w:t>MSO to the middle grid point located just lateral to the longitudinal fissure</w:t>
      </w:r>
      <w:r w:rsidR="003F7930">
        <w:rPr>
          <w:highlight w:val="yellow"/>
        </w:rPr>
        <w:t xml:space="preserve"> by pressing the</w:t>
      </w:r>
      <w:r w:rsidR="00CC274A">
        <w:rPr>
          <w:highlight w:val="yellow"/>
        </w:rPr>
        <w:t xml:space="preserve"> trigger button</w:t>
      </w:r>
      <w:r w:rsidR="007C6994">
        <w:rPr>
          <w:highlight w:val="yellow"/>
        </w:rPr>
        <w:t xml:space="preserve"> on the stimulator</w:t>
      </w:r>
      <w:r w:rsidR="00E61E73" w:rsidRPr="00C44B9B">
        <w:rPr>
          <w:highlight w:val="yellow"/>
        </w:rPr>
        <w:t>.</w:t>
      </w:r>
      <w:r w:rsidR="00CC274A">
        <w:rPr>
          <w:highlight w:val="yellow"/>
        </w:rPr>
        <w:t xml:space="preserve"> Apply 2</w:t>
      </w:r>
      <w:r w:rsidR="00302222">
        <w:rPr>
          <w:highlight w:val="yellow"/>
        </w:rPr>
        <w:t>–</w:t>
      </w:r>
      <w:r w:rsidR="00CC274A">
        <w:rPr>
          <w:highlight w:val="yellow"/>
        </w:rPr>
        <w:t>3 pulses with an interstimulus interval of 5</w:t>
      </w:r>
      <w:r w:rsidR="00302222">
        <w:rPr>
          <w:highlight w:val="yellow"/>
        </w:rPr>
        <w:t>–</w:t>
      </w:r>
      <w:r w:rsidR="00CC274A">
        <w:rPr>
          <w:highlight w:val="yellow"/>
        </w:rPr>
        <w:t>10 s.</w:t>
      </w:r>
    </w:p>
    <w:p w14:paraId="378A4A3D" w14:textId="11C0FBB9" w:rsidR="003D79C2" w:rsidRDefault="003D79C2" w:rsidP="001E1661">
      <w:pPr>
        <w:rPr>
          <w:highlight w:val="yellow"/>
        </w:rPr>
      </w:pPr>
    </w:p>
    <w:p w14:paraId="5064FED9" w14:textId="5588E9ED" w:rsidR="009300AC" w:rsidRDefault="009300AC" w:rsidP="001E1661">
      <w:r>
        <w:t>NOTE</w:t>
      </w:r>
      <w:r w:rsidR="00235BA5">
        <w:t xml:space="preserve">: </w:t>
      </w:r>
      <w:r>
        <w:t>If a participant shows a response at 50%</w:t>
      </w:r>
      <w:r w:rsidR="00235BA5">
        <w:t xml:space="preserve"> </w:t>
      </w:r>
      <w:r>
        <w:t>MSO</w:t>
      </w:r>
      <w:r w:rsidR="00302222">
        <w:t>,</w:t>
      </w:r>
      <w:r>
        <w:t xml:space="preserve"> skip to section </w:t>
      </w:r>
      <w:proofErr w:type="gramStart"/>
      <w:r w:rsidR="00721DA8">
        <w:t>5</w:t>
      </w:r>
      <w:r>
        <w:t>.2</w:t>
      </w:r>
      <w:proofErr w:type="gramEnd"/>
      <w:r>
        <w:t xml:space="preserve"> and begin hotspot identification</w:t>
      </w:r>
      <w:r w:rsidR="00302222">
        <w:t>.</w:t>
      </w:r>
    </w:p>
    <w:p w14:paraId="41115134" w14:textId="77777777" w:rsidR="009300AC" w:rsidRPr="00C44B9B" w:rsidRDefault="009300AC" w:rsidP="001E1661">
      <w:pPr>
        <w:rPr>
          <w:highlight w:val="yellow"/>
        </w:rPr>
      </w:pPr>
    </w:p>
    <w:p w14:paraId="04BCB7CB" w14:textId="5C0DE384" w:rsidR="003D79C2" w:rsidRPr="00C44B9B" w:rsidRDefault="00721DA8" w:rsidP="001E1661">
      <w:pPr>
        <w:rPr>
          <w:highlight w:val="yellow"/>
        </w:rPr>
      </w:pPr>
      <w:r>
        <w:rPr>
          <w:highlight w:val="yellow"/>
        </w:rPr>
        <w:t>5.1.2</w:t>
      </w:r>
      <w:r w:rsidR="003D79C2" w:rsidRPr="00C44B9B">
        <w:rPr>
          <w:highlight w:val="yellow"/>
        </w:rPr>
        <w:tab/>
      </w:r>
      <w:r w:rsidR="00E61E73" w:rsidRPr="00C44B9B">
        <w:rPr>
          <w:highlight w:val="yellow"/>
        </w:rPr>
        <w:t xml:space="preserve">If responses </w:t>
      </w:r>
      <w:r w:rsidR="00703CBE">
        <w:rPr>
          <w:highlight w:val="yellow"/>
        </w:rPr>
        <w:t>are</w:t>
      </w:r>
      <w:r w:rsidR="00703CBE" w:rsidRPr="00C44B9B">
        <w:rPr>
          <w:highlight w:val="yellow"/>
        </w:rPr>
        <w:t xml:space="preserve"> </w:t>
      </w:r>
      <w:r w:rsidR="00E61E73" w:rsidRPr="00C44B9B">
        <w:rPr>
          <w:highlight w:val="yellow"/>
        </w:rPr>
        <w:t xml:space="preserve">not seen in the </w:t>
      </w:r>
      <w:r w:rsidR="00543164" w:rsidRPr="00C44B9B">
        <w:rPr>
          <w:highlight w:val="yellow"/>
        </w:rPr>
        <w:t>TA</w:t>
      </w:r>
      <w:r w:rsidR="001E1B0F" w:rsidRPr="00C44B9B">
        <w:rPr>
          <w:highlight w:val="yellow"/>
        </w:rPr>
        <w:t xml:space="preserve"> </w:t>
      </w:r>
      <w:r w:rsidR="00E61E73" w:rsidRPr="00C44B9B">
        <w:rPr>
          <w:highlight w:val="yellow"/>
        </w:rPr>
        <w:t xml:space="preserve">and </w:t>
      </w:r>
      <w:r w:rsidR="00543164" w:rsidRPr="00C44B9B">
        <w:rPr>
          <w:highlight w:val="yellow"/>
        </w:rPr>
        <w:t>SOL</w:t>
      </w:r>
      <w:r w:rsidR="00BC42FD">
        <w:rPr>
          <w:highlight w:val="yellow"/>
        </w:rPr>
        <w:t>,</w:t>
      </w:r>
      <w:r w:rsidR="00E61E73" w:rsidRPr="00C44B9B">
        <w:rPr>
          <w:highlight w:val="yellow"/>
        </w:rPr>
        <w:t xml:space="preserve"> </w:t>
      </w:r>
      <w:r w:rsidR="00703CBE">
        <w:rPr>
          <w:highlight w:val="yellow"/>
        </w:rPr>
        <w:t>increas</w:t>
      </w:r>
      <w:r w:rsidR="00832FBB">
        <w:rPr>
          <w:highlight w:val="yellow"/>
        </w:rPr>
        <w:t>e</w:t>
      </w:r>
      <w:r w:rsidR="00CC274A">
        <w:rPr>
          <w:highlight w:val="yellow"/>
        </w:rPr>
        <w:t xml:space="preserve"> the</w:t>
      </w:r>
      <w:r w:rsidR="00703CBE" w:rsidRPr="00C44B9B">
        <w:rPr>
          <w:highlight w:val="yellow"/>
        </w:rPr>
        <w:t xml:space="preserve"> </w:t>
      </w:r>
      <w:r w:rsidR="00E61E73" w:rsidRPr="00C44B9B">
        <w:rPr>
          <w:highlight w:val="yellow"/>
        </w:rPr>
        <w:t>stimulator power by 10%</w:t>
      </w:r>
      <w:r w:rsidR="00235BA5">
        <w:rPr>
          <w:highlight w:val="yellow"/>
        </w:rPr>
        <w:t xml:space="preserve"> </w:t>
      </w:r>
      <w:r w:rsidR="00E61E73" w:rsidRPr="00C44B9B">
        <w:rPr>
          <w:highlight w:val="yellow"/>
        </w:rPr>
        <w:t>MSO</w:t>
      </w:r>
      <w:r w:rsidR="004B6A42">
        <w:rPr>
          <w:highlight w:val="yellow"/>
        </w:rPr>
        <w:t xml:space="preserve"> </w:t>
      </w:r>
      <w:r w:rsidR="00CC274A">
        <w:rPr>
          <w:highlight w:val="yellow"/>
        </w:rPr>
        <w:t xml:space="preserve">by turning the output control knob </w:t>
      </w:r>
      <w:r w:rsidR="004B6A42">
        <w:rPr>
          <w:highlight w:val="yellow"/>
        </w:rPr>
        <w:t xml:space="preserve">and </w:t>
      </w:r>
      <w:r w:rsidR="00111A4D">
        <w:rPr>
          <w:highlight w:val="yellow"/>
        </w:rPr>
        <w:t xml:space="preserve">deliver </w:t>
      </w:r>
      <w:r w:rsidR="00CC274A">
        <w:rPr>
          <w:highlight w:val="yellow"/>
        </w:rPr>
        <w:t>2</w:t>
      </w:r>
      <w:r w:rsidR="00302222">
        <w:rPr>
          <w:highlight w:val="yellow"/>
        </w:rPr>
        <w:t>–</w:t>
      </w:r>
      <w:r w:rsidR="00CC274A">
        <w:rPr>
          <w:highlight w:val="yellow"/>
        </w:rPr>
        <w:t>3</w:t>
      </w:r>
      <w:r w:rsidR="004B6A42">
        <w:rPr>
          <w:highlight w:val="yellow"/>
        </w:rPr>
        <w:t xml:space="preserve"> TMS pulses as in </w:t>
      </w:r>
      <w:r w:rsidR="00302222">
        <w:rPr>
          <w:highlight w:val="yellow"/>
        </w:rPr>
        <w:t xml:space="preserve">step </w:t>
      </w:r>
      <w:r>
        <w:rPr>
          <w:highlight w:val="yellow"/>
        </w:rPr>
        <w:t>5.1.1.</w:t>
      </w:r>
    </w:p>
    <w:p w14:paraId="0771C739" w14:textId="77777777" w:rsidR="003D79C2" w:rsidRPr="00C44B9B" w:rsidRDefault="003D79C2" w:rsidP="001E1661">
      <w:pPr>
        <w:rPr>
          <w:highlight w:val="yellow"/>
        </w:rPr>
      </w:pPr>
    </w:p>
    <w:p w14:paraId="46D01095" w14:textId="1FFF2A37" w:rsidR="003D79C2" w:rsidRPr="00C44B9B" w:rsidRDefault="00721DA8" w:rsidP="001E1661">
      <w:pPr>
        <w:rPr>
          <w:highlight w:val="yellow"/>
        </w:rPr>
      </w:pPr>
      <w:r>
        <w:rPr>
          <w:highlight w:val="yellow"/>
        </w:rPr>
        <w:t>5.1.3</w:t>
      </w:r>
      <w:r w:rsidR="003D79C2" w:rsidRPr="00C44B9B">
        <w:rPr>
          <w:highlight w:val="yellow"/>
        </w:rPr>
        <w:tab/>
      </w:r>
      <w:r w:rsidR="00E61E73" w:rsidRPr="00C44B9B">
        <w:rPr>
          <w:highlight w:val="yellow"/>
        </w:rPr>
        <w:t xml:space="preserve">If no responses </w:t>
      </w:r>
      <w:r w:rsidR="00703CBE">
        <w:rPr>
          <w:highlight w:val="yellow"/>
        </w:rPr>
        <w:t>are</w:t>
      </w:r>
      <w:r w:rsidR="00703CBE" w:rsidRPr="00C44B9B">
        <w:rPr>
          <w:highlight w:val="yellow"/>
        </w:rPr>
        <w:t xml:space="preserve"> </w:t>
      </w:r>
      <w:r w:rsidR="00E61E73" w:rsidRPr="00C44B9B">
        <w:rPr>
          <w:highlight w:val="yellow"/>
        </w:rPr>
        <w:t>seen a</w:t>
      </w:r>
      <w:r w:rsidR="00703CBE">
        <w:rPr>
          <w:highlight w:val="yellow"/>
        </w:rPr>
        <w:t>fter increasing the stimulator to</w:t>
      </w:r>
      <w:r w:rsidR="00E61E73" w:rsidRPr="00C44B9B">
        <w:rPr>
          <w:highlight w:val="yellow"/>
        </w:rPr>
        <w:t xml:space="preserve"> 60%</w:t>
      </w:r>
      <w:r w:rsidR="00302222">
        <w:rPr>
          <w:highlight w:val="yellow"/>
        </w:rPr>
        <w:t xml:space="preserve"> </w:t>
      </w:r>
      <w:r w:rsidR="00E61E73" w:rsidRPr="00C44B9B">
        <w:rPr>
          <w:highlight w:val="yellow"/>
        </w:rPr>
        <w:t>MSO</w:t>
      </w:r>
      <w:r>
        <w:rPr>
          <w:highlight w:val="yellow"/>
        </w:rPr>
        <w:t>,</w:t>
      </w:r>
      <w:r w:rsidR="00E61E73" w:rsidRPr="00C44B9B">
        <w:rPr>
          <w:highlight w:val="yellow"/>
        </w:rPr>
        <w:t xml:space="preserve"> </w:t>
      </w:r>
      <w:r w:rsidR="001E1B0F" w:rsidRPr="00C44B9B">
        <w:rPr>
          <w:highlight w:val="yellow"/>
        </w:rPr>
        <w:t xml:space="preserve">again </w:t>
      </w:r>
      <w:r w:rsidR="00E61E73" w:rsidRPr="00C44B9B">
        <w:rPr>
          <w:highlight w:val="yellow"/>
        </w:rPr>
        <w:t>increase</w:t>
      </w:r>
      <w:r w:rsidR="009300AC">
        <w:rPr>
          <w:highlight w:val="yellow"/>
        </w:rPr>
        <w:t xml:space="preserve"> the power</w:t>
      </w:r>
      <w:r w:rsidR="00E61E73" w:rsidRPr="00C44B9B">
        <w:rPr>
          <w:highlight w:val="yellow"/>
        </w:rPr>
        <w:t xml:space="preserve"> by 10%</w:t>
      </w:r>
      <w:r w:rsidR="00302222">
        <w:rPr>
          <w:highlight w:val="yellow"/>
        </w:rPr>
        <w:t xml:space="preserve"> </w:t>
      </w:r>
      <w:r w:rsidR="00E61E73" w:rsidRPr="00C44B9B">
        <w:rPr>
          <w:highlight w:val="yellow"/>
        </w:rPr>
        <w:t>MSO. I</w:t>
      </w:r>
      <w:r w:rsidR="00BC42FD">
        <w:rPr>
          <w:highlight w:val="yellow"/>
        </w:rPr>
        <w:t>f</w:t>
      </w:r>
      <w:r w:rsidR="00E61E73" w:rsidRPr="00C44B9B">
        <w:rPr>
          <w:highlight w:val="yellow"/>
        </w:rPr>
        <w:t xml:space="preserve"> no MEPs </w:t>
      </w:r>
      <w:r w:rsidR="009300AC">
        <w:rPr>
          <w:highlight w:val="yellow"/>
        </w:rPr>
        <w:t>are</w:t>
      </w:r>
      <w:r w:rsidR="009300AC" w:rsidRPr="00C44B9B">
        <w:rPr>
          <w:highlight w:val="yellow"/>
        </w:rPr>
        <w:t xml:space="preserve"> </w:t>
      </w:r>
      <w:r w:rsidR="00E61E73" w:rsidRPr="00C44B9B">
        <w:rPr>
          <w:highlight w:val="yellow"/>
        </w:rPr>
        <w:t>elicited at 70%</w:t>
      </w:r>
      <w:r w:rsidR="00302222">
        <w:rPr>
          <w:highlight w:val="yellow"/>
        </w:rPr>
        <w:t xml:space="preserve"> </w:t>
      </w:r>
      <w:r w:rsidR="00E61E73" w:rsidRPr="00C44B9B">
        <w:rPr>
          <w:highlight w:val="yellow"/>
        </w:rPr>
        <w:t>MSO</w:t>
      </w:r>
      <w:r w:rsidR="00BC42FD">
        <w:rPr>
          <w:highlight w:val="yellow"/>
        </w:rPr>
        <w:t>,</w:t>
      </w:r>
      <w:r w:rsidR="00E61E73" w:rsidRPr="00C44B9B">
        <w:rPr>
          <w:highlight w:val="yellow"/>
        </w:rPr>
        <w:t xml:space="preserve"> randomly </w:t>
      </w:r>
      <w:r w:rsidR="009300AC">
        <w:rPr>
          <w:highlight w:val="yellow"/>
        </w:rPr>
        <w:t xml:space="preserve">select several grid </w:t>
      </w:r>
      <w:proofErr w:type="gramStart"/>
      <w:r w:rsidR="009300AC">
        <w:rPr>
          <w:highlight w:val="yellow"/>
        </w:rPr>
        <w:t>points</w:t>
      </w:r>
      <w:proofErr w:type="gramEnd"/>
      <w:r w:rsidR="009300AC">
        <w:rPr>
          <w:highlight w:val="yellow"/>
        </w:rPr>
        <w:t xml:space="preserve"> and</w:t>
      </w:r>
      <w:r w:rsidR="00111A4D">
        <w:rPr>
          <w:highlight w:val="yellow"/>
        </w:rPr>
        <w:t xml:space="preserve"> apply TMS pulses to</w:t>
      </w:r>
      <w:r w:rsidR="009300AC">
        <w:rPr>
          <w:highlight w:val="yellow"/>
        </w:rPr>
        <w:t xml:space="preserve"> determine </w:t>
      </w:r>
      <w:r w:rsidR="00EF3009">
        <w:rPr>
          <w:highlight w:val="yellow"/>
        </w:rPr>
        <w:t xml:space="preserve">whether </w:t>
      </w:r>
      <w:r w:rsidR="009300AC">
        <w:rPr>
          <w:highlight w:val="yellow"/>
        </w:rPr>
        <w:t>there is a response at the current power setting</w:t>
      </w:r>
      <w:r w:rsidR="00E61E73" w:rsidRPr="00C44B9B">
        <w:rPr>
          <w:highlight w:val="yellow"/>
        </w:rPr>
        <w:t>.</w:t>
      </w:r>
    </w:p>
    <w:p w14:paraId="6A707F8C" w14:textId="77777777" w:rsidR="003D79C2" w:rsidRPr="00C44B9B" w:rsidRDefault="003D79C2" w:rsidP="001E1661">
      <w:pPr>
        <w:rPr>
          <w:highlight w:val="yellow"/>
        </w:rPr>
      </w:pPr>
    </w:p>
    <w:p w14:paraId="77EF1068" w14:textId="4888DBAE" w:rsidR="003D79C2" w:rsidRPr="00C44B9B" w:rsidRDefault="00721DA8" w:rsidP="001E1661">
      <w:pPr>
        <w:rPr>
          <w:highlight w:val="yellow"/>
        </w:rPr>
      </w:pPr>
      <w:r>
        <w:rPr>
          <w:highlight w:val="yellow"/>
        </w:rPr>
        <w:t>5.1.4</w:t>
      </w:r>
      <w:r w:rsidR="003D79C2" w:rsidRPr="00C44B9B">
        <w:rPr>
          <w:highlight w:val="yellow"/>
        </w:rPr>
        <w:tab/>
      </w:r>
      <w:r w:rsidR="00E61E73" w:rsidRPr="00C44B9B">
        <w:rPr>
          <w:highlight w:val="yellow"/>
        </w:rPr>
        <w:t xml:space="preserve">If no responses </w:t>
      </w:r>
      <w:r w:rsidR="009300AC">
        <w:rPr>
          <w:highlight w:val="yellow"/>
        </w:rPr>
        <w:t>are</w:t>
      </w:r>
      <w:r w:rsidR="009300AC" w:rsidRPr="00C44B9B">
        <w:rPr>
          <w:highlight w:val="yellow"/>
        </w:rPr>
        <w:t xml:space="preserve"> </w:t>
      </w:r>
      <w:r w:rsidR="00E61E73" w:rsidRPr="00C44B9B">
        <w:rPr>
          <w:highlight w:val="yellow"/>
        </w:rPr>
        <w:t xml:space="preserve">recorded </w:t>
      </w:r>
      <w:r w:rsidR="001E1B0F" w:rsidRPr="00C44B9B">
        <w:rPr>
          <w:highlight w:val="yellow"/>
        </w:rPr>
        <w:t xml:space="preserve">at any </w:t>
      </w:r>
      <w:r w:rsidR="00E61E73" w:rsidRPr="00C44B9B">
        <w:rPr>
          <w:highlight w:val="yellow"/>
        </w:rPr>
        <w:t>grid</w:t>
      </w:r>
      <w:r w:rsidR="001E1B0F" w:rsidRPr="00C44B9B">
        <w:rPr>
          <w:highlight w:val="yellow"/>
        </w:rPr>
        <w:t xml:space="preserve"> point</w:t>
      </w:r>
      <w:r w:rsidR="00E61E73" w:rsidRPr="00C44B9B">
        <w:rPr>
          <w:highlight w:val="yellow"/>
        </w:rPr>
        <w:t xml:space="preserve"> at </w:t>
      </w:r>
      <w:r w:rsidR="00887A2F" w:rsidRPr="00C44B9B">
        <w:rPr>
          <w:highlight w:val="yellow"/>
        </w:rPr>
        <w:t xml:space="preserve">the current </w:t>
      </w:r>
      <w:r w:rsidR="00111A4D">
        <w:rPr>
          <w:highlight w:val="yellow"/>
        </w:rPr>
        <w:t>70</w:t>
      </w:r>
      <w:r w:rsidR="00E61E73" w:rsidRPr="00C44B9B">
        <w:rPr>
          <w:highlight w:val="yellow"/>
        </w:rPr>
        <w:t>%</w:t>
      </w:r>
      <w:r w:rsidR="00EF3009">
        <w:rPr>
          <w:highlight w:val="yellow"/>
        </w:rPr>
        <w:t xml:space="preserve"> </w:t>
      </w:r>
      <w:r w:rsidR="00E61E73" w:rsidRPr="00C44B9B">
        <w:rPr>
          <w:highlight w:val="yellow"/>
        </w:rPr>
        <w:t>MSO</w:t>
      </w:r>
      <w:r w:rsidR="00006D07">
        <w:rPr>
          <w:highlight w:val="yellow"/>
        </w:rPr>
        <w:t>,</w:t>
      </w:r>
      <w:r w:rsidR="00E61E73" w:rsidRPr="00C44B9B">
        <w:rPr>
          <w:highlight w:val="yellow"/>
        </w:rPr>
        <w:t xml:space="preserve"> return to the initial target grid </w:t>
      </w:r>
      <w:r w:rsidR="001E1B0F" w:rsidRPr="00C44B9B">
        <w:rPr>
          <w:highlight w:val="yellow"/>
        </w:rPr>
        <w:t xml:space="preserve">point </w:t>
      </w:r>
      <w:r w:rsidR="00E61E73" w:rsidRPr="00C44B9B">
        <w:rPr>
          <w:highlight w:val="yellow"/>
        </w:rPr>
        <w:t>land</w:t>
      </w:r>
      <w:r w:rsidR="00EF3009">
        <w:rPr>
          <w:highlight w:val="yellow"/>
        </w:rPr>
        <w:t>,</w:t>
      </w:r>
      <w:r w:rsidR="00E61E73" w:rsidRPr="00C44B9B">
        <w:rPr>
          <w:highlight w:val="yellow"/>
        </w:rPr>
        <w:t xml:space="preserve"> </w:t>
      </w:r>
      <w:r w:rsidR="005E437A" w:rsidRPr="00C44B9B">
        <w:rPr>
          <w:highlight w:val="yellow"/>
        </w:rPr>
        <w:t>continue to increase the</w:t>
      </w:r>
      <w:r w:rsidR="00E61E73" w:rsidRPr="00C44B9B">
        <w:rPr>
          <w:highlight w:val="yellow"/>
        </w:rPr>
        <w:t xml:space="preserve"> stimulator power </w:t>
      </w:r>
      <w:r w:rsidR="005E437A" w:rsidRPr="00C44B9B">
        <w:rPr>
          <w:highlight w:val="yellow"/>
        </w:rPr>
        <w:t xml:space="preserve">by increments of </w:t>
      </w:r>
      <w:r w:rsidR="00E61E73" w:rsidRPr="00C44B9B">
        <w:rPr>
          <w:highlight w:val="yellow"/>
        </w:rPr>
        <w:t>10%</w:t>
      </w:r>
      <w:r w:rsidR="00EF3009">
        <w:rPr>
          <w:highlight w:val="yellow"/>
        </w:rPr>
        <w:t xml:space="preserve"> </w:t>
      </w:r>
      <w:r w:rsidR="00E61E73" w:rsidRPr="00C44B9B">
        <w:rPr>
          <w:highlight w:val="yellow"/>
        </w:rPr>
        <w:t>MSO</w:t>
      </w:r>
      <w:r w:rsidR="00CC274A">
        <w:rPr>
          <w:highlight w:val="yellow"/>
        </w:rPr>
        <w:t xml:space="preserve"> and apply 2</w:t>
      </w:r>
      <w:r w:rsidR="00EF3009">
        <w:rPr>
          <w:highlight w:val="yellow"/>
        </w:rPr>
        <w:t>–</w:t>
      </w:r>
      <w:r w:rsidR="00CC274A">
        <w:rPr>
          <w:highlight w:val="yellow"/>
        </w:rPr>
        <w:t>3 stimulations as previously described</w:t>
      </w:r>
      <w:r w:rsidR="00E61E73" w:rsidRPr="00C44B9B">
        <w:rPr>
          <w:highlight w:val="yellow"/>
        </w:rPr>
        <w:t>.</w:t>
      </w:r>
    </w:p>
    <w:p w14:paraId="488770B6" w14:textId="77777777" w:rsidR="003D79C2" w:rsidRPr="00C44B9B" w:rsidRDefault="003D79C2" w:rsidP="001E1661">
      <w:pPr>
        <w:rPr>
          <w:highlight w:val="yellow"/>
        </w:rPr>
      </w:pPr>
    </w:p>
    <w:p w14:paraId="522A093C" w14:textId="45608484" w:rsidR="00FE2837" w:rsidRDefault="003D79C2" w:rsidP="001E1661">
      <w:pPr>
        <w:rPr>
          <w:highlight w:val="green"/>
        </w:rPr>
      </w:pPr>
      <w:r w:rsidRPr="008D3170">
        <w:t>NOTE</w:t>
      </w:r>
      <w:r w:rsidR="00235BA5">
        <w:t>:</w:t>
      </w:r>
      <w:r w:rsidR="00135B4F">
        <w:t xml:space="preserve"> </w:t>
      </w:r>
      <w:r w:rsidR="009300AC">
        <w:t>R</w:t>
      </w:r>
      <w:r w:rsidR="00E61E73" w:rsidRPr="008D3170">
        <w:t>epeat</w:t>
      </w:r>
      <w:r w:rsidR="009300AC">
        <w:t xml:space="preserve"> this process</w:t>
      </w:r>
      <w:r w:rsidR="00E61E73" w:rsidRPr="008D3170">
        <w:t xml:space="preserve"> until reliable responses </w:t>
      </w:r>
      <w:r w:rsidR="009300AC">
        <w:t>are</w:t>
      </w:r>
      <w:r w:rsidR="009300AC" w:rsidRPr="008D3170">
        <w:t xml:space="preserve"> </w:t>
      </w:r>
      <w:r w:rsidR="00E61E73" w:rsidRPr="008D3170">
        <w:t>recorded</w:t>
      </w:r>
      <w:r w:rsidR="001E1B0F" w:rsidRPr="008D3170">
        <w:t xml:space="preserve"> from </w:t>
      </w:r>
      <w:r w:rsidR="00CC274A">
        <w:t>the target</w:t>
      </w:r>
      <w:r w:rsidR="00CC274A" w:rsidRPr="008D3170">
        <w:t xml:space="preserve"> </w:t>
      </w:r>
      <w:r w:rsidR="001E1B0F" w:rsidRPr="008D3170">
        <w:t>muscles</w:t>
      </w:r>
      <w:r w:rsidR="00E61E73" w:rsidRPr="008D3170">
        <w:t xml:space="preserve"> or </w:t>
      </w:r>
      <w:r w:rsidR="009300AC">
        <w:t xml:space="preserve">until </w:t>
      </w:r>
      <w:r w:rsidR="00F531A1">
        <w:t>it is</w:t>
      </w:r>
      <w:r w:rsidR="009300AC">
        <w:t xml:space="preserve"> </w:t>
      </w:r>
      <w:r w:rsidR="00E61E73" w:rsidRPr="008D3170">
        <w:t xml:space="preserve">determined that the participant </w:t>
      </w:r>
      <w:r w:rsidR="009300AC">
        <w:t xml:space="preserve">has </w:t>
      </w:r>
      <w:r w:rsidR="00E61E73" w:rsidRPr="008D3170">
        <w:t>no response to TMS.</w:t>
      </w:r>
      <w:r w:rsidR="00E61E73">
        <w:t xml:space="preserve"> </w:t>
      </w:r>
      <w:r w:rsidR="00CC274A">
        <w:t>Not all participants will produce a measurable response to TMS</w:t>
      </w:r>
      <w:r w:rsidR="00232B2E">
        <w:t>.</w:t>
      </w:r>
    </w:p>
    <w:p w14:paraId="367C1AA7" w14:textId="77777777" w:rsidR="00DD69A9" w:rsidRDefault="00DD69A9" w:rsidP="001E1661">
      <w:pPr>
        <w:rPr>
          <w:highlight w:val="yellow"/>
        </w:rPr>
      </w:pPr>
    </w:p>
    <w:p w14:paraId="18CFCFE4" w14:textId="22C8A1C8" w:rsidR="001E1661" w:rsidRDefault="00721DA8" w:rsidP="001E1661">
      <w:pPr>
        <w:rPr>
          <w:highlight w:val="yellow"/>
        </w:rPr>
      </w:pPr>
      <w:r>
        <w:rPr>
          <w:highlight w:val="yellow"/>
        </w:rPr>
        <w:t>5.2</w:t>
      </w:r>
      <w:r w:rsidR="006D3966" w:rsidRPr="00C44B9B">
        <w:rPr>
          <w:highlight w:val="yellow"/>
        </w:rPr>
        <w:tab/>
      </w:r>
      <w:r w:rsidR="004B6A42">
        <w:rPr>
          <w:highlight w:val="yellow"/>
        </w:rPr>
        <w:t xml:space="preserve">Once </w:t>
      </w:r>
      <w:r w:rsidR="00111A4D">
        <w:rPr>
          <w:highlight w:val="yellow"/>
        </w:rPr>
        <w:t xml:space="preserve">the </w:t>
      </w:r>
      <w:r w:rsidR="004B6A42">
        <w:rPr>
          <w:highlight w:val="yellow"/>
        </w:rPr>
        <w:t>stimulator power that produces a consistent response has been identified</w:t>
      </w:r>
      <w:r w:rsidR="00BC42FD">
        <w:rPr>
          <w:highlight w:val="yellow"/>
        </w:rPr>
        <w:t>,</w:t>
      </w:r>
      <w:r w:rsidR="00F531A1">
        <w:rPr>
          <w:highlight w:val="yellow"/>
        </w:rPr>
        <w:t xml:space="preserve"> </w:t>
      </w:r>
      <w:r w:rsidR="004B6A42">
        <w:rPr>
          <w:highlight w:val="yellow"/>
        </w:rPr>
        <w:t>b</w:t>
      </w:r>
      <w:r w:rsidR="009300AC">
        <w:rPr>
          <w:highlight w:val="yellow"/>
        </w:rPr>
        <w:t xml:space="preserve">egin </w:t>
      </w:r>
      <w:r w:rsidR="00F531A1">
        <w:rPr>
          <w:highlight w:val="yellow"/>
        </w:rPr>
        <w:t>identifying</w:t>
      </w:r>
      <w:r w:rsidR="009300AC">
        <w:rPr>
          <w:highlight w:val="yellow"/>
        </w:rPr>
        <w:t xml:space="preserve"> t</w:t>
      </w:r>
      <w:r w:rsidR="00FE2837" w:rsidRPr="00C44B9B">
        <w:rPr>
          <w:highlight w:val="yellow"/>
        </w:rPr>
        <w:t>he hotspot, i.e.</w:t>
      </w:r>
      <w:r w:rsidR="00EF3009">
        <w:rPr>
          <w:highlight w:val="yellow"/>
        </w:rPr>
        <w:t>,</w:t>
      </w:r>
      <w:r w:rsidR="00FE2837" w:rsidRPr="00C44B9B">
        <w:rPr>
          <w:highlight w:val="yellow"/>
        </w:rPr>
        <w:t xml:space="preserve"> the scalp location that produce</w:t>
      </w:r>
      <w:r w:rsidR="004B6A42">
        <w:rPr>
          <w:highlight w:val="yellow"/>
        </w:rPr>
        <w:t>s</w:t>
      </w:r>
      <w:r w:rsidR="00FE2837" w:rsidRPr="00C44B9B">
        <w:rPr>
          <w:highlight w:val="yellow"/>
        </w:rPr>
        <w:t xml:space="preserve"> the largest response to the applied TMS pulses</w:t>
      </w:r>
      <w:r w:rsidR="007C6994">
        <w:rPr>
          <w:highlight w:val="yellow"/>
        </w:rPr>
        <w:t>.</w:t>
      </w:r>
    </w:p>
    <w:p w14:paraId="28FF4AF6" w14:textId="77777777" w:rsidR="001E1661" w:rsidRDefault="001E1661" w:rsidP="001E1661">
      <w:pPr>
        <w:rPr>
          <w:highlight w:val="yellow"/>
        </w:rPr>
      </w:pPr>
    </w:p>
    <w:p w14:paraId="24CAB259" w14:textId="6CEA2FD4" w:rsidR="001E1661" w:rsidRDefault="001E1661" w:rsidP="001E1661">
      <w:pPr>
        <w:rPr>
          <w:highlight w:val="yellow"/>
        </w:rPr>
      </w:pPr>
      <w:r>
        <w:rPr>
          <w:highlight w:val="yellow"/>
        </w:rPr>
        <w:t xml:space="preserve">5.2.1. </w:t>
      </w:r>
      <w:r w:rsidR="00315709">
        <w:rPr>
          <w:highlight w:val="yellow"/>
        </w:rPr>
        <w:t xml:space="preserve">Start a new hotspot trial by clicking </w:t>
      </w:r>
      <w:r w:rsidR="00315709" w:rsidRPr="00006D07">
        <w:rPr>
          <w:b/>
          <w:bCs/>
          <w:highlight w:val="yellow"/>
        </w:rPr>
        <w:t>Start</w:t>
      </w:r>
      <w:r w:rsidR="00315709">
        <w:rPr>
          <w:highlight w:val="yellow"/>
        </w:rPr>
        <w:t xml:space="preserve"> and select</w:t>
      </w:r>
      <w:r w:rsidR="00EF3009">
        <w:rPr>
          <w:highlight w:val="yellow"/>
        </w:rPr>
        <w:t>ing</w:t>
      </w:r>
      <w:r w:rsidR="00006D07">
        <w:rPr>
          <w:highlight w:val="yellow"/>
        </w:rPr>
        <w:t xml:space="preserve"> </w:t>
      </w:r>
      <w:r w:rsidR="00315709" w:rsidRPr="00006D07">
        <w:rPr>
          <w:b/>
          <w:bCs/>
          <w:highlight w:val="yellow"/>
        </w:rPr>
        <w:t>Hotspot</w:t>
      </w:r>
      <w:r w:rsidR="00315709">
        <w:rPr>
          <w:highlight w:val="yellow"/>
        </w:rPr>
        <w:t xml:space="preserve">. </w:t>
      </w:r>
      <w:r w:rsidR="007C6994">
        <w:rPr>
          <w:highlight w:val="yellow"/>
        </w:rPr>
        <w:t>A</w:t>
      </w:r>
      <w:r w:rsidR="009300AC">
        <w:rPr>
          <w:highlight w:val="yellow"/>
        </w:rPr>
        <w:t>pply a single-pulse stimulation</w:t>
      </w:r>
      <w:r w:rsidR="00FE2837" w:rsidRPr="00C44B9B">
        <w:rPr>
          <w:highlight w:val="yellow"/>
        </w:rPr>
        <w:t xml:space="preserve"> to each of the 15 grid points at the suprathreshold power level identified in the previous step</w:t>
      </w:r>
      <w:r w:rsidR="008D3170">
        <w:rPr>
          <w:highlight w:val="yellow"/>
        </w:rPr>
        <w:t>s</w:t>
      </w:r>
      <w:r w:rsidR="00FE2837" w:rsidRPr="00C44B9B">
        <w:rPr>
          <w:highlight w:val="yellow"/>
        </w:rPr>
        <w:t xml:space="preserve">. </w:t>
      </w:r>
      <w:r w:rsidR="007C6994">
        <w:rPr>
          <w:highlight w:val="yellow"/>
        </w:rPr>
        <w:t>Using the image guid</w:t>
      </w:r>
      <w:r w:rsidR="00BC42FD">
        <w:rPr>
          <w:highlight w:val="yellow"/>
        </w:rPr>
        <w:t>ance</w:t>
      </w:r>
      <w:r w:rsidR="007C6994">
        <w:rPr>
          <w:highlight w:val="yellow"/>
        </w:rPr>
        <w:t xml:space="preserve"> system</w:t>
      </w:r>
      <w:r w:rsidR="00EF3009">
        <w:rPr>
          <w:highlight w:val="yellow"/>
        </w:rPr>
        <w:t>,</w:t>
      </w:r>
      <w:r w:rsidR="00C841BE">
        <w:rPr>
          <w:highlight w:val="yellow"/>
        </w:rPr>
        <w:t xml:space="preserve"> move the coil to the first grid point.</w:t>
      </w:r>
    </w:p>
    <w:p w14:paraId="2648D11B" w14:textId="77777777" w:rsidR="001E1661" w:rsidRDefault="001E1661" w:rsidP="001E1661">
      <w:pPr>
        <w:rPr>
          <w:highlight w:val="yellow"/>
        </w:rPr>
      </w:pPr>
    </w:p>
    <w:p w14:paraId="43484FC2" w14:textId="18045D5D" w:rsidR="006D3966" w:rsidRPr="00C44B9B" w:rsidRDefault="001E1661" w:rsidP="001E1661">
      <w:pPr>
        <w:rPr>
          <w:highlight w:val="yellow"/>
        </w:rPr>
      </w:pPr>
      <w:r>
        <w:rPr>
          <w:highlight w:val="yellow"/>
        </w:rPr>
        <w:t xml:space="preserve">5.2.2. </w:t>
      </w:r>
      <w:r w:rsidR="00C841BE">
        <w:rPr>
          <w:highlight w:val="yellow"/>
        </w:rPr>
        <w:t xml:space="preserve">Once the coil is in the proper position, apply the TMS pulse by </w:t>
      </w:r>
      <w:r w:rsidR="00860C26">
        <w:rPr>
          <w:highlight w:val="yellow"/>
        </w:rPr>
        <w:t>pressing</w:t>
      </w:r>
      <w:r w:rsidR="00C841BE">
        <w:rPr>
          <w:highlight w:val="yellow"/>
        </w:rPr>
        <w:t xml:space="preserve"> the trigger button on the </w:t>
      </w:r>
      <w:r w:rsidR="00111A4D">
        <w:rPr>
          <w:highlight w:val="yellow"/>
        </w:rPr>
        <w:t xml:space="preserve">stimulator </w:t>
      </w:r>
      <w:r w:rsidR="00C841BE">
        <w:rPr>
          <w:highlight w:val="yellow"/>
        </w:rPr>
        <w:t>unit. Next</w:t>
      </w:r>
      <w:r w:rsidR="00BC42FD">
        <w:rPr>
          <w:highlight w:val="yellow"/>
        </w:rPr>
        <w:t>,</w:t>
      </w:r>
      <w:r w:rsidR="00C841BE">
        <w:rPr>
          <w:highlight w:val="yellow"/>
        </w:rPr>
        <w:t xml:space="preserve"> move the coil to the next grid location and apply another single TMS pulse. Continue until a single stimulation has been applied to each grid point</w:t>
      </w:r>
      <w:r w:rsidR="00315709">
        <w:rPr>
          <w:highlight w:val="yellow"/>
        </w:rPr>
        <w:t xml:space="preserve"> and click</w:t>
      </w:r>
      <w:r w:rsidR="00EF3009">
        <w:rPr>
          <w:highlight w:val="yellow"/>
        </w:rPr>
        <w:t xml:space="preserve"> on</w:t>
      </w:r>
      <w:r w:rsidR="00315709">
        <w:rPr>
          <w:highlight w:val="yellow"/>
        </w:rPr>
        <w:t xml:space="preserve"> </w:t>
      </w:r>
      <w:r w:rsidR="00315709" w:rsidRPr="00006D07">
        <w:rPr>
          <w:b/>
          <w:bCs/>
          <w:highlight w:val="yellow"/>
        </w:rPr>
        <w:t>Stop</w:t>
      </w:r>
      <w:r w:rsidR="00315709">
        <w:rPr>
          <w:highlight w:val="yellow"/>
        </w:rPr>
        <w:t xml:space="preserve"> to end the trial</w:t>
      </w:r>
      <w:r w:rsidR="00C841BE">
        <w:rPr>
          <w:highlight w:val="yellow"/>
        </w:rPr>
        <w:t>.</w:t>
      </w:r>
    </w:p>
    <w:p w14:paraId="5B2104D4" w14:textId="77777777" w:rsidR="006D3966" w:rsidRPr="00C44B9B" w:rsidRDefault="006D3966" w:rsidP="001E1661">
      <w:pPr>
        <w:rPr>
          <w:highlight w:val="yellow"/>
        </w:rPr>
      </w:pPr>
    </w:p>
    <w:p w14:paraId="4AAFEA75" w14:textId="6C3A3D98" w:rsidR="006D3966" w:rsidRPr="00C44B9B" w:rsidRDefault="00721DA8" w:rsidP="001E1661">
      <w:pPr>
        <w:rPr>
          <w:highlight w:val="yellow"/>
        </w:rPr>
      </w:pPr>
      <w:r>
        <w:rPr>
          <w:highlight w:val="yellow"/>
        </w:rPr>
        <w:t>5.2.</w:t>
      </w:r>
      <w:r w:rsidR="001E1661">
        <w:rPr>
          <w:highlight w:val="yellow"/>
        </w:rPr>
        <w:t xml:space="preserve">3. </w:t>
      </w:r>
      <w:r w:rsidR="00C841BE">
        <w:rPr>
          <w:highlight w:val="yellow"/>
        </w:rPr>
        <w:t xml:space="preserve">Examine the amplitudes of the sEMG signals recorded at each grid point. Visually identify the grid </w:t>
      </w:r>
      <w:r>
        <w:rPr>
          <w:highlight w:val="yellow"/>
        </w:rPr>
        <w:t>points</w:t>
      </w:r>
      <w:r w:rsidR="00C841BE">
        <w:rPr>
          <w:highlight w:val="yellow"/>
        </w:rPr>
        <w:t xml:space="preserve"> </w:t>
      </w:r>
      <w:r w:rsidR="00CC3C86">
        <w:rPr>
          <w:highlight w:val="yellow"/>
        </w:rPr>
        <w:t>with</w:t>
      </w:r>
      <w:r w:rsidR="00C841BE">
        <w:rPr>
          <w:highlight w:val="yellow"/>
        </w:rPr>
        <w:t xml:space="preserve"> the largest MEP amplitude</w:t>
      </w:r>
      <w:r w:rsidR="00CC3C86">
        <w:rPr>
          <w:highlight w:val="yellow"/>
        </w:rPr>
        <w:t>, recorded in the sEMG signals,</w:t>
      </w:r>
      <w:r w:rsidR="00C841BE">
        <w:rPr>
          <w:highlight w:val="yellow"/>
        </w:rPr>
        <w:t xml:space="preserve"> for each of the targeted muscles. The grid location</w:t>
      </w:r>
      <w:r w:rsidR="00CC3C86">
        <w:rPr>
          <w:highlight w:val="yellow"/>
        </w:rPr>
        <w:t>s with the largest MEP amplitudes are the hotspots and will be used to measure the corticomotor response in the following sections.</w:t>
      </w:r>
    </w:p>
    <w:p w14:paraId="140E78EF" w14:textId="37A91BE9" w:rsidR="006D3966" w:rsidRDefault="006D3966" w:rsidP="001E1661">
      <w:pPr>
        <w:rPr>
          <w:highlight w:val="yellow"/>
        </w:rPr>
      </w:pPr>
    </w:p>
    <w:p w14:paraId="6DA097FA" w14:textId="1CA11B16" w:rsidR="00BE2483" w:rsidRPr="00BE2483" w:rsidRDefault="00BE2483" w:rsidP="001E1661">
      <w:r w:rsidRPr="00BE2483">
        <w:t>NOTE</w:t>
      </w:r>
      <w:r w:rsidR="00235BA5">
        <w:t xml:space="preserve">: </w:t>
      </w:r>
      <w:r w:rsidR="00BC42FD">
        <w:t>O</w:t>
      </w:r>
      <w:r w:rsidR="00BC42FD" w:rsidRPr="00BE2483">
        <w:t xml:space="preserve">n </w:t>
      </w:r>
      <w:r w:rsidRPr="00BE2483">
        <w:t>some occasions</w:t>
      </w:r>
      <w:r w:rsidR="00BC42FD">
        <w:t>,</w:t>
      </w:r>
      <w:r w:rsidRPr="00BE2483">
        <w:t xml:space="preserve"> a single grid location may provide the largest MEP amplitudes for both the TA and SOL. In these cases, </w:t>
      </w:r>
      <w:r w:rsidR="009300AC">
        <w:t xml:space="preserve">determine the </w:t>
      </w:r>
      <w:r w:rsidRPr="00BE2483">
        <w:t>motor thresholds for each muscle separately.</w:t>
      </w:r>
    </w:p>
    <w:p w14:paraId="43CFB6D3" w14:textId="77777777" w:rsidR="00BE2483" w:rsidRPr="00C44B9B" w:rsidRDefault="00BE2483" w:rsidP="001E1661">
      <w:pPr>
        <w:rPr>
          <w:highlight w:val="yellow"/>
        </w:rPr>
      </w:pPr>
    </w:p>
    <w:p w14:paraId="452758A1" w14:textId="1159EC4E" w:rsidR="001E1661" w:rsidRDefault="00721DA8" w:rsidP="001E1661">
      <w:pPr>
        <w:rPr>
          <w:highlight w:val="yellow"/>
        </w:rPr>
      </w:pPr>
      <w:r>
        <w:rPr>
          <w:highlight w:val="yellow"/>
        </w:rPr>
        <w:lastRenderedPageBreak/>
        <w:t>5.3</w:t>
      </w:r>
      <w:r w:rsidR="006D3966" w:rsidRPr="00C44B9B">
        <w:rPr>
          <w:highlight w:val="yellow"/>
        </w:rPr>
        <w:tab/>
      </w:r>
      <w:r w:rsidR="009300AC">
        <w:rPr>
          <w:highlight w:val="yellow"/>
        </w:rPr>
        <w:t xml:space="preserve">Next, determine the motor threshold of the targeted muscle </w:t>
      </w:r>
      <w:r w:rsidR="00E41A65" w:rsidRPr="00C44B9B">
        <w:rPr>
          <w:highlight w:val="yellow"/>
        </w:rPr>
        <w:t>using simple adaptive Parameter Estimation by Sequential Testing (PEST</w:t>
      </w:r>
      <w:r w:rsidR="00565F26">
        <w:rPr>
          <w:highlight w:val="yellow"/>
        </w:rPr>
        <w:t>)</w:t>
      </w:r>
      <w:r w:rsidR="00111A4D">
        <w:rPr>
          <w:highlight w:val="yellow"/>
          <w:vertAlign w:val="superscript"/>
        </w:rPr>
        <w:t>19,20</w:t>
      </w:r>
      <w:r w:rsidR="00E41A65" w:rsidRPr="00C44B9B">
        <w:rPr>
          <w:highlight w:val="yellow"/>
        </w:rPr>
        <w:t>.</w:t>
      </w:r>
    </w:p>
    <w:p w14:paraId="4007A109" w14:textId="77777777" w:rsidR="001E1661" w:rsidRDefault="001E1661" w:rsidP="001E1661">
      <w:pPr>
        <w:rPr>
          <w:highlight w:val="yellow"/>
        </w:rPr>
      </w:pPr>
    </w:p>
    <w:p w14:paraId="434EC391" w14:textId="41CB1805" w:rsidR="001E1661" w:rsidRDefault="001E1661" w:rsidP="001E1661">
      <w:pPr>
        <w:rPr>
          <w:highlight w:val="yellow"/>
        </w:rPr>
      </w:pPr>
      <w:r>
        <w:rPr>
          <w:highlight w:val="yellow"/>
        </w:rPr>
        <w:t xml:space="preserve">5.3.1. </w:t>
      </w:r>
      <w:r w:rsidR="0073455A">
        <w:rPr>
          <w:highlight w:val="yellow"/>
        </w:rPr>
        <w:t xml:space="preserve">Open the PEST program and set the initial stimulator intensity </w:t>
      </w:r>
      <w:r w:rsidR="00BC42FD">
        <w:rPr>
          <w:highlight w:val="yellow"/>
        </w:rPr>
        <w:t>to the</w:t>
      </w:r>
      <w:r w:rsidR="0073455A">
        <w:rPr>
          <w:highlight w:val="yellow"/>
        </w:rPr>
        <w:t xml:space="preserve"> suprathreshold value used to identify the hotspot by typing the value into the box.</w:t>
      </w:r>
    </w:p>
    <w:p w14:paraId="5D623805" w14:textId="77777777" w:rsidR="001E1661" w:rsidRDefault="001E1661" w:rsidP="001E1661">
      <w:pPr>
        <w:rPr>
          <w:highlight w:val="yellow"/>
        </w:rPr>
      </w:pPr>
    </w:p>
    <w:p w14:paraId="31FF63A1" w14:textId="61D69879" w:rsidR="001E1661" w:rsidRDefault="001E1661" w:rsidP="001E1661">
      <w:pPr>
        <w:rPr>
          <w:highlight w:val="yellow"/>
        </w:rPr>
      </w:pPr>
      <w:r>
        <w:rPr>
          <w:highlight w:val="yellow"/>
        </w:rPr>
        <w:t xml:space="preserve">5.3.2. </w:t>
      </w:r>
      <w:r w:rsidR="00315709">
        <w:rPr>
          <w:highlight w:val="yellow"/>
        </w:rPr>
        <w:t xml:space="preserve">Begin a new PEST trial by clicking </w:t>
      </w:r>
      <w:r w:rsidR="00006D07">
        <w:rPr>
          <w:highlight w:val="yellow"/>
        </w:rPr>
        <w:t xml:space="preserve">the </w:t>
      </w:r>
      <w:r w:rsidR="00315709" w:rsidRPr="00006D07">
        <w:rPr>
          <w:b/>
          <w:bCs/>
          <w:highlight w:val="yellow"/>
        </w:rPr>
        <w:t>Start</w:t>
      </w:r>
      <w:r w:rsidR="00315709">
        <w:rPr>
          <w:highlight w:val="yellow"/>
        </w:rPr>
        <w:t xml:space="preserve"> </w:t>
      </w:r>
      <w:r w:rsidR="00006D07">
        <w:rPr>
          <w:highlight w:val="yellow"/>
        </w:rPr>
        <w:t xml:space="preserve">tab </w:t>
      </w:r>
      <w:r w:rsidR="00315709">
        <w:rPr>
          <w:highlight w:val="yellow"/>
        </w:rPr>
        <w:t xml:space="preserve">in the data collection software and select </w:t>
      </w:r>
      <w:r w:rsidR="00315709" w:rsidRPr="00006D07">
        <w:rPr>
          <w:b/>
          <w:bCs/>
          <w:highlight w:val="yellow"/>
        </w:rPr>
        <w:t>PEST</w:t>
      </w:r>
      <w:r w:rsidR="00315709">
        <w:rPr>
          <w:highlight w:val="yellow"/>
        </w:rPr>
        <w:t>.</w:t>
      </w:r>
    </w:p>
    <w:p w14:paraId="71F8710D" w14:textId="77777777" w:rsidR="001E1661" w:rsidRDefault="001E1661" w:rsidP="001E1661">
      <w:pPr>
        <w:rPr>
          <w:highlight w:val="yellow"/>
        </w:rPr>
      </w:pPr>
    </w:p>
    <w:p w14:paraId="32DEC465" w14:textId="30294250" w:rsidR="001E1661" w:rsidRDefault="001E1661" w:rsidP="001E1661">
      <w:pPr>
        <w:rPr>
          <w:highlight w:val="yellow"/>
        </w:rPr>
      </w:pPr>
      <w:r>
        <w:rPr>
          <w:highlight w:val="yellow"/>
        </w:rPr>
        <w:t xml:space="preserve">5.3.3. </w:t>
      </w:r>
      <w:r w:rsidR="0073455A">
        <w:rPr>
          <w:highlight w:val="yellow"/>
        </w:rPr>
        <w:t xml:space="preserve">Apply </w:t>
      </w:r>
      <w:r w:rsidR="00CC3C86">
        <w:rPr>
          <w:highlight w:val="yellow"/>
        </w:rPr>
        <w:t xml:space="preserve">a single TMS pulse to the identified target muscle’s hotspot </w:t>
      </w:r>
      <w:r w:rsidR="0073455A">
        <w:rPr>
          <w:highlight w:val="yellow"/>
        </w:rPr>
        <w:t xml:space="preserve">at the initial </w:t>
      </w:r>
      <w:r w:rsidR="00CC3C86">
        <w:rPr>
          <w:highlight w:val="yellow"/>
        </w:rPr>
        <w:t>%MSO</w:t>
      </w:r>
      <w:r w:rsidR="0073455A">
        <w:rPr>
          <w:highlight w:val="yellow"/>
        </w:rPr>
        <w:t xml:space="preserve"> intensity</w:t>
      </w:r>
      <w:r w:rsidR="00315709">
        <w:rPr>
          <w:highlight w:val="yellow"/>
        </w:rPr>
        <w:t xml:space="preserve"> displayed in the PEST program</w:t>
      </w:r>
      <w:r w:rsidR="00CC3C86">
        <w:rPr>
          <w:highlight w:val="yellow"/>
        </w:rPr>
        <w:t xml:space="preserve">. Indicate in the PEST program that a response was observed in the muscle’s sEMG signal by typing y or n. </w:t>
      </w:r>
      <w:r w:rsidR="00346A58">
        <w:rPr>
          <w:highlight w:val="yellow"/>
        </w:rPr>
        <w:t xml:space="preserve">The </w:t>
      </w:r>
      <w:r w:rsidR="00111A4D">
        <w:rPr>
          <w:highlight w:val="yellow"/>
        </w:rPr>
        <w:t xml:space="preserve">PEST program will automatically calculate the next </w:t>
      </w:r>
      <w:r w:rsidR="00346A58">
        <w:rPr>
          <w:highlight w:val="yellow"/>
        </w:rPr>
        <w:t>stimulation intensity.</w:t>
      </w:r>
    </w:p>
    <w:p w14:paraId="20C43564" w14:textId="77777777" w:rsidR="001E1661" w:rsidRDefault="001E1661" w:rsidP="001E1661">
      <w:pPr>
        <w:rPr>
          <w:highlight w:val="yellow"/>
        </w:rPr>
      </w:pPr>
    </w:p>
    <w:p w14:paraId="5FFA1E3D" w14:textId="417D9553" w:rsidR="00CC3C86" w:rsidRDefault="001E1661" w:rsidP="001E1661">
      <w:pPr>
        <w:rPr>
          <w:highlight w:val="yellow"/>
        </w:rPr>
      </w:pPr>
      <w:r>
        <w:rPr>
          <w:highlight w:val="yellow"/>
        </w:rPr>
        <w:t xml:space="preserve">5.3.4. </w:t>
      </w:r>
      <w:r w:rsidR="00346A58">
        <w:rPr>
          <w:highlight w:val="yellow"/>
        </w:rPr>
        <w:t>Adjust the stimulator</w:t>
      </w:r>
      <w:r w:rsidR="00BC42FD">
        <w:rPr>
          <w:highlight w:val="yellow"/>
        </w:rPr>
        <w:t>’</w:t>
      </w:r>
      <w:r w:rsidR="00346A58">
        <w:rPr>
          <w:highlight w:val="yellow"/>
        </w:rPr>
        <w:t xml:space="preserve">s power level to </w:t>
      </w:r>
      <w:r w:rsidR="00BC42FD">
        <w:rPr>
          <w:highlight w:val="yellow"/>
        </w:rPr>
        <w:t>match the PEST program</w:t>
      </w:r>
      <w:r w:rsidR="00346A58">
        <w:rPr>
          <w:highlight w:val="yellow"/>
        </w:rPr>
        <w:t xml:space="preserve"> and apply another single TMS pulse.</w:t>
      </w:r>
      <w:r>
        <w:rPr>
          <w:highlight w:val="yellow"/>
        </w:rPr>
        <w:t xml:space="preserve"> </w:t>
      </w:r>
      <w:r w:rsidR="00346A58">
        <w:rPr>
          <w:highlight w:val="yellow"/>
        </w:rPr>
        <w:t xml:space="preserve">Continue this process until the PEST program determines the motor threshold, indicated by a change in color </w:t>
      </w:r>
      <w:r w:rsidR="00BC42FD">
        <w:rPr>
          <w:highlight w:val="yellow"/>
        </w:rPr>
        <w:t>of the stimulation intensity</w:t>
      </w:r>
      <w:r w:rsidR="00315709">
        <w:rPr>
          <w:highlight w:val="yellow"/>
        </w:rPr>
        <w:t>, and end the data collection trial by clicking</w:t>
      </w:r>
      <w:r w:rsidR="00EF3009">
        <w:rPr>
          <w:highlight w:val="yellow"/>
        </w:rPr>
        <w:t xml:space="preserve"> on</w:t>
      </w:r>
      <w:r w:rsidR="00315709">
        <w:rPr>
          <w:highlight w:val="yellow"/>
        </w:rPr>
        <w:t xml:space="preserve"> </w:t>
      </w:r>
      <w:r w:rsidR="00006D07">
        <w:rPr>
          <w:highlight w:val="yellow"/>
        </w:rPr>
        <w:t xml:space="preserve">the </w:t>
      </w:r>
      <w:r w:rsidR="00315709" w:rsidRPr="00006D07">
        <w:rPr>
          <w:b/>
          <w:bCs/>
          <w:highlight w:val="yellow"/>
        </w:rPr>
        <w:t>Stop</w:t>
      </w:r>
      <w:r w:rsidR="00006D07">
        <w:rPr>
          <w:b/>
          <w:bCs/>
          <w:highlight w:val="yellow"/>
        </w:rPr>
        <w:t xml:space="preserve"> </w:t>
      </w:r>
      <w:r w:rsidR="00006D07" w:rsidRPr="00006D07">
        <w:rPr>
          <w:highlight w:val="yellow"/>
        </w:rPr>
        <w:t>tab</w:t>
      </w:r>
      <w:r w:rsidR="00346A58">
        <w:rPr>
          <w:highlight w:val="yellow"/>
        </w:rPr>
        <w:t>.</w:t>
      </w:r>
    </w:p>
    <w:p w14:paraId="05572092" w14:textId="77777777" w:rsidR="009300AC" w:rsidRDefault="009300AC" w:rsidP="001E1661">
      <w:pPr>
        <w:rPr>
          <w:highlight w:val="yellow"/>
        </w:rPr>
      </w:pPr>
    </w:p>
    <w:p w14:paraId="0F71858F" w14:textId="01C9BA9C" w:rsidR="006D3966" w:rsidRPr="00C44B9B" w:rsidRDefault="009300AC" w:rsidP="001E1661">
      <w:pPr>
        <w:rPr>
          <w:highlight w:val="yellow"/>
        </w:rPr>
      </w:pPr>
      <w:r w:rsidRPr="008742E0">
        <w:t>NOTE</w:t>
      </w:r>
      <w:r w:rsidR="00EF3009">
        <w:t xml:space="preserve">: </w:t>
      </w:r>
      <w:r w:rsidRPr="008742E0">
        <w:t xml:space="preserve">The PEST procedure uses a freely available program that directs how much stimulator power to use with successive pulses. </w:t>
      </w:r>
      <w:r w:rsidR="00F531A1">
        <w:t xml:space="preserve">One of </w:t>
      </w:r>
      <w:r w:rsidRPr="008742E0">
        <w:t>the PEST program</w:t>
      </w:r>
      <w:r w:rsidR="00F531A1">
        <w:t>s can be found</w:t>
      </w:r>
      <w:r w:rsidRPr="008742E0">
        <w:t xml:space="preserve"> here: </w:t>
      </w:r>
      <w:r>
        <w:t>(</w:t>
      </w:r>
      <w:r w:rsidRPr="009300AC">
        <w:t>https://www.clinicalresearcher.org/software.htm</w:t>
      </w:r>
      <w:r>
        <w:t>)</w:t>
      </w:r>
      <w:r w:rsidR="00EF3009">
        <w:t>.</w:t>
      </w:r>
    </w:p>
    <w:p w14:paraId="3000E530" w14:textId="77777777" w:rsidR="006D3966" w:rsidRPr="00C44B9B" w:rsidRDefault="006D3966" w:rsidP="001E1661">
      <w:pPr>
        <w:rPr>
          <w:highlight w:val="yellow"/>
        </w:rPr>
      </w:pPr>
    </w:p>
    <w:p w14:paraId="763E168C" w14:textId="33089A03" w:rsidR="001E1661" w:rsidRDefault="00721DA8" w:rsidP="001E1661">
      <w:pPr>
        <w:rPr>
          <w:highlight w:val="yellow"/>
        </w:rPr>
      </w:pPr>
      <w:r>
        <w:rPr>
          <w:highlight w:val="yellow"/>
        </w:rPr>
        <w:t>5.4</w:t>
      </w:r>
      <w:r w:rsidR="006D3966" w:rsidRPr="00C44B9B">
        <w:rPr>
          <w:highlight w:val="yellow"/>
        </w:rPr>
        <w:tab/>
      </w:r>
      <w:r w:rsidR="0073455A">
        <w:rPr>
          <w:highlight w:val="yellow"/>
        </w:rPr>
        <w:t xml:space="preserve">After the </w:t>
      </w:r>
      <w:r w:rsidR="00315709">
        <w:rPr>
          <w:highlight w:val="yellow"/>
        </w:rPr>
        <w:t xml:space="preserve">target muscle’s </w:t>
      </w:r>
      <w:r w:rsidR="0073455A">
        <w:rPr>
          <w:highlight w:val="yellow"/>
        </w:rPr>
        <w:t>hotspot and motor threshold have been identified</w:t>
      </w:r>
      <w:r w:rsidR="00083CF9">
        <w:rPr>
          <w:highlight w:val="yellow"/>
        </w:rPr>
        <w:t>,</w:t>
      </w:r>
      <w:r w:rsidR="0073455A">
        <w:rPr>
          <w:highlight w:val="yellow"/>
        </w:rPr>
        <w:t xml:space="preserve"> begin </w:t>
      </w:r>
      <w:r w:rsidR="00315709">
        <w:rPr>
          <w:highlight w:val="yellow"/>
        </w:rPr>
        <w:t xml:space="preserve">the </w:t>
      </w:r>
      <w:r w:rsidR="0073455A">
        <w:rPr>
          <w:highlight w:val="yellow"/>
        </w:rPr>
        <w:t>CMR evaluation. Set the intensity of the stimulator to 120% of the determined motor threshold.</w:t>
      </w:r>
    </w:p>
    <w:p w14:paraId="4D1C8EDB" w14:textId="77777777" w:rsidR="001E1661" w:rsidRDefault="001E1661" w:rsidP="001E1661">
      <w:pPr>
        <w:rPr>
          <w:highlight w:val="yellow"/>
        </w:rPr>
      </w:pPr>
    </w:p>
    <w:p w14:paraId="49A744FE" w14:textId="4F701423" w:rsidR="001E1661" w:rsidRDefault="001E1661" w:rsidP="001E1661">
      <w:pPr>
        <w:rPr>
          <w:highlight w:val="yellow"/>
        </w:rPr>
      </w:pPr>
      <w:r>
        <w:rPr>
          <w:highlight w:val="yellow"/>
        </w:rPr>
        <w:t xml:space="preserve">5.4.1. </w:t>
      </w:r>
      <w:r w:rsidR="00315709">
        <w:rPr>
          <w:highlight w:val="yellow"/>
        </w:rPr>
        <w:t>Initiate a new trial in the data collection software by clicking</w:t>
      </w:r>
      <w:r w:rsidR="00083CF9">
        <w:rPr>
          <w:highlight w:val="yellow"/>
        </w:rPr>
        <w:t xml:space="preserve"> on</w:t>
      </w:r>
      <w:r w:rsidR="00315709">
        <w:rPr>
          <w:highlight w:val="yellow"/>
        </w:rPr>
        <w:t xml:space="preserve"> </w:t>
      </w:r>
      <w:r w:rsidR="00006D07">
        <w:rPr>
          <w:highlight w:val="yellow"/>
        </w:rPr>
        <w:t xml:space="preserve">the </w:t>
      </w:r>
      <w:r w:rsidR="00315709" w:rsidRPr="00006D07">
        <w:rPr>
          <w:b/>
          <w:bCs/>
          <w:highlight w:val="yellow"/>
        </w:rPr>
        <w:t>Start</w:t>
      </w:r>
      <w:r w:rsidR="00006D07">
        <w:rPr>
          <w:b/>
          <w:bCs/>
          <w:highlight w:val="yellow"/>
        </w:rPr>
        <w:t xml:space="preserve"> </w:t>
      </w:r>
      <w:r w:rsidR="00006D07" w:rsidRPr="00006D07">
        <w:rPr>
          <w:highlight w:val="yellow"/>
        </w:rPr>
        <w:t>tab</w:t>
      </w:r>
      <w:r w:rsidR="00315709">
        <w:rPr>
          <w:highlight w:val="yellow"/>
        </w:rPr>
        <w:t xml:space="preserve"> and select </w:t>
      </w:r>
      <w:r w:rsidR="00702969">
        <w:rPr>
          <w:highlight w:val="yellow"/>
        </w:rPr>
        <w:t xml:space="preserve">an </w:t>
      </w:r>
      <w:r w:rsidR="00315709" w:rsidRPr="00006D07">
        <w:rPr>
          <w:b/>
          <w:bCs/>
          <w:highlight w:val="yellow"/>
        </w:rPr>
        <w:t>MEP</w:t>
      </w:r>
      <w:r w:rsidR="00315709">
        <w:rPr>
          <w:highlight w:val="yellow"/>
        </w:rPr>
        <w:t xml:space="preserve"> trial. </w:t>
      </w:r>
      <w:r w:rsidR="0073455A">
        <w:rPr>
          <w:highlight w:val="yellow"/>
        </w:rPr>
        <w:t>Place the coil on the muscle’s hotspot and apply 10</w:t>
      </w:r>
      <w:r w:rsidR="00083CF9">
        <w:rPr>
          <w:highlight w:val="yellow"/>
        </w:rPr>
        <w:t>–</w:t>
      </w:r>
      <w:r w:rsidR="0073455A">
        <w:rPr>
          <w:highlight w:val="yellow"/>
        </w:rPr>
        <w:t>20 single-pulse stimulations.</w:t>
      </w:r>
    </w:p>
    <w:p w14:paraId="6F1A2871" w14:textId="77777777" w:rsidR="001E1661" w:rsidRDefault="001E1661" w:rsidP="001E1661">
      <w:pPr>
        <w:rPr>
          <w:highlight w:val="yellow"/>
        </w:rPr>
      </w:pPr>
    </w:p>
    <w:p w14:paraId="7B855243" w14:textId="507E1D48" w:rsidR="001E1661" w:rsidRDefault="001E1661" w:rsidP="001E1661">
      <w:pPr>
        <w:rPr>
          <w:highlight w:val="yellow"/>
        </w:rPr>
      </w:pPr>
      <w:r>
        <w:rPr>
          <w:highlight w:val="yellow"/>
        </w:rPr>
        <w:t xml:space="preserve">5.4.2. </w:t>
      </w:r>
      <w:r w:rsidR="0073455A">
        <w:rPr>
          <w:highlight w:val="yellow"/>
        </w:rPr>
        <w:t>Allow for 5</w:t>
      </w:r>
      <w:r w:rsidR="00083CF9">
        <w:rPr>
          <w:highlight w:val="yellow"/>
        </w:rPr>
        <w:t>–</w:t>
      </w:r>
      <w:r w:rsidR="0073455A">
        <w:rPr>
          <w:highlight w:val="yellow"/>
        </w:rPr>
        <w:t>10 s between each stimulation. Record the evoked sEMG responses for off-line analysis.</w:t>
      </w:r>
      <w:r w:rsidR="00A3047D">
        <w:rPr>
          <w:highlight w:val="yellow"/>
        </w:rPr>
        <w:t xml:space="preserve"> Allow </w:t>
      </w:r>
      <w:r w:rsidR="00111A4D">
        <w:rPr>
          <w:highlight w:val="yellow"/>
        </w:rPr>
        <w:t xml:space="preserve">the participant to rest ad libitum and </w:t>
      </w:r>
      <w:r w:rsidR="00A3047D">
        <w:rPr>
          <w:highlight w:val="yellow"/>
        </w:rPr>
        <w:t>for sufficient time between testing procedures to reduce the likelihood of the participant developing fatigue, which could affect the results</w:t>
      </w:r>
      <w:r w:rsidR="00BC42FD">
        <w:rPr>
          <w:highlight w:val="yellow"/>
        </w:rPr>
        <w:t>.</w:t>
      </w:r>
    </w:p>
    <w:p w14:paraId="28FE9230" w14:textId="77777777" w:rsidR="001E1661" w:rsidRDefault="001E1661" w:rsidP="001E1661">
      <w:pPr>
        <w:rPr>
          <w:highlight w:val="yellow"/>
        </w:rPr>
      </w:pPr>
    </w:p>
    <w:p w14:paraId="5BBC2D30" w14:textId="6ED7C690" w:rsidR="006D3966" w:rsidRPr="001E1661" w:rsidRDefault="001E1661" w:rsidP="001E1661">
      <w:pPr>
        <w:rPr>
          <w:highlight w:val="yellow"/>
        </w:rPr>
      </w:pPr>
      <w:r>
        <w:rPr>
          <w:highlight w:val="yellow"/>
        </w:rPr>
        <w:t xml:space="preserve">5.4.3. </w:t>
      </w:r>
      <w:r w:rsidR="00315709">
        <w:rPr>
          <w:highlight w:val="yellow"/>
        </w:rPr>
        <w:t>Click</w:t>
      </w:r>
      <w:r w:rsidR="00083CF9">
        <w:rPr>
          <w:highlight w:val="yellow"/>
        </w:rPr>
        <w:t xml:space="preserve"> on</w:t>
      </w:r>
      <w:r w:rsidR="00315709">
        <w:rPr>
          <w:highlight w:val="yellow"/>
        </w:rPr>
        <w:t xml:space="preserve"> </w:t>
      </w:r>
      <w:r w:rsidR="00006D07">
        <w:rPr>
          <w:highlight w:val="yellow"/>
        </w:rPr>
        <w:t xml:space="preserve">the </w:t>
      </w:r>
      <w:r w:rsidR="00315709" w:rsidRPr="00006D07">
        <w:rPr>
          <w:b/>
          <w:bCs/>
          <w:highlight w:val="yellow"/>
        </w:rPr>
        <w:t>Stop</w:t>
      </w:r>
      <w:r w:rsidR="00315709">
        <w:rPr>
          <w:highlight w:val="yellow"/>
        </w:rPr>
        <w:t xml:space="preserve"> </w:t>
      </w:r>
      <w:r w:rsidR="00006D07">
        <w:rPr>
          <w:highlight w:val="yellow"/>
        </w:rPr>
        <w:t xml:space="preserve">tab </w:t>
      </w:r>
      <w:r w:rsidR="00315709">
        <w:rPr>
          <w:highlight w:val="yellow"/>
        </w:rPr>
        <w:t>after recording the MEPs to end the trial.</w:t>
      </w:r>
    </w:p>
    <w:p w14:paraId="74A5EAAF" w14:textId="2A218A4A" w:rsidR="006D3966" w:rsidRDefault="006D3966" w:rsidP="001E1661"/>
    <w:p w14:paraId="091DBA5E" w14:textId="3901F9A0" w:rsidR="003B47F9" w:rsidRDefault="006D3966" w:rsidP="001E1661">
      <w:r>
        <w:t>NOTE</w:t>
      </w:r>
      <w:r w:rsidR="001E1661">
        <w:t>:</w:t>
      </w:r>
      <w:r w:rsidR="00083CF9">
        <w:t xml:space="preserve"> </w:t>
      </w:r>
      <w:r w:rsidR="00D045AA">
        <w:t xml:space="preserve">The researcher handling the TMS coil </w:t>
      </w:r>
      <w:r w:rsidR="00FF7152">
        <w:t xml:space="preserve">should </w:t>
      </w:r>
      <w:r w:rsidR="00D045AA">
        <w:t>ensure that the participant</w:t>
      </w:r>
      <w:r w:rsidR="00FF7152">
        <w:t>s have</w:t>
      </w:r>
      <w:r w:rsidR="00D045AA">
        <w:t xml:space="preserve"> equal weight distribution under each leg immediately prior to applying any TMS pulse. If </w:t>
      </w:r>
      <w:r w:rsidR="00FF7152">
        <w:t>the investigator thinks the stimulation was applied while</w:t>
      </w:r>
      <w:r w:rsidR="00D045AA">
        <w:t xml:space="preserve"> the participant’s weight was not equally distributed</w:t>
      </w:r>
      <w:r w:rsidR="00083CF9">
        <w:t>,</w:t>
      </w:r>
      <w:r w:rsidR="00D045AA">
        <w:t xml:space="preserve"> </w:t>
      </w:r>
      <w:r w:rsidR="00FF7152">
        <w:t>perform an additional stimulation and</w:t>
      </w:r>
      <w:r w:rsidR="00547719">
        <w:t xml:space="preserve"> exclud</w:t>
      </w:r>
      <w:r w:rsidR="006A122E">
        <w:t>e</w:t>
      </w:r>
      <w:r w:rsidR="00547719">
        <w:t xml:space="preserve"> </w:t>
      </w:r>
      <w:r w:rsidR="00FF7152">
        <w:t>the previous trial</w:t>
      </w:r>
      <w:r w:rsidR="006A122E">
        <w:t xml:space="preserve"> from future analysis</w:t>
      </w:r>
      <w:r w:rsidR="00547719">
        <w:t>.</w:t>
      </w:r>
      <w:r w:rsidR="00A44693">
        <w:t xml:space="preserve"> </w:t>
      </w:r>
      <w:r w:rsidR="00FF7152">
        <w:t>Test t</w:t>
      </w:r>
      <w:r w:rsidR="00A44693">
        <w:t>he non-paretic muscles immediately after</w:t>
      </w:r>
      <w:r w:rsidR="00E35F7B">
        <w:t xml:space="preserve"> the paretic muscles</w:t>
      </w:r>
      <w:r w:rsidR="0056117D">
        <w:t xml:space="preserve">. </w:t>
      </w:r>
      <w:r w:rsidR="0056117D" w:rsidRPr="0032607D">
        <w:rPr>
          <w:b/>
          <w:bCs/>
        </w:rPr>
        <w:t>Figure 2</w:t>
      </w:r>
      <w:r w:rsidR="0056117D">
        <w:t xml:space="preserve"> displays the experimental setup during the standing TMS assessment.</w:t>
      </w:r>
    </w:p>
    <w:p w14:paraId="47ECDD44" w14:textId="77777777" w:rsidR="00111A4D" w:rsidRDefault="00111A4D" w:rsidP="00006D07"/>
    <w:p w14:paraId="1C520E08" w14:textId="5AA00501" w:rsidR="00450018" w:rsidRDefault="00450018" w:rsidP="00006D07">
      <w:r>
        <w:t>[</w:t>
      </w:r>
      <w:r w:rsidR="00D91E47">
        <w:t xml:space="preserve">Place </w:t>
      </w:r>
      <w:r w:rsidRPr="00D91E47">
        <w:rPr>
          <w:b/>
          <w:bCs/>
        </w:rPr>
        <w:t>Figure 2</w:t>
      </w:r>
      <w:r w:rsidR="00D91E47">
        <w:t xml:space="preserve"> here</w:t>
      </w:r>
      <w:r>
        <w:t>]</w:t>
      </w:r>
    </w:p>
    <w:p w14:paraId="1EFACB85" w14:textId="165E7DCB" w:rsidR="00032995" w:rsidRDefault="00032995" w:rsidP="001E1661"/>
    <w:p w14:paraId="4624B6B8" w14:textId="49EEB4AF" w:rsidR="00254C14" w:rsidRPr="00A3047D" w:rsidRDefault="00845D2A" w:rsidP="001E1661">
      <w:pPr>
        <w:rPr>
          <w:b/>
          <w:bCs/>
        </w:rPr>
      </w:pPr>
      <w:r>
        <w:rPr>
          <w:b/>
          <w:bCs/>
        </w:rPr>
        <w:t>6</w:t>
      </w:r>
      <w:r w:rsidR="00DD69A9" w:rsidRPr="00786C36">
        <w:rPr>
          <w:b/>
          <w:bCs/>
        </w:rPr>
        <w:t xml:space="preserve">. </w:t>
      </w:r>
      <w:r w:rsidR="00254C14" w:rsidRPr="00786C36">
        <w:rPr>
          <w:b/>
          <w:bCs/>
        </w:rPr>
        <w:t xml:space="preserve">Sitting </w:t>
      </w:r>
      <w:r w:rsidR="00B70B8C">
        <w:rPr>
          <w:b/>
          <w:bCs/>
        </w:rPr>
        <w:t>c</w:t>
      </w:r>
      <w:r w:rsidR="00254C14" w:rsidRPr="00786C36">
        <w:rPr>
          <w:b/>
          <w:bCs/>
        </w:rPr>
        <w:t xml:space="preserve">orticomotor </w:t>
      </w:r>
      <w:r w:rsidR="00B70B8C">
        <w:rPr>
          <w:b/>
          <w:bCs/>
        </w:rPr>
        <w:t>r</w:t>
      </w:r>
      <w:r w:rsidR="00254C14" w:rsidRPr="00786C36">
        <w:rPr>
          <w:b/>
          <w:bCs/>
        </w:rPr>
        <w:t xml:space="preserve">esponse </w:t>
      </w:r>
      <w:r w:rsidR="00B70B8C">
        <w:rPr>
          <w:b/>
          <w:bCs/>
        </w:rPr>
        <w:t>a</w:t>
      </w:r>
      <w:r w:rsidR="00254C14" w:rsidRPr="00786C36">
        <w:rPr>
          <w:b/>
          <w:bCs/>
        </w:rPr>
        <w:t>ssessment</w:t>
      </w:r>
    </w:p>
    <w:p w14:paraId="5B796532" w14:textId="77777777" w:rsidR="001E1661" w:rsidRDefault="001E1661" w:rsidP="001E1661"/>
    <w:p w14:paraId="70163027" w14:textId="65968067" w:rsidR="001E1661" w:rsidRDefault="00845D2A" w:rsidP="001E1661">
      <w:r>
        <w:t>6</w:t>
      </w:r>
      <w:r w:rsidR="006D3966" w:rsidRPr="00786C36">
        <w:t>.</w:t>
      </w:r>
      <w:r w:rsidR="00DD69A9" w:rsidRPr="00786C36">
        <w:t>1</w:t>
      </w:r>
      <w:r w:rsidR="006D3966" w:rsidRPr="00786C36">
        <w:tab/>
      </w:r>
      <w:r w:rsidR="00E35F7B" w:rsidRPr="00786C36">
        <w:t>After the completion of the standing TMS assessment</w:t>
      </w:r>
      <w:r w:rsidR="00B70B8C">
        <w:t>,</w:t>
      </w:r>
      <w:r w:rsidR="00E35F7B" w:rsidRPr="00786C36">
        <w:t xml:space="preserve"> remeasure the motor thresholds and </w:t>
      </w:r>
      <w:r w:rsidR="00862319" w:rsidRPr="00786C36">
        <w:t xml:space="preserve">the CMR </w:t>
      </w:r>
      <w:r w:rsidR="00B75963" w:rsidRPr="00786C36">
        <w:t>in a resting/sitting position.</w:t>
      </w:r>
    </w:p>
    <w:p w14:paraId="35086F01" w14:textId="77777777" w:rsidR="001E1661" w:rsidRDefault="001E1661" w:rsidP="001E1661"/>
    <w:p w14:paraId="10CDF545" w14:textId="59C8DFA9" w:rsidR="001E1661" w:rsidRDefault="00845D2A" w:rsidP="001E1661">
      <w:r>
        <w:t>6</w:t>
      </w:r>
      <w:r w:rsidR="001E1661">
        <w:t xml:space="preserve">.1.1. </w:t>
      </w:r>
      <w:r w:rsidR="00111A4D">
        <w:t>Use the same</w:t>
      </w:r>
      <w:r w:rsidR="00F5761F" w:rsidRPr="00786C36">
        <w:t xml:space="preserve"> procedures previously described</w:t>
      </w:r>
      <w:r w:rsidR="00111A4D">
        <w:t xml:space="preserve"> (</w:t>
      </w:r>
      <w:r w:rsidR="00B70B8C">
        <w:t>s</w:t>
      </w:r>
      <w:r w:rsidR="00A3047D">
        <w:t xml:space="preserve">ections </w:t>
      </w:r>
      <w:r w:rsidR="001C5520">
        <w:t>5</w:t>
      </w:r>
      <w:r w:rsidR="00A3047D">
        <w:t>.2</w:t>
      </w:r>
      <w:r w:rsidR="001C5520">
        <w:t>–5</w:t>
      </w:r>
      <w:r w:rsidR="00A3047D">
        <w:t>.4</w:t>
      </w:r>
      <w:r w:rsidR="00111A4D">
        <w:t>)</w:t>
      </w:r>
      <w:r w:rsidR="00F5761F" w:rsidRPr="00786C36">
        <w:t xml:space="preserve">. The only change </w:t>
      </w:r>
      <w:r w:rsidR="00111A4D">
        <w:t>being the</w:t>
      </w:r>
      <w:r w:rsidR="00F5761F" w:rsidRPr="00786C36">
        <w:t xml:space="preserve"> participant should be seated in a chair with their legs supported and muscles relaxed.</w:t>
      </w:r>
    </w:p>
    <w:p w14:paraId="7040F5B2" w14:textId="77777777" w:rsidR="001E1661" w:rsidRDefault="001E1661" w:rsidP="001E1661"/>
    <w:p w14:paraId="6757057E" w14:textId="0A3933FC" w:rsidR="00E35F7B" w:rsidRDefault="00845D2A" w:rsidP="001E1661">
      <w:r>
        <w:t>6</w:t>
      </w:r>
      <w:r w:rsidR="001E1661">
        <w:t xml:space="preserve">.1.2. </w:t>
      </w:r>
      <w:r w:rsidR="00FF7152" w:rsidRPr="00786C36">
        <w:t>Use t</w:t>
      </w:r>
      <w:r w:rsidR="00B75963" w:rsidRPr="00786C36">
        <w:t xml:space="preserve">he same hotspots </w:t>
      </w:r>
      <w:r w:rsidR="00FF7152" w:rsidRPr="00786C36">
        <w:t xml:space="preserve">identified </w:t>
      </w:r>
      <w:r w:rsidR="00887A2F" w:rsidRPr="00786C36">
        <w:t>during</w:t>
      </w:r>
      <w:r w:rsidR="00B75963" w:rsidRPr="00786C36">
        <w:t xml:space="preserve"> the standing assessment </w:t>
      </w:r>
      <w:r w:rsidR="00111A4D">
        <w:t>(</w:t>
      </w:r>
      <w:r w:rsidR="00B70B8C">
        <w:t>s</w:t>
      </w:r>
      <w:r w:rsidR="00111A4D">
        <w:t xml:space="preserve">ection 5.2) </w:t>
      </w:r>
      <w:r w:rsidR="00887A2F" w:rsidRPr="00786C36">
        <w:t xml:space="preserve">in the </w:t>
      </w:r>
      <w:r w:rsidR="00B75963" w:rsidRPr="00786C36">
        <w:t>sitting</w:t>
      </w:r>
      <w:r w:rsidR="00887A2F" w:rsidRPr="00786C36">
        <w:t xml:space="preserve"> position</w:t>
      </w:r>
      <w:r w:rsidR="00B75963" w:rsidRPr="00786C36">
        <w:t>.</w:t>
      </w:r>
      <w:r w:rsidR="0056117D" w:rsidRPr="00786C36">
        <w:t xml:space="preserve"> </w:t>
      </w:r>
      <w:r w:rsidR="00FF7152" w:rsidRPr="00786C36">
        <w:t>Perform the n</w:t>
      </w:r>
      <w:r w:rsidR="0056117D" w:rsidRPr="00786C36">
        <w:t xml:space="preserve">europhysiological testing in </w:t>
      </w:r>
      <w:r w:rsidR="00BE61F9" w:rsidRPr="00786C36">
        <w:t>the same</w:t>
      </w:r>
      <w:r w:rsidR="0056117D" w:rsidRPr="00786C36">
        <w:t xml:space="preserve"> manner </w:t>
      </w:r>
      <w:r w:rsidR="00BE61F9" w:rsidRPr="00786C36">
        <w:t>as</w:t>
      </w:r>
      <w:r w:rsidR="0056117D" w:rsidRPr="00786C36">
        <w:t xml:space="preserve"> </w:t>
      </w:r>
      <w:r w:rsidR="00BE61F9" w:rsidRPr="00786C36">
        <w:t>used in the</w:t>
      </w:r>
      <w:r w:rsidR="0056117D" w:rsidRPr="00786C36">
        <w:t xml:space="preserve"> standing</w:t>
      </w:r>
      <w:r w:rsidR="00BE61F9" w:rsidRPr="00786C36">
        <w:t xml:space="preserve"> position, </w:t>
      </w:r>
      <w:r w:rsidR="001C5520">
        <w:t>except for</w:t>
      </w:r>
      <w:r w:rsidR="00BE61F9" w:rsidRPr="00786C36">
        <w:t xml:space="preserve"> using a stimulation intensity of </w:t>
      </w:r>
      <w:r w:rsidR="0056117D" w:rsidRPr="00786C36">
        <w:t xml:space="preserve">120% of the </w:t>
      </w:r>
      <w:r w:rsidR="00F5761F" w:rsidRPr="00786C36">
        <w:t>resting</w:t>
      </w:r>
      <w:r w:rsidR="00BE61F9" w:rsidRPr="00786C36">
        <w:t>/sitting</w:t>
      </w:r>
      <w:r w:rsidR="00F5761F" w:rsidRPr="00786C36">
        <w:t xml:space="preserve"> </w:t>
      </w:r>
      <w:r w:rsidR="0056117D" w:rsidRPr="00786C36">
        <w:t>motor threshold</w:t>
      </w:r>
      <w:r w:rsidR="00862319" w:rsidRPr="00786C36">
        <w:t>.</w:t>
      </w:r>
    </w:p>
    <w:p w14:paraId="4DF09319" w14:textId="3A098337" w:rsidR="0056117D" w:rsidRDefault="0056117D" w:rsidP="001E1661"/>
    <w:p w14:paraId="19FBB4D1" w14:textId="0CBC76D5" w:rsidR="00FF7152" w:rsidRDefault="00FF7152" w:rsidP="001E1661">
      <w:r>
        <w:t>NOTE</w:t>
      </w:r>
      <w:r w:rsidR="001E1661">
        <w:t>:</w:t>
      </w:r>
      <w:r w:rsidR="00B70B8C">
        <w:t xml:space="preserve"> </w:t>
      </w:r>
      <w:r>
        <w:t xml:space="preserve">It may be necessary to perform additional testing using a previously determined stimulator power. For example, </w:t>
      </w:r>
      <w:r w:rsidR="00F531A1">
        <w:t>if comparisons between the amplitude of the MEP in different postural positions are performed</w:t>
      </w:r>
      <w:r w:rsidR="00B70B8C">
        <w:t>,</w:t>
      </w:r>
      <w:r w:rsidR="00F531A1">
        <w:t xml:space="preserve"> it may be necessary to use a similar absolute stimulator power</w:t>
      </w:r>
      <w:r>
        <w:t>. This will depend upon the research question at hand and should be identified during study design.</w:t>
      </w:r>
    </w:p>
    <w:p w14:paraId="0B30F103" w14:textId="63BB70AB" w:rsidR="00FF7152" w:rsidRDefault="00FF7152" w:rsidP="001E1661"/>
    <w:p w14:paraId="28DE39C6" w14:textId="4F8BF900" w:rsidR="00FF7152" w:rsidRPr="00235BA5" w:rsidRDefault="00845D2A" w:rsidP="001E1661">
      <w:pPr>
        <w:rPr>
          <w:b/>
          <w:bCs/>
        </w:rPr>
      </w:pPr>
      <w:r>
        <w:rPr>
          <w:b/>
          <w:bCs/>
        </w:rPr>
        <w:t>7</w:t>
      </w:r>
      <w:r w:rsidR="00DD69A9" w:rsidRPr="00235BA5">
        <w:rPr>
          <w:b/>
          <w:bCs/>
        </w:rPr>
        <w:t xml:space="preserve">. </w:t>
      </w:r>
      <w:r w:rsidR="00FF7152" w:rsidRPr="00235BA5">
        <w:rPr>
          <w:b/>
          <w:bCs/>
        </w:rPr>
        <w:t xml:space="preserve">Statistical </w:t>
      </w:r>
      <w:r w:rsidR="00B70B8C">
        <w:rPr>
          <w:b/>
          <w:bCs/>
        </w:rPr>
        <w:t>a</w:t>
      </w:r>
      <w:r w:rsidR="00FF7152" w:rsidRPr="00235BA5">
        <w:rPr>
          <w:b/>
          <w:bCs/>
        </w:rPr>
        <w:t>pproach</w:t>
      </w:r>
    </w:p>
    <w:p w14:paraId="7F4F41E5" w14:textId="77777777" w:rsidR="00235BA5" w:rsidRDefault="00235BA5" w:rsidP="001E1661"/>
    <w:p w14:paraId="0B0A07FA" w14:textId="47DC6684" w:rsidR="00235BA5" w:rsidRDefault="00845D2A" w:rsidP="001E1661">
      <w:r>
        <w:t>7</w:t>
      </w:r>
      <w:r w:rsidR="00DD69A9">
        <w:t xml:space="preserve">.1 </w:t>
      </w:r>
      <w:r w:rsidR="00FF7152">
        <w:t>T</w:t>
      </w:r>
      <w:r w:rsidR="00CC7EEC">
        <w:t xml:space="preserve">o test the hypothesis that standing would lead to an increased </w:t>
      </w:r>
      <w:r w:rsidR="001C5520">
        <w:t xml:space="preserve">probability </w:t>
      </w:r>
      <w:r w:rsidR="00CC7EEC">
        <w:t>of evoking measurable responses</w:t>
      </w:r>
      <w:r w:rsidR="00307581">
        <w:t xml:space="preserve"> construct a 2</w:t>
      </w:r>
      <w:r w:rsidR="00B70B8C">
        <w:t xml:space="preserve"> </w:t>
      </w:r>
      <w:r w:rsidR="00307581">
        <w:t>x</w:t>
      </w:r>
      <w:r w:rsidR="00B70B8C">
        <w:t xml:space="preserve"> </w:t>
      </w:r>
      <w:r w:rsidR="00307581">
        <w:t>2 table and test the proportions</w:t>
      </w:r>
      <w:r w:rsidR="00FF7152">
        <w:t xml:space="preserve"> us</w:t>
      </w:r>
      <w:r w:rsidR="00307581">
        <w:t>ing</w:t>
      </w:r>
      <w:r w:rsidR="00FF7152">
        <w:t xml:space="preserve"> </w:t>
      </w:r>
      <w:proofErr w:type="spellStart"/>
      <w:r w:rsidR="00FF7152">
        <w:t>McNemar’s</w:t>
      </w:r>
      <w:proofErr w:type="spellEnd"/>
      <w:r w:rsidR="00FF7152">
        <w:t xml:space="preserve"> Test</w:t>
      </w:r>
      <w:r w:rsidR="00DF6928">
        <w:rPr>
          <w:vertAlign w:val="superscript"/>
        </w:rPr>
        <w:t>21</w:t>
      </w:r>
      <w:r w:rsidR="00CC7EEC">
        <w:t>.</w:t>
      </w:r>
    </w:p>
    <w:p w14:paraId="03F4311A" w14:textId="77777777" w:rsidR="00235BA5" w:rsidRDefault="00235BA5" w:rsidP="001E1661"/>
    <w:p w14:paraId="6331A6E5" w14:textId="6D55B6E8" w:rsidR="0056117D" w:rsidRDefault="00845D2A" w:rsidP="001E1661">
      <w:r>
        <w:t>7</w:t>
      </w:r>
      <w:r w:rsidR="00235BA5">
        <w:t xml:space="preserve">.2. </w:t>
      </w:r>
      <w:r w:rsidR="00CC7EEC">
        <w:t xml:space="preserve">To compare the power levels of the motor </w:t>
      </w:r>
      <w:r w:rsidR="002A34AE">
        <w:t>thresholds,</w:t>
      </w:r>
      <w:r w:rsidR="00CC7EEC">
        <w:t xml:space="preserve"> </w:t>
      </w:r>
      <w:r w:rsidR="00FF7152">
        <w:t>use</w:t>
      </w:r>
      <w:r w:rsidR="00CC7EEC">
        <w:t xml:space="preserve"> a paired </w:t>
      </w:r>
      <w:r w:rsidR="00CC7EEC" w:rsidRPr="00006D07">
        <w:rPr>
          <w:i/>
          <w:iCs/>
        </w:rPr>
        <w:t>t</w:t>
      </w:r>
      <w:r w:rsidR="00CC7EEC">
        <w:t xml:space="preserve">-test on </w:t>
      </w:r>
      <w:r w:rsidR="00B70B8C">
        <w:t xml:space="preserve">the </w:t>
      </w:r>
      <w:r w:rsidR="00CC7EEC">
        <w:t xml:space="preserve">participants who had measurable responses </w:t>
      </w:r>
      <w:r w:rsidR="00C043E0">
        <w:t xml:space="preserve">in </w:t>
      </w:r>
      <w:r w:rsidR="00CC7EEC">
        <w:t xml:space="preserve">both positions. </w:t>
      </w:r>
      <w:r w:rsidR="00FF7152">
        <w:t>Determine s</w:t>
      </w:r>
      <w:r w:rsidR="00CC7EEC">
        <w:t xml:space="preserve">ignificance </w:t>
      </w:r>
      <w:r w:rsidR="00C043E0">
        <w:t xml:space="preserve">with an </w:t>
      </w:r>
      <w:r w:rsidR="00CC7EEC">
        <w:t>alpha = 0.05.</w:t>
      </w:r>
    </w:p>
    <w:bookmarkEnd w:id="1"/>
    <w:p w14:paraId="08036A8B" w14:textId="69E4EB65" w:rsidR="00547719" w:rsidRDefault="00547719"/>
    <w:p w14:paraId="08AF3300" w14:textId="291A6DE9" w:rsidR="006E4797" w:rsidRDefault="00551D82">
      <w:pPr>
        <w:pBdr>
          <w:top w:val="nil"/>
          <w:left w:val="nil"/>
          <w:bottom w:val="nil"/>
          <w:right w:val="nil"/>
          <w:between w:val="nil"/>
        </w:pBdr>
        <w:rPr>
          <w:color w:val="808080"/>
        </w:rPr>
      </w:pPr>
      <w:r>
        <w:rPr>
          <w:b/>
          <w:color w:val="000000"/>
        </w:rPr>
        <w:t>REPRESENTATIVE RESULTS:</w:t>
      </w:r>
    </w:p>
    <w:p w14:paraId="6B730F43" w14:textId="2392CB4E" w:rsidR="001A0ADE" w:rsidRDefault="006D3966" w:rsidP="00FA3DA0">
      <w:r>
        <w:t xml:space="preserve">One participant was removed from </w:t>
      </w:r>
      <w:r w:rsidR="00B70B8C">
        <w:t xml:space="preserve">the </w:t>
      </w:r>
      <w:r>
        <w:t xml:space="preserve">analysis due to the inability to tolerate the standing TMS procedure due to </w:t>
      </w:r>
      <w:r w:rsidR="006A122E">
        <w:t xml:space="preserve">preexisting </w:t>
      </w:r>
      <w:r>
        <w:t xml:space="preserve">knee pain and </w:t>
      </w:r>
      <w:r w:rsidR="008D3170">
        <w:t xml:space="preserve">a </w:t>
      </w:r>
      <w:r>
        <w:t xml:space="preserve">diabetic </w:t>
      </w:r>
      <w:r w:rsidR="00543164">
        <w:t xml:space="preserve">wound received </w:t>
      </w:r>
      <w:r w:rsidR="001C5520">
        <w:t>before</w:t>
      </w:r>
      <w:r w:rsidR="00543164">
        <w:t xml:space="preserve"> </w:t>
      </w:r>
      <w:r w:rsidR="001C5520">
        <w:t xml:space="preserve">their </w:t>
      </w:r>
      <w:r w:rsidR="00862319">
        <w:t xml:space="preserve">arrival </w:t>
      </w:r>
      <w:r w:rsidR="001C5520">
        <w:t>to</w:t>
      </w:r>
      <w:r w:rsidR="00862319">
        <w:t xml:space="preserve"> the research laboratory,</w:t>
      </w:r>
      <w:r>
        <w:t xml:space="preserve"> leaving a final sample size of 15. </w:t>
      </w:r>
      <w:r w:rsidR="009F7C07">
        <w:t>The diabetic wound was directly over the TA</w:t>
      </w:r>
      <w:r w:rsidR="00862319">
        <w:t xml:space="preserve"> and precluded any sEMG measures of this muscle</w:t>
      </w:r>
      <w:r w:rsidR="009F7C07">
        <w:t xml:space="preserve">. </w:t>
      </w:r>
      <w:r w:rsidR="003A7158">
        <w:t>There were no major adverse events reported to the investigators during either the sitting or standing TMS procedures. Several minor adverse events were reported, such as neck muscle pain and slight headaches</w:t>
      </w:r>
      <w:r w:rsidR="00862319">
        <w:t>. However, these minor events were reported at the end of the testing session</w:t>
      </w:r>
      <w:r w:rsidR="00006D07">
        <w:t>,</w:t>
      </w:r>
      <w:r w:rsidR="00862319">
        <w:t xml:space="preserve"> and it was not clear </w:t>
      </w:r>
      <w:r w:rsidR="00721DA8">
        <w:t>whether</w:t>
      </w:r>
      <w:r w:rsidR="00862319">
        <w:t xml:space="preserve"> the sitting or standing procedures </w:t>
      </w:r>
      <w:r w:rsidR="001A0ADE">
        <w:t>were more responsible for these side-effects.</w:t>
      </w:r>
      <w:r w:rsidR="003A7158">
        <w:t xml:space="preserve"> These minor adverse events are common</w:t>
      </w:r>
      <w:r w:rsidR="001C5520">
        <w:t>ly seen after TMS evaluations and</w:t>
      </w:r>
      <w:r w:rsidR="003A7158">
        <w:t xml:space="preserve"> within the TMS </w:t>
      </w:r>
      <w:r w:rsidR="00111A4D">
        <w:t>literature</w:t>
      </w:r>
      <w:r w:rsidR="00111A4D">
        <w:rPr>
          <w:vertAlign w:val="superscript"/>
        </w:rPr>
        <w:t>22</w:t>
      </w:r>
      <w:r w:rsidR="003A7158">
        <w:t>.</w:t>
      </w:r>
    </w:p>
    <w:p w14:paraId="5CAB6328" w14:textId="77777777" w:rsidR="001A0ADE" w:rsidRDefault="001A0ADE" w:rsidP="00FA3DA0"/>
    <w:p w14:paraId="11C3906D" w14:textId="625D733F" w:rsidR="00DD69A9" w:rsidRDefault="00BA0E15">
      <w:r>
        <w:t xml:space="preserve">Total loading/unloading of body weight during TMS pulse application was +0.4% (SD 1.8%) of body weight. This signifies </w:t>
      </w:r>
      <w:r w:rsidR="00FE719F">
        <w:t xml:space="preserve">that the </w:t>
      </w:r>
      <w:r>
        <w:t>participants did not unload body weight from their legs to their arms when using the rollator as a means to support them</w:t>
      </w:r>
      <w:r w:rsidR="001C5520">
        <w:t>selves</w:t>
      </w:r>
      <w:r>
        <w:t xml:space="preserve"> during the TMS procedures.</w:t>
      </w:r>
      <w:r w:rsidR="007B2705">
        <w:t xml:space="preserve"> The average weight distribution of the participants’ left leg was 50% (SD 6%)</w:t>
      </w:r>
      <w:r w:rsidR="001A3474">
        <w:t>.</w:t>
      </w:r>
      <w:r>
        <w:t xml:space="preserve"> </w:t>
      </w:r>
      <w:r w:rsidR="00C043E0">
        <w:t>We attempted to measure m</w:t>
      </w:r>
      <w:r w:rsidR="00FE010D">
        <w:t xml:space="preserve">otor thresholds in four separate muscles (paretic and non-paretic, </w:t>
      </w:r>
      <w:proofErr w:type="gramStart"/>
      <w:r w:rsidR="00543164">
        <w:t>TA</w:t>
      </w:r>
      <w:proofErr w:type="gramEnd"/>
      <w:r w:rsidR="00FE010D">
        <w:t xml:space="preserve"> and </w:t>
      </w:r>
      <w:r w:rsidR="00543164">
        <w:t>SOL</w:t>
      </w:r>
      <w:r w:rsidR="00FE010D">
        <w:t>)</w:t>
      </w:r>
      <w:r w:rsidR="00C043E0">
        <w:t>, leading to a total of 60</w:t>
      </w:r>
      <w:r w:rsidR="00FE010D">
        <w:t xml:space="preserve"> motor thresholds in</w:t>
      </w:r>
      <w:r w:rsidR="00CC7EEC">
        <w:t xml:space="preserve"> both </w:t>
      </w:r>
      <w:r w:rsidR="00FE010D">
        <w:t>the standing and sitting position</w:t>
      </w:r>
      <w:r w:rsidR="001C5520">
        <w:t>s</w:t>
      </w:r>
      <w:r w:rsidR="00FE010D">
        <w:t>.</w:t>
      </w:r>
      <w:r w:rsidR="00DD69A9">
        <w:t xml:space="preserve"> </w:t>
      </w:r>
      <w:r w:rsidR="00E3628F">
        <w:t>In the standing position</w:t>
      </w:r>
      <w:r w:rsidR="001C5520">
        <w:t>,</w:t>
      </w:r>
      <w:r w:rsidR="00E3628F">
        <w:t xml:space="preserve"> we were able to </w:t>
      </w:r>
      <w:r w:rsidR="00887A2F">
        <w:t xml:space="preserve">elicit and </w:t>
      </w:r>
      <w:r w:rsidR="00E3628F">
        <w:t xml:space="preserve">measure a motor threshold </w:t>
      </w:r>
      <w:r w:rsidR="00E55EEB">
        <w:t>90</w:t>
      </w:r>
      <w:r w:rsidR="00FE010D">
        <w:t>.0%</w:t>
      </w:r>
      <w:r w:rsidR="00E3628F">
        <w:t xml:space="preserve"> of the time compared to </w:t>
      </w:r>
      <w:r w:rsidR="00E3628F" w:rsidRPr="00FE010D">
        <w:lastRenderedPageBreak/>
        <w:t>65.0%</w:t>
      </w:r>
      <w:r w:rsidR="00E3628F">
        <w:t xml:space="preserve"> in the sitting position. </w:t>
      </w:r>
      <w:r w:rsidR="00FE010D">
        <w:t xml:space="preserve">Within a single session, it was more likely that </w:t>
      </w:r>
      <w:r w:rsidR="001C5520">
        <w:t>assessing the motor threshold in</w:t>
      </w:r>
      <w:r w:rsidR="00FE010D">
        <w:t xml:space="preserve"> the standing position would result in a measurable response (McNemar Chi</w:t>
      </w:r>
      <w:r w:rsidR="00FE010D">
        <w:rPr>
          <w:vertAlign w:val="superscript"/>
        </w:rPr>
        <w:t>2</w:t>
      </w:r>
      <w:r w:rsidR="00FE010D">
        <w:t xml:space="preserve">, Yates correction, χ = 8.48, </w:t>
      </w:r>
      <w:r w:rsidR="00FE010D">
        <w:rPr>
          <w:i/>
          <w:iCs/>
        </w:rPr>
        <w:t>P</w:t>
      </w:r>
      <w:r w:rsidR="00FE010D">
        <w:t xml:space="preserve"> = 0.004)</w:t>
      </w:r>
      <w:r w:rsidR="00EB728C">
        <w:t xml:space="preserve"> (</w:t>
      </w:r>
      <w:r w:rsidR="00EB728C" w:rsidRPr="00006D07">
        <w:rPr>
          <w:b/>
          <w:bCs/>
        </w:rPr>
        <w:t>Table 2</w:t>
      </w:r>
      <w:r w:rsidR="00EB728C">
        <w:t>)</w:t>
      </w:r>
      <w:r w:rsidR="001C5520">
        <w:t>. This agrees</w:t>
      </w:r>
      <w:r w:rsidR="00BA0BAC">
        <w:t xml:space="preserve"> with our first hypothesis that </w:t>
      </w:r>
      <w:r w:rsidR="001C5520">
        <w:t xml:space="preserve">the standing position would result in an increased </w:t>
      </w:r>
      <w:r w:rsidR="00BA0BAC">
        <w:t>likelihood of evoking measurable responses</w:t>
      </w:r>
      <w:r w:rsidR="00FE010D">
        <w:t>.</w:t>
      </w:r>
      <w:r w:rsidR="00FA3DA0">
        <w:t xml:space="preserve"> </w:t>
      </w:r>
      <w:r w:rsidR="001C5520">
        <w:t>O</w:t>
      </w:r>
      <w:r w:rsidR="00BA0BAC">
        <w:t xml:space="preserve">ur second hypothesis </w:t>
      </w:r>
      <w:r w:rsidR="001C5520">
        <w:t xml:space="preserve">was </w:t>
      </w:r>
      <w:r w:rsidR="00BA0BAC">
        <w:t>that standing would result in motor thresholds requiring lower stimulator power</w:t>
      </w:r>
      <w:r w:rsidR="001C5520">
        <w:t>. Our results show that when</w:t>
      </w:r>
      <w:r w:rsidR="00FA3DA0">
        <w:t xml:space="preserve"> </w:t>
      </w:r>
      <w:bookmarkStart w:id="2" w:name="_Hlk74141485"/>
      <w:r w:rsidR="00FA3DA0">
        <w:t xml:space="preserve">individuals presented with measurable motor thresholds in </w:t>
      </w:r>
      <w:r w:rsidR="00C043E0">
        <w:t xml:space="preserve">the </w:t>
      </w:r>
      <w:r w:rsidR="00FA3DA0">
        <w:t>sitting and standing</w:t>
      </w:r>
      <w:r w:rsidR="00C043E0">
        <w:t xml:space="preserve"> position</w:t>
      </w:r>
      <w:r w:rsidR="001C5520">
        <w:t>s</w:t>
      </w:r>
      <w:r w:rsidR="00FE719F">
        <w:t>,</w:t>
      </w:r>
      <w:r w:rsidR="001C5520">
        <w:t xml:space="preserve"> the</w:t>
      </w:r>
      <w:r w:rsidR="00BA0BAC">
        <w:t xml:space="preserve"> measured thresholds</w:t>
      </w:r>
      <w:r w:rsidR="00C043E0">
        <w:t xml:space="preserve"> in the standing </w:t>
      </w:r>
      <w:r w:rsidR="001A0ADE">
        <w:t>position</w:t>
      </w:r>
      <w:r w:rsidR="00FA3DA0">
        <w:t xml:space="preserve"> </w:t>
      </w:r>
      <w:r w:rsidR="001C5520">
        <w:t xml:space="preserve">were lower </w:t>
      </w:r>
      <w:r w:rsidR="00FA3DA0">
        <w:t>(N</w:t>
      </w:r>
      <w:r w:rsidR="00FE719F">
        <w:t xml:space="preserve"> </w:t>
      </w:r>
      <w:r w:rsidR="00FA3DA0">
        <w:t>=</w:t>
      </w:r>
      <w:r w:rsidR="00FE719F">
        <w:t xml:space="preserve"> </w:t>
      </w:r>
      <w:r w:rsidR="00FA3DA0">
        <w:t>38, Standing MT 45%</w:t>
      </w:r>
      <w:r w:rsidR="00FE719F">
        <w:t xml:space="preserve"> </w:t>
      </w:r>
      <w:r w:rsidR="00FA3DA0">
        <w:t>MSO SD 9, Sitting MT 53%</w:t>
      </w:r>
      <w:r w:rsidR="00FE719F">
        <w:t xml:space="preserve"> </w:t>
      </w:r>
      <w:r w:rsidR="00FA3DA0">
        <w:t xml:space="preserve">MSO SD 11, Paired </w:t>
      </w:r>
      <w:r w:rsidR="00FE719F" w:rsidRPr="00006D07">
        <w:rPr>
          <w:i/>
          <w:iCs/>
        </w:rPr>
        <w:t>t</w:t>
      </w:r>
      <w:r w:rsidR="00FA3DA0">
        <w:t xml:space="preserve">-statistic 4.99, </w:t>
      </w:r>
      <w:r w:rsidR="00FA3DA0">
        <w:rPr>
          <w:i/>
          <w:iCs/>
        </w:rPr>
        <w:t>P</w:t>
      </w:r>
      <w:r w:rsidR="00FA3DA0">
        <w:t xml:space="preserve"> &lt; 0.001).</w:t>
      </w:r>
      <w:r w:rsidR="00FA3DA0">
        <w:rPr>
          <w:i/>
          <w:iCs/>
        </w:rPr>
        <w:t xml:space="preserve"> </w:t>
      </w:r>
      <w:bookmarkEnd w:id="2"/>
      <w:r w:rsidR="00FA3DA0" w:rsidRPr="00235BA5">
        <w:rPr>
          <w:b/>
          <w:bCs/>
        </w:rPr>
        <w:t>Figure 3</w:t>
      </w:r>
      <w:r w:rsidR="00FA3DA0">
        <w:t xml:space="preserve"> displays the </w:t>
      </w:r>
      <w:r w:rsidR="00ED420E">
        <w:t xml:space="preserve">measured motor thresholds </w:t>
      </w:r>
      <w:r w:rsidR="001A0ADE">
        <w:t xml:space="preserve">for </w:t>
      </w:r>
      <w:r w:rsidR="00ED420E">
        <w:t>each muscle and condition</w:t>
      </w:r>
      <w:r w:rsidR="001A0ADE">
        <w:t xml:space="preserve"> for all participants</w:t>
      </w:r>
      <w:r w:rsidR="00ED420E">
        <w:t>.</w:t>
      </w:r>
    </w:p>
    <w:p w14:paraId="603DAECD" w14:textId="77777777" w:rsidR="00786C36" w:rsidRDefault="00786C36" w:rsidP="00006D07"/>
    <w:p w14:paraId="0A486322" w14:textId="46770D15" w:rsidR="00E3628F" w:rsidRPr="002E0A57" w:rsidRDefault="00ED420E" w:rsidP="00006D07">
      <w:r>
        <w:t>[</w:t>
      </w:r>
      <w:r w:rsidR="00D91E47">
        <w:t xml:space="preserve">Place </w:t>
      </w:r>
      <w:r w:rsidR="00AE05F8">
        <w:rPr>
          <w:b/>
          <w:bCs/>
        </w:rPr>
        <w:t xml:space="preserve">Table 2 </w:t>
      </w:r>
      <w:r w:rsidR="00AE05F8">
        <w:t xml:space="preserve">and </w:t>
      </w:r>
      <w:r w:rsidRPr="00D91E47">
        <w:rPr>
          <w:b/>
          <w:bCs/>
        </w:rPr>
        <w:t>Figure 3</w:t>
      </w:r>
      <w:r w:rsidR="00D91E47">
        <w:t xml:space="preserve"> here</w:t>
      </w:r>
      <w:r>
        <w:t>]</w:t>
      </w:r>
    </w:p>
    <w:p w14:paraId="079B5679" w14:textId="77777777" w:rsidR="006E4797" w:rsidRDefault="006E4797">
      <w:pPr>
        <w:rPr>
          <w:color w:val="808080"/>
        </w:rPr>
      </w:pPr>
    </w:p>
    <w:p w14:paraId="6D510784" w14:textId="454178A5" w:rsidR="006E4797" w:rsidRDefault="00551D82">
      <w:pPr>
        <w:rPr>
          <w:color w:val="808080"/>
        </w:rPr>
      </w:pPr>
      <w:r>
        <w:rPr>
          <w:b/>
        </w:rPr>
        <w:t>FIGURE AND TABLE LEGENDS:</w:t>
      </w:r>
    </w:p>
    <w:p w14:paraId="733F2F0F" w14:textId="70317B31" w:rsidR="00CA54E6" w:rsidRDefault="00CA54E6" w:rsidP="005B4EE2">
      <w:r>
        <w:rPr>
          <w:b/>
          <w:bCs/>
        </w:rPr>
        <w:t>Table 1:</w:t>
      </w:r>
      <w:r>
        <w:t xml:space="preserve"> </w:t>
      </w:r>
      <w:r w:rsidRPr="00006D07">
        <w:rPr>
          <w:b/>
          <w:bCs/>
        </w:rPr>
        <w:t>Participant demographics</w:t>
      </w:r>
      <w:r w:rsidR="00135B4F">
        <w:t>.</w:t>
      </w:r>
    </w:p>
    <w:p w14:paraId="2EE67532" w14:textId="5A2ADC13" w:rsidR="00E55EEB" w:rsidRPr="00006D07" w:rsidRDefault="00E55EEB" w:rsidP="005B4EE2">
      <w:pPr>
        <w:rPr>
          <w:b/>
          <w:bCs/>
        </w:rPr>
      </w:pPr>
    </w:p>
    <w:p w14:paraId="3949B33C" w14:textId="2181D7DE" w:rsidR="00E55EEB" w:rsidRPr="00E55EEB" w:rsidRDefault="00E55EEB" w:rsidP="005B4EE2">
      <w:r w:rsidRPr="00006D07">
        <w:rPr>
          <w:b/>
          <w:bCs/>
        </w:rPr>
        <w:t>Table 2: The constructed 2</w:t>
      </w:r>
      <w:r w:rsidR="00FE719F" w:rsidRPr="00006D07">
        <w:rPr>
          <w:b/>
          <w:bCs/>
        </w:rPr>
        <w:t xml:space="preserve"> </w:t>
      </w:r>
      <w:r w:rsidRPr="00006D07">
        <w:rPr>
          <w:b/>
          <w:bCs/>
        </w:rPr>
        <w:t>x</w:t>
      </w:r>
      <w:r w:rsidR="00FE719F" w:rsidRPr="00006D07">
        <w:rPr>
          <w:b/>
          <w:bCs/>
        </w:rPr>
        <w:t xml:space="preserve"> </w:t>
      </w:r>
      <w:r w:rsidRPr="00006D07">
        <w:rPr>
          <w:b/>
          <w:bCs/>
        </w:rPr>
        <w:t xml:space="preserve">2 table shows the reported ability to successfully produce a response to TMS and </w:t>
      </w:r>
      <w:r w:rsidR="001C5520" w:rsidRPr="00006D07">
        <w:rPr>
          <w:b/>
          <w:bCs/>
        </w:rPr>
        <w:t xml:space="preserve">the </w:t>
      </w:r>
      <w:r w:rsidRPr="00006D07">
        <w:rPr>
          <w:b/>
          <w:bCs/>
        </w:rPr>
        <w:t>ability to measure a motor threshold in the sitting and standing conditions</w:t>
      </w:r>
      <w:r>
        <w:t xml:space="preserve">. The </w:t>
      </w:r>
      <w:proofErr w:type="spellStart"/>
      <w:r>
        <w:t>McNemar’s</w:t>
      </w:r>
      <w:proofErr w:type="spellEnd"/>
      <w:r>
        <w:t xml:space="preserve"> </w:t>
      </w:r>
      <w:r w:rsidR="001C5520">
        <w:t xml:space="preserve">test </w:t>
      </w:r>
      <w:r>
        <w:t>was used to compare the probability of eliciting a measurable response and it was found that the standing assessments were significantly more likely to evoke a measurable response compared to performing evaluations in a sitting position.</w:t>
      </w:r>
    </w:p>
    <w:p w14:paraId="671EF96A" w14:textId="77777777" w:rsidR="00CA54E6" w:rsidRDefault="00CA54E6" w:rsidP="005B4EE2">
      <w:pPr>
        <w:rPr>
          <w:b/>
          <w:bCs/>
        </w:rPr>
      </w:pPr>
    </w:p>
    <w:p w14:paraId="0898EAD9" w14:textId="7903AC5C" w:rsidR="005B4EE2" w:rsidRDefault="005B4EE2" w:rsidP="005B4EE2">
      <w:r w:rsidRPr="005B4EE2">
        <w:rPr>
          <w:b/>
          <w:bCs/>
        </w:rPr>
        <w:t>Figure 1:</w:t>
      </w:r>
      <w:r>
        <w:t xml:space="preserve"> </w:t>
      </w:r>
      <w:r w:rsidRPr="00006D07">
        <w:rPr>
          <w:b/>
          <w:bCs/>
        </w:rPr>
        <w:t>Representative image of</w:t>
      </w:r>
      <w:r w:rsidR="008D3170" w:rsidRPr="00006D07">
        <w:rPr>
          <w:b/>
          <w:bCs/>
        </w:rPr>
        <w:t xml:space="preserve"> the </w:t>
      </w:r>
      <w:r w:rsidRPr="00006D07">
        <w:rPr>
          <w:b/>
          <w:bCs/>
        </w:rPr>
        <w:t>visual feedback provided to participants during the standing TMS assessment.</w:t>
      </w:r>
      <w:r>
        <w:t xml:space="preserve"> </w:t>
      </w:r>
      <w:r w:rsidR="00006D07">
        <w:t>(</w:t>
      </w:r>
      <w:r w:rsidRPr="00006D07">
        <w:rPr>
          <w:b/>
          <w:bCs/>
        </w:rPr>
        <w:t>A</w:t>
      </w:r>
      <w:r w:rsidR="00006D07">
        <w:t>)</w:t>
      </w:r>
      <w:r>
        <w:t xml:space="preserve"> displays the visual feedback given to participants while they were standing with</w:t>
      </w:r>
      <w:r w:rsidR="00032995">
        <w:t xml:space="preserve"> their weight</w:t>
      </w:r>
      <w:r>
        <w:t xml:space="preserve"> equal</w:t>
      </w:r>
      <w:r w:rsidR="00032995">
        <w:t xml:space="preserve">ly </w:t>
      </w:r>
      <w:r>
        <w:t>distribut</w:t>
      </w:r>
      <w:r w:rsidR="00032995">
        <w:t>ed</w:t>
      </w:r>
      <w:r>
        <w:t xml:space="preserve"> between the paretic and non-paretic </w:t>
      </w:r>
      <w:r w:rsidR="00032995">
        <w:t>legs</w:t>
      </w:r>
      <w:r>
        <w:t>. The vertical bars represen</w:t>
      </w:r>
      <w:r w:rsidR="00B005B2">
        <w:t xml:space="preserve">t the amount of force measured by each of the </w:t>
      </w:r>
      <w:r w:rsidR="001C5520">
        <w:t>areas of the force plate</w:t>
      </w:r>
      <w:r w:rsidR="00B005B2">
        <w:t xml:space="preserve">. The </w:t>
      </w:r>
      <w:r w:rsidR="00032995">
        <w:t>solid</w:t>
      </w:r>
      <w:r w:rsidR="00B005B2">
        <w:t xml:space="preserve"> horizontal lines represent the range of vertical force measured to ensure loading of body weight on the lower extremities and not through the arms if participants needed to steady themselves with the provided hand support. If </w:t>
      </w:r>
      <w:r w:rsidR="001C5520">
        <w:t xml:space="preserve">the participant’s </w:t>
      </w:r>
      <w:r w:rsidR="00B005B2">
        <w:t>body</w:t>
      </w:r>
      <w:r w:rsidR="001C5520">
        <w:t xml:space="preserve"> </w:t>
      </w:r>
      <w:r w:rsidR="00B005B2">
        <w:t>weight was shifted to one side more than 5%</w:t>
      </w:r>
      <w:r w:rsidR="00AD2FD2">
        <w:t>,</w:t>
      </w:r>
      <w:r w:rsidR="00B005B2">
        <w:t xml:space="preserve"> the vertical bars changed colors to inform the participant to lean toward the side that was unloaded, as </w:t>
      </w:r>
      <w:r w:rsidR="00AD2FD2">
        <w:t xml:space="preserve">shown </w:t>
      </w:r>
      <w:r w:rsidR="00B005B2">
        <w:t xml:space="preserve">in </w:t>
      </w:r>
      <w:r w:rsidR="00006D07">
        <w:t>(</w:t>
      </w:r>
      <w:r w:rsidR="00B005B2" w:rsidRPr="00006D07">
        <w:rPr>
          <w:b/>
          <w:bCs/>
        </w:rPr>
        <w:t>B</w:t>
      </w:r>
      <w:r w:rsidR="00006D07">
        <w:t>)</w:t>
      </w:r>
      <w:r w:rsidR="00B005B2">
        <w:t xml:space="preserve">. If the participant </w:t>
      </w:r>
      <w:r w:rsidR="00960239">
        <w:t>loaded/</w:t>
      </w:r>
      <w:r w:rsidR="00B005B2">
        <w:t xml:space="preserve">unloaded more than </w:t>
      </w:r>
      <w:r w:rsidR="00960239">
        <w:t>+/- 5</w:t>
      </w:r>
      <w:r w:rsidR="00B005B2">
        <w:t>% of their body</w:t>
      </w:r>
      <w:r w:rsidR="001C5520">
        <w:t xml:space="preserve"> </w:t>
      </w:r>
      <w:r w:rsidR="00B005B2">
        <w:t>weight off their legs</w:t>
      </w:r>
      <w:r w:rsidR="001C5520">
        <w:t>,</w:t>
      </w:r>
      <w:r w:rsidR="00B005B2">
        <w:t xml:space="preserve"> the background screen color would change as shown in </w:t>
      </w:r>
      <w:r w:rsidR="00006D07">
        <w:t>(</w:t>
      </w:r>
      <w:r w:rsidR="00B005B2" w:rsidRPr="00006D07">
        <w:rPr>
          <w:b/>
          <w:bCs/>
        </w:rPr>
        <w:t>C</w:t>
      </w:r>
      <w:r w:rsidR="00006D07">
        <w:t>)</w:t>
      </w:r>
      <w:r w:rsidR="00B005B2">
        <w:t>.</w:t>
      </w:r>
    </w:p>
    <w:p w14:paraId="4AFECCD3" w14:textId="2C04A8E0" w:rsidR="00B005B2" w:rsidRDefault="00B005B2" w:rsidP="005B4EE2"/>
    <w:p w14:paraId="49CF5445" w14:textId="43CCF001" w:rsidR="00B005B2" w:rsidRPr="00887A2F" w:rsidRDefault="00B005B2" w:rsidP="005B4EE2">
      <w:r w:rsidRPr="00B005B2">
        <w:rPr>
          <w:b/>
          <w:bCs/>
        </w:rPr>
        <w:t>Figure 2:</w:t>
      </w:r>
      <w:r>
        <w:t xml:space="preserve"> </w:t>
      </w:r>
      <w:r w:rsidRPr="00006D07">
        <w:rPr>
          <w:b/>
          <w:bCs/>
        </w:rPr>
        <w:t xml:space="preserve">Image taken during the </w:t>
      </w:r>
      <w:r w:rsidR="00032995" w:rsidRPr="00006D07">
        <w:rPr>
          <w:b/>
          <w:bCs/>
        </w:rPr>
        <w:t>measurement</w:t>
      </w:r>
      <w:r w:rsidRPr="00006D07">
        <w:rPr>
          <w:b/>
          <w:bCs/>
        </w:rPr>
        <w:t xml:space="preserve"> of the corticomotor response</w:t>
      </w:r>
      <w:r w:rsidR="001E7453" w:rsidRPr="00006D07">
        <w:rPr>
          <w:b/>
          <w:bCs/>
        </w:rPr>
        <w:t xml:space="preserve"> (CMR)</w:t>
      </w:r>
      <w:r w:rsidRPr="00006D07">
        <w:rPr>
          <w:b/>
          <w:bCs/>
        </w:rPr>
        <w:t xml:space="preserve"> in the standing position.</w:t>
      </w:r>
      <w:r>
        <w:t xml:space="preserve"> </w:t>
      </w:r>
      <w:r w:rsidR="001C5520">
        <w:t xml:space="preserve">The image guidance system </w:t>
      </w:r>
      <w:r>
        <w:t xml:space="preserve">and the collected sEMG activity are displayed to research personnel during data collection as </w:t>
      </w:r>
      <w:r w:rsidR="00653A65">
        <w:t xml:space="preserve">shown </w:t>
      </w:r>
      <w:r>
        <w:t xml:space="preserve">on the monitors located on the left side of the image. Visual feedback of the weight distribution </w:t>
      </w:r>
      <w:r w:rsidR="00D71AD0">
        <w:t>was</w:t>
      </w:r>
      <w:r>
        <w:t xml:space="preserve"> provided in front and slightly to the right of </w:t>
      </w:r>
      <w:r w:rsidR="00BD726F">
        <w:t xml:space="preserve">the </w:t>
      </w:r>
      <w:r>
        <w:t>participants. Participants wore a safety harness which was attached to the ceiling to prevent falls while standing on the dual</w:t>
      </w:r>
      <w:r w:rsidR="00032995">
        <w:t>-top</w:t>
      </w:r>
      <w:r>
        <w:t xml:space="preserve"> force plate. Support for the participants</w:t>
      </w:r>
      <w:r w:rsidR="00BD726F">
        <w:t>’</w:t>
      </w:r>
      <w:r>
        <w:t xml:space="preserve"> arms was provided to help participants steady themselves after</w:t>
      </w:r>
      <w:r w:rsidR="00D71AD0">
        <w:t xml:space="preserve"> TMS pulses were applied.</w:t>
      </w:r>
    </w:p>
    <w:p w14:paraId="32EAFD7D" w14:textId="2B371A0C" w:rsidR="006E4797" w:rsidRDefault="006E4797">
      <w:pPr>
        <w:rPr>
          <w:color w:val="808080"/>
        </w:rPr>
      </w:pPr>
    </w:p>
    <w:p w14:paraId="7BEF0760" w14:textId="0358E9F8" w:rsidR="00ED420E" w:rsidRPr="002A34AE" w:rsidRDefault="00ED420E">
      <w:r w:rsidRPr="002A34AE">
        <w:rPr>
          <w:b/>
          <w:bCs/>
        </w:rPr>
        <w:t xml:space="preserve">Figure 3: </w:t>
      </w:r>
      <w:r w:rsidRPr="00006D07">
        <w:rPr>
          <w:b/>
          <w:bCs/>
        </w:rPr>
        <w:t xml:space="preserve">Measured motor thresholds </w:t>
      </w:r>
      <w:r w:rsidR="005F0B12" w:rsidRPr="00006D07">
        <w:rPr>
          <w:b/>
          <w:bCs/>
        </w:rPr>
        <w:t>in the muscles of interest</w:t>
      </w:r>
      <w:r w:rsidRPr="00006D07">
        <w:rPr>
          <w:b/>
          <w:bCs/>
        </w:rPr>
        <w:t>.</w:t>
      </w:r>
      <w:r w:rsidR="005F0B12" w:rsidRPr="002A34AE">
        <w:t xml:space="preserve"> Lines connecting the left and right </w:t>
      </w:r>
      <w:r w:rsidR="001C5520">
        <w:t>values</w:t>
      </w:r>
      <w:r w:rsidR="001C5520" w:rsidRPr="002A34AE">
        <w:t xml:space="preserve"> </w:t>
      </w:r>
      <w:r w:rsidR="005F0B12" w:rsidRPr="002A34AE">
        <w:t xml:space="preserve">indicate the individual had measurable motor thresholds </w:t>
      </w:r>
      <w:r w:rsidR="001420BD" w:rsidRPr="002A34AE">
        <w:t xml:space="preserve">for that muscle in both </w:t>
      </w:r>
      <w:r w:rsidR="001C5520">
        <w:t xml:space="preserve">the </w:t>
      </w:r>
      <w:r w:rsidR="001420BD" w:rsidRPr="002A34AE">
        <w:t>sitting and standing</w:t>
      </w:r>
      <w:r w:rsidR="001C5520">
        <w:t xml:space="preserve"> position</w:t>
      </w:r>
      <w:r w:rsidR="00BD726F">
        <w:t>s</w:t>
      </w:r>
      <w:r w:rsidR="001420BD" w:rsidRPr="002A34AE">
        <w:t xml:space="preserve">. Motor thresholds are measured and reported as a percentage of </w:t>
      </w:r>
      <w:r w:rsidR="001420BD" w:rsidRPr="002A34AE">
        <w:lastRenderedPageBreak/>
        <w:t>maximal stimulator output (%MSO).</w:t>
      </w:r>
      <w:r w:rsidR="00006D07">
        <w:t xml:space="preserve"> (</w:t>
      </w:r>
      <w:r w:rsidR="001A0ADE" w:rsidRPr="00006D07">
        <w:rPr>
          <w:b/>
          <w:bCs/>
        </w:rPr>
        <w:t>A</w:t>
      </w:r>
      <w:r w:rsidR="00006D07">
        <w:rPr>
          <w:b/>
          <w:bCs/>
        </w:rPr>
        <w:t>,</w:t>
      </w:r>
      <w:r w:rsidR="001A0ADE" w:rsidRPr="00006D07">
        <w:rPr>
          <w:b/>
          <w:bCs/>
        </w:rPr>
        <w:t>B</w:t>
      </w:r>
      <w:r w:rsidR="00006D07" w:rsidRPr="00006D07">
        <w:t>)</w:t>
      </w:r>
      <w:r w:rsidR="001A0ADE" w:rsidRPr="002A34AE">
        <w:t xml:space="preserve"> show motor thresholds measured in the paretic and non-paretic tibialis anterior muscles</w:t>
      </w:r>
      <w:r w:rsidR="00BD726F">
        <w:t>,</w:t>
      </w:r>
      <w:r w:rsidR="001A0ADE" w:rsidRPr="002A34AE">
        <w:t xml:space="preserve"> respectively. </w:t>
      </w:r>
      <w:r w:rsidR="00006D07">
        <w:t>(</w:t>
      </w:r>
      <w:r w:rsidR="001A0ADE" w:rsidRPr="00006D07">
        <w:rPr>
          <w:b/>
          <w:bCs/>
        </w:rPr>
        <w:t>C</w:t>
      </w:r>
      <w:r w:rsidR="00006D07" w:rsidRPr="00006D07">
        <w:rPr>
          <w:b/>
          <w:bCs/>
        </w:rPr>
        <w:t>,</w:t>
      </w:r>
      <w:r w:rsidR="001A0ADE" w:rsidRPr="00006D07">
        <w:rPr>
          <w:b/>
          <w:bCs/>
        </w:rPr>
        <w:t xml:space="preserve"> D</w:t>
      </w:r>
      <w:r w:rsidR="00006D07">
        <w:t>)</w:t>
      </w:r>
      <w:r w:rsidR="001A0ADE" w:rsidRPr="002A34AE">
        <w:t xml:space="preserve"> show the motor thresholds of the paretic and non-paretic soleus muscles</w:t>
      </w:r>
      <w:r w:rsidR="00BD726F">
        <w:t>,</w:t>
      </w:r>
      <w:r w:rsidR="001A0ADE" w:rsidRPr="002A34AE">
        <w:t xml:space="preserve"> respectively.</w:t>
      </w:r>
    </w:p>
    <w:p w14:paraId="01B95781" w14:textId="77777777" w:rsidR="00ED420E" w:rsidRDefault="00ED420E">
      <w:pPr>
        <w:rPr>
          <w:color w:val="808080"/>
        </w:rPr>
      </w:pPr>
    </w:p>
    <w:p w14:paraId="7C0B6465" w14:textId="1AA84FD4" w:rsidR="006E4797" w:rsidRDefault="00551D82">
      <w:pPr>
        <w:rPr>
          <w:b/>
        </w:rPr>
      </w:pPr>
      <w:r>
        <w:rPr>
          <w:b/>
        </w:rPr>
        <w:t>DISCUSSION:</w:t>
      </w:r>
    </w:p>
    <w:p w14:paraId="37785F22" w14:textId="2A20CD23" w:rsidR="0065544C" w:rsidRDefault="0065544C">
      <w:r>
        <w:t>The experimental protocol was well tolerated by most participants. One individual was unable to complete the standing TMS evaluation</w:t>
      </w:r>
      <w:r w:rsidR="00543164">
        <w:t xml:space="preserve"> due to preexisting decubitus ulcers secondary to diabetic complications</w:t>
      </w:r>
      <w:r w:rsidR="00B93BEF">
        <w:t xml:space="preserve"> and orthopedic issues involving preexisting knee pain</w:t>
      </w:r>
      <w:r>
        <w:t xml:space="preserve">. </w:t>
      </w:r>
      <w:r w:rsidR="00EB728C">
        <w:t>The amount of loading/unloading of body weight from the legs was minimal. However, there was</w:t>
      </w:r>
      <w:r w:rsidR="00006D07">
        <w:t>,</w:t>
      </w:r>
      <w:r w:rsidR="00EB728C">
        <w:t xml:space="preserve"> on average</w:t>
      </w:r>
      <w:r w:rsidR="00006D07">
        <w:t>,</w:t>
      </w:r>
      <w:r w:rsidR="00EB728C">
        <w:t xml:space="preserve"> a slightly greater downward force measured during </w:t>
      </w:r>
      <w:r w:rsidR="001C5520">
        <w:t xml:space="preserve">the </w:t>
      </w:r>
      <w:r w:rsidR="00EB728C">
        <w:t>application of the TMS pulses. This is likely due to the weight of the coil and the downward pressure applied by the investigators to ensure there was sufficient contact between the scalp/head and the TMS coil. The minimal changes in body weight captured during the TMS procedures compared to the static trials suggest that no significant effects of bodyweight loading or unloading contributed to our results.</w:t>
      </w:r>
      <w:r w:rsidR="00881EF3">
        <w:t xml:space="preserve"> We also examined the weight distribution between the legs and found it to be symmetrical, with an average of 50% of the participants’ weight </w:t>
      </w:r>
      <w:r w:rsidR="00111A4D">
        <w:t>supported by</w:t>
      </w:r>
      <w:r w:rsidR="00881EF3">
        <w:t xml:space="preserve"> their left legs.</w:t>
      </w:r>
      <w:r w:rsidR="00EB728C">
        <w:t xml:space="preserve"> </w:t>
      </w:r>
      <w:r>
        <w:t xml:space="preserve">It is expected that post-stroke individuals who </w:t>
      </w:r>
      <w:r w:rsidR="001C5520">
        <w:t>can</w:t>
      </w:r>
      <w:r>
        <w:t xml:space="preserve"> stand for 10 min with little to no support </w:t>
      </w:r>
      <w:r w:rsidR="00111A4D">
        <w:t>can</w:t>
      </w:r>
      <w:r>
        <w:t xml:space="preserve"> complete </w:t>
      </w:r>
      <w:r w:rsidR="00111A4D">
        <w:t xml:space="preserve">the described </w:t>
      </w:r>
      <w:r>
        <w:t>standing TMS assessments. The standing position allowed for a greater response rate to TMS compared to the resting/sitting position. The increase in TMS responsiveness in the standing position may allow individuals who were previously disqualified from</w:t>
      </w:r>
      <w:r w:rsidR="00B93BEF">
        <w:t xml:space="preserve"> neurophysiological</w:t>
      </w:r>
      <w:r>
        <w:t xml:space="preserve"> studies due to lack of measurable TMS response to qualify for future studies </w:t>
      </w:r>
      <w:r w:rsidR="00111A4D">
        <w:t>investigating</w:t>
      </w:r>
      <w:r>
        <w:t xml:space="preserve"> </w:t>
      </w:r>
      <w:r w:rsidR="00B93BEF">
        <w:t xml:space="preserve">postural and walking-specific </w:t>
      </w:r>
      <w:r w:rsidR="00111A4D">
        <w:t xml:space="preserve">post-stroke </w:t>
      </w:r>
      <w:r w:rsidR="00B93BEF">
        <w:t>motor control</w:t>
      </w:r>
      <w:r>
        <w:t xml:space="preserve">. Increasing the pool of eligible participants can lead to </w:t>
      </w:r>
      <w:r w:rsidR="001C5520">
        <w:t xml:space="preserve">greater </w:t>
      </w:r>
      <w:r>
        <w:t>generalizability of research findings across the post-stroke population.</w:t>
      </w:r>
    </w:p>
    <w:p w14:paraId="647BA961" w14:textId="77777777" w:rsidR="0065544C" w:rsidRDefault="0065544C"/>
    <w:p w14:paraId="2F509F75" w14:textId="476A7CCC" w:rsidR="00B84718" w:rsidRDefault="0065544C">
      <w:r>
        <w:t xml:space="preserve">Motor thresholds </w:t>
      </w:r>
      <w:r w:rsidR="00543164">
        <w:t>assessed</w:t>
      </w:r>
      <w:r>
        <w:t xml:space="preserve"> in the standing position were measured at a lower %MSO. Post-stroke motor thresholds are often </w:t>
      </w:r>
      <w:r w:rsidR="00111A4D">
        <w:t>increased</w:t>
      </w:r>
      <w:r w:rsidR="00111A4D">
        <w:rPr>
          <w:vertAlign w:val="superscript"/>
        </w:rPr>
        <w:t>23</w:t>
      </w:r>
      <w:r w:rsidR="00111A4D">
        <w:t xml:space="preserve"> </w:t>
      </w:r>
      <w:r>
        <w:t xml:space="preserve">and require </w:t>
      </w:r>
      <w:r w:rsidR="001C5520">
        <w:t xml:space="preserve">stimulation at a </w:t>
      </w:r>
      <w:r w:rsidR="006D7203">
        <w:t>high</w:t>
      </w:r>
      <w:r w:rsidR="001C5520">
        <w:t xml:space="preserve"> %MSO</w:t>
      </w:r>
      <w:r w:rsidR="006D7203">
        <w:t xml:space="preserve"> to measure the CMR. Applying </w:t>
      </w:r>
      <w:r w:rsidR="001C5520">
        <w:t>high-</w:t>
      </w:r>
      <w:r w:rsidR="006D7203">
        <w:t>power TMS pulses</w:t>
      </w:r>
      <w:r w:rsidR="00B93BEF">
        <w:t xml:space="preserve"> with a double-cone coil</w:t>
      </w:r>
      <w:r w:rsidR="006D7203">
        <w:t xml:space="preserve"> can lead to increase</w:t>
      </w:r>
      <w:r w:rsidR="00111A4D">
        <w:t>d</w:t>
      </w:r>
      <w:r w:rsidR="006D7203">
        <w:t xml:space="preserve"> facial and upper extremity muscle contractions that </w:t>
      </w:r>
      <w:r w:rsidR="001C5520">
        <w:t>can be</w:t>
      </w:r>
      <w:r w:rsidR="006D7203">
        <w:t xml:space="preserve"> uncomfortable for research participants. Performing neurophysiological evaluations at a lower intensity may increase the tolerability of TMS procedures </w:t>
      </w:r>
      <w:r w:rsidR="00B93BEF">
        <w:t xml:space="preserve">in some post-stroke participants </w:t>
      </w:r>
      <w:r w:rsidR="006D7203">
        <w:t>and increase participation in these types of studies.</w:t>
      </w:r>
    </w:p>
    <w:p w14:paraId="3951E35B" w14:textId="6EA4E073" w:rsidR="00721DA8" w:rsidRDefault="00721DA8"/>
    <w:p w14:paraId="627928B9" w14:textId="5A5E9DE6" w:rsidR="001C5520" w:rsidRDefault="00721DA8" w:rsidP="00827525">
      <w:r>
        <w:t xml:space="preserve">This methodology describes the process for measuring the corticomotor response to single-pulse TMS. However, paired-pulse paradigms can also be collected in the standing position. </w:t>
      </w:r>
      <w:r w:rsidR="00827525">
        <w:t xml:space="preserve">Short-latency intracortical inhibition (SICI) and intracortical facilitation (ICF) use two TMS pulses delivered by the same coil </w:t>
      </w:r>
      <w:r w:rsidR="001C5520">
        <w:t>with</w:t>
      </w:r>
      <w:r w:rsidR="00827525">
        <w:t xml:space="preserve"> interstimulus intervals of 2 and 10 ms, respectively</w:t>
      </w:r>
      <w:r w:rsidR="00111A4D">
        <w:rPr>
          <w:vertAlign w:val="superscript"/>
        </w:rPr>
        <w:t>24</w:t>
      </w:r>
      <w:r w:rsidR="00827525">
        <w:t>. These intracortical measures can provide additional details on the neurophysiological state</w:t>
      </w:r>
      <w:r w:rsidR="00111A4D">
        <w:t>/behavior</w:t>
      </w:r>
      <w:r w:rsidR="00827525">
        <w:t xml:space="preserve"> of the nervous system during standing compared to motor thresholds alone.</w:t>
      </w:r>
    </w:p>
    <w:p w14:paraId="6247B18E" w14:textId="77777777" w:rsidR="00827525" w:rsidRDefault="00827525"/>
    <w:p w14:paraId="01B0DE82" w14:textId="20FFE2A0" w:rsidR="00B84718" w:rsidRDefault="005B3EFF">
      <w:r>
        <w:t>As with all scientific methods</w:t>
      </w:r>
      <w:r w:rsidR="001C5520">
        <w:t>,</w:t>
      </w:r>
      <w:r>
        <w:t xml:space="preserve"> there are limitations to the current protocol. </w:t>
      </w:r>
      <w:r w:rsidR="00871CEA">
        <w:t>An important item to consider is that individuals with post-stroke hemiparesis do not perform activities in the same manner as neurologically intact groups. People in the chronic phase post-stroke have usually developed compensatory strategies to perform physical tasks</w:t>
      </w:r>
      <w:r w:rsidR="00111A4D">
        <w:rPr>
          <w:vertAlign w:val="superscript"/>
        </w:rPr>
        <w:t>25,26</w:t>
      </w:r>
      <w:r w:rsidR="00871CEA">
        <w:t xml:space="preserve">, which extends into maintaining an upright posture. Even with equal/symmetrical </w:t>
      </w:r>
      <w:r w:rsidR="001C5520">
        <w:t>weight-</w:t>
      </w:r>
      <w:r w:rsidR="00871CEA">
        <w:t xml:space="preserve">bearing between the </w:t>
      </w:r>
      <w:r w:rsidR="00871CEA">
        <w:lastRenderedPageBreak/>
        <w:t>paretic and non-paretic limbs</w:t>
      </w:r>
      <w:r w:rsidR="00BD726F">
        <w:t>,</w:t>
      </w:r>
      <w:r w:rsidR="00871CEA">
        <w:t xml:space="preserve"> post-stroke participants may not be in a symmetrical upright posture. Standardizing foot positions on the force plate may help curb this limitation</w:t>
      </w:r>
      <w:r w:rsidR="00947998">
        <w:t xml:space="preserve">. </w:t>
      </w:r>
      <w:r w:rsidR="00B93BEF">
        <w:t>Another limitation is that</w:t>
      </w:r>
      <w:r w:rsidR="008B5719">
        <w:t xml:space="preserve"> recent investigations have suggested recording more than </w:t>
      </w:r>
      <w:r w:rsidR="00BD726F">
        <w:t xml:space="preserve">10 </w:t>
      </w:r>
      <w:r w:rsidR="001C5520">
        <w:t>motor</w:t>
      </w:r>
      <w:r w:rsidR="00BD726F">
        <w:t>-</w:t>
      </w:r>
      <w:r w:rsidR="001C5520">
        <w:t xml:space="preserve">evoked </w:t>
      </w:r>
      <w:r w:rsidR="00111A4D">
        <w:t>potentials</w:t>
      </w:r>
      <w:r w:rsidR="00111A4D">
        <w:rPr>
          <w:vertAlign w:val="superscript"/>
        </w:rPr>
        <w:t>27</w:t>
      </w:r>
      <w:r w:rsidR="001C5520">
        <w:t xml:space="preserve">, </w:t>
      </w:r>
      <w:r w:rsidR="00B93BEF">
        <w:t>due to the known variability in the CMR</w:t>
      </w:r>
      <w:r w:rsidR="008B5719">
        <w:t xml:space="preserve">. In this </w:t>
      </w:r>
      <w:r w:rsidR="001C5520">
        <w:t>investigation,</w:t>
      </w:r>
      <w:r w:rsidR="008B5719">
        <w:t xml:space="preserve"> we chose to record only </w:t>
      </w:r>
      <w:r w:rsidR="00BD726F">
        <w:t xml:space="preserve">10 </w:t>
      </w:r>
      <w:r w:rsidR="008B5719">
        <w:t xml:space="preserve">test pulses </w:t>
      </w:r>
      <w:r w:rsidR="00B93BEF">
        <w:t xml:space="preserve">to </w:t>
      </w:r>
      <w:r w:rsidR="008B5719">
        <w:t>reduce participant burden while standing. As mentioned previously</w:t>
      </w:r>
      <w:r w:rsidR="00EB728C">
        <w:t>,</w:t>
      </w:r>
      <w:r w:rsidR="008B5719">
        <w:t xml:space="preserve"> this protocol was well</w:t>
      </w:r>
      <w:r w:rsidR="00BD726F">
        <w:t>-</w:t>
      </w:r>
      <w:r w:rsidR="008B5719">
        <w:t xml:space="preserve">tolerated/performed by individuals who have the ability to </w:t>
      </w:r>
      <w:r w:rsidR="00BD726F">
        <w:t xml:space="preserve">stand </w:t>
      </w:r>
      <w:r w:rsidR="008B5719">
        <w:t xml:space="preserve">independently for at least </w:t>
      </w:r>
      <w:r w:rsidR="00BD726F">
        <w:t xml:space="preserve">10 </w:t>
      </w:r>
      <w:r w:rsidR="008B5719">
        <w:t xml:space="preserve">min. This fact may limit the use of this protocol </w:t>
      </w:r>
      <w:r w:rsidR="00080537">
        <w:t>in high/severe disability levels post-stroke</w:t>
      </w:r>
      <w:r w:rsidR="00BB74CA">
        <w:t xml:space="preserve"> or in individuals with orthopedic limitations</w:t>
      </w:r>
      <w:r w:rsidR="00080537">
        <w:t>.</w:t>
      </w:r>
    </w:p>
    <w:p w14:paraId="6A950E04" w14:textId="7347A6E3" w:rsidR="00947998" w:rsidRDefault="00947998"/>
    <w:p w14:paraId="1EDA40D6" w14:textId="26FA8CE6" w:rsidR="00947998" w:rsidRDefault="00947998">
      <w:r>
        <w:t xml:space="preserve">Neurophysiological assessment methods of the lower extremities, and especially in neurologically impaired populations, have yet to receive much </w:t>
      </w:r>
      <w:r w:rsidR="00111A4D">
        <w:t xml:space="preserve">consistency </w:t>
      </w:r>
      <w:r w:rsidR="00BB74CA">
        <w:t>within the literature</w:t>
      </w:r>
      <w:r>
        <w:t xml:space="preserve">. When </w:t>
      </w:r>
      <w:r w:rsidR="00BB74CA">
        <w:t xml:space="preserve">posture and walking-specific </w:t>
      </w:r>
      <w:r>
        <w:t xml:space="preserve">impairments and/or </w:t>
      </w:r>
      <w:r w:rsidR="00032995">
        <w:t xml:space="preserve">lower extremity </w:t>
      </w:r>
      <w:r>
        <w:t>rehabilitation</w:t>
      </w:r>
      <w:r w:rsidR="00032995">
        <w:t xml:space="preserve"> are the primary focus</w:t>
      </w:r>
      <w:r w:rsidR="00053D74">
        <w:t>,</w:t>
      </w:r>
      <w:r>
        <w:t xml:space="preserve"> there is no consensus on the best method to use</w:t>
      </w:r>
      <w:r w:rsidR="001C5520">
        <w:t>.</w:t>
      </w:r>
      <w:r w:rsidR="00BB74CA">
        <w:t xml:space="preserve"> </w:t>
      </w:r>
      <w:r w:rsidR="001C5520">
        <w:t>F</w:t>
      </w:r>
      <w:r w:rsidR="00BB74CA">
        <w:t>or instance</w:t>
      </w:r>
      <w:r w:rsidR="001C5520">
        <w:t>,</w:t>
      </w:r>
      <w:r w:rsidR="00BB74CA">
        <w:t xml:space="preserve"> </w:t>
      </w:r>
      <w:r w:rsidR="00111A4D">
        <w:t xml:space="preserve">comparisons between </w:t>
      </w:r>
      <w:r w:rsidR="00BB74CA">
        <w:t>rest</w:t>
      </w:r>
      <w:r w:rsidR="00111A4D">
        <w:t>ing, active, and standing measures and how these measures relate to clinical disability have not been fully investigated</w:t>
      </w:r>
      <w:r>
        <w:t>. Most researchers would agree that the double-cone coil is the most appropriate device to use to stimulate the lower extremity cortical representations. Outside of this parameter</w:t>
      </w:r>
      <w:r w:rsidR="001C5520">
        <w:t>,</w:t>
      </w:r>
      <w:r>
        <w:t xml:space="preserve"> much of the lower extremity TMS studies are done to individual research groups</w:t>
      </w:r>
      <w:r w:rsidR="001C5520">
        <w:t>’</w:t>
      </w:r>
      <w:r>
        <w:t xml:space="preserve"> standards. The lack of consistency between research groups increases the difficulty in performing larger meta-analytical assessments needed to extend the generalizability </w:t>
      </w:r>
      <w:r w:rsidR="00BB74CA">
        <w:t xml:space="preserve">of </w:t>
      </w:r>
      <w:r>
        <w:t>research findings. In this protocol</w:t>
      </w:r>
      <w:r w:rsidR="001C5520">
        <w:t>,</w:t>
      </w:r>
      <w:r>
        <w:t xml:space="preserve"> we provide a basis for lower extremity TMS procedures that can be </w:t>
      </w:r>
      <w:r w:rsidR="00B93BEF">
        <w:t xml:space="preserve">used </w:t>
      </w:r>
      <w:r w:rsidR="00C931C4">
        <w:t xml:space="preserve">in studies investigating </w:t>
      </w:r>
      <w:r w:rsidR="00BB74CA">
        <w:t xml:space="preserve">postural and walking-specific </w:t>
      </w:r>
      <w:r w:rsidR="00C931C4">
        <w:t xml:space="preserve">motor control and </w:t>
      </w:r>
      <w:r w:rsidR="00BB74CA">
        <w:t>neuro</w:t>
      </w:r>
      <w:r w:rsidR="00C931C4">
        <w:t>rehabilitation post-stroke.</w:t>
      </w:r>
    </w:p>
    <w:p w14:paraId="0BEB38EC" w14:textId="77777777" w:rsidR="006E4797" w:rsidRDefault="006E4797">
      <w:pPr>
        <w:rPr>
          <w:color w:val="000000"/>
        </w:rPr>
      </w:pPr>
    </w:p>
    <w:p w14:paraId="59F37CC4" w14:textId="4F02C988" w:rsidR="006E4797" w:rsidRDefault="00551D82">
      <w:pPr>
        <w:pBdr>
          <w:top w:val="nil"/>
          <w:left w:val="nil"/>
          <w:bottom w:val="nil"/>
          <w:right w:val="nil"/>
          <w:between w:val="nil"/>
        </w:pBdr>
        <w:rPr>
          <w:color w:val="808080"/>
        </w:rPr>
      </w:pPr>
      <w:r>
        <w:rPr>
          <w:b/>
          <w:color w:val="000000"/>
        </w:rPr>
        <w:t>ACKNOWLEDGMENTS:</w:t>
      </w:r>
    </w:p>
    <w:p w14:paraId="3D124212" w14:textId="74FC2167" w:rsidR="00B5641C" w:rsidRDefault="00B5641C">
      <w:r>
        <w:t xml:space="preserve">The authors would like to acknowledge Mr. Brian Cence and Mrs. Alyssa Chestnut for their contributions </w:t>
      </w:r>
      <w:r w:rsidR="001C5520">
        <w:t xml:space="preserve">to </w:t>
      </w:r>
      <w:r>
        <w:t>participant recruitment and data collection.</w:t>
      </w:r>
    </w:p>
    <w:p w14:paraId="5C67AFE7" w14:textId="10D4151A" w:rsidR="00B5641C" w:rsidRDefault="00B5641C"/>
    <w:p w14:paraId="1DD7324D" w14:textId="48B093D1" w:rsidR="00BB4320" w:rsidRPr="00B5641C" w:rsidRDefault="00B5641C">
      <w:r>
        <w:t xml:space="preserve">Funding for this project was provided </w:t>
      </w:r>
      <w:r w:rsidR="00E02A19">
        <w:t xml:space="preserve">in part </w:t>
      </w:r>
      <w:r>
        <w:t xml:space="preserve">by a Technical Development </w:t>
      </w:r>
      <w:r w:rsidR="00BD390A">
        <w:t xml:space="preserve">Award </w:t>
      </w:r>
      <w:r>
        <w:t xml:space="preserve">from the NIH National Center for Neuromodulation for Rehabilitation (NM4R) </w:t>
      </w:r>
      <w:r w:rsidR="00BB4320">
        <w:t>(</w:t>
      </w:r>
      <w:r w:rsidR="005B3EFF">
        <w:t>HD086844</w:t>
      </w:r>
      <w:r w:rsidR="00BB4320">
        <w:t xml:space="preserve">) and by </w:t>
      </w:r>
      <w:r w:rsidR="00E02A19">
        <w:t>Veteran’s Affairs Rehabilitation Research and Development</w:t>
      </w:r>
      <w:r w:rsidR="0055230E">
        <w:t xml:space="preserve"> </w:t>
      </w:r>
      <w:r w:rsidR="00E02A19">
        <w:t xml:space="preserve">Career Development Award 1 </w:t>
      </w:r>
      <w:r w:rsidR="00BD390A">
        <w:t>(</w:t>
      </w:r>
      <w:r w:rsidR="00E02A19">
        <w:t>RX003126</w:t>
      </w:r>
      <w:r w:rsidR="00BD390A">
        <w:t>) and Merit award (</w:t>
      </w:r>
      <w:r w:rsidR="005B3EFF">
        <w:t>RX002665</w:t>
      </w:r>
      <w:r w:rsidR="00BD390A">
        <w:t>)</w:t>
      </w:r>
      <w:r w:rsidR="00BB4320">
        <w:t>.</w:t>
      </w:r>
    </w:p>
    <w:p w14:paraId="11BDDE45" w14:textId="77777777" w:rsidR="0055230E" w:rsidRDefault="0055230E" w:rsidP="0055230E">
      <w:pPr>
        <w:rPr>
          <w:rFonts w:cs="Arial"/>
        </w:rPr>
      </w:pPr>
    </w:p>
    <w:p w14:paraId="62C922E0" w14:textId="4CE1E93E" w:rsidR="0055230E" w:rsidRPr="0055230E" w:rsidRDefault="0055230E" w:rsidP="0055230E">
      <w:pPr>
        <w:rPr>
          <w:rFonts w:cs="Arial"/>
        </w:rPr>
      </w:pPr>
      <w:r w:rsidRPr="0055230E">
        <w:rPr>
          <w:rFonts w:cs="Arial"/>
        </w:rPr>
        <w:t>The contents of this report do not represent the views of the U.S. Department of Veterans Affairs, U.S. National Institutes of Health, or the United States Government.</w:t>
      </w:r>
    </w:p>
    <w:p w14:paraId="594BD2C6" w14:textId="77777777" w:rsidR="0055230E" w:rsidRPr="0055230E" w:rsidRDefault="0055230E" w:rsidP="0055230E">
      <w:pPr>
        <w:rPr>
          <w:color w:val="000000"/>
        </w:rPr>
      </w:pPr>
    </w:p>
    <w:p w14:paraId="5E703EBA" w14:textId="7E892D5D" w:rsidR="006E4797" w:rsidRDefault="00551D82">
      <w:pPr>
        <w:pBdr>
          <w:top w:val="nil"/>
          <w:left w:val="nil"/>
          <w:bottom w:val="nil"/>
          <w:right w:val="nil"/>
          <w:between w:val="nil"/>
        </w:pBdr>
        <w:rPr>
          <w:color w:val="808080"/>
        </w:rPr>
      </w:pPr>
      <w:r>
        <w:rPr>
          <w:b/>
          <w:color w:val="000000"/>
        </w:rPr>
        <w:t>DISCLOSURES:</w:t>
      </w:r>
    </w:p>
    <w:p w14:paraId="132340D6" w14:textId="1CDD014B" w:rsidR="006E4797" w:rsidRDefault="00B5641C">
      <w:pPr>
        <w:rPr>
          <w:color w:val="808080"/>
        </w:rPr>
      </w:pPr>
      <w:r>
        <w:t>The authors declare they have no real or perceived conflicts of interest related to the reported work.</w:t>
      </w:r>
    </w:p>
    <w:p w14:paraId="20267FA9" w14:textId="77777777" w:rsidR="00BB4320" w:rsidRPr="0055230E" w:rsidRDefault="00BB4320">
      <w:pPr>
        <w:rPr>
          <w:color w:val="000000"/>
        </w:rPr>
      </w:pPr>
    </w:p>
    <w:p w14:paraId="28290F3A" w14:textId="02563DE2" w:rsidR="00553394" w:rsidRDefault="00551D82" w:rsidP="00E24CB3">
      <w:pPr>
        <w:rPr>
          <w:b/>
        </w:rPr>
      </w:pPr>
      <w:r>
        <w:rPr>
          <w:b/>
        </w:rPr>
        <w:t>REFERENCES:</w:t>
      </w:r>
    </w:p>
    <w:p w14:paraId="15F96A19" w14:textId="227CF6E3" w:rsidR="00E06390" w:rsidRPr="002A34AE" w:rsidRDefault="00E06390" w:rsidP="002A34AE">
      <w:pPr>
        <w:pStyle w:val="ListParagraph"/>
        <w:numPr>
          <w:ilvl w:val="0"/>
          <w:numId w:val="15"/>
        </w:numPr>
        <w:ind w:left="360"/>
        <w:rPr>
          <w:bCs/>
        </w:rPr>
      </w:pPr>
      <w:r w:rsidRPr="008742E0">
        <w:rPr>
          <w:bCs/>
        </w:rPr>
        <w:t>Kesar, T. M., Stinear, J. W.</w:t>
      </w:r>
      <w:r w:rsidR="00053D74">
        <w:rPr>
          <w:bCs/>
        </w:rPr>
        <w:t>,</w:t>
      </w:r>
      <w:r w:rsidRPr="008742E0">
        <w:rPr>
          <w:bCs/>
        </w:rPr>
        <w:t xml:space="preserve"> Wolf, S. L. The use of transcranial magnetic stimulation to evaluate cortical excitability of lower limb musculature: Challenges and opportunities. </w:t>
      </w:r>
      <w:r w:rsidRPr="00006D07">
        <w:rPr>
          <w:bCs/>
          <w:i/>
          <w:iCs/>
        </w:rPr>
        <w:t>Restor</w:t>
      </w:r>
      <w:r w:rsidR="00053D74">
        <w:rPr>
          <w:bCs/>
          <w:i/>
          <w:iCs/>
        </w:rPr>
        <w:t>ative</w:t>
      </w:r>
      <w:r w:rsidRPr="00006D07">
        <w:rPr>
          <w:bCs/>
          <w:i/>
          <w:iCs/>
        </w:rPr>
        <w:t xml:space="preserve"> Neurol</w:t>
      </w:r>
      <w:r w:rsidR="00053D74">
        <w:rPr>
          <w:bCs/>
          <w:i/>
          <w:iCs/>
        </w:rPr>
        <w:t>ogy</w:t>
      </w:r>
      <w:r w:rsidRPr="00006D07">
        <w:rPr>
          <w:bCs/>
          <w:i/>
          <w:iCs/>
        </w:rPr>
        <w:t xml:space="preserve"> </w:t>
      </w:r>
      <w:r w:rsidR="00053D74">
        <w:rPr>
          <w:bCs/>
          <w:i/>
          <w:iCs/>
        </w:rPr>
        <w:t xml:space="preserve">and </w:t>
      </w:r>
      <w:r w:rsidRPr="00006D07">
        <w:rPr>
          <w:bCs/>
          <w:i/>
          <w:iCs/>
        </w:rPr>
        <w:t>Neurosci</w:t>
      </w:r>
      <w:r w:rsidR="00053D74" w:rsidRPr="00006D07">
        <w:rPr>
          <w:bCs/>
          <w:i/>
          <w:iCs/>
        </w:rPr>
        <w:t>ence</w:t>
      </w:r>
      <w:r w:rsidRPr="008742E0">
        <w:rPr>
          <w:bCs/>
        </w:rPr>
        <w:t xml:space="preserve">. </w:t>
      </w:r>
      <w:r w:rsidRPr="00006D07">
        <w:rPr>
          <w:b/>
        </w:rPr>
        <w:t>36</w:t>
      </w:r>
      <w:r w:rsidRPr="008742E0">
        <w:rPr>
          <w:bCs/>
        </w:rPr>
        <w:t xml:space="preserve"> (3), 333</w:t>
      </w:r>
      <w:r w:rsidR="00053D74">
        <w:rPr>
          <w:bCs/>
        </w:rPr>
        <w:t>–</w:t>
      </w:r>
      <w:r w:rsidRPr="008742E0">
        <w:rPr>
          <w:bCs/>
        </w:rPr>
        <w:t>348 (2018).</w:t>
      </w:r>
    </w:p>
    <w:p w14:paraId="4190C990" w14:textId="407FE187" w:rsidR="00E24CB3" w:rsidRPr="002A34AE" w:rsidRDefault="0055357B" w:rsidP="002A34AE">
      <w:pPr>
        <w:pStyle w:val="ListParagraph"/>
        <w:numPr>
          <w:ilvl w:val="0"/>
          <w:numId w:val="15"/>
        </w:numPr>
        <w:ind w:left="360"/>
        <w:rPr>
          <w:bCs/>
        </w:rPr>
      </w:pPr>
      <w:r w:rsidRPr="008742E0">
        <w:rPr>
          <w:bCs/>
        </w:rPr>
        <w:t>Sivaramakrishnan, A.</w:t>
      </w:r>
      <w:r w:rsidR="00053D74">
        <w:rPr>
          <w:bCs/>
        </w:rPr>
        <w:t>,</w:t>
      </w:r>
      <w:r w:rsidRPr="008742E0">
        <w:rPr>
          <w:bCs/>
        </w:rPr>
        <w:t xml:space="preserve"> Madhavan, S. Absence of a </w:t>
      </w:r>
      <w:r w:rsidR="00053D74">
        <w:rPr>
          <w:bCs/>
        </w:rPr>
        <w:t>t</w:t>
      </w:r>
      <w:r w:rsidRPr="008742E0">
        <w:rPr>
          <w:bCs/>
        </w:rPr>
        <w:t xml:space="preserve">ranscranial </w:t>
      </w:r>
      <w:r w:rsidR="00053D74">
        <w:rPr>
          <w:bCs/>
        </w:rPr>
        <w:t>m</w:t>
      </w:r>
      <w:r w:rsidRPr="008742E0">
        <w:rPr>
          <w:bCs/>
        </w:rPr>
        <w:t xml:space="preserve">agnetic </w:t>
      </w:r>
      <w:r w:rsidR="00053D74">
        <w:rPr>
          <w:bCs/>
        </w:rPr>
        <w:t>s</w:t>
      </w:r>
      <w:r w:rsidRPr="008742E0">
        <w:rPr>
          <w:bCs/>
        </w:rPr>
        <w:t>timulation-</w:t>
      </w:r>
      <w:r w:rsidR="00053D74">
        <w:rPr>
          <w:bCs/>
        </w:rPr>
        <w:t>i</w:t>
      </w:r>
      <w:r w:rsidRPr="008742E0">
        <w:rPr>
          <w:bCs/>
        </w:rPr>
        <w:t xml:space="preserve">nduced </w:t>
      </w:r>
      <w:r w:rsidR="00053D74">
        <w:rPr>
          <w:bCs/>
        </w:rPr>
        <w:lastRenderedPageBreak/>
        <w:t>l</w:t>
      </w:r>
      <w:r w:rsidRPr="008742E0">
        <w:rPr>
          <w:bCs/>
        </w:rPr>
        <w:t xml:space="preserve">ower </w:t>
      </w:r>
      <w:r w:rsidR="00053D74">
        <w:rPr>
          <w:bCs/>
        </w:rPr>
        <w:t>l</w:t>
      </w:r>
      <w:r w:rsidRPr="008742E0">
        <w:rPr>
          <w:bCs/>
        </w:rPr>
        <w:t xml:space="preserve">imb </w:t>
      </w:r>
      <w:r w:rsidR="00053D74">
        <w:rPr>
          <w:bCs/>
        </w:rPr>
        <w:t>c</w:t>
      </w:r>
      <w:r w:rsidRPr="008742E0">
        <w:rPr>
          <w:bCs/>
        </w:rPr>
        <w:t xml:space="preserve">orticomotor </w:t>
      </w:r>
      <w:r w:rsidR="00053D74">
        <w:rPr>
          <w:bCs/>
        </w:rPr>
        <w:t>r</w:t>
      </w:r>
      <w:r w:rsidRPr="008742E0">
        <w:rPr>
          <w:bCs/>
        </w:rPr>
        <w:t xml:space="preserve">esponse </w:t>
      </w:r>
      <w:r w:rsidR="00053D74">
        <w:rPr>
          <w:bCs/>
        </w:rPr>
        <w:t>d</w:t>
      </w:r>
      <w:r w:rsidRPr="008742E0">
        <w:rPr>
          <w:bCs/>
        </w:rPr>
        <w:t xml:space="preserve">oes </w:t>
      </w:r>
      <w:r w:rsidR="00053D74">
        <w:rPr>
          <w:bCs/>
        </w:rPr>
        <w:t>n</w:t>
      </w:r>
      <w:r w:rsidRPr="008742E0">
        <w:rPr>
          <w:bCs/>
        </w:rPr>
        <w:t xml:space="preserve">ot </w:t>
      </w:r>
      <w:r w:rsidR="00053D74">
        <w:rPr>
          <w:bCs/>
        </w:rPr>
        <w:t>a</w:t>
      </w:r>
      <w:r w:rsidRPr="008742E0">
        <w:rPr>
          <w:bCs/>
        </w:rPr>
        <w:t xml:space="preserve">ffect </w:t>
      </w:r>
      <w:r w:rsidR="00053D74">
        <w:rPr>
          <w:bCs/>
        </w:rPr>
        <w:t>w</w:t>
      </w:r>
      <w:r w:rsidRPr="008742E0">
        <w:rPr>
          <w:bCs/>
        </w:rPr>
        <w:t xml:space="preserve">alking </w:t>
      </w:r>
      <w:r w:rsidR="00053D74">
        <w:rPr>
          <w:bCs/>
        </w:rPr>
        <w:t>s</w:t>
      </w:r>
      <w:r w:rsidRPr="008742E0">
        <w:rPr>
          <w:bCs/>
        </w:rPr>
        <w:t xml:space="preserve">peed in </w:t>
      </w:r>
      <w:r w:rsidR="00053D74">
        <w:rPr>
          <w:bCs/>
        </w:rPr>
        <w:t>c</w:t>
      </w:r>
      <w:r w:rsidRPr="008742E0">
        <w:rPr>
          <w:bCs/>
        </w:rPr>
        <w:t xml:space="preserve">hronic </w:t>
      </w:r>
      <w:r w:rsidR="00053D74">
        <w:rPr>
          <w:bCs/>
        </w:rPr>
        <w:t>s</w:t>
      </w:r>
      <w:r w:rsidRPr="008742E0">
        <w:rPr>
          <w:bCs/>
        </w:rPr>
        <w:t xml:space="preserve">troke </w:t>
      </w:r>
      <w:r w:rsidR="00053D74">
        <w:rPr>
          <w:bCs/>
        </w:rPr>
        <w:t>s</w:t>
      </w:r>
      <w:r w:rsidRPr="008742E0">
        <w:rPr>
          <w:bCs/>
        </w:rPr>
        <w:t xml:space="preserve">urvivors. </w:t>
      </w:r>
      <w:r w:rsidRPr="00006D07">
        <w:rPr>
          <w:bCs/>
          <w:i/>
          <w:iCs/>
        </w:rPr>
        <w:t>Stroke</w:t>
      </w:r>
      <w:r w:rsidRPr="008742E0">
        <w:rPr>
          <w:bCs/>
        </w:rPr>
        <w:t xml:space="preserve">. </w:t>
      </w:r>
      <w:r w:rsidRPr="00006D07">
        <w:rPr>
          <w:b/>
        </w:rPr>
        <w:t>49</w:t>
      </w:r>
      <w:r w:rsidRPr="008742E0">
        <w:rPr>
          <w:bCs/>
        </w:rPr>
        <w:t xml:space="preserve"> (8), 2004</w:t>
      </w:r>
      <w:r w:rsidR="00053D74">
        <w:rPr>
          <w:bCs/>
        </w:rPr>
        <w:t>–</w:t>
      </w:r>
      <w:r w:rsidRPr="008742E0">
        <w:rPr>
          <w:bCs/>
        </w:rPr>
        <w:t>2007 (2018).</w:t>
      </w:r>
    </w:p>
    <w:p w14:paraId="0A0817EB" w14:textId="73B47493" w:rsidR="0055357B" w:rsidRPr="002A34AE" w:rsidRDefault="0055357B" w:rsidP="002A34AE">
      <w:pPr>
        <w:pStyle w:val="ListParagraph"/>
        <w:numPr>
          <w:ilvl w:val="0"/>
          <w:numId w:val="15"/>
        </w:numPr>
        <w:ind w:left="360"/>
        <w:rPr>
          <w:bCs/>
        </w:rPr>
      </w:pPr>
      <w:r w:rsidRPr="008742E0">
        <w:rPr>
          <w:bCs/>
        </w:rPr>
        <w:t xml:space="preserve">Kindred, J. H. et al. Individualized </w:t>
      </w:r>
      <w:r w:rsidR="00053D74">
        <w:rPr>
          <w:bCs/>
        </w:rPr>
        <w:t>r</w:t>
      </w:r>
      <w:r w:rsidRPr="008742E0">
        <w:rPr>
          <w:bCs/>
        </w:rPr>
        <w:t xml:space="preserve">esponses to </w:t>
      </w:r>
      <w:r w:rsidR="00053D74">
        <w:rPr>
          <w:bCs/>
        </w:rPr>
        <w:t>i</w:t>
      </w:r>
      <w:r w:rsidRPr="008742E0">
        <w:rPr>
          <w:bCs/>
        </w:rPr>
        <w:t xml:space="preserve">psilesional </w:t>
      </w:r>
      <w:r w:rsidR="00053D74">
        <w:rPr>
          <w:bCs/>
        </w:rPr>
        <w:t>h</w:t>
      </w:r>
      <w:r w:rsidRPr="008742E0">
        <w:rPr>
          <w:bCs/>
        </w:rPr>
        <w:t>igh-</w:t>
      </w:r>
      <w:r w:rsidR="00053D74">
        <w:rPr>
          <w:bCs/>
        </w:rPr>
        <w:t>f</w:t>
      </w:r>
      <w:r w:rsidRPr="008742E0">
        <w:rPr>
          <w:bCs/>
        </w:rPr>
        <w:t xml:space="preserve">requency and </w:t>
      </w:r>
      <w:r w:rsidR="00053D74">
        <w:rPr>
          <w:bCs/>
        </w:rPr>
        <w:t>c</w:t>
      </w:r>
      <w:r w:rsidRPr="008742E0">
        <w:rPr>
          <w:bCs/>
        </w:rPr>
        <w:t xml:space="preserve">ontralesional </w:t>
      </w:r>
      <w:r w:rsidR="00053D74">
        <w:rPr>
          <w:bCs/>
        </w:rPr>
        <w:t>l</w:t>
      </w:r>
      <w:r w:rsidRPr="008742E0">
        <w:rPr>
          <w:bCs/>
        </w:rPr>
        <w:t>ow-</w:t>
      </w:r>
      <w:r w:rsidR="00053D74">
        <w:rPr>
          <w:bCs/>
        </w:rPr>
        <w:t>f</w:t>
      </w:r>
      <w:r w:rsidRPr="008742E0">
        <w:rPr>
          <w:bCs/>
        </w:rPr>
        <w:t xml:space="preserve">requency rTMS in </w:t>
      </w:r>
      <w:r w:rsidR="00053D74">
        <w:rPr>
          <w:bCs/>
        </w:rPr>
        <w:t>c</w:t>
      </w:r>
      <w:r w:rsidRPr="008742E0">
        <w:rPr>
          <w:bCs/>
        </w:rPr>
        <w:t xml:space="preserve">hronic </w:t>
      </w:r>
      <w:r w:rsidR="00053D74">
        <w:rPr>
          <w:bCs/>
        </w:rPr>
        <w:t>s</w:t>
      </w:r>
      <w:r w:rsidRPr="008742E0">
        <w:rPr>
          <w:bCs/>
        </w:rPr>
        <w:t xml:space="preserve">troke: A </w:t>
      </w:r>
      <w:r w:rsidR="00053D74">
        <w:rPr>
          <w:bCs/>
        </w:rPr>
        <w:t>p</w:t>
      </w:r>
      <w:r w:rsidRPr="008742E0">
        <w:rPr>
          <w:bCs/>
        </w:rPr>
        <w:t xml:space="preserve">ilot </w:t>
      </w:r>
      <w:r w:rsidR="00053D74">
        <w:rPr>
          <w:bCs/>
        </w:rPr>
        <w:t>s</w:t>
      </w:r>
      <w:r w:rsidRPr="008742E0">
        <w:rPr>
          <w:bCs/>
        </w:rPr>
        <w:t xml:space="preserve">tudy to </w:t>
      </w:r>
      <w:r w:rsidR="00053D74">
        <w:rPr>
          <w:bCs/>
        </w:rPr>
        <w:t>s</w:t>
      </w:r>
      <w:r w:rsidRPr="008742E0">
        <w:rPr>
          <w:bCs/>
        </w:rPr>
        <w:t xml:space="preserve">upport the </w:t>
      </w:r>
      <w:r w:rsidR="00053D74">
        <w:rPr>
          <w:bCs/>
        </w:rPr>
        <w:t>i</w:t>
      </w:r>
      <w:r w:rsidRPr="008742E0">
        <w:rPr>
          <w:bCs/>
        </w:rPr>
        <w:t xml:space="preserve">ndividualization of </w:t>
      </w:r>
      <w:r w:rsidR="00053D74">
        <w:rPr>
          <w:bCs/>
        </w:rPr>
        <w:t>n</w:t>
      </w:r>
      <w:r w:rsidRPr="008742E0">
        <w:rPr>
          <w:bCs/>
        </w:rPr>
        <w:t xml:space="preserve">euromodulation for </w:t>
      </w:r>
      <w:r w:rsidR="00053D74">
        <w:rPr>
          <w:bCs/>
        </w:rPr>
        <w:t>r</w:t>
      </w:r>
      <w:r w:rsidRPr="008742E0">
        <w:rPr>
          <w:bCs/>
        </w:rPr>
        <w:t xml:space="preserve">ehabilitation. </w:t>
      </w:r>
      <w:r w:rsidRPr="00006D07">
        <w:rPr>
          <w:bCs/>
          <w:i/>
          <w:iCs/>
        </w:rPr>
        <w:t>Frontiers in Human Neuroscience</w:t>
      </w:r>
      <w:r w:rsidRPr="008742E0">
        <w:rPr>
          <w:bCs/>
        </w:rPr>
        <w:t xml:space="preserve">. </w:t>
      </w:r>
      <w:r w:rsidRPr="00006D07">
        <w:rPr>
          <w:b/>
        </w:rPr>
        <w:t>14</w:t>
      </w:r>
      <w:r w:rsidRPr="008742E0">
        <w:rPr>
          <w:bCs/>
        </w:rPr>
        <w:t>, 578127 (2020).</w:t>
      </w:r>
    </w:p>
    <w:p w14:paraId="370B568B" w14:textId="43E23D08" w:rsidR="0055357B" w:rsidRPr="002A34AE" w:rsidRDefault="0055357B" w:rsidP="002A34AE">
      <w:pPr>
        <w:pStyle w:val="ListParagraph"/>
        <w:numPr>
          <w:ilvl w:val="0"/>
          <w:numId w:val="15"/>
        </w:numPr>
        <w:ind w:left="360"/>
        <w:rPr>
          <w:bCs/>
        </w:rPr>
      </w:pPr>
      <w:r w:rsidRPr="008742E0">
        <w:rPr>
          <w:bCs/>
        </w:rPr>
        <w:t>Lu, M.</w:t>
      </w:r>
      <w:r w:rsidR="00053D74">
        <w:rPr>
          <w:bCs/>
        </w:rPr>
        <w:t>,</w:t>
      </w:r>
      <w:r w:rsidRPr="008742E0">
        <w:rPr>
          <w:bCs/>
        </w:rPr>
        <w:t xml:space="preserve"> Ueno, S. Comparison of the induced fields using different coil configurations during deep transcranial magnetic stimulation. </w:t>
      </w:r>
      <w:proofErr w:type="spellStart"/>
      <w:r w:rsidRPr="00006D07">
        <w:rPr>
          <w:bCs/>
          <w:i/>
          <w:iCs/>
        </w:rPr>
        <w:t>PLoS</w:t>
      </w:r>
      <w:proofErr w:type="spellEnd"/>
      <w:r w:rsidRPr="00006D07">
        <w:rPr>
          <w:bCs/>
          <w:i/>
          <w:iCs/>
        </w:rPr>
        <w:t xml:space="preserve"> One</w:t>
      </w:r>
      <w:r w:rsidRPr="008742E0">
        <w:rPr>
          <w:bCs/>
        </w:rPr>
        <w:t xml:space="preserve">. </w:t>
      </w:r>
      <w:r w:rsidRPr="00006D07">
        <w:rPr>
          <w:b/>
        </w:rPr>
        <w:t>12</w:t>
      </w:r>
      <w:r w:rsidRPr="008742E0">
        <w:rPr>
          <w:bCs/>
        </w:rPr>
        <w:t xml:space="preserve"> (6), e0178422 (2017).</w:t>
      </w:r>
    </w:p>
    <w:p w14:paraId="7D90D547" w14:textId="7C4E52E8" w:rsidR="0055357B" w:rsidRPr="00053D74" w:rsidRDefault="0055357B" w:rsidP="00006D07">
      <w:pPr>
        <w:pStyle w:val="ListParagraph"/>
        <w:numPr>
          <w:ilvl w:val="0"/>
          <w:numId w:val="15"/>
        </w:numPr>
        <w:ind w:left="360"/>
        <w:rPr>
          <w:bCs/>
        </w:rPr>
      </w:pPr>
      <w:r w:rsidRPr="00053D74">
        <w:rPr>
          <w:bCs/>
        </w:rPr>
        <w:t>Hess, C. W., Mills, K. R.</w:t>
      </w:r>
      <w:r w:rsidR="00053D74" w:rsidRPr="00E033C3">
        <w:rPr>
          <w:bCs/>
        </w:rPr>
        <w:t>,</w:t>
      </w:r>
      <w:r w:rsidRPr="00E033C3">
        <w:rPr>
          <w:bCs/>
        </w:rPr>
        <w:t xml:space="preserve"> </w:t>
      </w:r>
      <w:r w:rsidRPr="00A93C77">
        <w:rPr>
          <w:bCs/>
        </w:rPr>
        <w:t xml:space="preserve">Murray, N. M. Responses in small hand muscles from magnetic stimulation of the human brain. </w:t>
      </w:r>
      <w:r w:rsidR="00053D74" w:rsidRPr="00006D07">
        <w:rPr>
          <w:bCs/>
          <w:i/>
          <w:iCs/>
        </w:rPr>
        <w:t xml:space="preserve">The </w:t>
      </w:r>
      <w:r w:rsidRPr="00006D07">
        <w:rPr>
          <w:bCs/>
          <w:i/>
          <w:iCs/>
        </w:rPr>
        <w:t>J</w:t>
      </w:r>
      <w:r w:rsidR="00053D74" w:rsidRPr="00006D07">
        <w:rPr>
          <w:bCs/>
          <w:i/>
          <w:iCs/>
        </w:rPr>
        <w:t>ournal of</w:t>
      </w:r>
      <w:r w:rsidRPr="00006D07">
        <w:rPr>
          <w:bCs/>
          <w:i/>
          <w:iCs/>
        </w:rPr>
        <w:t xml:space="preserve"> Physiol</w:t>
      </w:r>
      <w:r w:rsidR="00053D74" w:rsidRPr="00006D07">
        <w:rPr>
          <w:bCs/>
          <w:i/>
          <w:iCs/>
        </w:rPr>
        <w:t>ogy</w:t>
      </w:r>
      <w:r w:rsidRPr="00053D74">
        <w:rPr>
          <w:bCs/>
        </w:rPr>
        <w:t xml:space="preserve">. </w:t>
      </w:r>
      <w:r w:rsidRPr="00006D07">
        <w:rPr>
          <w:b/>
        </w:rPr>
        <w:t>388</w:t>
      </w:r>
      <w:r w:rsidR="00053D74" w:rsidRPr="00053D74">
        <w:rPr>
          <w:bCs/>
        </w:rPr>
        <w:t>,</w:t>
      </w:r>
      <w:r w:rsidRPr="00E033C3">
        <w:rPr>
          <w:bCs/>
        </w:rPr>
        <w:t xml:space="preserve"> 397</w:t>
      </w:r>
      <w:r w:rsidR="00053D74" w:rsidRPr="00A93C77">
        <w:rPr>
          <w:bCs/>
        </w:rPr>
        <w:t>–</w:t>
      </w:r>
      <w:r w:rsidRPr="00A93C77">
        <w:rPr>
          <w:bCs/>
        </w:rPr>
        <w:t>419 (1987).</w:t>
      </w:r>
    </w:p>
    <w:p w14:paraId="4429C64A" w14:textId="68D5A230" w:rsidR="00FC2573" w:rsidRDefault="00FC2573" w:rsidP="002A34AE">
      <w:pPr>
        <w:pStyle w:val="ListParagraph"/>
        <w:numPr>
          <w:ilvl w:val="0"/>
          <w:numId w:val="15"/>
        </w:numPr>
        <w:ind w:left="360"/>
        <w:rPr>
          <w:bCs/>
        </w:rPr>
      </w:pPr>
      <w:r w:rsidRPr="00FC2573">
        <w:rPr>
          <w:bCs/>
        </w:rPr>
        <w:t>Petersen, N., Christensen, L. O.</w:t>
      </w:r>
      <w:r w:rsidR="00E033C3">
        <w:rPr>
          <w:bCs/>
        </w:rPr>
        <w:t>,</w:t>
      </w:r>
      <w:r w:rsidRPr="00FC2573">
        <w:rPr>
          <w:bCs/>
        </w:rPr>
        <w:t xml:space="preserve"> Nielsen, J. The effect of transcranial magnetic stimulation on the soleus H reflex during human walking. </w:t>
      </w:r>
      <w:r w:rsidR="00E033C3" w:rsidRPr="00006D07">
        <w:rPr>
          <w:bCs/>
          <w:i/>
          <w:iCs/>
        </w:rPr>
        <w:t xml:space="preserve">The </w:t>
      </w:r>
      <w:r w:rsidRPr="00006D07">
        <w:rPr>
          <w:bCs/>
          <w:i/>
          <w:iCs/>
        </w:rPr>
        <w:t>J</w:t>
      </w:r>
      <w:r w:rsidR="00E033C3" w:rsidRPr="00006D07">
        <w:rPr>
          <w:bCs/>
          <w:i/>
          <w:iCs/>
        </w:rPr>
        <w:t>ournal of</w:t>
      </w:r>
      <w:r w:rsidRPr="00006D07">
        <w:rPr>
          <w:bCs/>
          <w:i/>
          <w:iCs/>
        </w:rPr>
        <w:t xml:space="preserve"> Physiol</w:t>
      </w:r>
      <w:r w:rsidR="00E033C3" w:rsidRPr="00006D07">
        <w:rPr>
          <w:bCs/>
          <w:i/>
          <w:iCs/>
        </w:rPr>
        <w:t>ogy</w:t>
      </w:r>
      <w:r w:rsidRPr="00FC2573">
        <w:rPr>
          <w:bCs/>
        </w:rPr>
        <w:t xml:space="preserve">. </w:t>
      </w:r>
      <w:r w:rsidRPr="00006D07">
        <w:rPr>
          <w:b/>
        </w:rPr>
        <w:t>513</w:t>
      </w:r>
      <w:r w:rsidRPr="00FC2573">
        <w:rPr>
          <w:bCs/>
        </w:rPr>
        <w:t xml:space="preserve"> (Pt 2) (Pt 2), 599</w:t>
      </w:r>
      <w:r w:rsidR="00E033C3">
        <w:rPr>
          <w:bCs/>
        </w:rPr>
        <w:t>–</w:t>
      </w:r>
      <w:r w:rsidRPr="00FC2573">
        <w:rPr>
          <w:bCs/>
        </w:rPr>
        <w:t>610 (1998).</w:t>
      </w:r>
    </w:p>
    <w:p w14:paraId="259E7930" w14:textId="41CA04B5" w:rsidR="00FC2573" w:rsidRDefault="00FC2573" w:rsidP="00FC2573">
      <w:pPr>
        <w:pStyle w:val="ListParagraph"/>
        <w:numPr>
          <w:ilvl w:val="0"/>
          <w:numId w:val="15"/>
        </w:numPr>
        <w:ind w:left="360"/>
        <w:rPr>
          <w:bCs/>
        </w:rPr>
      </w:pPr>
      <w:proofErr w:type="spellStart"/>
      <w:r w:rsidRPr="00FC2573">
        <w:rPr>
          <w:bCs/>
        </w:rPr>
        <w:t>Capaday</w:t>
      </w:r>
      <w:proofErr w:type="spellEnd"/>
      <w:r w:rsidRPr="00FC2573">
        <w:rPr>
          <w:bCs/>
        </w:rPr>
        <w:t>, C., Lavoie, B. A., Barbeau, H., Schneider, C.</w:t>
      </w:r>
      <w:r w:rsidR="00E033C3">
        <w:rPr>
          <w:bCs/>
        </w:rPr>
        <w:t>,</w:t>
      </w:r>
      <w:r w:rsidRPr="00FC2573">
        <w:rPr>
          <w:bCs/>
        </w:rPr>
        <w:t xml:space="preserve"> Bonnard, M. Studies on the corticospinal control of human walking. I. Responses to focal transcranial magnetic stimulation of the motor cortex. </w:t>
      </w:r>
      <w:r w:rsidRPr="00006D07">
        <w:rPr>
          <w:bCs/>
          <w:i/>
          <w:iCs/>
        </w:rPr>
        <w:t>J</w:t>
      </w:r>
      <w:r w:rsidR="00E033C3" w:rsidRPr="00006D07">
        <w:rPr>
          <w:bCs/>
          <w:i/>
          <w:iCs/>
        </w:rPr>
        <w:t>ournal of</w:t>
      </w:r>
      <w:r w:rsidRPr="00006D07">
        <w:rPr>
          <w:bCs/>
          <w:i/>
          <w:iCs/>
        </w:rPr>
        <w:t xml:space="preserve"> Neurophysiol</w:t>
      </w:r>
      <w:r w:rsidR="00E033C3" w:rsidRPr="00006D07">
        <w:rPr>
          <w:bCs/>
          <w:i/>
          <w:iCs/>
        </w:rPr>
        <w:t>ogy</w:t>
      </w:r>
      <w:r w:rsidRPr="00FC2573">
        <w:rPr>
          <w:bCs/>
        </w:rPr>
        <w:t xml:space="preserve">. </w:t>
      </w:r>
      <w:r w:rsidRPr="00006D07">
        <w:rPr>
          <w:b/>
        </w:rPr>
        <w:t>81</w:t>
      </w:r>
      <w:r w:rsidRPr="00FC2573">
        <w:rPr>
          <w:bCs/>
        </w:rPr>
        <w:t xml:space="preserve"> (1), 129</w:t>
      </w:r>
      <w:r w:rsidR="00E033C3">
        <w:rPr>
          <w:bCs/>
        </w:rPr>
        <w:t>–</w:t>
      </w:r>
      <w:r w:rsidRPr="00FC2573">
        <w:rPr>
          <w:bCs/>
        </w:rPr>
        <w:t>139 (1999).</w:t>
      </w:r>
    </w:p>
    <w:p w14:paraId="642CF9CC" w14:textId="028F00CA" w:rsidR="0055357B" w:rsidRPr="008742E0" w:rsidRDefault="0055357B" w:rsidP="002A34AE">
      <w:pPr>
        <w:pStyle w:val="ListParagraph"/>
        <w:numPr>
          <w:ilvl w:val="0"/>
          <w:numId w:val="15"/>
        </w:numPr>
        <w:ind w:left="360"/>
        <w:rPr>
          <w:bCs/>
        </w:rPr>
      </w:pPr>
      <w:r w:rsidRPr="008742E0">
        <w:rPr>
          <w:bCs/>
        </w:rPr>
        <w:t>Schubert, M., Curt, A., Colombo, G., Berger, W.</w:t>
      </w:r>
      <w:r w:rsidR="00E033C3">
        <w:rPr>
          <w:bCs/>
        </w:rPr>
        <w:t>,</w:t>
      </w:r>
      <w:r w:rsidRPr="008742E0">
        <w:rPr>
          <w:bCs/>
        </w:rPr>
        <w:t xml:space="preserve"> Dietz, V. Voluntary control of human gait: conditioning of magnetically evoked motor responses in a precision stepping task. </w:t>
      </w:r>
      <w:r w:rsidRPr="00006D07">
        <w:rPr>
          <w:bCs/>
          <w:i/>
          <w:iCs/>
        </w:rPr>
        <w:t>Exp</w:t>
      </w:r>
      <w:r w:rsidR="00E033C3">
        <w:rPr>
          <w:bCs/>
          <w:i/>
          <w:iCs/>
        </w:rPr>
        <w:t>erimental</w:t>
      </w:r>
      <w:r w:rsidRPr="00006D07">
        <w:rPr>
          <w:bCs/>
          <w:i/>
          <w:iCs/>
        </w:rPr>
        <w:t xml:space="preserve"> Brain Res</w:t>
      </w:r>
      <w:r w:rsidR="00E033C3" w:rsidRPr="00006D07">
        <w:rPr>
          <w:bCs/>
          <w:i/>
          <w:iCs/>
        </w:rPr>
        <w:t>earch</w:t>
      </w:r>
      <w:r w:rsidRPr="008742E0">
        <w:rPr>
          <w:bCs/>
        </w:rPr>
        <w:t xml:space="preserve">. </w:t>
      </w:r>
      <w:r w:rsidRPr="00006D07">
        <w:rPr>
          <w:b/>
        </w:rPr>
        <w:t>126</w:t>
      </w:r>
      <w:r w:rsidRPr="008742E0">
        <w:rPr>
          <w:bCs/>
        </w:rPr>
        <w:t xml:space="preserve"> (4), 583</w:t>
      </w:r>
      <w:r w:rsidR="00E033C3">
        <w:rPr>
          <w:bCs/>
        </w:rPr>
        <w:t>–</w:t>
      </w:r>
      <w:r w:rsidRPr="008742E0">
        <w:rPr>
          <w:bCs/>
        </w:rPr>
        <w:t>588 (1999).</w:t>
      </w:r>
    </w:p>
    <w:p w14:paraId="599F90A4" w14:textId="38C8D405" w:rsidR="00E06390" w:rsidRPr="002A34AE" w:rsidRDefault="00E06390" w:rsidP="002A34AE">
      <w:pPr>
        <w:pStyle w:val="ListParagraph"/>
        <w:numPr>
          <w:ilvl w:val="0"/>
          <w:numId w:val="15"/>
        </w:numPr>
        <w:ind w:left="360"/>
        <w:rPr>
          <w:bCs/>
        </w:rPr>
      </w:pPr>
      <w:r w:rsidRPr="008742E0">
        <w:rPr>
          <w:bCs/>
        </w:rPr>
        <w:t>Ackermann, H., Scholz, E., Koehler, W.</w:t>
      </w:r>
      <w:r w:rsidR="00E033C3">
        <w:rPr>
          <w:bCs/>
        </w:rPr>
        <w:t>,</w:t>
      </w:r>
      <w:r w:rsidRPr="008742E0">
        <w:rPr>
          <w:bCs/>
        </w:rPr>
        <w:t xml:space="preserve"> </w:t>
      </w:r>
      <w:proofErr w:type="spellStart"/>
      <w:r w:rsidRPr="008742E0">
        <w:rPr>
          <w:bCs/>
        </w:rPr>
        <w:t>Dichgans</w:t>
      </w:r>
      <w:proofErr w:type="spellEnd"/>
      <w:r w:rsidRPr="008742E0">
        <w:rPr>
          <w:bCs/>
        </w:rPr>
        <w:t xml:space="preserve">, J. Influence of posture and voluntary background contraction upon compound muscle action potentials from anterior tibial and soleus muscle following transcranial magnetic stimulation. </w:t>
      </w:r>
      <w:r w:rsidRPr="00006D07">
        <w:rPr>
          <w:bCs/>
          <w:i/>
          <w:iCs/>
        </w:rPr>
        <w:t>Electroencephalogr</w:t>
      </w:r>
      <w:r w:rsidR="00E033C3">
        <w:rPr>
          <w:bCs/>
          <w:i/>
          <w:iCs/>
        </w:rPr>
        <w:t>aphy and</w:t>
      </w:r>
      <w:r w:rsidRPr="00006D07">
        <w:rPr>
          <w:bCs/>
          <w:i/>
          <w:iCs/>
        </w:rPr>
        <w:t xml:space="preserve"> Clin</w:t>
      </w:r>
      <w:r w:rsidR="00E033C3">
        <w:rPr>
          <w:bCs/>
          <w:i/>
          <w:iCs/>
        </w:rPr>
        <w:t>ical</w:t>
      </w:r>
      <w:r w:rsidRPr="00006D07">
        <w:rPr>
          <w:bCs/>
          <w:i/>
          <w:iCs/>
        </w:rPr>
        <w:t xml:space="preserve"> Neurophysiol</w:t>
      </w:r>
      <w:r w:rsidR="00E033C3" w:rsidRPr="00006D07">
        <w:rPr>
          <w:bCs/>
          <w:i/>
          <w:iCs/>
        </w:rPr>
        <w:t>ogy</w:t>
      </w:r>
      <w:r w:rsidRPr="008742E0">
        <w:rPr>
          <w:bCs/>
        </w:rPr>
        <w:t xml:space="preserve">. </w:t>
      </w:r>
      <w:r w:rsidRPr="00006D07">
        <w:rPr>
          <w:b/>
        </w:rPr>
        <w:t>81</w:t>
      </w:r>
      <w:r w:rsidRPr="008742E0">
        <w:rPr>
          <w:bCs/>
        </w:rPr>
        <w:t xml:space="preserve"> (1), 71</w:t>
      </w:r>
      <w:r w:rsidR="00E033C3">
        <w:rPr>
          <w:bCs/>
        </w:rPr>
        <w:t>–</w:t>
      </w:r>
      <w:r w:rsidRPr="008742E0">
        <w:rPr>
          <w:bCs/>
        </w:rPr>
        <w:t>80 (1991).</w:t>
      </w:r>
    </w:p>
    <w:p w14:paraId="1CD4B4FF" w14:textId="363CE4C7" w:rsidR="00FC2573" w:rsidRDefault="00FC2573" w:rsidP="00980D2A">
      <w:pPr>
        <w:pStyle w:val="ListParagraph"/>
        <w:numPr>
          <w:ilvl w:val="0"/>
          <w:numId w:val="15"/>
        </w:numPr>
        <w:ind w:left="360"/>
        <w:rPr>
          <w:bCs/>
        </w:rPr>
      </w:pPr>
      <w:r w:rsidRPr="00980D2A">
        <w:rPr>
          <w:bCs/>
        </w:rPr>
        <w:t>Lavoie, B. A., Cody, F. W.</w:t>
      </w:r>
      <w:r w:rsidR="00E033C3">
        <w:rPr>
          <w:bCs/>
        </w:rPr>
        <w:t>,</w:t>
      </w:r>
      <w:r w:rsidRPr="00980D2A">
        <w:rPr>
          <w:bCs/>
        </w:rPr>
        <w:t xml:space="preserve"> </w:t>
      </w:r>
      <w:proofErr w:type="spellStart"/>
      <w:r w:rsidRPr="00980D2A">
        <w:rPr>
          <w:bCs/>
        </w:rPr>
        <w:t>Capaday</w:t>
      </w:r>
      <w:proofErr w:type="spellEnd"/>
      <w:r w:rsidRPr="00980D2A">
        <w:rPr>
          <w:bCs/>
        </w:rPr>
        <w:t xml:space="preserve">, C. Cortical control of human soleus muscle during volitional and postural activities studied using focal magnetic stimulation. </w:t>
      </w:r>
      <w:r w:rsidRPr="00006D07">
        <w:rPr>
          <w:bCs/>
          <w:i/>
          <w:iCs/>
        </w:rPr>
        <w:t>Exp</w:t>
      </w:r>
      <w:r w:rsidR="00E033C3" w:rsidRPr="00006D07">
        <w:rPr>
          <w:bCs/>
          <w:i/>
          <w:iCs/>
        </w:rPr>
        <w:t>erimental</w:t>
      </w:r>
      <w:r w:rsidRPr="00006D07">
        <w:rPr>
          <w:bCs/>
          <w:i/>
          <w:iCs/>
        </w:rPr>
        <w:t xml:space="preserve"> Brain Res</w:t>
      </w:r>
      <w:r w:rsidR="00E033C3" w:rsidRPr="00006D07">
        <w:rPr>
          <w:bCs/>
          <w:i/>
          <w:iCs/>
        </w:rPr>
        <w:t>earch</w:t>
      </w:r>
      <w:r w:rsidRPr="00980D2A">
        <w:rPr>
          <w:bCs/>
        </w:rPr>
        <w:t xml:space="preserve">. </w:t>
      </w:r>
      <w:r w:rsidRPr="00006D07">
        <w:rPr>
          <w:b/>
        </w:rPr>
        <w:t>103</w:t>
      </w:r>
      <w:r w:rsidRPr="00980D2A">
        <w:rPr>
          <w:bCs/>
        </w:rPr>
        <w:t xml:space="preserve"> (1), 97</w:t>
      </w:r>
      <w:r w:rsidR="00E033C3">
        <w:rPr>
          <w:bCs/>
        </w:rPr>
        <w:t>–</w:t>
      </w:r>
      <w:r w:rsidRPr="00980D2A">
        <w:rPr>
          <w:bCs/>
        </w:rPr>
        <w:t>107 (1995).</w:t>
      </w:r>
    </w:p>
    <w:p w14:paraId="61F772DC" w14:textId="2E8CF96A" w:rsidR="00980D2A" w:rsidRDefault="00980D2A" w:rsidP="00980D2A">
      <w:pPr>
        <w:pStyle w:val="ListParagraph"/>
        <w:numPr>
          <w:ilvl w:val="0"/>
          <w:numId w:val="15"/>
        </w:numPr>
        <w:ind w:left="360"/>
        <w:rPr>
          <w:bCs/>
        </w:rPr>
      </w:pPr>
      <w:r w:rsidRPr="00980D2A">
        <w:rPr>
          <w:bCs/>
        </w:rPr>
        <w:t>Soto, O., Valls-</w:t>
      </w:r>
      <w:proofErr w:type="spellStart"/>
      <w:r w:rsidRPr="00980D2A">
        <w:rPr>
          <w:bCs/>
        </w:rPr>
        <w:t>Solé</w:t>
      </w:r>
      <w:proofErr w:type="spellEnd"/>
      <w:r w:rsidRPr="00980D2A">
        <w:rPr>
          <w:bCs/>
        </w:rPr>
        <w:t>, J., Shanahan, P.</w:t>
      </w:r>
      <w:r w:rsidR="00E033C3">
        <w:rPr>
          <w:bCs/>
        </w:rPr>
        <w:t>,</w:t>
      </w:r>
      <w:r w:rsidRPr="00980D2A">
        <w:rPr>
          <w:bCs/>
        </w:rPr>
        <w:t xml:space="preserve"> Rothwell, J. Reduction of intracortical inhibition in soleus muscle during postural activity. </w:t>
      </w:r>
      <w:r w:rsidRPr="00006D07">
        <w:rPr>
          <w:bCs/>
          <w:i/>
          <w:iCs/>
        </w:rPr>
        <w:t>J</w:t>
      </w:r>
      <w:r w:rsidR="00E033C3">
        <w:rPr>
          <w:bCs/>
          <w:i/>
          <w:iCs/>
        </w:rPr>
        <w:t>ournal of</w:t>
      </w:r>
      <w:r w:rsidRPr="00006D07">
        <w:rPr>
          <w:bCs/>
          <w:i/>
          <w:iCs/>
        </w:rPr>
        <w:t xml:space="preserve"> Neurophysiol</w:t>
      </w:r>
      <w:r w:rsidR="00E033C3" w:rsidRPr="00006D07">
        <w:rPr>
          <w:bCs/>
          <w:i/>
          <w:iCs/>
        </w:rPr>
        <w:t>ogy</w:t>
      </w:r>
      <w:r w:rsidRPr="00980D2A">
        <w:rPr>
          <w:bCs/>
        </w:rPr>
        <w:t xml:space="preserve">. </w:t>
      </w:r>
      <w:r w:rsidRPr="00006D07">
        <w:rPr>
          <w:b/>
        </w:rPr>
        <w:t>96</w:t>
      </w:r>
      <w:r w:rsidRPr="00980D2A">
        <w:rPr>
          <w:bCs/>
        </w:rPr>
        <w:t xml:space="preserve"> (4), 1711</w:t>
      </w:r>
      <w:r w:rsidR="00E033C3">
        <w:rPr>
          <w:bCs/>
        </w:rPr>
        <w:t>–</w:t>
      </w:r>
      <w:r w:rsidRPr="00980D2A">
        <w:rPr>
          <w:bCs/>
        </w:rPr>
        <w:t>1717 (2006).</w:t>
      </w:r>
    </w:p>
    <w:p w14:paraId="22262574" w14:textId="6208E4F7" w:rsidR="00DF6928" w:rsidRPr="00980D2A" w:rsidRDefault="00DF6928" w:rsidP="00786C36">
      <w:pPr>
        <w:pStyle w:val="ListParagraph"/>
        <w:numPr>
          <w:ilvl w:val="0"/>
          <w:numId w:val="15"/>
        </w:numPr>
        <w:ind w:left="360"/>
        <w:rPr>
          <w:bCs/>
        </w:rPr>
      </w:pPr>
      <w:r w:rsidRPr="00DF6928">
        <w:rPr>
          <w:bCs/>
        </w:rPr>
        <w:t xml:space="preserve">Kesar, T. M., </w:t>
      </w:r>
      <w:proofErr w:type="spellStart"/>
      <w:r w:rsidRPr="00DF6928">
        <w:rPr>
          <w:bCs/>
        </w:rPr>
        <w:t>Eicholtz</w:t>
      </w:r>
      <w:proofErr w:type="spellEnd"/>
      <w:r w:rsidRPr="00DF6928">
        <w:rPr>
          <w:bCs/>
        </w:rPr>
        <w:t>, S., Lin, B. J., Wolf, S. L.</w:t>
      </w:r>
      <w:r w:rsidR="00E033C3">
        <w:rPr>
          <w:bCs/>
        </w:rPr>
        <w:t>,</w:t>
      </w:r>
      <w:r w:rsidRPr="00DF6928">
        <w:rPr>
          <w:bCs/>
        </w:rPr>
        <w:t xml:space="preserve"> Borich, M. R. Effects of posture and coactivation on corticomotor excitability of ankle muscles. </w:t>
      </w:r>
      <w:r w:rsidRPr="00006D07">
        <w:rPr>
          <w:bCs/>
          <w:i/>
          <w:iCs/>
        </w:rPr>
        <w:t>Restor</w:t>
      </w:r>
      <w:r w:rsidR="00E033C3" w:rsidRPr="00006D07">
        <w:rPr>
          <w:bCs/>
          <w:i/>
          <w:iCs/>
        </w:rPr>
        <w:t>ative</w:t>
      </w:r>
      <w:r w:rsidRPr="00006D07">
        <w:rPr>
          <w:bCs/>
          <w:i/>
          <w:iCs/>
        </w:rPr>
        <w:t xml:space="preserve"> Neurol</w:t>
      </w:r>
      <w:r w:rsidR="00E033C3" w:rsidRPr="00006D07">
        <w:rPr>
          <w:bCs/>
          <w:i/>
          <w:iCs/>
        </w:rPr>
        <w:t>ogy and</w:t>
      </w:r>
      <w:r w:rsidRPr="00006D07">
        <w:rPr>
          <w:bCs/>
          <w:i/>
          <w:iCs/>
        </w:rPr>
        <w:t xml:space="preserve"> Neurosci</w:t>
      </w:r>
      <w:r w:rsidR="00E033C3" w:rsidRPr="00006D07">
        <w:rPr>
          <w:bCs/>
          <w:i/>
          <w:iCs/>
        </w:rPr>
        <w:t>ence</w:t>
      </w:r>
      <w:r w:rsidRPr="00DF6928">
        <w:rPr>
          <w:bCs/>
        </w:rPr>
        <w:t xml:space="preserve">. </w:t>
      </w:r>
      <w:r w:rsidRPr="00006D07">
        <w:rPr>
          <w:b/>
        </w:rPr>
        <w:t>36</w:t>
      </w:r>
      <w:r w:rsidRPr="00DF6928">
        <w:rPr>
          <w:bCs/>
        </w:rPr>
        <w:t xml:space="preserve"> (1), 131</w:t>
      </w:r>
      <w:r w:rsidR="00E033C3">
        <w:rPr>
          <w:bCs/>
        </w:rPr>
        <w:t>–</w:t>
      </w:r>
      <w:r w:rsidRPr="00DF6928">
        <w:rPr>
          <w:bCs/>
        </w:rPr>
        <w:t>146 (2018).</w:t>
      </w:r>
    </w:p>
    <w:p w14:paraId="79EF7D67" w14:textId="584D0155" w:rsidR="00DF6928" w:rsidRDefault="00DF6928" w:rsidP="002A34AE">
      <w:pPr>
        <w:pStyle w:val="ListParagraph"/>
        <w:numPr>
          <w:ilvl w:val="0"/>
          <w:numId w:val="15"/>
        </w:numPr>
        <w:ind w:left="360"/>
        <w:rPr>
          <w:bCs/>
        </w:rPr>
      </w:pPr>
      <w:r w:rsidRPr="00DF6928">
        <w:rPr>
          <w:bCs/>
        </w:rPr>
        <w:t xml:space="preserve">Nandi, T. et al. </w:t>
      </w:r>
      <w:r w:rsidRPr="005B2377">
        <w:rPr>
          <w:bCs/>
        </w:rPr>
        <w:t xml:space="preserve">In </w:t>
      </w:r>
      <w:r w:rsidR="00E033C3">
        <w:rPr>
          <w:bCs/>
        </w:rPr>
        <w:t>s</w:t>
      </w:r>
      <w:r w:rsidRPr="005B2377">
        <w:rPr>
          <w:bCs/>
        </w:rPr>
        <w:t xml:space="preserve">tanding, </w:t>
      </w:r>
      <w:r w:rsidR="00E033C3">
        <w:rPr>
          <w:bCs/>
        </w:rPr>
        <w:t>c</w:t>
      </w:r>
      <w:r w:rsidRPr="005B2377">
        <w:rPr>
          <w:bCs/>
        </w:rPr>
        <w:t xml:space="preserve">orticospinal </w:t>
      </w:r>
      <w:r w:rsidR="00E033C3">
        <w:rPr>
          <w:bCs/>
        </w:rPr>
        <w:t>e</w:t>
      </w:r>
      <w:r w:rsidRPr="005B2377">
        <w:rPr>
          <w:bCs/>
        </w:rPr>
        <w:t xml:space="preserve">xcitability </w:t>
      </w:r>
      <w:r w:rsidR="00E033C3">
        <w:rPr>
          <w:bCs/>
        </w:rPr>
        <w:t>i</w:t>
      </w:r>
      <w:r w:rsidRPr="005B2377">
        <w:rPr>
          <w:bCs/>
        </w:rPr>
        <w:t xml:space="preserve">s </w:t>
      </w:r>
      <w:r w:rsidR="00E033C3">
        <w:rPr>
          <w:bCs/>
        </w:rPr>
        <w:t>p</w:t>
      </w:r>
      <w:r w:rsidRPr="005B2377">
        <w:rPr>
          <w:bCs/>
        </w:rPr>
        <w:t xml:space="preserve">roportional to COP </w:t>
      </w:r>
      <w:r w:rsidR="00D61B37">
        <w:rPr>
          <w:bCs/>
        </w:rPr>
        <w:t>v</w:t>
      </w:r>
      <w:r w:rsidRPr="005B2377">
        <w:rPr>
          <w:bCs/>
        </w:rPr>
        <w:t xml:space="preserve">elocity </w:t>
      </w:r>
      <w:r w:rsidR="00D61B37">
        <w:rPr>
          <w:bCs/>
        </w:rPr>
        <w:t>w</w:t>
      </w:r>
      <w:r w:rsidRPr="005B2377">
        <w:rPr>
          <w:bCs/>
        </w:rPr>
        <w:t xml:space="preserve">hereas M1 </w:t>
      </w:r>
      <w:r w:rsidR="00D61B37">
        <w:rPr>
          <w:bCs/>
        </w:rPr>
        <w:t>e</w:t>
      </w:r>
      <w:r w:rsidRPr="005B2377">
        <w:rPr>
          <w:bCs/>
        </w:rPr>
        <w:t xml:space="preserve">xcitability </w:t>
      </w:r>
      <w:r w:rsidR="00D61B37">
        <w:rPr>
          <w:bCs/>
        </w:rPr>
        <w:t>i</w:t>
      </w:r>
      <w:r w:rsidRPr="005B2377">
        <w:rPr>
          <w:bCs/>
        </w:rPr>
        <w:t xml:space="preserve">s </w:t>
      </w:r>
      <w:r w:rsidR="00D61B37">
        <w:rPr>
          <w:bCs/>
        </w:rPr>
        <w:t>p</w:t>
      </w:r>
      <w:r w:rsidRPr="005B2377">
        <w:rPr>
          <w:bCs/>
        </w:rPr>
        <w:t>articipant-</w:t>
      </w:r>
      <w:r w:rsidR="00D61B37">
        <w:rPr>
          <w:bCs/>
        </w:rPr>
        <w:t>s</w:t>
      </w:r>
      <w:r w:rsidRPr="005B2377">
        <w:rPr>
          <w:bCs/>
        </w:rPr>
        <w:t xml:space="preserve">pecific. </w:t>
      </w:r>
      <w:r w:rsidRPr="00006D07">
        <w:rPr>
          <w:bCs/>
          <w:i/>
          <w:iCs/>
        </w:rPr>
        <w:t>Frontiers in Human Neuroscience</w:t>
      </w:r>
      <w:r w:rsidRPr="005B2377">
        <w:rPr>
          <w:bCs/>
        </w:rPr>
        <w:t xml:space="preserve">. </w:t>
      </w:r>
      <w:r w:rsidRPr="00006D07">
        <w:rPr>
          <w:b/>
        </w:rPr>
        <w:t>12</w:t>
      </w:r>
      <w:r w:rsidRPr="005B2377">
        <w:rPr>
          <w:bCs/>
        </w:rPr>
        <w:t xml:space="preserve">, </w:t>
      </w:r>
      <w:r w:rsidR="00D61B37" w:rsidRPr="005B2377">
        <w:rPr>
          <w:bCs/>
        </w:rPr>
        <w:t>303</w:t>
      </w:r>
      <w:r w:rsidRPr="005B2377">
        <w:rPr>
          <w:bCs/>
        </w:rPr>
        <w:t xml:space="preserve"> (2018).</w:t>
      </w:r>
    </w:p>
    <w:p w14:paraId="0CEC6DF7" w14:textId="41464BEA" w:rsidR="0055357B" w:rsidRPr="002A34AE" w:rsidRDefault="0055357B" w:rsidP="002A34AE">
      <w:pPr>
        <w:pStyle w:val="ListParagraph"/>
        <w:numPr>
          <w:ilvl w:val="0"/>
          <w:numId w:val="15"/>
        </w:numPr>
        <w:ind w:left="360"/>
        <w:rPr>
          <w:bCs/>
        </w:rPr>
      </w:pPr>
      <w:proofErr w:type="spellStart"/>
      <w:r w:rsidRPr="008742E0">
        <w:rPr>
          <w:bCs/>
        </w:rPr>
        <w:t>Tokuno</w:t>
      </w:r>
      <w:proofErr w:type="spellEnd"/>
      <w:r w:rsidRPr="008742E0">
        <w:rPr>
          <w:bCs/>
        </w:rPr>
        <w:t>, C. D., Keller, M., Carpenter, M. G., Márquez, G.</w:t>
      </w:r>
      <w:r w:rsidR="00D61B37">
        <w:rPr>
          <w:bCs/>
        </w:rPr>
        <w:t>,</w:t>
      </w:r>
      <w:r w:rsidRPr="008742E0">
        <w:rPr>
          <w:bCs/>
        </w:rPr>
        <w:t xml:space="preserve"> Taube, W. Alterations in the cortical control of standing posture during varying levels of postural threat and task difficulty. </w:t>
      </w:r>
      <w:r w:rsidRPr="00006D07">
        <w:rPr>
          <w:bCs/>
          <w:i/>
          <w:iCs/>
        </w:rPr>
        <w:t>Journal of Neurophysiology</w:t>
      </w:r>
      <w:r w:rsidRPr="008742E0">
        <w:rPr>
          <w:bCs/>
        </w:rPr>
        <w:t xml:space="preserve">. </w:t>
      </w:r>
      <w:r w:rsidRPr="00006D07">
        <w:rPr>
          <w:b/>
        </w:rPr>
        <w:t>120</w:t>
      </w:r>
      <w:r w:rsidRPr="008742E0">
        <w:rPr>
          <w:bCs/>
        </w:rPr>
        <w:t xml:space="preserve"> (3), 1010</w:t>
      </w:r>
      <w:r w:rsidR="00D61B37">
        <w:rPr>
          <w:bCs/>
        </w:rPr>
        <w:t>–</w:t>
      </w:r>
      <w:r w:rsidRPr="008742E0">
        <w:rPr>
          <w:bCs/>
        </w:rPr>
        <w:t>1016 (2018).</w:t>
      </w:r>
    </w:p>
    <w:p w14:paraId="23051331" w14:textId="7E5D81A8" w:rsidR="00980D2A" w:rsidRPr="008742E0" w:rsidRDefault="00980D2A" w:rsidP="002A34AE">
      <w:pPr>
        <w:pStyle w:val="ListParagraph"/>
        <w:numPr>
          <w:ilvl w:val="0"/>
          <w:numId w:val="15"/>
        </w:numPr>
        <w:ind w:left="360"/>
        <w:rPr>
          <w:bCs/>
        </w:rPr>
      </w:pPr>
      <w:proofErr w:type="spellStart"/>
      <w:r w:rsidRPr="00980D2A">
        <w:rPr>
          <w:bCs/>
        </w:rPr>
        <w:t>Mouthon</w:t>
      </w:r>
      <w:proofErr w:type="spellEnd"/>
      <w:r w:rsidRPr="00980D2A">
        <w:rPr>
          <w:bCs/>
        </w:rPr>
        <w:t>, A.</w:t>
      </w:r>
      <w:r w:rsidR="00D61B37">
        <w:rPr>
          <w:bCs/>
        </w:rPr>
        <w:t>,</w:t>
      </w:r>
      <w:r w:rsidRPr="00980D2A">
        <w:rPr>
          <w:bCs/>
        </w:rPr>
        <w:t xml:space="preserve"> Taube, W. Intracortical </w:t>
      </w:r>
      <w:r w:rsidR="00D61B37">
        <w:rPr>
          <w:bCs/>
        </w:rPr>
        <w:t>i</w:t>
      </w:r>
      <w:r w:rsidRPr="00980D2A">
        <w:rPr>
          <w:bCs/>
        </w:rPr>
        <w:t xml:space="preserve">nhibition </w:t>
      </w:r>
      <w:r w:rsidR="00D61B37">
        <w:rPr>
          <w:bCs/>
        </w:rPr>
        <w:t>i</w:t>
      </w:r>
      <w:r w:rsidRPr="00980D2A">
        <w:rPr>
          <w:bCs/>
        </w:rPr>
        <w:t xml:space="preserve">ncreases during </w:t>
      </w:r>
      <w:r w:rsidR="00D61B37">
        <w:rPr>
          <w:bCs/>
        </w:rPr>
        <w:t>p</w:t>
      </w:r>
      <w:r w:rsidRPr="00980D2A">
        <w:rPr>
          <w:bCs/>
        </w:rPr>
        <w:t xml:space="preserve">ostural </w:t>
      </w:r>
      <w:r w:rsidR="00D61B37">
        <w:rPr>
          <w:bCs/>
        </w:rPr>
        <w:t>t</w:t>
      </w:r>
      <w:r w:rsidRPr="00980D2A">
        <w:rPr>
          <w:bCs/>
        </w:rPr>
        <w:t xml:space="preserve">ask </w:t>
      </w:r>
      <w:r w:rsidR="00D61B37">
        <w:rPr>
          <w:bCs/>
        </w:rPr>
        <w:t>e</w:t>
      </w:r>
      <w:r w:rsidRPr="00980D2A">
        <w:rPr>
          <w:bCs/>
        </w:rPr>
        <w:t xml:space="preserve">xecution in </w:t>
      </w:r>
      <w:r w:rsidR="00D61B37">
        <w:rPr>
          <w:bCs/>
        </w:rPr>
        <w:t>r</w:t>
      </w:r>
      <w:r w:rsidRPr="00980D2A">
        <w:rPr>
          <w:bCs/>
        </w:rPr>
        <w:t xml:space="preserve">esponse to </w:t>
      </w:r>
      <w:r w:rsidR="00D61B37">
        <w:rPr>
          <w:bCs/>
        </w:rPr>
        <w:t>b</w:t>
      </w:r>
      <w:r w:rsidRPr="00980D2A">
        <w:rPr>
          <w:bCs/>
        </w:rPr>
        <w:t xml:space="preserve">alance </w:t>
      </w:r>
      <w:r w:rsidR="00D61B37">
        <w:rPr>
          <w:bCs/>
        </w:rPr>
        <w:t>t</w:t>
      </w:r>
      <w:r w:rsidRPr="00980D2A">
        <w:rPr>
          <w:bCs/>
        </w:rPr>
        <w:t xml:space="preserve">raining. </w:t>
      </w:r>
      <w:r w:rsidRPr="00006D07">
        <w:rPr>
          <w:bCs/>
          <w:i/>
          <w:iCs/>
        </w:rPr>
        <w:t>Neuroscience</w:t>
      </w:r>
      <w:r w:rsidRPr="00980D2A">
        <w:rPr>
          <w:bCs/>
        </w:rPr>
        <w:t xml:space="preserve">. </w:t>
      </w:r>
      <w:r w:rsidRPr="00006D07">
        <w:rPr>
          <w:b/>
        </w:rPr>
        <w:t>401</w:t>
      </w:r>
      <w:r w:rsidR="00D61B37" w:rsidRPr="00980D2A">
        <w:rPr>
          <w:bCs/>
        </w:rPr>
        <w:t>,</w:t>
      </w:r>
      <w:r w:rsidRPr="00980D2A">
        <w:rPr>
          <w:bCs/>
        </w:rPr>
        <w:t xml:space="preserve"> 35</w:t>
      </w:r>
      <w:r w:rsidR="00D61B37">
        <w:rPr>
          <w:bCs/>
        </w:rPr>
        <w:t>–</w:t>
      </w:r>
      <w:r w:rsidRPr="00980D2A">
        <w:rPr>
          <w:bCs/>
        </w:rPr>
        <w:t>42 (2019).</w:t>
      </w:r>
    </w:p>
    <w:p w14:paraId="072DB084" w14:textId="1B6A9E5F" w:rsidR="000F4F09" w:rsidRPr="002A34AE" w:rsidRDefault="000F4F09" w:rsidP="000F4F09">
      <w:pPr>
        <w:pStyle w:val="ListParagraph"/>
        <w:numPr>
          <w:ilvl w:val="0"/>
          <w:numId w:val="15"/>
        </w:numPr>
        <w:ind w:left="360"/>
        <w:rPr>
          <w:bCs/>
        </w:rPr>
      </w:pPr>
      <w:r w:rsidRPr="008742E0">
        <w:rPr>
          <w:bCs/>
        </w:rPr>
        <w:t>Charalambous, C. C., Liang, J. N., Kautz, S. A., George, M. S.</w:t>
      </w:r>
      <w:r w:rsidR="00D61B37">
        <w:rPr>
          <w:bCs/>
        </w:rPr>
        <w:t>,</w:t>
      </w:r>
      <w:r w:rsidRPr="008742E0">
        <w:rPr>
          <w:bCs/>
        </w:rPr>
        <w:t xml:space="preserve"> Bowden, M. G. Bilateral </w:t>
      </w:r>
      <w:r w:rsidR="00D61B37">
        <w:rPr>
          <w:bCs/>
        </w:rPr>
        <w:t>a</w:t>
      </w:r>
      <w:r w:rsidRPr="008742E0">
        <w:rPr>
          <w:bCs/>
        </w:rPr>
        <w:t xml:space="preserve">ssessment of the </w:t>
      </w:r>
      <w:r w:rsidR="00D61B37">
        <w:rPr>
          <w:bCs/>
        </w:rPr>
        <w:t>c</w:t>
      </w:r>
      <w:r w:rsidRPr="008742E0">
        <w:rPr>
          <w:bCs/>
        </w:rPr>
        <w:t xml:space="preserve">orticospinal </w:t>
      </w:r>
      <w:r w:rsidR="00D61B37">
        <w:rPr>
          <w:bCs/>
        </w:rPr>
        <w:t>p</w:t>
      </w:r>
      <w:r w:rsidRPr="008742E0">
        <w:rPr>
          <w:bCs/>
        </w:rPr>
        <w:t xml:space="preserve">athways of the </w:t>
      </w:r>
      <w:r w:rsidR="00D61B37">
        <w:rPr>
          <w:bCs/>
        </w:rPr>
        <w:t>a</w:t>
      </w:r>
      <w:r w:rsidRPr="008742E0">
        <w:rPr>
          <w:bCs/>
        </w:rPr>
        <w:t xml:space="preserve">nkle </w:t>
      </w:r>
      <w:r w:rsidR="00D61B37">
        <w:rPr>
          <w:bCs/>
        </w:rPr>
        <w:t>m</w:t>
      </w:r>
      <w:r w:rsidRPr="008742E0">
        <w:rPr>
          <w:bCs/>
        </w:rPr>
        <w:t xml:space="preserve">uscles </w:t>
      </w:r>
      <w:r w:rsidR="00D61B37">
        <w:rPr>
          <w:bCs/>
        </w:rPr>
        <w:t>u</w:t>
      </w:r>
      <w:r w:rsidRPr="008742E0">
        <w:rPr>
          <w:bCs/>
        </w:rPr>
        <w:t xml:space="preserve">sing </w:t>
      </w:r>
      <w:r w:rsidR="00D61B37">
        <w:rPr>
          <w:bCs/>
        </w:rPr>
        <w:t>n</w:t>
      </w:r>
      <w:r w:rsidRPr="008742E0">
        <w:rPr>
          <w:bCs/>
        </w:rPr>
        <w:t xml:space="preserve">avigated </w:t>
      </w:r>
      <w:r w:rsidR="00D61B37">
        <w:rPr>
          <w:bCs/>
        </w:rPr>
        <w:t>t</w:t>
      </w:r>
      <w:r w:rsidRPr="008742E0">
        <w:rPr>
          <w:bCs/>
        </w:rPr>
        <w:t xml:space="preserve">ranscranial </w:t>
      </w:r>
      <w:r w:rsidR="00D61B37">
        <w:rPr>
          <w:bCs/>
        </w:rPr>
        <w:t>m</w:t>
      </w:r>
      <w:r w:rsidRPr="008742E0">
        <w:rPr>
          <w:bCs/>
        </w:rPr>
        <w:t xml:space="preserve">agnetic </w:t>
      </w:r>
      <w:r w:rsidR="00D61B37">
        <w:rPr>
          <w:bCs/>
        </w:rPr>
        <w:t>s</w:t>
      </w:r>
      <w:r w:rsidRPr="008742E0">
        <w:rPr>
          <w:bCs/>
        </w:rPr>
        <w:t xml:space="preserve">timulation. </w:t>
      </w:r>
      <w:r w:rsidRPr="00006D07">
        <w:rPr>
          <w:bCs/>
          <w:i/>
          <w:iCs/>
        </w:rPr>
        <w:t>J</w:t>
      </w:r>
      <w:r w:rsidR="00D61B37" w:rsidRPr="00006D07">
        <w:rPr>
          <w:bCs/>
          <w:i/>
          <w:iCs/>
        </w:rPr>
        <w:t>ournal of</w:t>
      </w:r>
      <w:r w:rsidRPr="00006D07">
        <w:rPr>
          <w:bCs/>
          <w:i/>
          <w:iCs/>
        </w:rPr>
        <w:t xml:space="preserve"> Vis</w:t>
      </w:r>
      <w:r w:rsidR="00D61B37" w:rsidRPr="00006D07">
        <w:rPr>
          <w:bCs/>
          <w:i/>
          <w:iCs/>
        </w:rPr>
        <w:t>ualized</w:t>
      </w:r>
      <w:r w:rsidRPr="00006D07">
        <w:rPr>
          <w:bCs/>
          <w:i/>
          <w:iCs/>
        </w:rPr>
        <w:t xml:space="preserve"> Exp</w:t>
      </w:r>
      <w:r w:rsidR="00D61B37" w:rsidRPr="00006D07">
        <w:rPr>
          <w:bCs/>
          <w:i/>
          <w:iCs/>
        </w:rPr>
        <w:t>eriments: JoVE</w:t>
      </w:r>
      <w:r w:rsidRPr="008742E0">
        <w:rPr>
          <w:bCs/>
        </w:rPr>
        <w:t>. (144) (2019).</w:t>
      </w:r>
    </w:p>
    <w:p w14:paraId="44196E15" w14:textId="7A34CDCF" w:rsidR="0055357B" w:rsidRDefault="0055357B" w:rsidP="002A34AE">
      <w:pPr>
        <w:pStyle w:val="ListParagraph"/>
        <w:numPr>
          <w:ilvl w:val="0"/>
          <w:numId w:val="15"/>
        </w:numPr>
        <w:ind w:left="360"/>
        <w:rPr>
          <w:bCs/>
        </w:rPr>
      </w:pPr>
      <w:proofErr w:type="spellStart"/>
      <w:r w:rsidRPr="008742E0">
        <w:rPr>
          <w:bCs/>
        </w:rPr>
        <w:t>Hermens</w:t>
      </w:r>
      <w:proofErr w:type="spellEnd"/>
      <w:r w:rsidRPr="008742E0">
        <w:rPr>
          <w:bCs/>
        </w:rPr>
        <w:t xml:space="preserve">, H. J., </w:t>
      </w:r>
      <w:proofErr w:type="spellStart"/>
      <w:r w:rsidRPr="008742E0">
        <w:rPr>
          <w:bCs/>
        </w:rPr>
        <w:t>Freriks</w:t>
      </w:r>
      <w:proofErr w:type="spellEnd"/>
      <w:r w:rsidRPr="008742E0">
        <w:rPr>
          <w:bCs/>
        </w:rPr>
        <w:t xml:space="preserve">, B., </w:t>
      </w:r>
      <w:proofErr w:type="spellStart"/>
      <w:r w:rsidRPr="008742E0">
        <w:rPr>
          <w:bCs/>
        </w:rPr>
        <w:t>Disselhorst</w:t>
      </w:r>
      <w:proofErr w:type="spellEnd"/>
      <w:r w:rsidRPr="008742E0">
        <w:rPr>
          <w:bCs/>
        </w:rPr>
        <w:t>-Klug, C.</w:t>
      </w:r>
      <w:r w:rsidR="00D61B37">
        <w:rPr>
          <w:bCs/>
        </w:rPr>
        <w:t>,</w:t>
      </w:r>
      <w:r w:rsidRPr="008742E0">
        <w:rPr>
          <w:bCs/>
        </w:rPr>
        <w:t xml:space="preserve"> Rau, G. Development of recommendations for SEMG sensors and sensor placement procedures. </w:t>
      </w:r>
      <w:r w:rsidRPr="00006D07">
        <w:rPr>
          <w:bCs/>
          <w:i/>
          <w:iCs/>
        </w:rPr>
        <w:t>J</w:t>
      </w:r>
      <w:r w:rsidR="00D61B37" w:rsidRPr="00006D07">
        <w:rPr>
          <w:bCs/>
          <w:i/>
          <w:iCs/>
        </w:rPr>
        <w:t>ournal of</w:t>
      </w:r>
      <w:r w:rsidRPr="00006D07">
        <w:rPr>
          <w:bCs/>
          <w:i/>
          <w:iCs/>
        </w:rPr>
        <w:t xml:space="preserve"> Electromyogr</w:t>
      </w:r>
      <w:r w:rsidR="00D61B37" w:rsidRPr="00006D07">
        <w:rPr>
          <w:bCs/>
          <w:i/>
          <w:iCs/>
        </w:rPr>
        <w:t>aphy and</w:t>
      </w:r>
      <w:r w:rsidRPr="00006D07">
        <w:rPr>
          <w:bCs/>
          <w:i/>
          <w:iCs/>
        </w:rPr>
        <w:t xml:space="preserve"> Kinesiol</w:t>
      </w:r>
      <w:r w:rsidR="00D61B37" w:rsidRPr="00006D07">
        <w:rPr>
          <w:bCs/>
          <w:i/>
          <w:iCs/>
        </w:rPr>
        <w:t>ogy</w:t>
      </w:r>
      <w:r w:rsidRPr="008742E0">
        <w:rPr>
          <w:bCs/>
        </w:rPr>
        <w:t xml:space="preserve">. </w:t>
      </w:r>
      <w:r w:rsidRPr="00006D07">
        <w:rPr>
          <w:b/>
        </w:rPr>
        <w:t>10</w:t>
      </w:r>
      <w:r w:rsidRPr="008742E0">
        <w:rPr>
          <w:bCs/>
        </w:rPr>
        <w:t xml:space="preserve"> (5), 361</w:t>
      </w:r>
      <w:r w:rsidR="00D61B37">
        <w:rPr>
          <w:bCs/>
        </w:rPr>
        <w:t>–</w:t>
      </w:r>
      <w:r w:rsidRPr="008742E0">
        <w:rPr>
          <w:bCs/>
        </w:rPr>
        <w:t>374 (2000).</w:t>
      </w:r>
    </w:p>
    <w:p w14:paraId="00A81D86" w14:textId="61F14668" w:rsidR="000F4F09" w:rsidRPr="002A34AE" w:rsidRDefault="000F4F09" w:rsidP="002A34AE">
      <w:pPr>
        <w:pStyle w:val="ListParagraph"/>
        <w:numPr>
          <w:ilvl w:val="0"/>
          <w:numId w:val="15"/>
        </w:numPr>
        <w:ind w:left="360"/>
        <w:rPr>
          <w:bCs/>
        </w:rPr>
      </w:pPr>
      <w:proofErr w:type="spellStart"/>
      <w:r w:rsidRPr="000F4F09">
        <w:rPr>
          <w:bCs/>
        </w:rPr>
        <w:t>Tankisi</w:t>
      </w:r>
      <w:proofErr w:type="spellEnd"/>
      <w:r w:rsidRPr="000F4F09">
        <w:rPr>
          <w:bCs/>
        </w:rPr>
        <w:t xml:space="preserve">, H. et al. Standards of instrumentation of EMG. </w:t>
      </w:r>
      <w:r w:rsidRPr="00006D07">
        <w:rPr>
          <w:bCs/>
          <w:i/>
          <w:iCs/>
        </w:rPr>
        <w:t>Clinical Neurophysiology</w:t>
      </w:r>
      <w:r w:rsidRPr="000F4F09">
        <w:rPr>
          <w:bCs/>
        </w:rPr>
        <w:t xml:space="preserve">. </w:t>
      </w:r>
      <w:r w:rsidRPr="00006D07">
        <w:rPr>
          <w:b/>
        </w:rPr>
        <w:t>131</w:t>
      </w:r>
      <w:r w:rsidRPr="000F4F09">
        <w:rPr>
          <w:bCs/>
        </w:rPr>
        <w:t xml:space="preserve"> (1), 243</w:t>
      </w:r>
      <w:r w:rsidR="00270828">
        <w:rPr>
          <w:bCs/>
        </w:rPr>
        <w:t>–</w:t>
      </w:r>
      <w:r w:rsidRPr="000F4F09">
        <w:rPr>
          <w:bCs/>
        </w:rPr>
        <w:lastRenderedPageBreak/>
        <w:t>258 (2020).</w:t>
      </w:r>
    </w:p>
    <w:p w14:paraId="1D1C56F4" w14:textId="6F727E86" w:rsidR="0055357B" w:rsidRPr="002A34AE" w:rsidRDefault="0055357B" w:rsidP="002A34AE">
      <w:pPr>
        <w:pStyle w:val="ListParagraph"/>
        <w:numPr>
          <w:ilvl w:val="0"/>
          <w:numId w:val="15"/>
        </w:numPr>
        <w:ind w:left="360"/>
        <w:rPr>
          <w:bCs/>
        </w:rPr>
      </w:pPr>
      <w:r w:rsidRPr="008742E0">
        <w:rPr>
          <w:bCs/>
        </w:rPr>
        <w:t xml:space="preserve">Mishory, A. et al. The maximum-likelihood strategy for determining transcranial magnetic stimulation motor threshold, using parameter estimation by sequential testing is faster than conventional methods with similar precision. </w:t>
      </w:r>
      <w:r w:rsidR="00270828" w:rsidRPr="00006D07">
        <w:rPr>
          <w:bCs/>
          <w:i/>
          <w:iCs/>
        </w:rPr>
        <w:t xml:space="preserve">The </w:t>
      </w:r>
      <w:r w:rsidRPr="00006D07">
        <w:rPr>
          <w:bCs/>
          <w:i/>
          <w:iCs/>
        </w:rPr>
        <w:t>J</w:t>
      </w:r>
      <w:r w:rsidR="00270828" w:rsidRPr="00006D07">
        <w:rPr>
          <w:bCs/>
          <w:i/>
          <w:iCs/>
        </w:rPr>
        <w:t>ournal of</w:t>
      </w:r>
      <w:r w:rsidRPr="00006D07">
        <w:rPr>
          <w:bCs/>
          <w:i/>
          <w:iCs/>
        </w:rPr>
        <w:t xml:space="preserve"> ECT</w:t>
      </w:r>
      <w:r w:rsidRPr="008742E0">
        <w:rPr>
          <w:bCs/>
        </w:rPr>
        <w:t xml:space="preserve">. </w:t>
      </w:r>
      <w:r w:rsidRPr="00006D07">
        <w:rPr>
          <w:b/>
        </w:rPr>
        <w:t>20</w:t>
      </w:r>
      <w:r w:rsidRPr="008742E0">
        <w:rPr>
          <w:bCs/>
        </w:rPr>
        <w:t xml:space="preserve"> (3), 160</w:t>
      </w:r>
      <w:r w:rsidR="00270828">
        <w:rPr>
          <w:bCs/>
        </w:rPr>
        <w:t>–</w:t>
      </w:r>
      <w:r w:rsidRPr="008742E0">
        <w:rPr>
          <w:bCs/>
        </w:rPr>
        <w:t>165 (2004).</w:t>
      </w:r>
    </w:p>
    <w:p w14:paraId="70A36E82" w14:textId="0B1B75B5" w:rsidR="0055357B" w:rsidRDefault="0055357B" w:rsidP="002A34AE">
      <w:pPr>
        <w:pStyle w:val="ListParagraph"/>
        <w:numPr>
          <w:ilvl w:val="0"/>
          <w:numId w:val="15"/>
        </w:numPr>
        <w:ind w:left="360"/>
        <w:rPr>
          <w:bCs/>
        </w:rPr>
      </w:pPr>
      <w:r w:rsidRPr="008742E0">
        <w:rPr>
          <w:bCs/>
        </w:rPr>
        <w:t xml:space="preserve">Borckardt, J. J., </w:t>
      </w:r>
      <w:proofErr w:type="spellStart"/>
      <w:r w:rsidRPr="008742E0">
        <w:rPr>
          <w:bCs/>
        </w:rPr>
        <w:t>Nahas</w:t>
      </w:r>
      <w:proofErr w:type="spellEnd"/>
      <w:r w:rsidRPr="008742E0">
        <w:rPr>
          <w:bCs/>
        </w:rPr>
        <w:t xml:space="preserve">, Z., </w:t>
      </w:r>
      <w:proofErr w:type="spellStart"/>
      <w:r w:rsidRPr="008742E0">
        <w:rPr>
          <w:bCs/>
        </w:rPr>
        <w:t>Koola</w:t>
      </w:r>
      <w:proofErr w:type="spellEnd"/>
      <w:r w:rsidRPr="008742E0">
        <w:rPr>
          <w:bCs/>
        </w:rPr>
        <w:t>, J.</w:t>
      </w:r>
      <w:r w:rsidR="00270828">
        <w:rPr>
          <w:bCs/>
        </w:rPr>
        <w:t>,</w:t>
      </w:r>
      <w:r w:rsidRPr="008742E0">
        <w:rPr>
          <w:bCs/>
        </w:rPr>
        <w:t xml:space="preserve"> George, M. S. Estimating resting motor thresholds in transcranial magnetic stimulation research and practice: a computer simulation evaluation of best methods. </w:t>
      </w:r>
      <w:r w:rsidR="00270828" w:rsidRPr="00006D07">
        <w:rPr>
          <w:bCs/>
          <w:i/>
          <w:iCs/>
        </w:rPr>
        <w:t xml:space="preserve">The </w:t>
      </w:r>
      <w:r w:rsidRPr="00006D07">
        <w:rPr>
          <w:bCs/>
          <w:i/>
          <w:iCs/>
        </w:rPr>
        <w:t>J</w:t>
      </w:r>
      <w:r w:rsidR="00270828" w:rsidRPr="00006D07">
        <w:rPr>
          <w:bCs/>
          <w:i/>
          <w:iCs/>
        </w:rPr>
        <w:t>ournal of</w:t>
      </w:r>
      <w:r w:rsidRPr="00006D07">
        <w:rPr>
          <w:bCs/>
          <w:i/>
          <w:iCs/>
        </w:rPr>
        <w:t xml:space="preserve"> </w:t>
      </w:r>
      <w:r w:rsidR="00270828" w:rsidRPr="00006D07">
        <w:rPr>
          <w:bCs/>
          <w:i/>
          <w:iCs/>
        </w:rPr>
        <w:t>ECT</w:t>
      </w:r>
      <w:r w:rsidRPr="008742E0">
        <w:rPr>
          <w:bCs/>
        </w:rPr>
        <w:t xml:space="preserve">. </w:t>
      </w:r>
      <w:r w:rsidRPr="00006D07">
        <w:rPr>
          <w:b/>
        </w:rPr>
        <w:t>22</w:t>
      </w:r>
      <w:r w:rsidRPr="008742E0">
        <w:rPr>
          <w:bCs/>
        </w:rPr>
        <w:t xml:space="preserve"> (3), 169</w:t>
      </w:r>
      <w:r w:rsidR="00270828">
        <w:rPr>
          <w:bCs/>
        </w:rPr>
        <w:t>–</w:t>
      </w:r>
      <w:r w:rsidRPr="008742E0">
        <w:rPr>
          <w:bCs/>
        </w:rPr>
        <w:t>175 (2006).</w:t>
      </w:r>
    </w:p>
    <w:p w14:paraId="26ACF1BE" w14:textId="2221C501" w:rsidR="0055357B" w:rsidRPr="00270828" w:rsidRDefault="00DF6928" w:rsidP="00006D07">
      <w:pPr>
        <w:pStyle w:val="ListParagraph"/>
        <w:numPr>
          <w:ilvl w:val="0"/>
          <w:numId w:val="15"/>
        </w:numPr>
        <w:ind w:left="360"/>
        <w:rPr>
          <w:bCs/>
        </w:rPr>
      </w:pPr>
      <w:r w:rsidRPr="00DF6928">
        <w:rPr>
          <w:bCs/>
        </w:rPr>
        <w:t xml:space="preserve">McNemar, Q. Note on the sampling error of the difference between correlated proportions or percentages. </w:t>
      </w:r>
      <w:r w:rsidRPr="00006D07">
        <w:rPr>
          <w:bCs/>
          <w:i/>
          <w:iCs/>
        </w:rPr>
        <w:t>Psychometrika</w:t>
      </w:r>
      <w:r w:rsidRPr="00DF6928">
        <w:rPr>
          <w:bCs/>
        </w:rPr>
        <w:t xml:space="preserve">. </w:t>
      </w:r>
      <w:r w:rsidRPr="00006D07">
        <w:rPr>
          <w:b/>
        </w:rPr>
        <w:t>12</w:t>
      </w:r>
      <w:r w:rsidRPr="00DF6928">
        <w:rPr>
          <w:bCs/>
        </w:rPr>
        <w:t xml:space="preserve"> (2), 153</w:t>
      </w:r>
      <w:r w:rsidR="00270828">
        <w:rPr>
          <w:bCs/>
        </w:rPr>
        <w:t>–</w:t>
      </w:r>
      <w:r w:rsidRPr="00DF6928">
        <w:rPr>
          <w:bCs/>
        </w:rPr>
        <w:t>157 (1947).</w:t>
      </w:r>
    </w:p>
    <w:p w14:paraId="055123CA" w14:textId="0F4A1187" w:rsidR="00ED01B9" w:rsidRPr="008742E0" w:rsidRDefault="00ED01B9" w:rsidP="002A34AE">
      <w:pPr>
        <w:pStyle w:val="ListParagraph"/>
        <w:numPr>
          <w:ilvl w:val="0"/>
          <w:numId w:val="15"/>
        </w:numPr>
        <w:ind w:left="360"/>
        <w:rPr>
          <w:bCs/>
        </w:rPr>
      </w:pPr>
      <w:r w:rsidRPr="008742E0">
        <w:rPr>
          <w:bCs/>
        </w:rPr>
        <w:t xml:space="preserve">Rossi, S. et al. Safety and recommendations for TMS use in healthy subjects and patient populations, with updates on training, ethical and regulatory issues: Expert Guidelines. </w:t>
      </w:r>
      <w:r w:rsidRPr="00006D07">
        <w:rPr>
          <w:bCs/>
          <w:i/>
          <w:iCs/>
        </w:rPr>
        <w:t>Clin</w:t>
      </w:r>
      <w:r w:rsidR="00270828" w:rsidRPr="00006D07">
        <w:rPr>
          <w:bCs/>
          <w:i/>
          <w:iCs/>
        </w:rPr>
        <w:t>ical</w:t>
      </w:r>
      <w:r w:rsidRPr="00006D07">
        <w:rPr>
          <w:bCs/>
          <w:i/>
          <w:iCs/>
        </w:rPr>
        <w:t xml:space="preserve"> Neurophysiol</w:t>
      </w:r>
      <w:r w:rsidR="00270828" w:rsidRPr="00006D07">
        <w:rPr>
          <w:bCs/>
          <w:i/>
          <w:iCs/>
        </w:rPr>
        <w:t>ogy</w:t>
      </w:r>
      <w:r w:rsidRPr="008742E0">
        <w:rPr>
          <w:bCs/>
        </w:rPr>
        <w:t xml:space="preserve">. </w:t>
      </w:r>
      <w:r w:rsidRPr="00006D07">
        <w:rPr>
          <w:b/>
        </w:rPr>
        <w:t>132</w:t>
      </w:r>
      <w:r w:rsidRPr="008742E0">
        <w:rPr>
          <w:bCs/>
        </w:rPr>
        <w:t xml:space="preserve"> (1), 269</w:t>
      </w:r>
      <w:r w:rsidR="0099264A">
        <w:rPr>
          <w:bCs/>
        </w:rPr>
        <w:t>–</w:t>
      </w:r>
      <w:r w:rsidRPr="008742E0">
        <w:rPr>
          <w:bCs/>
        </w:rPr>
        <w:t>306 (2021).</w:t>
      </w:r>
    </w:p>
    <w:p w14:paraId="7380B092" w14:textId="3D51D122" w:rsidR="0055357B" w:rsidRDefault="0055357B" w:rsidP="002A34AE">
      <w:pPr>
        <w:pStyle w:val="ListParagraph"/>
        <w:numPr>
          <w:ilvl w:val="0"/>
          <w:numId w:val="15"/>
        </w:numPr>
        <w:ind w:left="360"/>
        <w:rPr>
          <w:bCs/>
        </w:rPr>
      </w:pPr>
      <w:r w:rsidRPr="008742E0">
        <w:rPr>
          <w:bCs/>
        </w:rPr>
        <w:t>McDonnell, M. N.</w:t>
      </w:r>
      <w:r w:rsidR="0099264A">
        <w:rPr>
          <w:bCs/>
        </w:rPr>
        <w:t>,</w:t>
      </w:r>
      <w:r w:rsidRPr="008742E0">
        <w:rPr>
          <w:bCs/>
        </w:rPr>
        <w:t xml:space="preserve"> Stinear, C. M. TMS measures of motor cortex function after stroke: A meta-analysis. </w:t>
      </w:r>
      <w:r w:rsidRPr="00006D07">
        <w:rPr>
          <w:bCs/>
          <w:i/>
          <w:iCs/>
        </w:rPr>
        <w:t>Brain Stimul</w:t>
      </w:r>
      <w:r w:rsidR="0099264A" w:rsidRPr="00006D07">
        <w:rPr>
          <w:bCs/>
          <w:i/>
          <w:iCs/>
        </w:rPr>
        <w:t>ation</w:t>
      </w:r>
      <w:r w:rsidRPr="008742E0">
        <w:rPr>
          <w:bCs/>
        </w:rPr>
        <w:t xml:space="preserve">. </w:t>
      </w:r>
      <w:r w:rsidRPr="00006D07">
        <w:rPr>
          <w:b/>
        </w:rPr>
        <w:t>10</w:t>
      </w:r>
      <w:r w:rsidRPr="008742E0">
        <w:rPr>
          <w:bCs/>
        </w:rPr>
        <w:t xml:space="preserve"> (4), 721</w:t>
      </w:r>
      <w:r w:rsidR="0099264A">
        <w:rPr>
          <w:bCs/>
        </w:rPr>
        <w:t>–</w:t>
      </w:r>
      <w:r w:rsidRPr="008742E0">
        <w:rPr>
          <w:bCs/>
        </w:rPr>
        <w:t>734 (2017).</w:t>
      </w:r>
    </w:p>
    <w:p w14:paraId="0A81755E" w14:textId="13CA8699" w:rsidR="00827525" w:rsidRPr="00827525" w:rsidRDefault="00827525" w:rsidP="00786C36">
      <w:pPr>
        <w:pStyle w:val="ListParagraph"/>
        <w:numPr>
          <w:ilvl w:val="0"/>
          <w:numId w:val="15"/>
        </w:numPr>
        <w:ind w:left="360"/>
        <w:rPr>
          <w:bCs/>
        </w:rPr>
      </w:pPr>
      <w:r w:rsidRPr="00827525">
        <w:rPr>
          <w:bCs/>
        </w:rPr>
        <w:t xml:space="preserve">Reis, J. et al. Contribution of transcranial magnetic stimulation to the understanding of cortical mechanisms involved in motor control. </w:t>
      </w:r>
      <w:r w:rsidR="0099264A" w:rsidRPr="00006D07">
        <w:rPr>
          <w:bCs/>
          <w:i/>
          <w:iCs/>
        </w:rPr>
        <w:t xml:space="preserve">The </w:t>
      </w:r>
      <w:r w:rsidRPr="00006D07">
        <w:rPr>
          <w:bCs/>
          <w:i/>
          <w:iCs/>
        </w:rPr>
        <w:t>J</w:t>
      </w:r>
      <w:r w:rsidR="0099264A" w:rsidRPr="00006D07">
        <w:rPr>
          <w:bCs/>
          <w:i/>
          <w:iCs/>
        </w:rPr>
        <w:t>ournal of</w:t>
      </w:r>
      <w:r w:rsidRPr="00006D07">
        <w:rPr>
          <w:bCs/>
          <w:i/>
          <w:iCs/>
        </w:rPr>
        <w:t xml:space="preserve"> Physiol</w:t>
      </w:r>
      <w:r w:rsidR="0099264A" w:rsidRPr="00006D07">
        <w:rPr>
          <w:bCs/>
          <w:i/>
          <w:iCs/>
        </w:rPr>
        <w:t>ogy</w:t>
      </w:r>
      <w:r w:rsidRPr="00827525">
        <w:rPr>
          <w:bCs/>
        </w:rPr>
        <w:t xml:space="preserve">. </w:t>
      </w:r>
      <w:r w:rsidRPr="00006D07">
        <w:rPr>
          <w:b/>
        </w:rPr>
        <w:t>586</w:t>
      </w:r>
      <w:r w:rsidRPr="00827525">
        <w:rPr>
          <w:bCs/>
        </w:rPr>
        <w:t xml:space="preserve"> (2), 325</w:t>
      </w:r>
      <w:r w:rsidR="0099264A">
        <w:rPr>
          <w:bCs/>
        </w:rPr>
        <w:t>–</w:t>
      </w:r>
      <w:r w:rsidRPr="00827525">
        <w:rPr>
          <w:bCs/>
        </w:rPr>
        <w:t>351 (2008).</w:t>
      </w:r>
    </w:p>
    <w:p w14:paraId="087A885B" w14:textId="165D4C2B" w:rsidR="00DB02B8" w:rsidRPr="008742E0" w:rsidRDefault="00DB02B8" w:rsidP="002A34AE">
      <w:pPr>
        <w:pStyle w:val="ListParagraph"/>
        <w:numPr>
          <w:ilvl w:val="0"/>
          <w:numId w:val="15"/>
        </w:numPr>
        <w:ind w:left="360"/>
        <w:rPr>
          <w:bCs/>
        </w:rPr>
      </w:pPr>
      <w:r w:rsidRPr="008742E0">
        <w:rPr>
          <w:bCs/>
        </w:rPr>
        <w:t>Chen, G., Patten, C., Kothari, D. H.</w:t>
      </w:r>
      <w:r w:rsidR="0099264A">
        <w:rPr>
          <w:bCs/>
        </w:rPr>
        <w:t>,</w:t>
      </w:r>
      <w:r w:rsidRPr="008742E0">
        <w:rPr>
          <w:bCs/>
        </w:rPr>
        <w:t xml:space="preserve"> Zajac, F. E. Gait differences between individuals with post-stroke hemiparesis and non-disabled controls at matched speeds. </w:t>
      </w:r>
      <w:r w:rsidRPr="00006D07">
        <w:rPr>
          <w:bCs/>
          <w:i/>
          <w:iCs/>
        </w:rPr>
        <w:t>Gait &amp; Posture</w:t>
      </w:r>
      <w:r w:rsidRPr="008742E0">
        <w:rPr>
          <w:bCs/>
        </w:rPr>
        <w:t xml:space="preserve">. </w:t>
      </w:r>
      <w:r w:rsidRPr="00006D07">
        <w:rPr>
          <w:b/>
        </w:rPr>
        <w:t>22</w:t>
      </w:r>
      <w:r w:rsidRPr="008742E0">
        <w:rPr>
          <w:bCs/>
        </w:rPr>
        <w:t xml:space="preserve"> (1), 51</w:t>
      </w:r>
      <w:r w:rsidR="00135B4F">
        <w:rPr>
          <w:bCs/>
        </w:rPr>
        <w:t>–</w:t>
      </w:r>
      <w:r w:rsidRPr="008742E0">
        <w:rPr>
          <w:bCs/>
        </w:rPr>
        <w:t>56 (2005).</w:t>
      </w:r>
    </w:p>
    <w:p w14:paraId="10F9D461" w14:textId="4174273B" w:rsidR="00DB02B8" w:rsidRPr="002A34AE" w:rsidRDefault="00DB02B8" w:rsidP="002A34AE">
      <w:pPr>
        <w:pStyle w:val="ListParagraph"/>
        <w:numPr>
          <w:ilvl w:val="0"/>
          <w:numId w:val="15"/>
        </w:numPr>
        <w:ind w:left="360"/>
        <w:rPr>
          <w:bCs/>
        </w:rPr>
      </w:pPr>
      <w:proofErr w:type="spellStart"/>
      <w:r w:rsidRPr="008742E0">
        <w:rPr>
          <w:bCs/>
        </w:rPr>
        <w:t>Knarr</w:t>
      </w:r>
      <w:proofErr w:type="spellEnd"/>
      <w:r w:rsidRPr="008742E0">
        <w:rPr>
          <w:bCs/>
        </w:rPr>
        <w:t>, B. A., Reisman, D. S., Binder-Macleod, S. A.</w:t>
      </w:r>
      <w:r w:rsidR="00135B4F">
        <w:rPr>
          <w:bCs/>
        </w:rPr>
        <w:t>,</w:t>
      </w:r>
      <w:r w:rsidRPr="008742E0">
        <w:rPr>
          <w:bCs/>
        </w:rPr>
        <w:t xml:space="preserve"> Higginson, J. S. Understanding compensatory strateg</w:t>
      </w:r>
      <w:r w:rsidRPr="002A34AE">
        <w:rPr>
          <w:bCs/>
        </w:rPr>
        <w:t xml:space="preserve">ies for muscle weakness during gait by simulating activation deficits seen post-stroke. </w:t>
      </w:r>
      <w:r w:rsidRPr="00006D07">
        <w:rPr>
          <w:bCs/>
          <w:i/>
          <w:iCs/>
        </w:rPr>
        <w:t>Gait &amp; Posture</w:t>
      </w:r>
      <w:r w:rsidRPr="002A34AE">
        <w:rPr>
          <w:bCs/>
        </w:rPr>
        <w:t xml:space="preserve">. </w:t>
      </w:r>
      <w:r w:rsidRPr="00006D07">
        <w:rPr>
          <w:b/>
        </w:rPr>
        <w:t>38</w:t>
      </w:r>
      <w:r w:rsidRPr="002A34AE">
        <w:rPr>
          <w:bCs/>
        </w:rPr>
        <w:t xml:space="preserve"> (2), 270</w:t>
      </w:r>
      <w:r w:rsidR="00135B4F">
        <w:rPr>
          <w:bCs/>
        </w:rPr>
        <w:t>–</w:t>
      </w:r>
      <w:r w:rsidRPr="002A34AE">
        <w:rPr>
          <w:bCs/>
        </w:rPr>
        <w:t>275 (2013).</w:t>
      </w:r>
    </w:p>
    <w:p w14:paraId="1631F0E6" w14:textId="2011CF50" w:rsidR="00EA3566" w:rsidRPr="008742E0" w:rsidRDefault="00EA3566" w:rsidP="002A34AE">
      <w:pPr>
        <w:pStyle w:val="ListParagraph"/>
        <w:numPr>
          <w:ilvl w:val="0"/>
          <w:numId w:val="15"/>
        </w:numPr>
        <w:ind w:left="360"/>
        <w:rPr>
          <w:bCs/>
        </w:rPr>
      </w:pPr>
      <w:r w:rsidRPr="008742E0">
        <w:rPr>
          <w:bCs/>
        </w:rPr>
        <w:t xml:space="preserve">Ammann, C. et al. A framework to assess the impact of number of trials on the amplitude of motor evoked potentials. </w:t>
      </w:r>
      <w:r w:rsidRPr="00006D07">
        <w:rPr>
          <w:bCs/>
          <w:i/>
          <w:iCs/>
        </w:rPr>
        <w:t>Scientific Reports</w:t>
      </w:r>
      <w:r w:rsidRPr="008742E0">
        <w:rPr>
          <w:bCs/>
        </w:rPr>
        <w:t xml:space="preserve">. </w:t>
      </w:r>
      <w:r w:rsidRPr="00006D07">
        <w:rPr>
          <w:b/>
        </w:rPr>
        <w:t>10</w:t>
      </w:r>
      <w:r w:rsidRPr="008742E0">
        <w:rPr>
          <w:bCs/>
        </w:rPr>
        <w:t xml:space="preserve"> (1), 21422 (2020).</w:t>
      </w:r>
    </w:p>
    <w:sectPr w:rsidR="00EA3566" w:rsidRPr="008742E0" w:rsidSect="002A5992">
      <w:headerReference w:type="even" r:id="rId8"/>
      <w:headerReference w:type="default" r:id="rId9"/>
      <w:footerReference w:type="even" r:id="rId10"/>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009D4" w14:textId="77777777" w:rsidR="00562027" w:rsidRDefault="00562027">
      <w:r>
        <w:separator/>
      </w:r>
    </w:p>
  </w:endnote>
  <w:endnote w:type="continuationSeparator" w:id="0">
    <w:p w14:paraId="64DDF7F9" w14:textId="77777777" w:rsidR="00562027" w:rsidRDefault="00562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393DBF" w:rsidRDefault="00393DB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077AE" w14:textId="77777777" w:rsidR="00562027" w:rsidRDefault="00562027">
      <w:r>
        <w:separator/>
      </w:r>
    </w:p>
  </w:footnote>
  <w:footnote w:type="continuationSeparator" w:id="0">
    <w:p w14:paraId="3A4C8DB0" w14:textId="77777777" w:rsidR="00562027" w:rsidRDefault="00562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393DBF" w:rsidRDefault="00393DB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664AF179" w:rsidR="00393DBF" w:rsidRDefault="00393DBF">
    <w:pPr>
      <w:pBdr>
        <w:top w:val="nil"/>
        <w:left w:val="nil"/>
        <w:bottom w:val="nil"/>
        <w:right w:val="nil"/>
        <w:between w:val="nil"/>
      </w:pBdr>
      <w:tabs>
        <w:tab w:val="center" w:pos="4680"/>
        <w:tab w:val="right"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5FFC"/>
    <w:multiLevelType w:val="multilevel"/>
    <w:tmpl w:val="12B280F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37C0C21"/>
    <w:multiLevelType w:val="hybridMultilevel"/>
    <w:tmpl w:val="0C1040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3793DA9"/>
    <w:multiLevelType w:val="multilevel"/>
    <w:tmpl w:val="6DE0C88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64D3F66"/>
    <w:multiLevelType w:val="hybridMultilevel"/>
    <w:tmpl w:val="51E88416"/>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E34758"/>
    <w:multiLevelType w:val="multilevel"/>
    <w:tmpl w:val="6046B06C"/>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8"/>
  </w:num>
  <w:num w:numId="3">
    <w:abstractNumId w:val="13"/>
  </w:num>
  <w:num w:numId="4">
    <w:abstractNumId w:val="1"/>
  </w:num>
  <w:num w:numId="5">
    <w:abstractNumId w:val="10"/>
  </w:num>
  <w:num w:numId="6">
    <w:abstractNumId w:val="12"/>
  </w:num>
  <w:num w:numId="7">
    <w:abstractNumId w:val="5"/>
  </w:num>
  <w:num w:numId="8">
    <w:abstractNumId w:val="7"/>
  </w:num>
  <w:num w:numId="9">
    <w:abstractNumId w:val="2"/>
  </w:num>
  <w:num w:numId="10">
    <w:abstractNumId w:val="6"/>
  </w:num>
  <w:num w:numId="11">
    <w:abstractNumId w:val="9"/>
  </w:num>
  <w:num w:numId="12">
    <w:abstractNumId w:val="3"/>
  </w:num>
  <w:num w:numId="13">
    <w:abstractNumId w:val="14"/>
  </w:num>
  <w:num w:numId="14">
    <w:abstractNumId w:val="16"/>
  </w:num>
  <w:num w:numId="15">
    <w:abstractNumId w:val="11"/>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xMbUwNDY1MLG0MDFV0lEKTi0uzszPAykwNKsFAOh3TBgtAAAA"/>
  </w:docVars>
  <w:rsids>
    <w:rsidRoot w:val="006E4797"/>
    <w:rsid w:val="00006D07"/>
    <w:rsid w:val="00032995"/>
    <w:rsid w:val="00036167"/>
    <w:rsid w:val="00045AB9"/>
    <w:rsid w:val="00053D74"/>
    <w:rsid w:val="00061FB4"/>
    <w:rsid w:val="00080537"/>
    <w:rsid w:val="00083CF9"/>
    <w:rsid w:val="00090343"/>
    <w:rsid w:val="000B35DF"/>
    <w:rsid w:val="000B54B7"/>
    <w:rsid w:val="000B67CE"/>
    <w:rsid w:val="000D79C9"/>
    <w:rsid w:val="000E38F0"/>
    <w:rsid w:val="000F4F09"/>
    <w:rsid w:val="000F6FF5"/>
    <w:rsid w:val="00111A4D"/>
    <w:rsid w:val="001171CC"/>
    <w:rsid w:val="00121F72"/>
    <w:rsid w:val="00135B4F"/>
    <w:rsid w:val="001420BD"/>
    <w:rsid w:val="001A0934"/>
    <w:rsid w:val="001A0ADE"/>
    <w:rsid w:val="001A3474"/>
    <w:rsid w:val="001C5520"/>
    <w:rsid w:val="001C6ECF"/>
    <w:rsid w:val="001D7C17"/>
    <w:rsid w:val="001E1661"/>
    <w:rsid w:val="001E1B0F"/>
    <w:rsid w:val="001E7453"/>
    <w:rsid w:val="001F20B9"/>
    <w:rsid w:val="0022216A"/>
    <w:rsid w:val="00232B2E"/>
    <w:rsid w:val="00235BA5"/>
    <w:rsid w:val="00242CD1"/>
    <w:rsid w:val="00254C14"/>
    <w:rsid w:val="00270828"/>
    <w:rsid w:val="00272A74"/>
    <w:rsid w:val="00273C44"/>
    <w:rsid w:val="0027595A"/>
    <w:rsid w:val="002765B8"/>
    <w:rsid w:val="00290DFB"/>
    <w:rsid w:val="002A34AE"/>
    <w:rsid w:val="002A5992"/>
    <w:rsid w:val="002B3DDC"/>
    <w:rsid w:val="002C05C1"/>
    <w:rsid w:val="002C11E2"/>
    <w:rsid w:val="002C6273"/>
    <w:rsid w:val="002D45D6"/>
    <w:rsid w:val="002E0A57"/>
    <w:rsid w:val="002E774D"/>
    <w:rsid w:val="002F7045"/>
    <w:rsid w:val="00302222"/>
    <w:rsid w:val="00307581"/>
    <w:rsid w:val="00315709"/>
    <w:rsid w:val="0032284C"/>
    <w:rsid w:val="0032607D"/>
    <w:rsid w:val="003337F2"/>
    <w:rsid w:val="00346A58"/>
    <w:rsid w:val="00351087"/>
    <w:rsid w:val="00370EF6"/>
    <w:rsid w:val="00381F58"/>
    <w:rsid w:val="00390605"/>
    <w:rsid w:val="00393DBF"/>
    <w:rsid w:val="003970DC"/>
    <w:rsid w:val="003A5384"/>
    <w:rsid w:val="003A7158"/>
    <w:rsid w:val="003B1B4D"/>
    <w:rsid w:val="003B47F9"/>
    <w:rsid w:val="003B66BC"/>
    <w:rsid w:val="003D0233"/>
    <w:rsid w:val="003D4DDF"/>
    <w:rsid w:val="003D633F"/>
    <w:rsid w:val="003D774E"/>
    <w:rsid w:val="003D79C2"/>
    <w:rsid w:val="003E3563"/>
    <w:rsid w:val="003E4D90"/>
    <w:rsid w:val="003F7930"/>
    <w:rsid w:val="00432009"/>
    <w:rsid w:val="004332EC"/>
    <w:rsid w:val="00436FC6"/>
    <w:rsid w:val="004403D5"/>
    <w:rsid w:val="00441641"/>
    <w:rsid w:val="0044231D"/>
    <w:rsid w:val="00442CA2"/>
    <w:rsid w:val="00450018"/>
    <w:rsid w:val="00454093"/>
    <w:rsid w:val="00463208"/>
    <w:rsid w:val="00477D2C"/>
    <w:rsid w:val="00487DF8"/>
    <w:rsid w:val="00492EDE"/>
    <w:rsid w:val="004A4449"/>
    <w:rsid w:val="004A7F05"/>
    <w:rsid w:val="004B0120"/>
    <w:rsid w:val="004B1363"/>
    <w:rsid w:val="004B6A42"/>
    <w:rsid w:val="004F7670"/>
    <w:rsid w:val="005118D3"/>
    <w:rsid w:val="005138F4"/>
    <w:rsid w:val="00533E85"/>
    <w:rsid w:val="00537B34"/>
    <w:rsid w:val="00543164"/>
    <w:rsid w:val="00546031"/>
    <w:rsid w:val="00547719"/>
    <w:rsid w:val="00551D82"/>
    <w:rsid w:val="0055230E"/>
    <w:rsid w:val="00553394"/>
    <w:rsid w:val="0055357B"/>
    <w:rsid w:val="0056117D"/>
    <w:rsid w:val="00562027"/>
    <w:rsid w:val="00564024"/>
    <w:rsid w:val="005654AC"/>
    <w:rsid w:val="00565F26"/>
    <w:rsid w:val="005B3EFF"/>
    <w:rsid w:val="005B4EE2"/>
    <w:rsid w:val="005B7843"/>
    <w:rsid w:val="005C34C3"/>
    <w:rsid w:val="005D63DF"/>
    <w:rsid w:val="005E437A"/>
    <w:rsid w:val="005E7AC2"/>
    <w:rsid w:val="005F0B12"/>
    <w:rsid w:val="005F3211"/>
    <w:rsid w:val="00600354"/>
    <w:rsid w:val="006032C8"/>
    <w:rsid w:val="00615608"/>
    <w:rsid w:val="00622578"/>
    <w:rsid w:val="006272B0"/>
    <w:rsid w:val="00627F07"/>
    <w:rsid w:val="00630D60"/>
    <w:rsid w:val="00653A65"/>
    <w:rsid w:val="0065544C"/>
    <w:rsid w:val="00667947"/>
    <w:rsid w:val="006701B3"/>
    <w:rsid w:val="00696C7F"/>
    <w:rsid w:val="00697F68"/>
    <w:rsid w:val="006A122E"/>
    <w:rsid w:val="006B155F"/>
    <w:rsid w:val="006C422C"/>
    <w:rsid w:val="006C4814"/>
    <w:rsid w:val="006C6B2E"/>
    <w:rsid w:val="006D3966"/>
    <w:rsid w:val="006D4A0E"/>
    <w:rsid w:val="006D7203"/>
    <w:rsid w:val="006E4797"/>
    <w:rsid w:val="006F63F1"/>
    <w:rsid w:val="00702969"/>
    <w:rsid w:val="00703CBE"/>
    <w:rsid w:val="0070444F"/>
    <w:rsid w:val="0071300E"/>
    <w:rsid w:val="00721DA8"/>
    <w:rsid w:val="00726C35"/>
    <w:rsid w:val="00726F50"/>
    <w:rsid w:val="00734225"/>
    <w:rsid w:val="0073455A"/>
    <w:rsid w:val="007366C4"/>
    <w:rsid w:val="007429D8"/>
    <w:rsid w:val="00747221"/>
    <w:rsid w:val="00763BD1"/>
    <w:rsid w:val="00770E67"/>
    <w:rsid w:val="00774743"/>
    <w:rsid w:val="00784507"/>
    <w:rsid w:val="00786C36"/>
    <w:rsid w:val="00792B45"/>
    <w:rsid w:val="00796120"/>
    <w:rsid w:val="007B2705"/>
    <w:rsid w:val="007B2B67"/>
    <w:rsid w:val="007C6994"/>
    <w:rsid w:val="007D5D18"/>
    <w:rsid w:val="007F55BA"/>
    <w:rsid w:val="00827525"/>
    <w:rsid w:val="00832FBB"/>
    <w:rsid w:val="00845D2A"/>
    <w:rsid w:val="008475F6"/>
    <w:rsid w:val="0085478A"/>
    <w:rsid w:val="00860C26"/>
    <w:rsid w:val="00862319"/>
    <w:rsid w:val="008670EE"/>
    <w:rsid w:val="00871CEA"/>
    <w:rsid w:val="008742E0"/>
    <w:rsid w:val="00881EF3"/>
    <w:rsid w:val="00887A2F"/>
    <w:rsid w:val="008908E8"/>
    <w:rsid w:val="008A37EA"/>
    <w:rsid w:val="008B5719"/>
    <w:rsid w:val="008D3170"/>
    <w:rsid w:val="00927344"/>
    <w:rsid w:val="009300AC"/>
    <w:rsid w:val="0093305E"/>
    <w:rsid w:val="00947998"/>
    <w:rsid w:val="00951B0A"/>
    <w:rsid w:val="00960239"/>
    <w:rsid w:val="00960846"/>
    <w:rsid w:val="00966A0C"/>
    <w:rsid w:val="009772B8"/>
    <w:rsid w:val="00980D2A"/>
    <w:rsid w:val="0099264A"/>
    <w:rsid w:val="009A6535"/>
    <w:rsid w:val="009B296E"/>
    <w:rsid w:val="009B4DA2"/>
    <w:rsid w:val="009D4F40"/>
    <w:rsid w:val="009F7C07"/>
    <w:rsid w:val="00A0577A"/>
    <w:rsid w:val="00A12538"/>
    <w:rsid w:val="00A1255C"/>
    <w:rsid w:val="00A3047D"/>
    <w:rsid w:val="00A44693"/>
    <w:rsid w:val="00A56972"/>
    <w:rsid w:val="00A67456"/>
    <w:rsid w:val="00A864DB"/>
    <w:rsid w:val="00A93C77"/>
    <w:rsid w:val="00AA1956"/>
    <w:rsid w:val="00AC1ADE"/>
    <w:rsid w:val="00AD2FD2"/>
    <w:rsid w:val="00AE05F8"/>
    <w:rsid w:val="00AE0B4B"/>
    <w:rsid w:val="00AF13F1"/>
    <w:rsid w:val="00AF7351"/>
    <w:rsid w:val="00B005B2"/>
    <w:rsid w:val="00B06286"/>
    <w:rsid w:val="00B0709E"/>
    <w:rsid w:val="00B102F4"/>
    <w:rsid w:val="00B111CB"/>
    <w:rsid w:val="00B37898"/>
    <w:rsid w:val="00B45000"/>
    <w:rsid w:val="00B5641C"/>
    <w:rsid w:val="00B70B8C"/>
    <w:rsid w:val="00B75963"/>
    <w:rsid w:val="00B84718"/>
    <w:rsid w:val="00B87564"/>
    <w:rsid w:val="00B93BEF"/>
    <w:rsid w:val="00BA0BAC"/>
    <w:rsid w:val="00BA0E15"/>
    <w:rsid w:val="00BB4320"/>
    <w:rsid w:val="00BB74CA"/>
    <w:rsid w:val="00BC42FD"/>
    <w:rsid w:val="00BD0159"/>
    <w:rsid w:val="00BD390A"/>
    <w:rsid w:val="00BD726F"/>
    <w:rsid w:val="00BE22A2"/>
    <w:rsid w:val="00BE2483"/>
    <w:rsid w:val="00BE61F9"/>
    <w:rsid w:val="00BE6AE0"/>
    <w:rsid w:val="00BF3577"/>
    <w:rsid w:val="00BF3631"/>
    <w:rsid w:val="00C043E0"/>
    <w:rsid w:val="00C301D0"/>
    <w:rsid w:val="00C40C4C"/>
    <w:rsid w:val="00C44B9B"/>
    <w:rsid w:val="00C457D5"/>
    <w:rsid w:val="00C724F7"/>
    <w:rsid w:val="00C841BE"/>
    <w:rsid w:val="00C846C2"/>
    <w:rsid w:val="00C931C4"/>
    <w:rsid w:val="00CA54E6"/>
    <w:rsid w:val="00CC0009"/>
    <w:rsid w:val="00CC031E"/>
    <w:rsid w:val="00CC274A"/>
    <w:rsid w:val="00CC3C86"/>
    <w:rsid w:val="00CC7EEC"/>
    <w:rsid w:val="00CD11C1"/>
    <w:rsid w:val="00CD521D"/>
    <w:rsid w:val="00CF3A3E"/>
    <w:rsid w:val="00CF66A8"/>
    <w:rsid w:val="00D045AA"/>
    <w:rsid w:val="00D10BC7"/>
    <w:rsid w:val="00D13452"/>
    <w:rsid w:val="00D14E85"/>
    <w:rsid w:val="00D265CC"/>
    <w:rsid w:val="00D304C5"/>
    <w:rsid w:val="00D42FDB"/>
    <w:rsid w:val="00D61B37"/>
    <w:rsid w:val="00D634D3"/>
    <w:rsid w:val="00D6591E"/>
    <w:rsid w:val="00D71AD0"/>
    <w:rsid w:val="00D91E47"/>
    <w:rsid w:val="00D94E07"/>
    <w:rsid w:val="00D953A9"/>
    <w:rsid w:val="00DB02B8"/>
    <w:rsid w:val="00DD0A0B"/>
    <w:rsid w:val="00DD69A9"/>
    <w:rsid w:val="00DD6EDD"/>
    <w:rsid w:val="00DD7F69"/>
    <w:rsid w:val="00DF6928"/>
    <w:rsid w:val="00E02A19"/>
    <w:rsid w:val="00E033C3"/>
    <w:rsid w:val="00E051B5"/>
    <w:rsid w:val="00E06390"/>
    <w:rsid w:val="00E16FA5"/>
    <w:rsid w:val="00E24CB3"/>
    <w:rsid w:val="00E35F7B"/>
    <w:rsid w:val="00E3628F"/>
    <w:rsid w:val="00E41A65"/>
    <w:rsid w:val="00E53E43"/>
    <w:rsid w:val="00E55EEB"/>
    <w:rsid w:val="00E61E73"/>
    <w:rsid w:val="00E713F3"/>
    <w:rsid w:val="00E931AB"/>
    <w:rsid w:val="00EA3566"/>
    <w:rsid w:val="00EA7A0C"/>
    <w:rsid w:val="00EB1E68"/>
    <w:rsid w:val="00EB728C"/>
    <w:rsid w:val="00ED01B9"/>
    <w:rsid w:val="00ED420E"/>
    <w:rsid w:val="00ED6218"/>
    <w:rsid w:val="00EF3009"/>
    <w:rsid w:val="00F11D4F"/>
    <w:rsid w:val="00F330B7"/>
    <w:rsid w:val="00F35E14"/>
    <w:rsid w:val="00F51E79"/>
    <w:rsid w:val="00F531A1"/>
    <w:rsid w:val="00F5761F"/>
    <w:rsid w:val="00F637AD"/>
    <w:rsid w:val="00F71BAA"/>
    <w:rsid w:val="00F73C3E"/>
    <w:rsid w:val="00F918B4"/>
    <w:rsid w:val="00FA18D3"/>
    <w:rsid w:val="00FA3DA0"/>
    <w:rsid w:val="00FC2573"/>
    <w:rsid w:val="00FE010D"/>
    <w:rsid w:val="00FE2837"/>
    <w:rsid w:val="00FE719F"/>
    <w:rsid w:val="00FF0097"/>
    <w:rsid w:val="00FF7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CommentReference">
    <w:name w:val="annotation reference"/>
    <w:basedOn w:val="DefaultParagraphFont"/>
    <w:uiPriority w:val="99"/>
    <w:semiHidden/>
    <w:unhideWhenUsed/>
    <w:rsid w:val="00FE010D"/>
    <w:rPr>
      <w:sz w:val="16"/>
      <w:szCs w:val="16"/>
    </w:rPr>
  </w:style>
  <w:style w:type="paragraph" w:styleId="CommentText">
    <w:name w:val="annotation text"/>
    <w:basedOn w:val="Normal"/>
    <w:link w:val="CommentTextChar"/>
    <w:uiPriority w:val="99"/>
    <w:semiHidden/>
    <w:unhideWhenUsed/>
    <w:rsid w:val="00FE010D"/>
    <w:rPr>
      <w:sz w:val="20"/>
      <w:szCs w:val="20"/>
    </w:rPr>
  </w:style>
  <w:style w:type="character" w:customStyle="1" w:styleId="CommentTextChar">
    <w:name w:val="Comment Text Char"/>
    <w:basedOn w:val="DefaultParagraphFont"/>
    <w:link w:val="CommentText"/>
    <w:uiPriority w:val="99"/>
    <w:semiHidden/>
    <w:rsid w:val="00FE010D"/>
    <w:rPr>
      <w:sz w:val="20"/>
      <w:szCs w:val="20"/>
    </w:rPr>
  </w:style>
  <w:style w:type="paragraph" w:styleId="CommentSubject">
    <w:name w:val="annotation subject"/>
    <w:basedOn w:val="CommentText"/>
    <w:next w:val="CommentText"/>
    <w:link w:val="CommentSubjectChar"/>
    <w:uiPriority w:val="99"/>
    <w:semiHidden/>
    <w:unhideWhenUsed/>
    <w:rsid w:val="00FE010D"/>
    <w:rPr>
      <w:b/>
      <w:bCs/>
    </w:rPr>
  </w:style>
  <w:style w:type="character" w:customStyle="1" w:styleId="CommentSubjectChar">
    <w:name w:val="Comment Subject Char"/>
    <w:basedOn w:val="CommentTextChar"/>
    <w:link w:val="CommentSubject"/>
    <w:uiPriority w:val="99"/>
    <w:semiHidden/>
    <w:rsid w:val="00FE010D"/>
    <w:rPr>
      <w:b/>
      <w:bCs/>
      <w:sz w:val="20"/>
      <w:szCs w:val="20"/>
    </w:rPr>
  </w:style>
  <w:style w:type="paragraph" w:styleId="BalloonText">
    <w:name w:val="Balloon Text"/>
    <w:basedOn w:val="Normal"/>
    <w:link w:val="BalloonTextChar"/>
    <w:uiPriority w:val="99"/>
    <w:semiHidden/>
    <w:unhideWhenUsed/>
    <w:rsid w:val="00FE01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10D"/>
    <w:rPr>
      <w:rFonts w:ascii="Segoe UI" w:hAnsi="Segoe UI" w:cs="Segoe UI"/>
      <w:sz w:val="18"/>
      <w:szCs w:val="18"/>
    </w:rPr>
  </w:style>
  <w:style w:type="paragraph" w:styleId="ListParagraph">
    <w:name w:val="List Paragraph"/>
    <w:basedOn w:val="Normal"/>
    <w:uiPriority w:val="34"/>
    <w:qFormat/>
    <w:rsid w:val="003337F2"/>
    <w:pPr>
      <w:ind w:left="720"/>
      <w:contextualSpacing/>
    </w:pPr>
  </w:style>
  <w:style w:type="paragraph" w:styleId="Footer">
    <w:name w:val="footer"/>
    <w:basedOn w:val="Normal"/>
    <w:link w:val="FooterChar"/>
    <w:uiPriority w:val="99"/>
    <w:unhideWhenUsed/>
    <w:rsid w:val="0055230E"/>
    <w:pPr>
      <w:tabs>
        <w:tab w:val="center" w:pos="4680"/>
        <w:tab w:val="right" w:pos="9360"/>
      </w:tabs>
    </w:pPr>
  </w:style>
  <w:style w:type="character" w:customStyle="1" w:styleId="FooterChar">
    <w:name w:val="Footer Char"/>
    <w:basedOn w:val="DefaultParagraphFont"/>
    <w:link w:val="Footer"/>
    <w:uiPriority w:val="99"/>
    <w:rsid w:val="0055230E"/>
  </w:style>
  <w:style w:type="character" w:customStyle="1" w:styleId="normaltextrun">
    <w:name w:val="normaltextrun"/>
    <w:basedOn w:val="DefaultParagraphFont"/>
    <w:rsid w:val="005F3211"/>
  </w:style>
  <w:style w:type="paragraph" w:styleId="Header">
    <w:name w:val="header"/>
    <w:basedOn w:val="Normal"/>
    <w:link w:val="HeaderChar"/>
    <w:uiPriority w:val="99"/>
    <w:unhideWhenUsed/>
    <w:rsid w:val="00045AB9"/>
    <w:pPr>
      <w:tabs>
        <w:tab w:val="center" w:pos="4680"/>
        <w:tab w:val="right" w:pos="9360"/>
      </w:tabs>
    </w:pPr>
  </w:style>
  <w:style w:type="character" w:customStyle="1" w:styleId="HeaderChar">
    <w:name w:val="Header Char"/>
    <w:basedOn w:val="DefaultParagraphFont"/>
    <w:link w:val="Header"/>
    <w:uiPriority w:val="99"/>
    <w:rsid w:val="00045AB9"/>
  </w:style>
  <w:style w:type="character" w:styleId="LineNumber">
    <w:name w:val="line number"/>
    <w:basedOn w:val="DefaultParagraphFont"/>
    <w:uiPriority w:val="99"/>
    <w:semiHidden/>
    <w:unhideWhenUsed/>
    <w:rsid w:val="00AE0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B8998-8F06-6A45-AA13-D525CF13A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5871</Words>
  <Characters>33465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2021-06-29T19:10:00Z</dcterms:created>
  <dcterms:modified xsi:type="dcterms:W3CDTF">2021-06-29T19:10:00Z</dcterms:modified>
</cp:coreProperties>
</file>