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protein aggregation using fluorescence correlation spectroscopy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Akira Kitamura, Ai Fujimoto, Masataka Kinjo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for Molecular Cell Dynamics, Faculty of Advanced Life Science, Hokkaido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akita@sci.hokudai.ac.jp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fujimoto.ai.n2@elms.hokudai.ac.jp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kinjo@sci.hokudai.ac.jp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Akira Kitamura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here introduce a procedure to measure protein oligomers and aggregation in cell lysate and live cells using fluorescence correlation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aggregation is a hallmark of neurodegenerative disorders such as amyotrophic lateral sclerosis (ALS), Alzheimer’s disease (AD), Parkinson’s disease (PD), Huntington’s disease (HD), and so on. To detect and analyze soluble or diffuse protein oligomers or aggregates, fluorescence correlation spectroscopy (FCS), which can detect the diffusion speed and brightness of a single particle with a single molecule sensitivity, has been used. However, the proper procedure and know-how for protein aggregation detection have not been widely shared. Here, we show a standard procedure of FCS measurement for diffusion properties of aggregation-prone proteins in cell lysate and live cells: ALS-associated 25 kDa carboxyl-terminal fragment of TAR DNA/RNA-binding protein 43 kDa (TDP25) and superoxide dismutase 1 (SOD1). The representative results show that a part of aggregates of green fluorescent protein (GFP)-tagged TDP25 was slightly included in the soluble fraction of murine neuroblastoma Neuro2a cell lysate. Moreover, GFP-tagged SOD1 carrying ALS-associated mutation shows a slower diffusion in live cells. Accordingly, we here introduce the procedure to detect the protein aggregation via its diffusion property using 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aggregations involving neurodegenerative disorders such as amyotrophic lateral sclerosis (ALS), Alzheimer’s disease, Parkinson’s disease, Huntington’s disease, and so 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known to be toxic and would disturb protein homeostasis (proteostasis) in the cells and organs, that could then lead to aging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clearance of protein aggregation is expected as a therapeutic strategy; however, chemicals that prevent protein aggregation formation and degrade protein aggregates (e.g., small molecules or drugs) have not been established yet. Moreover, how protein aggregation exerts toxicity remains elusive. Therefore, to promote research projects related to protein aggregation, it is important to introduce high throughput procedures to simply detect protein aggregation. Protein aggregation detection using antibodies recognizing the conformation of protein aggregation and aggregation-specific fluorescent dye has been widely used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it is difficult to detect the aggregation, especially in live cells using such classical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F&amp;#246;rster resonance energy transfer (FRET) is a procedure to detect protein aggregation and structural change. However, FRET is unable to analyze protein dynamics (e.g., diffusion and oligomerization of protein in live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we introduce here a simple protocol to detect protein aggregation in solution (e.g., cell lysate) and live cells using fluorescence correlation spectroscopy (FCS), which measures the diffusion property and brightness of fluorescent molecules with single molecule sensitivity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FCS is a photon-counting method by using a laser scan confocal microscope (LSM). Using a highly sensitive photon-detector and calculation of autocorrelation function (ACF) of photon arrival time, the pass through time and brightness of the fluorescent molecules in the detection volume is measured. The diffusion slows with an increase of molecular weight; thus, intermolecular interaction can be estimated using FCS. Even more powerfully, an increase in the brightness of the fluorescent molecule indicates homo-oligomerization of the molecules. Therefore, FCS is a powerful tool to detect such protein aggregation.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Materials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pyrogenic free solutions and medium for cell culture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solutions for the biochemical experiment using ultrapure water and use as DNase/RNase free. </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Select an appropriate FBS for the cell culture with a lot check process. Since the selected FBS lot changes regularly, the catalog and lot number for FBS cannot be represented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Plasmid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pmeGFP-N1</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eGFP monomer expression; pmeGFP-C1-TDP25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GFP-TDP25 expression; pmeGFP-N1-SOD1-G85R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SOD1-G85R-GFP expression; and pCAGGS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a carrier.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meGFP is a monomeric variant carrying A206K mutation of enhanced GFP (eGFP). TDP25 is an ALS-associated C-terminal fragment of TDP-43. SOD1-G85R is an ALS-associated mutant of SOD1.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Cell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Use murine neuroblastoma Neuro2a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Neuro2a cells have high transfection efficiency and highly express exogenous proteins. For TDP25 expression, cell strains having high expression efficiencies such as Neuro2a or HEK293 cells are required. In HeLa cells, TDP25 was not able to be efficiently expressed.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culture and transfection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a 100 mm plastic dish growing Neuro2a cells semi-confluently in normal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necessary to incubate at 37 &amp;#176;C for approximately 48</w:t>
      </w:r>
      <w:r>
        <w:rPr>
          <w:rFonts w:ascii="Cambria" w:hAnsi="Cambria" w:cs="Cambria" w:eastAsia="Cambri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hours after the previous seeding until semi-confluency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Remove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0.5 mL of trypsin-EDTA solution into the cell-culture dish and incubate them at 37 &amp;#176;C for 1 min.</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9.5 mL of normal growth medium into the dish and suspend the detached cells.</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Using Trypan blue to stain the dead cells, count the number of cells using a cell counter or manually. Then dilute the cells in culture medium (1.0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Add 2 mL of cell suspension into a 35 mm plastic dish for cell lysis or a glass base dish for live-cell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Incubate the dish at 37 &amp;#176;C for 1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Start the following preparations 15 minutes before the day of the transfection.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Prepare two 1.5 mL tubes and add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Opti-MEM I to each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In the first tube, mix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of plasmid DNA (Solution A). In the second tube, mix 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Lipofectamine 2000 (Solution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maintain transfection efficiency, keep the total DNA amount the same. To reduce the expression level for FCS measurement in live cells, the fraction amount of plasmid DNA for protein expression should decrease (e.g., 0.2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of pmeGFP-N1-SOD1-G85R and 0.8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of pCAGGS mixture). Moreover, keep the same ratio between the volume of Lipofectamine 2000 and the amount of plasmid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Gently mix Solution A and B by adding one into either tube, and then incubate it for 1 min at room temperature (Solution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Add the Solution C to the culture medium; and incubate the cells for 24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Cell lysis &amp;amp; medium exchange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Check the GFP expression using a routine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the medium in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2 mL of PBS at 25 &amp;#176;C to wash out the medium. Remove the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the dish on an aluminum plate on top of the crushed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 a 1 mm thick aluminum plate cut in a Sunday tool store or commercially available one as laboratory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Add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lysis buffer at 4 &amp;#176;C. Shake the dish mildly so that the buffer is evenly distributed at the bottom of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Scrape the dish using a cell scraper and recover the lysate with undissolved cell debris in a new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Centrifuge the solution at 20,400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minutes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Recover the supernatant in a new 1.5 mL tube and keep it at 4 &amp;#176;C or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freeze the lysate. </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For live cell measurements, replace the medium before the measurement. Check the cell attachment using a phase-contrast microscope.  Confirm expression using a fluorescence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Fluorescence correlation spectroscopy (FCS)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Start the system and run the operation software. Turn on the Argon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laser (458/477/488/514 nm). Stabilize the system at least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 up the optical path: Main beam splitter: HFT488; Dichroic mirror: NFT600; Fluorescence barrier filter: a bandpass filter 505-540 (BP505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Detector: avalanche photodiode (APD)).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Set the pinhole size by entering the value directly (66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1 airy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the Rhodamine 6G (Rh6G) solution into a well of the cover glass chamber on the stage.</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Add the immersion ultrapure water on the objective. Do not use the immersion oil.</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Set the the chamber on the microscope stage. Move the stage to the appropriate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Focus on the upper glass surface by measuring the scattered light from the glass surface. After lowering the objective lens to the bottom, turn the focus knob clockwise to adjust.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turning direction of the focus knob because it is opposite between those made in Japan and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Raise the focal point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above the upper glass surface to observe the inside of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Click the </w:t>
      </w:r>
      <w:r>
        <w:rPr>
          <w:rFonts w:ascii="Calibri" w:hAnsi="Calibri" w:cs="Calibri" w:eastAsia="Calibri"/>
          <w:b/>
          <w:color w:val="auto"/>
          <w:spacing w:val="0"/>
          <w:position w:val="0"/>
          <w:sz w:val="24"/>
          <w:shd w:fill="auto" w:val="clear"/>
        </w:rPr>
        <w:t xml:space="preserve">Count rate</w:t>
      </w:r>
      <w:r>
        <w:rPr>
          <w:rFonts w:ascii="Calibri" w:hAnsi="Calibri" w:cs="Calibri" w:eastAsia="Calibri"/>
          <w:color w:val="auto"/>
          <w:spacing w:val="0"/>
          <w:position w:val="0"/>
          <w:sz w:val="24"/>
          <w:shd w:fill="auto" w:val="clear"/>
        </w:rPr>
        <w:t xml:space="preserve"> and monitor the photon counts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Gradually increase the acousto-optic tunable filters (AOTF) value (e.g., excitation laser transmission) so that the count rate value is more than 10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Click the </w:t>
      </w:r>
      <w:r>
        <w:rPr>
          <w:rFonts w:ascii="Calibri" w:hAnsi="Calibri" w:cs="Calibri" w:eastAsia="Calibri"/>
          <w:b/>
          <w:color w:val="auto"/>
          <w:spacing w:val="0"/>
          <w:position w:val="0"/>
          <w:sz w:val="24"/>
          <w:shd w:fill="auto" w:val="clear"/>
        </w:rPr>
        <w:t xml:space="preserve">Pinhole Adjustment</w:t>
      </w:r>
      <w:r>
        <w:rPr>
          <w:rFonts w:ascii="Calibri" w:hAnsi="Calibri" w:cs="Calibri" w:eastAsia="Calibri"/>
          <w:color w:val="auto"/>
          <w:spacing w:val="0"/>
          <w:position w:val="0"/>
          <w:sz w:val="24"/>
          <w:shd w:fill="auto" w:val="clear"/>
        </w:rPr>
        <w:t xml:space="preserve"> and open the pinhole adjustment wizard. Find the pinhole position with the highest (a peak) number of photons in both the x- and y-axis.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Turn the correction ring of the objective lens so that the counts per molecule (CPM) value is the highest.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thickness of the cover glass of the chamber specified here is 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0.17 mm, the correction ring is at around its minimum or just a few turns from it, where the CPM is at its maximum.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Decrease the AOTF value gradually so that the CPM value becomes 2-3 kHz.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Acquire the autocorrelation function (ACF) of Rh6G for 90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Once measurement is complete, click </w:t>
      </w:r>
      <w:r>
        <w:rPr>
          <w:rFonts w:ascii="Calibri" w:hAnsi="Calibri" w:cs="Calibri" w:eastAsia="Calibri"/>
          <w:b/>
          <w:color w:val="auto"/>
          <w:spacing w:val="0"/>
          <w:position w:val="0"/>
          <w:sz w:val="24"/>
          <w:shd w:fill="auto" w:val="clear"/>
        </w:rPr>
        <w:t xml:space="preserve">Fit</w:t>
      </w:r>
      <w:r>
        <w:rPr>
          <w:rFonts w:ascii="Calibri" w:hAnsi="Calibri" w:cs="Calibri" w:eastAsia="Calibri"/>
          <w:color w:val="auto"/>
          <w:spacing w:val="0"/>
          <w:position w:val="0"/>
          <w:sz w:val="24"/>
          <w:shd w:fill="auto" w:val="clear"/>
        </w:rPr>
        <w:t xml:space="preserve"> to perform curve fitting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Select a model for one-component three-dimensional (3D) diffusion with a triplet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Rh6G is monodisperse and one-component diffuse with a triplet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Set the fitting start time by moving the red line. Click </w:t>
      </w:r>
      <w:r>
        <w:rPr>
          <w:rFonts w:ascii="Calibri" w:hAnsi="Calibri" w:cs="Calibri" w:eastAsia="Calibri"/>
          <w:b/>
          <w:color w:val="auto"/>
          <w:spacing w:val="0"/>
          <w:position w:val="0"/>
          <w:sz w:val="24"/>
          <w:shd w:fill="auto" w:val="clear"/>
        </w:rPr>
        <w:t xml:space="preserve">Fit All</w:t>
      </w:r>
      <w:r>
        <w:rPr>
          <w:rFonts w:ascii="Calibri" w:hAnsi="Calibri" w:cs="Calibri" w:eastAsia="Calibri"/>
          <w:color w:val="auto"/>
          <w:spacing w:val="0"/>
          <w:position w:val="0"/>
          <w:sz w:val="24"/>
          <w:shd w:fill="auto" w:val="clear"/>
        </w:rPr>
        <w:t xml:space="preserve"> and check the fit deviation. After performing the curve fitting, make sure the diffusion time (DT) and the structure parameter (SP) are roughly in the range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and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Remember the structural parameter value. Use the SP value for curve fitting analysis of all ACFs measured on the same day, under the same optical conditions, and using the same type of glass base dish or chambered cover glass set on the microscope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FCS measurement in cell lysate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the cell lysates (see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Place the lysate on the cover glass chamber. Place a lid to avoid drying and the stage lid for light shading.</w:t>
      </w:r>
    </w:p>
    <w:p>
      <w:pPr>
        <w:spacing w:before="0" w:after="0" w:line="240"/>
        <w:ind w:right="0" w:left="9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Set the acquisition condition, laser power, measurement time, and repetitions.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Click </w:t>
      </w:r>
      <w:r>
        <w:rPr>
          <w:rFonts w:ascii="Calibri" w:hAnsi="Calibri" w:cs="Calibri" w:eastAsia="Calibri"/>
          <w:b/>
          <w:color w:val="auto"/>
          <w:spacing w:val="0"/>
          <w:position w:val="0"/>
          <w:sz w:val="24"/>
          <w:shd w:fill="auto" w:val="clear"/>
        </w:rPr>
        <w:t xml:space="preserve">Count rate</w:t>
      </w:r>
      <w:r>
        <w:rPr>
          <w:rFonts w:ascii="Calibri" w:hAnsi="Calibri" w:cs="Calibri" w:eastAsia="Calibri"/>
          <w:color w:val="auto"/>
          <w:spacing w:val="0"/>
          <w:position w:val="0"/>
          <w:sz w:val="24"/>
          <w:shd w:fill="auto" w:val="clear"/>
        </w:rPr>
        <w:t xml:space="preserve"> and adjust the AOTF value of the laser so that the CPM value becomes more than 1 kHz.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Perform a trial measurement for 1 min. Check whether the calculated ACF shows a positive amplitude and smooth decay.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Perform the main measurement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measurement time is gradually increased until the shape of the ACF does not change even if the measurement time is increased.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Click </w:t>
      </w:r>
      <w:r>
        <w:rPr>
          <w:rFonts w:ascii="Calibri" w:hAnsi="Calibri" w:cs="Calibri" w:eastAsia="Calibri"/>
          <w:b/>
          <w:color w:val="auto"/>
          <w:spacing w:val="0"/>
          <w:position w:val="0"/>
          <w:sz w:val="24"/>
          <w:shd w:fill="auto" w:val="clear"/>
        </w:rPr>
        <w:t xml:space="preserve">Fit</w:t>
      </w:r>
      <w:r>
        <w:rPr>
          <w:rFonts w:ascii="Calibri" w:hAnsi="Calibri" w:cs="Calibri" w:eastAsia="Calibri"/>
          <w:color w:val="auto"/>
          <w:spacing w:val="0"/>
          <w:position w:val="0"/>
          <w:sz w:val="24"/>
          <w:shd w:fill="auto" w:val="clear"/>
        </w:rPr>
        <w:t xml:space="preserve"> to perform curve fitting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Select a model for two-component 3D diffusion with a triplet state. Remember to enter the SP value and change its setting to “Fixed” not “Free” before clicking </w:t>
      </w:r>
      <w:r>
        <w:rPr>
          <w:rFonts w:ascii="Calibri" w:hAnsi="Calibri" w:cs="Calibri" w:eastAsia="Calibri"/>
          <w:b/>
          <w:color w:val="auto"/>
          <w:spacing w:val="0"/>
          <w:position w:val="0"/>
          <w:sz w:val="24"/>
          <w:shd w:fill="auto" w:val="clear"/>
        </w:rPr>
        <w:t xml:space="preserve">Fit all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Export the fitted table as a tab-delimited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If necessary, export the ACF and Count rate record as a tab-delimited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FCS measurement in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Replace the medium with a fresh one before the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a heat stage incubator. Set the cell-culture dish on the microscope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Confirm the focus and position using the confocal micrope. Select the measuring cell. Zoom in and adjust the cell position. Acquire fluorescence images of a GFP-expressing cell using the slow scanning speed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Select an FCS-measuring position using </w:t>
      </w:r>
      <w:r>
        <w:rPr>
          <w:rFonts w:ascii="Calibri" w:hAnsi="Calibri" w:cs="Calibri" w:eastAsia="Calibri"/>
          <w:b/>
          <w:color w:val="auto"/>
          <w:spacing w:val="0"/>
          <w:position w:val="0"/>
          <w:sz w:val="24"/>
          <w:shd w:fill="auto" w:val="clear"/>
        </w:rPr>
        <w:t xml:space="preserve">Position</w:t>
      </w:r>
      <w:r>
        <w:rPr>
          <w:rFonts w:ascii="Calibri" w:hAnsi="Calibri" w:cs="Calibri" w:eastAsia="Calibri"/>
          <w:color w:val="auto"/>
          <w:spacing w:val="0"/>
          <w:position w:val="0"/>
          <w:sz w:val="24"/>
          <w:shd w:fill="auto" w:val="clear"/>
        </w:rPr>
        <w:t xml:space="preserve"> in the “FCS”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Select at least one FCS measurement point using a crosshair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Measure the ACF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fluorescent proteins tend to be photobleached in live cells due to slow movement compared to the solution, the measurement time should be minimum. It is generally difficult to obtain ACF in the cell as smoothly as solution measurements because prolonged measurement will lead to photobleaching of fluorescent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Click </w:t>
      </w:r>
      <w:r>
        <w:rPr>
          <w:rFonts w:ascii="Calibri" w:hAnsi="Calibri" w:cs="Calibri" w:eastAsia="Calibri"/>
          <w:b/>
          <w:color w:val="auto"/>
          <w:spacing w:val="0"/>
          <w:position w:val="0"/>
          <w:sz w:val="24"/>
          <w:shd w:fill="auto" w:val="clear"/>
        </w:rPr>
        <w:t xml:space="preserve">Fit</w:t>
      </w:r>
      <w:r>
        <w:rPr>
          <w:rFonts w:ascii="Calibri" w:hAnsi="Calibri" w:cs="Calibri" w:eastAsia="Calibri"/>
          <w:color w:val="auto"/>
          <w:spacing w:val="0"/>
          <w:position w:val="0"/>
          <w:sz w:val="24"/>
          <w:shd w:fill="auto" w:val="clear"/>
        </w:rPr>
        <w:t xml:space="preserve"> to perform curve fitting analysis using a model for two-component 3D diffusion with a triplet 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live cell measurements, a model for two-component 3D diffusion with a triplet state would be better because it is empirically difficult to decrease the chi-square value with a one-component 3D diffusion model because of the existence of various mobile components in the live cell. But even using a model for three-component 3D diffusion, the diffusion components are usually not separated compared to using the model for two-components.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FCS measurement of GFP-TDP25 in cell lysate and SOD1-G85R-GFP in live cells. In both cases, a positive amplitude and smooth ACFs were able to be acquired. We have shown that a portion of GFP-TDP25 expressed in Neuro2a cells was recovered in the soluble fraction under the indicated condition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soluble fraction of the cell lysate, extremely bright fluorescence molecules were detected in the photon count rate record using FCS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top, arrow). Such “spikes (also called burst)” were not observed in GFP monomers and monodisperse chemical fluorescent dye solution, suggesting that the spikes indicate oligomeric proteins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Curve fitting analysis using a model assuming two-component 3D diffusion with a triplet state showed that the fast diffusing molecules (DT</w:t>
      </w:r>
      <w:r>
        <w:rPr>
          <w:rFonts w:ascii="Calibri" w:hAnsi="Calibri" w:cs="Calibri" w:eastAsia="Calibri"/>
          <w:color w:val="auto"/>
          <w:spacing w:val="0"/>
          <w:position w:val="0"/>
          <w:sz w:val="24"/>
          <w:shd w:fill="auto" w:val="clear"/>
          <w:vertAlign w:val="subscript"/>
        </w:rPr>
        <w:t xml:space="preserve">Fast</w:t>
      </w:r>
      <w:r>
        <w:rPr>
          <w:rFonts w:ascii="Calibri" w:hAnsi="Calibri" w:cs="Calibri" w:eastAsia="Calibri"/>
          <w:color w:val="auto"/>
          <w:spacing w:val="0"/>
          <w:position w:val="0"/>
          <w:sz w:val="24"/>
          <w:shd w:fill="auto" w:val="clear"/>
        </w:rPr>
        <w:t xml:space="preserve"> = 186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were ~90% and the remaining 10% was 2.3 ms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bottom;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SOD1-G85R-GFP measurement in live cells, the photon count rate record showed a gradual decrease, suggesting its photobleaching in the detection volume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top). Although the contribution of the photobleaching was shown in a longer than 1 s range in the ACF, a positive amplitude and smooth decay of the ACF were observed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bottom). Curve fitting analysis using a model assuming two-component 3D diffusion with a triplet state showed that the fast diffusing molecules (DT</w:t>
      </w:r>
      <w:r>
        <w:rPr>
          <w:rFonts w:ascii="Calibri" w:hAnsi="Calibri" w:cs="Calibri" w:eastAsia="Calibri"/>
          <w:color w:val="auto"/>
          <w:spacing w:val="0"/>
          <w:position w:val="0"/>
          <w:sz w:val="24"/>
          <w:shd w:fill="auto" w:val="clear"/>
          <w:vertAlign w:val="subscript"/>
        </w:rPr>
        <w:t xml:space="preserve">Fast</w:t>
      </w:r>
      <w:r>
        <w:rPr>
          <w:rFonts w:ascii="Calibri" w:hAnsi="Calibri" w:cs="Calibri" w:eastAsia="Calibri"/>
          <w:color w:val="auto"/>
          <w:spacing w:val="0"/>
          <w:position w:val="0"/>
          <w:sz w:val="24"/>
          <w:shd w:fill="auto" w:val="clear"/>
        </w:rPr>
        <w:t xml:space="preserve"> = 397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were ~93.4% and the remaining 6.6% was 12.3 ms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ALS-linked mutation, G85R, in SOD1 did not allow a dramatic difference in diffusion property compared to wild type. However, proteasome inhibition decreased the diffusion rate only in the G85R mutant of SOD1 in the cytoplasm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Confocal fluorescent image of Neuro2a cells expressing SOD1-G85R-GFP.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Confocal fluorescent image of Neuro2a cells expressing SOD1-G85R-GFP. The crosshair indicates the FCS measurement position in the cytoplasm. Bar =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Typical FCS results and fitted curves for the autocorrelation functions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Recorded photon count rate in the FCS measurement time range (Green line). Bottom: Calculated autocorrelation functions (ACFs; Raw, grey lines) and fitted ACF curves using a model for two-component three-dimensional diffusion with a triplet state (Fit, magenta lines).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for Y-axis indicates the amplitude of ACFs at time </w:t>
      </w:r>
      <w:r>
        <w:rPr>
          <w:rFonts w:ascii="Symbol" w:hAnsi="Symbol" w:cs="Symbol" w:eastAsia="Symbol"/>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sec. for X-axis. Dot lines show fitting start and end time points. Dark blue arrows show the spike with extremely bright proteins passing through the detection volume (i.e., soluble oligomers/aggregates).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 compositions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Typical fitted values for the autocorrelation functions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Fitted values for the autocorrelation functions are represented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using a model for two-component three-dimensional diffusion with a triplet state. Counts per molecule (CPM), fast and slow diffusion time (DT</w:t>
      </w:r>
      <w:r>
        <w:rPr>
          <w:rFonts w:ascii="Calibri" w:hAnsi="Calibri" w:cs="Calibri" w:eastAsia="Calibri"/>
          <w:color w:val="auto"/>
          <w:spacing w:val="0"/>
          <w:position w:val="0"/>
          <w:sz w:val="24"/>
          <w:shd w:fill="auto" w:val="clear"/>
          <w:vertAlign w:val="subscript"/>
        </w:rPr>
        <w:t xml:space="preserve">Fast</w:t>
      </w:r>
      <w:r>
        <w:rPr>
          <w:rFonts w:ascii="Calibri" w:hAnsi="Calibri" w:cs="Calibri" w:eastAsia="Calibri"/>
          <w:color w:val="auto"/>
          <w:spacing w:val="0"/>
          <w:position w:val="0"/>
          <w:sz w:val="24"/>
          <w:shd w:fill="auto" w:val="clear"/>
        </w:rPr>
        <w:t xml:space="preserve"> and DT</w:t>
      </w:r>
      <w:r>
        <w:rPr>
          <w:rFonts w:ascii="Calibri" w:hAnsi="Calibri" w:cs="Calibri" w:eastAsia="Calibri"/>
          <w:color w:val="auto"/>
          <w:spacing w:val="0"/>
          <w:position w:val="0"/>
          <w:sz w:val="24"/>
          <w:shd w:fill="auto" w:val="clear"/>
          <w:vertAlign w:val="subscript"/>
        </w:rPr>
        <w:t xml:space="preserve">Slow</w:t>
      </w:r>
      <w:r>
        <w:rPr>
          <w:rFonts w:ascii="Calibri" w:hAnsi="Calibri" w:cs="Calibri" w:eastAsia="Calibri"/>
          <w:color w:val="auto"/>
          <w:spacing w:val="0"/>
          <w:position w:val="0"/>
          <w:sz w:val="24"/>
          <w:shd w:fill="auto" w:val="clear"/>
        </w:rPr>
        <w:t xml:space="preserve">, respectively), and their components (Fast and Slow component) are represented.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system calibration before measurements, the same glasswares as the one used to measure the sample should be used (e.g., the 8-wells cover glass chamber for cell lysate and the 35-mm glass base dish for live cells). Because of the adsorption of Rh6G on the glass, its effective concentration may sometimes decrease. If so, a highly concentrated Rh6G solution such as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should be used just for the pinhole adjustment. Extremely high photon count rates must be avoided to protect the detector (e.g., more than 1000 kHz). Moreover, the concentrated solution is not appropriate for the acquisition of autocorrelation function (maintain less than 100 kHz). The calibration of pinhole position is important. If the optical system is used frequently, it is rare for dramatical dislocation of the pinhole; thus, using “Fine” at the beginning is often no problem to find the appropriate position. If no peak position of the count rates using “Fine” is found, use the “Coarse” to move the pinhole from one end of the range of motion to the other before the position-finding using “Fine”. If the amplitude of the ACF was flat, check whether the focus and position are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Rh6G measurement and its fitting, if the DT and/or SP is out of the indicated range, re-try the pinhole and correction ring adjustment. When still showing out of the range, we recommend contacting the manufacturer’s support as it is likely due to suspected defection of the optical system. Using the measured DT and SP in addition to the known diffusion coefficient of Rh6G (414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in water, the effective beam waist can be calculated because DT is dependent on the beam waist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Moreover, as the SP is the ratio of beam waist and the height of the effective detection volume, the detection volume can be calculated. The volume calculation is required to determine absolute concentration. More description of the principle and troubleshooting during the calibration is also available in protocols as reported previously</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spikes were observed in the FCS measurement of GFP-TDP25 in cell lysate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top). We show that such spikes were observed in FCS measurement of aggregate-prone huntingtin including expanded polyglutamine repeats labeled with GFP or yellow fluorescent protein (YFP) (HttQ78 and HttQ143)</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thus suggests soluble oligomers/aggregates of GFP-TDP25 in the soluble fraction of the cell lysate. But such spike population was rare; thus, the ACF and its curve-fitting result may not include a major contribution of such spikes. A possible reason for only a small amount of aggregates being included in the soluble fraction is likely because TDP25 is highly aggregation-prone and its aggregates are fractionated in the insoluble fraction as shown using a fractionation of the cell lysate followed by western blotting detection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phenomena of the tendency to recover to the insoluble fraction of aggregation-prone protein have been often observed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Such soluble oligomers/aggregates cannot be easily detected using conventional biochemical methods such as SDS-PAGE followed by western blotting; thus, FCS has an advantage. However, to analyze multi-components using conventional FCS is difficult because it measures the average population. More developmental procedures combined with Bayesian nonparametric analysis would determine the multi-components in the sample without any assumptions for the components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diffusion time in live cells was relatively slow compared to the cell lysate. Since viscosity in the cell is known to be higher than that in solutions such as PBS and detergent-containing buffer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diffusion time in live cells theoretically gets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longer. Due to this slow diffusion in live cells comparing in solution, photobleaching of fluorescent tags can often be caused. To correct the photobleaching effect on ACFs, some procedures such as exponential decay assumption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noise filtering using wavelet function have been proposed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such corrections are believed to be effective, it has still not been so simple for general users because it requires programming skills. Moreover, in live cell measurements, the fitting range should be determined more carefully so that the chi-square value of the fitted curve becomes small.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range where G(</w:t>
      </w:r>
      <w:r>
        <w:rPr>
          <w:rFonts w:ascii="Symbol" w:hAnsi="Symbol" w:cs="Symbol" w:eastAsia="Symbol"/>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was less than 1 was excluded from the fitting range. Alternatively, more photostable fluorescent tags are required to analyze slowly diffusing/moving molecules. GFP is easy to use as a labeling tag, and its stability is well, but it is often photobleached during FCS measurements. To overcome this photostable property, HaloTag with tetramethylrhodamine (TMR) as a chemical fluorescent dye has been available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incomplete labeling by the fluorescent ligands (e.g., TMR-ligand) and trapped dye pools are problematic issues for specific labeling of proteins of interest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thus, exogenous expression of protein-of-interest tagged with fluorescent proteins would be the first choice for fluorescent labeling in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kinds of fluorescent proteins, as well as chemical fluorescent dyes; however, as shown in this article, monomeric enhanced GFP (meGFP) is an easy-to-use tag for FCS as well as other fluorescence microscopy because its biochemical and fluorescence properties are well known. Therefore, in our studies, meGFP is the first choice and generally used to label the aggregation-prone proteins for FCS measurements</w:t>
      </w:r>
      <w:r>
        <w:rPr>
          <w:rFonts w:ascii="Calibri" w:hAnsi="Calibri" w:cs="Calibri" w:eastAsia="Calibri"/>
          <w:color w:val="auto"/>
          <w:spacing w:val="0"/>
          <w:position w:val="0"/>
          <w:sz w:val="24"/>
          <w:shd w:fill="auto" w:val="clear"/>
          <w:vertAlign w:val="superscript"/>
        </w:rPr>
        <w:t xml:space="preserve">6,7,9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 was supported by a Japan Society for Promotion of Science (JSPS) Grant-in-Aid for Scientific Research (C) (#18K06201), by a grant-in-aid from the Nakatani Foundation for Countermeasures against novel coronavirus infections, by a grant from Hokkaido University Office for Developing Future Research Leaders (L-Station), and a grant-in-aid from Hoansha Foundation. M. K. was partially supported by a JSPS Grant-in-Aid for Scientific Research on Innovative Areas “Chemistry for Multimolecular Crowding Biosystems” (#20H04686), and a JSPS Grant-in-Aid for Scientific Research on Innovative Areas “Information physics of living matters” (#20H05522).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Ross, C. A., Poirier, M. A. Protein aggregation and neurodegenerative disease.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Suppl</w:t>
      </w:r>
      <w:r>
        <w:rPr>
          <w:rFonts w:ascii="Calibri" w:hAnsi="Calibri" w:cs="Calibri" w:eastAsia="Calibri"/>
          <w:color w:val="auto"/>
          <w:spacing w:val="0"/>
          <w:position w:val="0"/>
          <w:sz w:val="24"/>
          <w:shd w:fill="auto" w:val="clear"/>
        </w:rPr>
        <w:t xml:space="preserve">, S10-17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Hipp, M. S., Kasturi, P., Hartl, F. U. The proteostasis network and its decline in ageing. </w:t>
      </w:r>
      <w:r>
        <w:rPr>
          <w:rFonts w:ascii="Calibri" w:hAnsi="Calibri" w:cs="Calibri" w:eastAsia="Calibri"/>
          <w:i/>
          <w:color w:val="auto"/>
          <w:spacing w:val="0"/>
          <w:position w:val="0"/>
          <w:sz w:val="24"/>
          <w:shd w:fill="auto" w:val="clear"/>
        </w:rPr>
        <w:t xml:space="preserve">Nature Review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421-435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Kitamura, A., Nagata, K., Kinjo, M. Conformational analysis of misfolded protein aggregation by FRET and live-cell imaging techniques.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6076-6092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Rigler, R., Mets, U., Widengren, J., Kask, P. Fluorescence Correlation Spectroscopy with High Count Rate and Low-Background - Analysis of Translational Diffusion. </w:t>
      </w:r>
      <w:r>
        <w:rPr>
          <w:rFonts w:ascii="Calibri" w:hAnsi="Calibri" w:cs="Calibri" w:eastAsia="Calibri"/>
          <w:i/>
          <w:color w:val="auto"/>
          <w:spacing w:val="0"/>
          <w:position w:val="0"/>
          <w:sz w:val="24"/>
          <w:shd w:fill="auto" w:val="clear"/>
        </w:rPr>
        <w:t xml:space="preserve">European Biophysics Journal with Biophysics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169-175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Zacharias, D. A., Violin, J. D., Newton, A. C., Tsien, R. Y. Partitioning of lipid-modified monomeric GFPs into membrane microdomains of live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(5569), 913-916,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Kitamura,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Interaction of RNA with a C-terminal fragment of the amyotrophic lateral sclerosis-associated TDP43 reduces cytotoxicity.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19230,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Kitamura,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Dysregulation of the proteasome increases the toxicity of ALS-linked mutant SOD1. </w:t>
      </w:r>
      <w:r>
        <w:rPr>
          <w:rFonts w:ascii="Calibri" w:hAnsi="Calibri" w:cs="Calibri" w:eastAsia="Calibri"/>
          <w:i/>
          <w:color w:val="auto"/>
          <w:spacing w:val="0"/>
          <w:position w:val="0"/>
          <w:sz w:val="24"/>
          <w:shd w:fill="auto" w:val="clear"/>
        </w:rPr>
        <w:t xml:space="preserve">Genes to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209-224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Niwa, H., Yamamura, K., Miyazaki, J. Efficient selection for high-expression transfectants with a novel eukaryotic vector.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 193-199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Kitamura,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Cytosolic chaperonin prevents polyglutamine toxicity with altering the aggregation state.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1163-1170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Kitamura, A., Shibasaki, A., Takeda, K., Suno, R., Kinjo, M. Analysis of the substrate recognition state of TDP-43 to single-stranded DNA using fluorescence correlation spectroscopy. </w:t>
      </w:r>
      <w:r>
        <w:rPr>
          <w:rFonts w:ascii="Calibri" w:hAnsi="Calibri" w:cs="Calibri" w:eastAsia="Calibri"/>
          <w:i/>
          <w:color w:val="auto"/>
          <w:spacing w:val="0"/>
          <w:position w:val="0"/>
          <w:sz w:val="24"/>
          <w:shd w:fill="auto" w:val="clear"/>
        </w:rPr>
        <w:t xml:space="preserve">Biochemistry and Biophysics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58-63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Kinjo, M., Sakata, H., Mikuni, S. First steps for fluorescence correlation spectroscopy of living cells.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(10), 1185-1189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Kinjo, M., Sakata, H., Mikuni, S. Fluorescence correlation spectroscopy example: shift of autocorrelation curve.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(10), 1267-1269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Kinjo, M., Sakata, H., Mikuni, S. Basic fluorescence correlation spectroscopy setup and measurement.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(10), 1262-1266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Jazani,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alternative framework for fluorescence correlation spectroscopy.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3662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Pack, C., Saito, K., Tamura, M., Kinjo, M. Microenvironment and effect of energy depletion in the nucleus analyzed by mobility of multiple oligomeric EGFPs.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(10), 3921-3936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Ries, J., Chiantia, S., Schwille, P. Accurate determination of membrane dynamics with line-scan FCS.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1999-2008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Fujioka,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Phase separation organizes the site of autophagosome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578</w:t>
      </w:r>
      <w:r>
        <w:rPr>
          <w:rFonts w:ascii="Calibri" w:hAnsi="Calibri" w:cs="Calibri" w:eastAsia="Calibri"/>
          <w:color w:val="auto"/>
          <w:spacing w:val="0"/>
          <w:position w:val="0"/>
          <w:sz w:val="24"/>
          <w:shd w:fill="auto" w:val="clear"/>
        </w:rPr>
        <w:t xml:space="preserve"> (7794), 301-305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Sadaie, W., Harada, Y., Matsuda, M., Aoki, K. Quantitative in vivo fluorescence cross-correlation analyses highlight the importance of competitive effects in the regulation of protein-protein interactions.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(17), 3272-3290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Cohen, L. D., Boulos, A., Ziv, N. E. A non-fluorescent HaloTag blocker for improved measurement and visualization of protein synthesis in living cells.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